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A49C73" w14:textId="73E8959C" w:rsidR="00474FC5" w:rsidRPr="00A34AAB" w:rsidRDefault="00474FC5" w:rsidP="00474FC5">
      <w:pPr>
        <w:pStyle w:val="NoSpacing"/>
        <w:spacing w:before="1540" w:after="240"/>
        <w:jc w:val="center"/>
        <w:rPr>
          <w:rFonts w:ascii="Arial" w:hAnsi="Arial" w:cs="Arial"/>
          <w:color w:val="156082" w:themeColor="accent1"/>
        </w:rPr>
      </w:pPr>
      <w:r w:rsidRPr="00A34AAB">
        <w:rPr>
          <w:rFonts w:ascii="Arial" w:hAnsi="Arial" w:cs="Arial"/>
          <w:noProof/>
          <w:color w:val="156082" w:themeColor="accent1"/>
          <w:lang w:val="en-GB" w:eastAsia="en-GB"/>
        </w:rPr>
        <w:drawing>
          <wp:inline distT="0" distB="0" distL="0" distR="0" wp14:anchorId="40CBD4F2" wp14:editId="28A0B17F">
            <wp:extent cx="1419225" cy="752475"/>
            <wp:effectExtent l="0" t="0" r="9525" b="0"/>
            <wp:docPr id="143" name="Picture 2"/>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sdt>
      <w:sdtPr>
        <w:rPr>
          <w:rFonts w:ascii="Arial" w:eastAsiaTheme="majorEastAsia" w:hAnsi="Arial" w:cs="Arial"/>
          <w:caps/>
          <w:color w:val="156082" w:themeColor="accent1"/>
          <w:sz w:val="72"/>
          <w:szCs w:val="72"/>
        </w:rPr>
        <w:alias w:val="Title"/>
        <w:id w:val="1735040861"/>
        <w:placeholder>
          <w:docPart w:val="6C54E6506704435BB3254228FB2958DF"/>
        </w:placeholder>
        <w:dataBinding w:prefixMappings="xmlns:ns0='http://purl.org/dc/elements/1.1/' xmlns:ns1='http://schemas.openxmlformats.org/package/2006/metadata/core-properties' " w:xpath="/ns1:coreProperties[1]/ns0:title[1]" w:storeItemID="{6C3C8BC8-F283-45AE-878A-BAB7291924A1}"/>
        <w:text/>
      </w:sdtPr>
      <w:sdtEndPr/>
      <w:sdtContent>
        <w:p w14:paraId="2F12DC38" w14:textId="14A36445" w:rsidR="00474FC5" w:rsidRPr="00A34AAB" w:rsidRDefault="00474FC5" w:rsidP="00474FC5">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sz w:val="80"/>
              <w:szCs w:val="80"/>
            </w:rPr>
          </w:pPr>
          <w:r w:rsidRPr="00A34AAB">
            <w:rPr>
              <w:rFonts w:ascii="Arial" w:eastAsiaTheme="majorEastAsia" w:hAnsi="Arial" w:cs="Arial"/>
              <w:caps/>
              <w:color w:val="156082" w:themeColor="accent1"/>
              <w:sz w:val="72"/>
              <w:szCs w:val="72"/>
            </w:rPr>
            <w:t>BMMB7027 Strategic and agile business management</w:t>
          </w:r>
        </w:p>
      </w:sdtContent>
    </w:sdt>
    <w:sdt>
      <w:sdtPr>
        <w:rPr>
          <w:rFonts w:ascii="Arial" w:hAnsi="Arial" w:cs="Arial"/>
          <w:color w:val="156082" w:themeColor="accent1"/>
          <w:sz w:val="28"/>
          <w:szCs w:val="28"/>
        </w:rPr>
        <w:alias w:val="Subtitle"/>
        <w:id w:val="328029620"/>
        <w:dataBinding w:prefixMappings="xmlns:ns0='http://purl.org/dc/elements/1.1/' xmlns:ns1='http://schemas.openxmlformats.org/package/2006/metadata/core-properties' " w:xpath="/ns1:coreProperties[1]/ns0:subject[1]" w:storeItemID="{6C3C8BC8-F283-45AE-878A-BAB7291924A1}"/>
        <w:text/>
      </w:sdtPr>
      <w:sdtEndPr/>
      <w:sdtContent>
        <w:p w14:paraId="01970E50" w14:textId="04F799BE" w:rsidR="00474FC5" w:rsidRPr="00A34AAB" w:rsidRDefault="00474FC5" w:rsidP="00474FC5">
          <w:pPr>
            <w:pStyle w:val="NoSpacing"/>
            <w:jc w:val="center"/>
            <w:rPr>
              <w:rFonts w:ascii="Arial" w:hAnsi="Arial" w:cs="Arial"/>
              <w:color w:val="156082" w:themeColor="accent1"/>
              <w:sz w:val="28"/>
              <w:szCs w:val="28"/>
            </w:rPr>
          </w:pPr>
          <w:r w:rsidRPr="00474FC5">
            <w:rPr>
              <w:rFonts w:ascii="Arial" w:hAnsi="Arial" w:cs="Arial"/>
              <w:color w:val="156082" w:themeColor="accent1"/>
              <w:sz w:val="28"/>
              <w:szCs w:val="28"/>
            </w:rPr>
            <w:t>Lyssa Muir- 1917752</w:t>
          </w:r>
        </w:p>
      </w:sdtContent>
    </w:sdt>
    <w:p w14:paraId="1B0CCEDC" w14:textId="6F1D4052" w:rsidR="00474FC5" w:rsidRPr="00A34AAB" w:rsidRDefault="00474FC5" w:rsidP="00474FC5">
      <w:pPr>
        <w:pStyle w:val="NoSpacing"/>
        <w:jc w:val="center"/>
        <w:rPr>
          <w:rFonts w:ascii="Arial" w:hAnsi="Arial" w:cs="Arial"/>
          <w:color w:val="156082" w:themeColor="accent1"/>
        </w:rPr>
      </w:pPr>
      <w:r w:rsidRPr="00A34AAB">
        <w:rPr>
          <w:rFonts w:ascii="Arial" w:hAnsi="Arial" w:cs="Arial"/>
          <w:noProof/>
        </w:rPr>
        <mc:AlternateContent>
          <mc:Choice Requires="wps">
            <w:drawing>
              <wp:anchor distT="0" distB="0" distL="114300" distR="114300" simplePos="0" relativeHeight="251658240" behindDoc="0" locked="0" layoutInCell="1" allowOverlap="1" wp14:anchorId="69C835FB" wp14:editId="07DAC75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7312660" cy="613410"/>
                <wp:effectExtent l="0" t="0" r="2540" b="3810"/>
                <wp:wrapNone/>
                <wp:docPr id="142" name="Text Box 3"/>
                <wp:cNvGraphicFramePr/>
                <a:graphic xmlns:a="http://schemas.openxmlformats.org/drawingml/2006/main">
                  <a:graphicData uri="http://schemas.microsoft.com/office/word/2010/wordprocessingShape">
                    <wps:wsp>
                      <wps:cNvSpPr txBox="1"/>
                      <wps:spPr>
                        <a:xfrm>
                          <a:off x="0" y="0"/>
                          <a:ext cx="594360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156082" w:themeColor="accent1"/>
                                <w:sz w:val="28"/>
                                <w:szCs w:val="28"/>
                              </w:rPr>
                              <w:alias w:val="Date"/>
                              <w:id w:val="197127006"/>
                              <w:dataBinding w:prefixMappings="xmlns:ns0='http://schemas.microsoft.com/office/2006/coverPageProps' " w:xpath="/ns0:CoverPageProperties[1]/ns0:PublishDate[1]" w:storeItemID="{55AF091B-3C7A-41E3-B477-F2FDAA23CFDA}"/>
                              <w:date w:fullDate="2026-07-01T00:00:00Z">
                                <w:dateFormat w:val="MMMM d, yyyy"/>
                                <w:lid w:val="en-US"/>
                                <w:storeMappedDataAs w:val="dateTime"/>
                                <w:calendar w:val="gregorian"/>
                              </w:date>
                            </w:sdtPr>
                            <w:sdtEndPr/>
                            <w:sdtContent>
                              <w:p w14:paraId="4D4A2161" w14:textId="6C71EFCC" w:rsidR="00474FC5" w:rsidRDefault="006B3F19" w:rsidP="00474FC5">
                                <w:pPr>
                                  <w:pStyle w:val="NoSpacing"/>
                                  <w:spacing w:after="40"/>
                                  <w:jc w:val="center"/>
                                  <w:rPr>
                                    <w:caps/>
                                    <w:color w:val="156082" w:themeColor="accent1"/>
                                    <w:sz w:val="28"/>
                                    <w:szCs w:val="28"/>
                                  </w:rPr>
                                </w:pPr>
                                <w:r>
                                  <w:rPr>
                                    <w:rFonts w:ascii="Arial" w:hAnsi="Arial" w:cs="Arial"/>
                                    <w:caps/>
                                    <w:color w:val="156082" w:themeColor="accent1"/>
                                    <w:sz w:val="28"/>
                                    <w:szCs w:val="28"/>
                                  </w:rPr>
                                  <w:t>July 1, 2026</w:t>
                                </w:r>
                              </w:p>
                            </w:sdtContent>
                          </w:sdt>
                          <w:p w14:paraId="2FEF71FD" w14:textId="77777777" w:rsidR="00474FC5" w:rsidRDefault="00AF1B1E" w:rsidP="00474FC5">
                            <w:pPr>
                              <w:pStyle w:val="NoSpacing"/>
                              <w:jc w:val="center"/>
                              <w:rPr>
                                <w:color w:val="156082" w:themeColor="accent1"/>
                              </w:rPr>
                            </w:pPr>
                            <w:sdt>
                              <w:sdtPr>
                                <w:rPr>
                                  <w:caps/>
                                  <w:color w:val="156082" w:themeColor="accent1"/>
                                </w:rPr>
                                <w:alias w:val="Company"/>
                                <w:id w:val="1390145197"/>
                                <w:showingPlcHdr/>
                                <w:dataBinding w:prefixMappings="xmlns:ns0='http://schemas.openxmlformats.org/officeDocument/2006/extended-properties' " w:xpath="/ns0:Properties[1]/ns0:Company[1]" w:storeItemID="{6668398D-A668-4E3E-A5EB-62B293D839F1}"/>
                                <w:text/>
                              </w:sdtPr>
                              <w:sdtEndPr/>
                              <w:sdtContent>
                                <w:r w:rsidR="00474FC5">
                                  <w:rPr>
                                    <w:caps/>
                                    <w:color w:val="156082" w:themeColor="accent1"/>
                                  </w:rPr>
                                  <w:t xml:space="preserve">     </w:t>
                                </w:r>
                              </w:sdtContent>
                            </w:sdt>
                          </w:p>
                          <w:p w14:paraId="0FF4B208" w14:textId="77777777" w:rsidR="00474FC5" w:rsidRDefault="00AF1B1E" w:rsidP="00474FC5">
                            <w:pPr>
                              <w:pStyle w:val="NoSpacing"/>
                              <w:jc w:val="center"/>
                              <w:rPr>
                                <w:color w:val="156082" w:themeColor="accent1"/>
                              </w:rPr>
                            </w:pPr>
                            <w:sdt>
                              <w:sdtPr>
                                <w:rPr>
                                  <w:color w:val="156082"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474FC5">
                                  <w:rPr>
                                    <w:color w:val="156082" w:themeColor="accent1"/>
                                  </w:rPr>
                                  <w:t xml:space="preserve">     </w:t>
                                </w:r>
                              </w:sdtContent>
                            </w:sdt>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9C835FB" id="_x0000_t202" coordsize="21600,21600" o:spt="202" path="m,l,21600r21600,l21600,xe">
                <v:stroke joinstyle="miter"/>
                <v:path gradientshapeok="t" o:connecttype="rect"/>
              </v:shapetype>
              <v:shape id="Text Box 3" o:spid="_x0000_s1026" type="#_x0000_t202" style="position:absolute;left:0;text-align:left;margin-left:0;margin-top:0;width:575.8pt;height:48.3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" filled="f" stroked="f" strokeweight=".5pt">
                <v:textbox style="mso-fit-shape-to-text:t" inset="0,0,0,0">
                  <w:txbxContent>
                    <w:sdt>
                      <w:sdtPr>
                        <w:rPr>
                          <w:rFonts w:ascii="Arial" w:hAnsi="Arial" w:cs="Arial"/>
                          <w:caps/>
                          <w:color w:val="156082" w:themeColor="accent1"/>
                          <w:sz w:val="28"/>
                          <w:szCs w:val="28"/>
                        </w:rPr>
                        <w:alias w:val="Date"/>
                        <w:id w:val="197127006"/>
                        <w:dataBinding w:prefixMappings="xmlns:ns0='http://schemas.microsoft.com/office/2006/coverPageProps' " w:xpath="/ns0:CoverPageProperties[1]/ns0:PublishDate[1]" w:storeItemID="{55AF091B-3C7A-41E3-B477-F2FDAA23CFDA}"/>
                        <w:date w:fullDate="2026-07-01T00:00:00Z">
                          <w:dateFormat w:val="MMMM d, yyyy"/>
                          <w:lid w:val="en-US"/>
                          <w:storeMappedDataAs w:val="dateTime"/>
                          <w:calendar w:val="gregorian"/>
                        </w:date>
                      </w:sdtPr>
                      <w:sdtEndPr/>
                      <w:sdtContent>
                        <w:p w14:paraId="4D4A2161" w14:textId="6C71EFCC" w:rsidR="00474FC5" w:rsidRDefault="006B3F19" w:rsidP="00474FC5">
                          <w:pPr>
                            <w:pStyle w:val="NoSpacing"/>
                            <w:spacing w:after="40"/>
                            <w:jc w:val="center"/>
                            <w:rPr>
                              <w:caps/>
                              <w:color w:val="156082" w:themeColor="accent1"/>
                              <w:sz w:val="28"/>
                              <w:szCs w:val="28"/>
                            </w:rPr>
                          </w:pPr>
                          <w:r>
                            <w:rPr>
                              <w:rFonts w:ascii="Arial" w:hAnsi="Arial" w:cs="Arial"/>
                              <w:caps/>
                              <w:color w:val="156082" w:themeColor="accent1"/>
                              <w:sz w:val="28"/>
                              <w:szCs w:val="28"/>
                            </w:rPr>
                            <w:t>July 1, 2026</w:t>
                          </w:r>
                        </w:p>
                      </w:sdtContent>
                    </w:sdt>
                    <w:p w14:paraId="2FEF71FD" w14:textId="77777777" w:rsidR="00474FC5" w:rsidRDefault="00AF1B1E" w:rsidP="00474FC5">
                      <w:pPr>
                        <w:pStyle w:val="NoSpacing"/>
                        <w:jc w:val="center"/>
                        <w:rPr>
                          <w:color w:val="156082" w:themeColor="accent1"/>
                        </w:rPr>
                      </w:pPr>
                      <w:sdt>
                        <w:sdtPr>
                          <w:rPr>
                            <w:caps/>
                            <w:color w:val="156082" w:themeColor="accent1"/>
                          </w:rPr>
                          <w:alias w:val="Company"/>
                          <w:id w:val="1390145197"/>
                          <w:showingPlcHdr/>
                          <w:dataBinding w:prefixMappings="xmlns:ns0='http://schemas.openxmlformats.org/officeDocument/2006/extended-properties' " w:xpath="/ns0:Properties[1]/ns0:Company[1]" w:storeItemID="{6668398D-A668-4E3E-A5EB-62B293D839F1}"/>
                          <w:text/>
                        </w:sdtPr>
                        <w:sdtEndPr/>
                        <w:sdtContent>
                          <w:r w:rsidR="00474FC5">
                            <w:rPr>
                              <w:caps/>
                              <w:color w:val="156082" w:themeColor="accent1"/>
                            </w:rPr>
                            <w:t xml:space="preserve">     </w:t>
                          </w:r>
                        </w:sdtContent>
                      </w:sdt>
                    </w:p>
                    <w:p w14:paraId="0FF4B208" w14:textId="77777777" w:rsidR="00474FC5" w:rsidRDefault="00AF1B1E" w:rsidP="00474FC5">
                      <w:pPr>
                        <w:pStyle w:val="NoSpacing"/>
                        <w:jc w:val="center"/>
                        <w:rPr>
                          <w:color w:val="156082" w:themeColor="accent1"/>
                        </w:rPr>
                      </w:pPr>
                      <w:sdt>
                        <w:sdtPr>
                          <w:rPr>
                            <w:color w:val="156082"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474FC5">
                            <w:rPr>
                              <w:color w:val="156082" w:themeColor="accent1"/>
                            </w:rPr>
                            <w:t xml:space="preserve">     </w:t>
                          </w:r>
                        </w:sdtContent>
                      </w:sdt>
                    </w:p>
                  </w:txbxContent>
                </v:textbox>
                <w10:wrap anchorx="margin" anchory="page"/>
              </v:shape>
            </w:pict>
          </mc:Fallback>
        </mc:AlternateContent>
      </w:r>
      <w:r w:rsidRPr="00A34AAB">
        <w:rPr>
          <w:rFonts w:ascii="Arial" w:hAnsi="Arial" w:cs="Arial"/>
          <w:noProof/>
          <w:color w:val="156082" w:themeColor="accent1"/>
          <w:lang w:val="en-GB" w:eastAsia="en-GB"/>
        </w:rPr>
        <w:drawing>
          <wp:inline distT="0" distB="0" distL="0" distR="0" wp14:anchorId="66B51DEE" wp14:editId="13E05195">
            <wp:extent cx="762000" cy="485775"/>
            <wp:effectExtent l="0" t="0" r="0" b="0"/>
            <wp:docPr id="144" name="Picture 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091C48BA" w14:textId="005962E3" w:rsidR="00474FC5" w:rsidRPr="00A34AAB" w:rsidRDefault="00474FC5">
      <w:pPr>
        <w:rPr>
          <w:rFonts w:ascii="Arial" w:hAnsi="Arial" w:cs="Arial"/>
        </w:rPr>
      </w:pPr>
      <w:r w:rsidRPr="00A34AAB">
        <w:rPr>
          <w:rFonts w:ascii="Arial" w:hAnsi="Arial" w:cs="Arial"/>
        </w:rPr>
        <w:br w:type="page"/>
      </w:r>
    </w:p>
    <w:p w14:paraId="1FB10F73" w14:textId="52E49C8F" w:rsidR="00762F60" w:rsidRPr="009C797F" w:rsidRDefault="00E303EF" w:rsidP="00474FC5">
      <w:pPr>
        <w:pStyle w:val="Heading1"/>
        <w:rPr>
          <w:rFonts w:ascii="Arial" w:hAnsi="Arial" w:cs="Arial"/>
          <w:sz w:val="28"/>
          <w:szCs w:val="28"/>
        </w:rPr>
      </w:pPr>
      <w:bookmarkStart w:id="0" w:name="_Toc233990055"/>
      <w:r w:rsidRPr="009C797F">
        <w:rPr>
          <w:rFonts w:ascii="Arial" w:hAnsi="Arial" w:cs="Arial"/>
          <w:sz w:val="28"/>
          <w:szCs w:val="28"/>
        </w:rPr>
        <w:lastRenderedPageBreak/>
        <w:t>Executive Summary</w:t>
      </w:r>
      <w:bookmarkEnd w:id="0"/>
    </w:p>
    <w:p w14:paraId="11229858" w14:textId="77777777" w:rsidR="007A5E7E" w:rsidRPr="004408A7" w:rsidRDefault="007A5E7E" w:rsidP="007A5E7E">
      <w:pPr>
        <w:pStyle w:val="pdq2pgselectionanchorcontainer"/>
        <w:spacing w:line="360" w:lineRule="auto"/>
        <w:rPr>
          <w:rFonts w:ascii="Arial" w:hAnsi="Arial" w:cs="Arial"/>
        </w:rPr>
      </w:pPr>
      <w:r w:rsidRPr="004408A7">
        <w:rPr>
          <w:rFonts w:ascii="Arial" w:hAnsi="Arial" w:cs="Arial"/>
        </w:rPr>
        <w:t>This report critically evaluates whether community-based personalised patient care represents an effective and sustainable approach to future service delivery within Hywel Dda University Health Board (HDUHB). The report considers the strategic challenges facing the Health Board, including increasing demand for healthcare services, workforce shortages, financial pressures and the need to improve patient experience whilst maintaining organisational resilience.</w:t>
      </w:r>
    </w:p>
    <w:p w14:paraId="773B27F4" w14:textId="77777777" w:rsidR="007A5E7E" w:rsidRPr="004408A7" w:rsidRDefault="007A5E7E" w:rsidP="007A5E7E">
      <w:pPr>
        <w:pStyle w:val="NormalWeb"/>
        <w:spacing w:line="360" w:lineRule="auto"/>
        <w:rPr>
          <w:rFonts w:ascii="Arial" w:hAnsi="Arial" w:cs="Arial"/>
        </w:rPr>
      </w:pPr>
      <w:r w:rsidRPr="004408A7">
        <w:rPr>
          <w:rFonts w:ascii="Arial" w:hAnsi="Arial" w:cs="Arial"/>
        </w:rPr>
        <w:t>A strategic analysis was undertaken using SWOT, PESTLE, Porter's Value Chain and Ansoff's Matrix to assess the organisation's current position, the external environment and the strategic options available. The analysis found that Hywel Dda has a clear strategic direction through its Community by Design programme, supported by organisational values that align closely with personalised patient care. Despite this, workforce capacity, financial constraints, continued performance pressures and the challenges associated with delivering services across a large rural population are likely to affect the organisation's ability to achieve its long-term ambitions.</w:t>
      </w:r>
    </w:p>
    <w:p w14:paraId="3378C07D" w14:textId="77777777" w:rsidR="007A5E7E" w:rsidRPr="004408A7" w:rsidRDefault="007A5E7E" w:rsidP="007A5E7E">
      <w:pPr>
        <w:pStyle w:val="NormalWeb"/>
        <w:spacing w:line="360" w:lineRule="auto"/>
        <w:rPr>
          <w:rFonts w:ascii="Arial" w:hAnsi="Arial" w:cs="Arial"/>
        </w:rPr>
      </w:pPr>
      <w:r w:rsidRPr="004408A7">
        <w:rPr>
          <w:rFonts w:ascii="Arial" w:hAnsi="Arial" w:cs="Arial"/>
        </w:rPr>
        <w:t>The report found that community-based personalised care has the potential to improve patient experience, accessibility and the long-term sustainability of healthcare services. However, moving more care into community settings alone is unlikely to achieve these outcomes unless it is supported by sufficient workforce capacity, digital capability, effective governance and continued investment in service redesign.</w:t>
      </w:r>
    </w:p>
    <w:p w14:paraId="3A7D5733" w14:textId="77777777" w:rsidR="007A5E7E" w:rsidRPr="004408A7" w:rsidRDefault="007A5E7E" w:rsidP="007A5E7E">
      <w:pPr>
        <w:pStyle w:val="NormalWeb"/>
        <w:spacing w:line="360" w:lineRule="auto"/>
        <w:rPr>
          <w:rFonts w:ascii="Arial" w:hAnsi="Arial" w:cs="Arial"/>
        </w:rPr>
      </w:pPr>
      <w:r w:rsidRPr="004408A7">
        <w:rPr>
          <w:rFonts w:ascii="Arial" w:hAnsi="Arial" w:cs="Arial"/>
        </w:rPr>
        <w:t>The evaluation of the strategic options identified Service Development as the most appropriate approach for Hywel Dda, as it provides the strongest balance between improving personalised patient care and supporting long-term organisational resilience. The report recommends strengthening community multidisciplinary teams, expanding digital service delivery and developing governance arrangements that support continuous service improvement. These recommendations provide a realistic approach to improving patient care whilst supporting the organisation's future resilience and long-term sustainability.</w:t>
      </w:r>
    </w:p>
    <w:p w14:paraId="7EA6BB7C" w14:textId="77777777" w:rsidR="00A4280B" w:rsidRPr="0046206E" w:rsidRDefault="00A4280B" w:rsidP="0046206E">
      <w:pPr>
        <w:pStyle w:val="NormalWeb"/>
        <w:spacing w:line="360" w:lineRule="auto"/>
        <w:rPr>
          <w:rFonts w:ascii="Arial" w:hAnsi="Arial" w:cs="Arial"/>
        </w:rPr>
      </w:pPr>
    </w:p>
    <w:sdt>
      <w:sdtPr>
        <w:rPr>
          <w:rFonts w:ascii="Arial" w:eastAsiaTheme="minorHAnsi" w:hAnsi="Arial" w:cs="Arial"/>
          <w:color w:val="auto"/>
          <w:kern w:val="2"/>
          <w:sz w:val="24"/>
          <w:szCs w:val="24"/>
          <w:lang w:eastAsia="en-US"/>
          <w14:ligatures w14:val="standardContextual"/>
        </w:rPr>
        <w:id w:val="-741180303"/>
        <w:docPartObj>
          <w:docPartGallery w:val="Table of Contents"/>
          <w:docPartUnique/>
        </w:docPartObj>
      </w:sdtPr>
      <w:sdtEndPr>
        <w:rPr>
          <w:b/>
        </w:rPr>
      </w:sdtEndPr>
      <w:sdtContent>
        <w:p w14:paraId="7D863158" w14:textId="328315D6" w:rsidR="00E303EF" w:rsidRPr="0046206E" w:rsidRDefault="00E303EF" w:rsidP="0046206E">
          <w:pPr>
            <w:pStyle w:val="TOCHeading"/>
            <w:spacing w:line="360" w:lineRule="auto"/>
            <w:rPr>
              <w:rFonts w:ascii="Arial" w:hAnsi="Arial" w:cs="Arial"/>
              <w:sz w:val="24"/>
              <w:szCs w:val="24"/>
            </w:rPr>
          </w:pPr>
          <w:r w:rsidRPr="0046206E">
            <w:rPr>
              <w:rFonts w:ascii="Arial" w:hAnsi="Arial" w:cs="Arial"/>
              <w:sz w:val="24"/>
              <w:szCs w:val="24"/>
            </w:rPr>
            <w:t>Table of Contents</w:t>
          </w:r>
        </w:p>
        <w:p w14:paraId="4EE01B94" w14:textId="470D8B65" w:rsidR="006B5DDB" w:rsidRDefault="00E303EF">
          <w:pPr>
            <w:pStyle w:val="TOC1"/>
            <w:tabs>
              <w:tab w:val="right" w:leader="dot" w:pos="9016"/>
            </w:tabs>
            <w:rPr>
              <w:rFonts w:eastAsiaTheme="minorEastAsia"/>
              <w:noProof/>
              <w:sz w:val="24"/>
              <w:szCs w:val="24"/>
              <w:lang w:eastAsia="en-GB"/>
            </w:rPr>
          </w:pPr>
          <w:r w:rsidRPr="0046206E">
            <w:rPr>
              <w:rFonts w:ascii="Arial" w:hAnsi="Arial" w:cs="Arial"/>
              <w:sz w:val="24"/>
              <w:szCs w:val="24"/>
            </w:rPr>
            <w:fldChar w:fldCharType="begin"/>
          </w:r>
          <w:r w:rsidRPr="0046206E">
            <w:rPr>
              <w:rFonts w:ascii="Arial" w:hAnsi="Arial" w:cs="Arial"/>
              <w:sz w:val="24"/>
              <w:szCs w:val="24"/>
            </w:rPr>
            <w:instrText xml:space="preserve"> TOC \o "1-3" \h \z \u </w:instrText>
          </w:r>
          <w:r w:rsidRPr="0046206E">
            <w:rPr>
              <w:rFonts w:ascii="Arial" w:hAnsi="Arial" w:cs="Arial"/>
              <w:sz w:val="24"/>
              <w:szCs w:val="24"/>
            </w:rPr>
            <w:fldChar w:fldCharType="separate"/>
          </w:r>
          <w:hyperlink w:anchor="_Toc233990055" w:history="1">
            <w:r w:rsidR="006B5DDB" w:rsidRPr="00A305AB">
              <w:rPr>
                <w:rStyle w:val="Hyperlink"/>
                <w:rFonts w:ascii="Arial" w:hAnsi="Arial" w:cs="Arial"/>
                <w:noProof/>
              </w:rPr>
              <w:t>Executive Summary</w:t>
            </w:r>
            <w:r w:rsidR="006B5DDB">
              <w:rPr>
                <w:noProof/>
                <w:webHidden/>
              </w:rPr>
              <w:tab/>
            </w:r>
            <w:r w:rsidR="006B5DDB">
              <w:rPr>
                <w:noProof/>
                <w:webHidden/>
              </w:rPr>
              <w:fldChar w:fldCharType="begin"/>
            </w:r>
            <w:r w:rsidR="006B5DDB">
              <w:rPr>
                <w:noProof/>
                <w:webHidden/>
              </w:rPr>
              <w:instrText xml:space="preserve"> PAGEREF _Toc233990055 \h </w:instrText>
            </w:r>
            <w:r w:rsidR="006B5DDB">
              <w:rPr>
                <w:noProof/>
                <w:webHidden/>
              </w:rPr>
            </w:r>
            <w:r w:rsidR="006B5DDB">
              <w:rPr>
                <w:noProof/>
                <w:webHidden/>
              </w:rPr>
              <w:fldChar w:fldCharType="separate"/>
            </w:r>
            <w:r w:rsidR="006B5DDB">
              <w:rPr>
                <w:noProof/>
                <w:webHidden/>
              </w:rPr>
              <w:t>2</w:t>
            </w:r>
            <w:r w:rsidR="006B5DDB">
              <w:rPr>
                <w:noProof/>
                <w:webHidden/>
              </w:rPr>
              <w:fldChar w:fldCharType="end"/>
            </w:r>
          </w:hyperlink>
        </w:p>
        <w:p w14:paraId="068EE4D8" w14:textId="241F587E" w:rsidR="006B5DDB" w:rsidRDefault="006B5DDB">
          <w:pPr>
            <w:pStyle w:val="TOC1"/>
            <w:tabs>
              <w:tab w:val="left" w:pos="440"/>
              <w:tab w:val="right" w:leader="dot" w:pos="9016"/>
            </w:tabs>
            <w:rPr>
              <w:rFonts w:eastAsiaTheme="minorEastAsia"/>
              <w:noProof/>
              <w:sz w:val="24"/>
              <w:szCs w:val="24"/>
              <w:lang w:eastAsia="en-GB"/>
            </w:rPr>
          </w:pPr>
          <w:hyperlink w:anchor="_Toc233990056" w:history="1">
            <w:r w:rsidRPr="00A305AB">
              <w:rPr>
                <w:rStyle w:val="Hyperlink"/>
                <w:rFonts w:ascii="Arial" w:hAnsi="Arial" w:cs="Arial"/>
                <w:noProof/>
              </w:rPr>
              <w:t>1.</w:t>
            </w:r>
            <w:r>
              <w:rPr>
                <w:rFonts w:eastAsiaTheme="minorEastAsia"/>
                <w:noProof/>
                <w:sz w:val="24"/>
                <w:szCs w:val="24"/>
                <w:lang w:eastAsia="en-GB"/>
              </w:rPr>
              <w:t xml:space="preserve"> </w:t>
            </w:r>
            <w:r w:rsidRPr="00A305A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_Toc233990056 \h </w:instrText>
            </w:r>
            <w:r>
              <w:rPr>
                <w:noProof/>
                <w:webHidden/>
              </w:rPr>
            </w:r>
            <w:r>
              <w:rPr>
                <w:noProof/>
                <w:webHidden/>
              </w:rPr>
              <w:fldChar w:fldCharType="separate"/>
            </w:r>
            <w:r>
              <w:rPr>
                <w:noProof/>
                <w:webHidden/>
              </w:rPr>
              <w:t>4</w:t>
            </w:r>
            <w:r>
              <w:rPr>
                <w:noProof/>
                <w:webHidden/>
              </w:rPr>
              <w:fldChar w:fldCharType="end"/>
            </w:r>
          </w:hyperlink>
        </w:p>
        <w:p w14:paraId="32EDF169" w14:textId="7DCC2468" w:rsidR="006B5DDB" w:rsidRDefault="006B5DDB">
          <w:pPr>
            <w:pStyle w:val="TOC1"/>
            <w:tabs>
              <w:tab w:val="right" w:leader="dot" w:pos="9016"/>
            </w:tabs>
            <w:rPr>
              <w:rFonts w:eastAsiaTheme="minorEastAsia"/>
              <w:noProof/>
              <w:sz w:val="24"/>
              <w:szCs w:val="24"/>
              <w:lang w:eastAsia="en-GB"/>
            </w:rPr>
          </w:pPr>
          <w:hyperlink w:anchor="_Toc233990057" w:history="1">
            <w:r w:rsidRPr="00A305AB">
              <w:rPr>
                <w:rStyle w:val="Hyperlink"/>
                <w:rFonts w:ascii="Arial" w:hAnsi="Arial" w:cs="Arial"/>
                <w:noProof/>
              </w:rPr>
              <w:t>2. Organisational Background and Strategic Context</w:t>
            </w:r>
            <w:r>
              <w:rPr>
                <w:noProof/>
                <w:webHidden/>
              </w:rPr>
              <w:tab/>
            </w:r>
            <w:r>
              <w:rPr>
                <w:noProof/>
                <w:webHidden/>
              </w:rPr>
              <w:fldChar w:fldCharType="begin"/>
            </w:r>
            <w:r>
              <w:rPr>
                <w:noProof/>
                <w:webHidden/>
              </w:rPr>
              <w:instrText xml:space="preserve"> PAGEREF _Toc233990057 \h </w:instrText>
            </w:r>
            <w:r>
              <w:rPr>
                <w:noProof/>
                <w:webHidden/>
              </w:rPr>
            </w:r>
            <w:r>
              <w:rPr>
                <w:noProof/>
                <w:webHidden/>
              </w:rPr>
              <w:fldChar w:fldCharType="separate"/>
            </w:r>
            <w:r>
              <w:rPr>
                <w:noProof/>
                <w:webHidden/>
              </w:rPr>
              <w:t>6</w:t>
            </w:r>
            <w:r>
              <w:rPr>
                <w:noProof/>
                <w:webHidden/>
              </w:rPr>
              <w:fldChar w:fldCharType="end"/>
            </w:r>
          </w:hyperlink>
        </w:p>
        <w:p w14:paraId="6D5312CC" w14:textId="07B4DB25" w:rsidR="006B5DDB" w:rsidRDefault="006B5DDB">
          <w:pPr>
            <w:pStyle w:val="TOC1"/>
            <w:tabs>
              <w:tab w:val="right" w:leader="dot" w:pos="9016"/>
            </w:tabs>
            <w:rPr>
              <w:rFonts w:eastAsiaTheme="minorEastAsia"/>
              <w:noProof/>
              <w:sz w:val="24"/>
              <w:szCs w:val="24"/>
              <w:lang w:eastAsia="en-GB"/>
            </w:rPr>
          </w:pPr>
          <w:hyperlink w:anchor="_Toc233990058" w:history="1">
            <w:r w:rsidRPr="00A305AB">
              <w:rPr>
                <w:rStyle w:val="Hyperlink"/>
                <w:rFonts w:ascii="Arial" w:hAnsi="Arial" w:cs="Arial"/>
                <w:noProof/>
              </w:rPr>
              <w:t>3. Strategic Analysis</w:t>
            </w:r>
            <w:r>
              <w:rPr>
                <w:noProof/>
                <w:webHidden/>
              </w:rPr>
              <w:tab/>
            </w:r>
            <w:r>
              <w:rPr>
                <w:noProof/>
                <w:webHidden/>
              </w:rPr>
              <w:fldChar w:fldCharType="begin"/>
            </w:r>
            <w:r>
              <w:rPr>
                <w:noProof/>
                <w:webHidden/>
              </w:rPr>
              <w:instrText xml:space="preserve"> PAGEREF _Toc233990058 \h </w:instrText>
            </w:r>
            <w:r>
              <w:rPr>
                <w:noProof/>
                <w:webHidden/>
              </w:rPr>
            </w:r>
            <w:r>
              <w:rPr>
                <w:noProof/>
                <w:webHidden/>
              </w:rPr>
              <w:fldChar w:fldCharType="separate"/>
            </w:r>
            <w:r>
              <w:rPr>
                <w:noProof/>
                <w:webHidden/>
              </w:rPr>
              <w:t>9</w:t>
            </w:r>
            <w:r>
              <w:rPr>
                <w:noProof/>
                <w:webHidden/>
              </w:rPr>
              <w:fldChar w:fldCharType="end"/>
            </w:r>
          </w:hyperlink>
        </w:p>
        <w:p w14:paraId="27050B28" w14:textId="205143EA" w:rsidR="006B5DDB" w:rsidRDefault="006B5DDB">
          <w:pPr>
            <w:pStyle w:val="TOC1"/>
            <w:tabs>
              <w:tab w:val="right" w:leader="dot" w:pos="9016"/>
            </w:tabs>
            <w:rPr>
              <w:rFonts w:eastAsiaTheme="minorEastAsia"/>
              <w:noProof/>
              <w:sz w:val="24"/>
              <w:szCs w:val="24"/>
              <w:lang w:eastAsia="en-GB"/>
            </w:rPr>
          </w:pPr>
          <w:hyperlink w:anchor="_Toc233990059" w:history="1">
            <w:r w:rsidRPr="00A305AB">
              <w:rPr>
                <w:rStyle w:val="Hyperlink"/>
                <w:rFonts w:ascii="Arial" w:hAnsi="Arial" w:cs="Arial"/>
                <w:noProof/>
              </w:rPr>
              <w:t>3.1 SWOT Analysis</w:t>
            </w:r>
            <w:r>
              <w:rPr>
                <w:noProof/>
                <w:webHidden/>
              </w:rPr>
              <w:tab/>
            </w:r>
            <w:r>
              <w:rPr>
                <w:noProof/>
                <w:webHidden/>
              </w:rPr>
              <w:fldChar w:fldCharType="begin"/>
            </w:r>
            <w:r>
              <w:rPr>
                <w:noProof/>
                <w:webHidden/>
              </w:rPr>
              <w:instrText xml:space="preserve"> PAGEREF _Toc233990059 \h </w:instrText>
            </w:r>
            <w:r>
              <w:rPr>
                <w:noProof/>
                <w:webHidden/>
              </w:rPr>
            </w:r>
            <w:r>
              <w:rPr>
                <w:noProof/>
                <w:webHidden/>
              </w:rPr>
              <w:fldChar w:fldCharType="separate"/>
            </w:r>
            <w:r>
              <w:rPr>
                <w:noProof/>
                <w:webHidden/>
              </w:rPr>
              <w:t>9</w:t>
            </w:r>
            <w:r>
              <w:rPr>
                <w:noProof/>
                <w:webHidden/>
              </w:rPr>
              <w:fldChar w:fldCharType="end"/>
            </w:r>
          </w:hyperlink>
        </w:p>
        <w:p w14:paraId="0789B881" w14:textId="6D99D86F" w:rsidR="006B5DDB" w:rsidRDefault="006B5DDB">
          <w:pPr>
            <w:pStyle w:val="TOC1"/>
            <w:tabs>
              <w:tab w:val="right" w:leader="dot" w:pos="9016"/>
            </w:tabs>
            <w:rPr>
              <w:rFonts w:eastAsiaTheme="minorEastAsia"/>
              <w:noProof/>
              <w:sz w:val="24"/>
              <w:szCs w:val="24"/>
              <w:lang w:eastAsia="en-GB"/>
            </w:rPr>
          </w:pPr>
          <w:hyperlink w:anchor="_Toc233990060" w:history="1">
            <w:r w:rsidRPr="00A305AB">
              <w:rPr>
                <w:rStyle w:val="Hyperlink"/>
                <w:rFonts w:ascii="Arial" w:hAnsi="Arial" w:cs="Arial"/>
                <w:noProof/>
              </w:rPr>
              <w:t>3.2 PESTLE Analysis</w:t>
            </w:r>
            <w:r>
              <w:rPr>
                <w:noProof/>
                <w:webHidden/>
              </w:rPr>
              <w:tab/>
            </w:r>
            <w:r>
              <w:rPr>
                <w:noProof/>
                <w:webHidden/>
              </w:rPr>
              <w:fldChar w:fldCharType="begin"/>
            </w:r>
            <w:r>
              <w:rPr>
                <w:noProof/>
                <w:webHidden/>
              </w:rPr>
              <w:instrText xml:space="preserve"> PAGEREF _Toc233990060 \h </w:instrText>
            </w:r>
            <w:r>
              <w:rPr>
                <w:noProof/>
                <w:webHidden/>
              </w:rPr>
            </w:r>
            <w:r>
              <w:rPr>
                <w:noProof/>
                <w:webHidden/>
              </w:rPr>
              <w:fldChar w:fldCharType="separate"/>
            </w:r>
            <w:r>
              <w:rPr>
                <w:noProof/>
                <w:webHidden/>
              </w:rPr>
              <w:t>13</w:t>
            </w:r>
            <w:r>
              <w:rPr>
                <w:noProof/>
                <w:webHidden/>
              </w:rPr>
              <w:fldChar w:fldCharType="end"/>
            </w:r>
          </w:hyperlink>
        </w:p>
        <w:p w14:paraId="4977DE77" w14:textId="20DB10C4" w:rsidR="006B5DDB" w:rsidRDefault="006B5DDB">
          <w:pPr>
            <w:pStyle w:val="TOC1"/>
            <w:tabs>
              <w:tab w:val="right" w:leader="dot" w:pos="9016"/>
            </w:tabs>
            <w:rPr>
              <w:rFonts w:eastAsiaTheme="minorEastAsia"/>
              <w:noProof/>
              <w:sz w:val="24"/>
              <w:szCs w:val="24"/>
              <w:lang w:eastAsia="en-GB"/>
            </w:rPr>
          </w:pPr>
          <w:hyperlink w:anchor="_Toc233990061" w:history="1">
            <w:r w:rsidRPr="00A305AB">
              <w:rPr>
                <w:rStyle w:val="Hyperlink"/>
                <w:rFonts w:ascii="Arial" w:hAnsi="Arial" w:cs="Arial"/>
                <w:noProof/>
              </w:rPr>
              <w:t>3.3 Porter’s Value Chain Analysis</w:t>
            </w:r>
            <w:r>
              <w:rPr>
                <w:noProof/>
                <w:webHidden/>
              </w:rPr>
              <w:tab/>
            </w:r>
            <w:r>
              <w:rPr>
                <w:noProof/>
                <w:webHidden/>
              </w:rPr>
              <w:fldChar w:fldCharType="begin"/>
            </w:r>
            <w:r>
              <w:rPr>
                <w:noProof/>
                <w:webHidden/>
              </w:rPr>
              <w:instrText xml:space="preserve"> PAGEREF _Toc233990061 \h </w:instrText>
            </w:r>
            <w:r>
              <w:rPr>
                <w:noProof/>
                <w:webHidden/>
              </w:rPr>
            </w:r>
            <w:r>
              <w:rPr>
                <w:noProof/>
                <w:webHidden/>
              </w:rPr>
              <w:fldChar w:fldCharType="separate"/>
            </w:r>
            <w:r>
              <w:rPr>
                <w:noProof/>
                <w:webHidden/>
              </w:rPr>
              <w:t>16</w:t>
            </w:r>
            <w:r>
              <w:rPr>
                <w:noProof/>
                <w:webHidden/>
              </w:rPr>
              <w:fldChar w:fldCharType="end"/>
            </w:r>
          </w:hyperlink>
        </w:p>
        <w:p w14:paraId="169E5E83" w14:textId="3223F9C4" w:rsidR="006B5DDB" w:rsidRDefault="006B5DDB">
          <w:pPr>
            <w:pStyle w:val="TOC1"/>
            <w:tabs>
              <w:tab w:val="right" w:leader="dot" w:pos="9016"/>
            </w:tabs>
            <w:rPr>
              <w:rFonts w:eastAsiaTheme="minorEastAsia"/>
              <w:noProof/>
              <w:sz w:val="24"/>
              <w:szCs w:val="24"/>
              <w:lang w:eastAsia="en-GB"/>
            </w:rPr>
          </w:pPr>
          <w:hyperlink w:anchor="_Toc233990062" w:history="1">
            <w:r w:rsidRPr="00A305AB">
              <w:rPr>
                <w:rStyle w:val="Hyperlink"/>
                <w:rFonts w:ascii="Arial" w:hAnsi="Arial" w:cs="Arial"/>
                <w:noProof/>
              </w:rPr>
              <w:t>4. Strategic Option Evaluation</w:t>
            </w:r>
            <w:r>
              <w:rPr>
                <w:noProof/>
                <w:webHidden/>
              </w:rPr>
              <w:tab/>
            </w:r>
            <w:r>
              <w:rPr>
                <w:noProof/>
                <w:webHidden/>
              </w:rPr>
              <w:fldChar w:fldCharType="begin"/>
            </w:r>
            <w:r>
              <w:rPr>
                <w:noProof/>
                <w:webHidden/>
              </w:rPr>
              <w:instrText xml:space="preserve"> PAGEREF _Toc233990062 \h </w:instrText>
            </w:r>
            <w:r>
              <w:rPr>
                <w:noProof/>
                <w:webHidden/>
              </w:rPr>
            </w:r>
            <w:r>
              <w:rPr>
                <w:noProof/>
                <w:webHidden/>
              </w:rPr>
              <w:fldChar w:fldCharType="separate"/>
            </w:r>
            <w:r>
              <w:rPr>
                <w:noProof/>
                <w:webHidden/>
              </w:rPr>
              <w:t>20</w:t>
            </w:r>
            <w:r>
              <w:rPr>
                <w:noProof/>
                <w:webHidden/>
              </w:rPr>
              <w:fldChar w:fldCharType="end"/>
            </w:r>
          </w:hyperlink>
        </w:p>
        <w:p w14:paraId="549C94EA" w14:textId="72D78331" w:rsidR="006B5DDB" w:rsidRDefault="006B5DDB">
          <w:pPr>
            <w:pStyle w:val="TOC1"/>
            <w:tabs>
              <w:tab w:val="right" w:leader="dot" w:pos="9016"/>
            </w:tabs>
            <w:rPr>
              <w:rFonts w:eastAsiaTheme="minorEastAsia"/>
              <w:noProof/>
              <w:sz w:val="24"/>
              <w:szCs w:val="24"/>
              <w:lang w:eastAsia="en-GB"/>
            </w:rPr>
          </w:pPr>
          <w:hyperlink w:anchor="_Toc233990063" w:history="1">
            <w:r w:rsidRPr="00A305AB">
              <w:rPr>
                <w:rStyle w:val="Hyperlink"/>
                <w:rFonts w:ascii="Arial" w:hAnsi="Arial" w:cs="Arial"/>
                <w:noProof/>
              </w:rPr>
              <w:t>4.1 Ansoff Matrix</w:t>
            </w:r>
            <w:r>
              <w:rPr>
                <w:noProof/>
                <w:webHidden/>
              </w:rPr>
              <w:tab/>
            </w:r>
            <w:r>
              <w:rPr>
                <w:noProof/>
                <w:webHidden/>
              </w:rPr>
              <w:fldChar w:fldCharType="begin"/>
            </w:r>
            <w:r>
              <w:rPr>
                <w:noProof/>
                <w:webHidden/>
              </w:rPr>
              <w:instrText xml:space="preserve"> PAGEREF _Toc233990063 \h </w:instrText>
            </w:r>
            <w:r>
              <w:rPr>
                <w:noProof/>
                <w:webHidden/>
              </w:rPr>
            </w:r>
            <w:r>
              <w:rPr>
                <w:noProof/>
                <w:webHidden/>
              </w:rPr>
              <w:fldChar w:fldCharType="separate"/>
            </w:r>
            <w:r>
              <w:rPr>
                <w:noProof/>
                <w:webHidden/>
              </w:rPr>
              <w:t>20</w:t>
            </w:r>
            <w:r>
              <w:rPr>
                <w:noProof/>
                <w:webHidden/>
              </w:rPr>
              <w:fldChar w:fldCharType="end"/>
            </w:r>
          </w:hyperlink>
        </w:p>
        <w:p w14:paraId="1609C03C" w14:textId="76549A63" w:rsidR="006B5DDB" w:rsidRDefault="006B5DDB">
          <w:pPr>
            <w:pStyle w:val="TOC1"/>
            <w:tabs>
              <w:tab w:val="right" w:leader="dot" w:pos="9016"/>
            </w:tabs>
            <w:rPr>
              <w:rFonts w:eastAsiaTheme="minorEastAsia"/>
              <w:noProof/>
              <w:sz w:val="24"/>
              <w:szCs w:val="24"/>
              <w:lang w:eastAsia="en-GB"/>
            </w:rPr>
          </w:pPr>
          <w:hyperlink w:anchor="_Toc233990064" w:history="1">
            <w:r w:rsidRPr="00A305AB">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_Toc233990064 \h </w:instrText>
            </w:r>
            <w:r>
              <w:rPr>
                <w:noProof/>
                <w:webHidden/>
              </w:rPr>
            </w:r>
            <w:r>
              <w:rPr>
                <w:noProof/>
                <w:webHidden/>
              </w:rPr>
              <w:fldChar w:fldCharType="separate"/>
            </w:r>
            <w:r>
              <w:rPr>
                <w:noProof/>
                <w:webHidden/>
              </w:rPr>
              <w:t>23</w:t>
            </w:r>
            <w:r>
              <w:rPr>
                <w:noProof/>
                <w:webHidden/>
              </w:rPr>
              <w:fldChar w:fldCharType="end"/>
            </w:r>
          </w:hyperlink>
        </w:p>
        <w:p w14:paraId="0F206E81" w14:textId="578C288A" w:rsidR="006B5DDB" w:rsidRDefault="006B5DDB">
          <w:pPr>
            <w:pStyle w:val="TOC1"/>
            <w:tabs>
              <w:tab w:val="right" w:leader="dot" w:pos="9016"/>
            </w:tabs>
            <w:rPr>
              <w:rFonts w:eastAsiaTheme="minorEastAsia"/>
              <w:noProof/>
              <w:sz w:val="24"/>
              <w:szCs w:val="24"/>
              <w:lang w:eastAsia="en-GB"/>
            </w:rPr>
          </w:pPr>
          <w:hyperlink w:anchor="_Toc233990065" w:history="1">
            <w:r w:rsidRPr="00A305AB">
              <w:rPr>
                <w:rStyle w:val="Hyperlink"/>
                <w:rFonts w:ascii="Arial" w:hAnsi="Arial" w:cs="Arial"/>
                <w:noProof/>
              </w:rPr>
              <w:t>6. Recommendations</w:t>
            </w:r>
            <w:r>
              <w:rPr>
                <w:noProof/>
                <w:webHidden/>
              </w:rPr>
              <w:tab/>
            </w:r>
            <w:r>
              <w:rPr>
                <w:noProof/>
                <w:webHidden/>
              </w:rPr>
              <w:fldChar w:fldCharType="begin"/>
            </w:r>
            <w:r>
              <w:rPr>
                <w:noProof/>
                <w:webHidden/>
              </w:rPr>
              <w:instrText xml:space="preserve"> PAGEREF _Toc233990065 \h </w:instrText>
            </w:r>
            <w:r>
              <w:rPr>
                <w:noProof/>
                <w:webHidden/>
              </w:rPr>
            </w:r>
            <w:r>
              <w:rPr>
                <w:noProof/>
                <w:webHidden/>
              </w:rPr>
              <w:fldChar w:fldCharType="separate"/>
            </w:r>
            <w:r>
              <w:rPr>
                <w:noProof/>
                <w:webHidden/>
              </w:rPr>
              <w:t>24</w:t>
            </w:r>
            <w:r>
              <w:rPr>
                <w:noProof/>
                <w:webHidden/>
              </w:rPr>
              <w:fldChar w:fldCharType="end"/>
            </w:r>
          </w:hyperlink>
        </w:p>
        <w:p w14:paraId="6A3C00E2" w14:textId="01FD129A" w:rsidR="006B5DDB" w:rsidRDefault="006B5DDB">
          <w:pPr>
            <w:pStyle w:val="TOC1"/>
            <w:tabs>
              <w:tab w:val="right" w:leader="dot" w:pos="9016"/>
            </w:tabs>
            <w:rPr>
              <w:rFonts w:eastAsiaTheme="minorEastAsia"/>
              <w:noProof/>
              <w:sz w:val="24"/>
              <w:szCs w:val="24"/>
              <w:lang w:eastAsia="en-GB"/>
            </w:rPr>
          </w:pPr>
          <w:hyperlink w:anchor="_Toc233990066" w:history="1">
            <w:r w:rsidRPr="00A305AB">
              <w:rPr>
                <w:rStyle w:val="Hyperlink"/>
                <w:rFonts w:ascii="Arial" w:hAnsi="Arial" w:cs="Arial"/>
                <w:noProof/>
              </w:rPr>
              <w:t>6.1 Establish Integrated Regional Digital Hubs</w:t>
            </w:r>
            <w:r>
              <w:rPr>
                <w:noProof/>
                <w:webHidden/>
              </w:rPr>
              <w:tab/>
            </w:r>
            <w:r>
              <w:rPr>
                <w:noProof/>
                <w:webHidden/>
              </w:rPr>
              <w:fldChar w:fldCharType="begin"/>
            </w:r>
            <w:r>
              <w:rPr>
                <w:noProof/>
                <w:webHidden/>
              </w:rPr>
              <w:instrText xml:space="preserve"> PAGEREF _Toc233990066 \h </w:instrText>
            </w:r>
            <w:r>
              <w:rPr>
                <w:noProof/>
                <w:webHidden/>
              </w:rPr>
            </w:r>
            <w:r>
              <w:rPr>
                <w:noProof/>
                <w:webHidden/>
              </w:rPr>
              <w:fldChar w:fldCharType="separate"/>
            </w:r>
            <w:r>
              <w:rPr>
                <w:noProof/>
                <w:webHidden/>
              </w:rPr>
              <w:t>24</w:t>
            </w:r>
            <w:r>
              <w:rPr>
                <w:noProof/>
                <w:webHidden/>
              </w:rPr>
              <w:fldChar w:fldCharType="end"/>
            </w:r>
          </w:hyperlink>
        </w:p>
        <w:p w14:paraId="1AFADCE2" w14:textId="1C66B99B" w:rsidR="006B5DDB" w:rsidRDefault="006B5DDB">
          <w:pPr>
            <w:pStyle w:val="TOC1"/>
            <w:tabs>
              <w:tab w:val="right" w:leader="dot" w:pos="9016"/>
            </w:tabs>
            <w:rPr>
              <w:rFonts w:eastAsiaTheme="minorEastAsia"/>
              <w:noProof/>
              <w:sz w:val="24"/>
              <w:szCs w:val="24"/>
              <w:lang w:eastAsia="en-GB"/>
            </w:rPr>
          </w:pPr>
          <w:hyperlink w:anchor="_Toc233990067" w:history="1">
            <w:r w:rsidRPr="00A305AB">
              <w:rPr>
                <w:rStyle w:val="Hyperlink"/>
                <w:rFonts w:ascii="Arial" w:hAnsi="Arial" w:cs="Arial"/>
                <w:noProof/>
              </w:rPr>
              <w:t>6.2 Strengthen Community Multidisciplinary Teams</w:t>
            </w:r>
            <w:r>
              <w:rPr>
                <w:noProof/>
                <w:webHidden/>
              </w:rPr>
              <w:tab/>
            </w:r>
            <w:r>
              <w:rPr>
                <w:noProof/>
                <w:webHidden/>
              </w:rPr>
              <w:fldChar w:fldCharType="begin"/>
            </w:r>
            <w:r>
              <w:rPr>
                <w:noProof/>
                <w:webHidden/>
              </w:rPr>
              <w:instrText xml:space="preserve"> PAGEREF _Toc233990067 \h </w:instrText>
            </w:r>
            <w:r>
              <w:rPr>
                <w:noProof/>
                <w:webHidden/>
              </w:rPr>
            </w:r>
            <w:r>
              <w:rPr>
                <w:noProof/>
                <w:webHidden/>
              </w:rPr>
              <w:fldChar w:fldCharType="separate"/>
            </w:r>
            <w:r>
              <w:rPr>
                <w:noProof/>
                <w:webHidden/>
              </w:rPr>
              <w:t>24</w:t>
            </w:r>
            <w:r>
              <w:rPr>
                <w:noProof/>
                <w:webHidden/>
              </w:rPr>
              <w:fldChar w:fldCharType="end"/>
            </w:r>
          </w:hyperlink>
        </w:p>
        <w:p w14:paraId="24F88A78" w14:textId="7AC9DAD6" w:rsidR="006B5DDB" w:rsidRDefault="006B5DDB">
          <w:pPr>
            <w:pStyle w:val="TOC1"/>
            <w:tabs>
              <w:tab w:val="right" w:leader="dot" w:pos="9016"/>
            </w:tabs>
            <w:rPr>
              <w:rFonts w:eastAsiaTheme="minorEastAsia"/>
              <w:noProof/>
              <w:sz w:val="24"/>
              <w:szCs w:val="24"/>
              <w:lang w:eastAsia="en-GB"/>
            </w:rPr>
          </w:pPr>
          <w:hyperlink w:anchor="_Toc233990068" w:history="1">
            <w:r w:rsidRPr="00A305AB">
              <w:rPr>
                <w:rStyle w:val="Hyperlink"/>
                <w:rFonts w:ascii="Arial" w:hAnsi="Arial" w:cs="Arial"/>
                <w:noProof/>
              </w:rPr>
              <w:t>6.3 Strengthen Governance to Support Service improvement</w:t>
            </w:r>
            <w:r>
              <w:rPr>
                <w:noProof/>
                <w:webHidden/>
              </w:rPr>
              <w:tab/>
            </w:r>
            <w:r>
              <w:rPr>
                <w:noProof/>
                <w:webHidden/>
              </w:rPr>
              <w:fldChar w:fldCharType="begin"/>
            </w:r>
            <w:r>
              <w:rPr>
                <w:noProof/>
                <w:webHidden/>
              </w:rPr>
              <w:instrText xml:space="preserve"> PAGEREF _Toc233990068 \h </w:instrText>
            </w:r>
            <w:r>
              <w:rPr>
                <w:noProof/>
                <w:webHidden/>
              </w:rPr>
            </w:r>
            <w:r>
              <w:rPr>
                <w:noProof/>
                <w:webHidden/>
              </w:rPr>
              <w:fldChar w:fldCharType="separate"/>
            </w:r>
            <w:r>
              <w:rPr>
                <w:noProof/>
                <w:webHidden/>
              </w:rPr>
              <w:t>25</w:t>
            </w:r>
            <w:r>
              <w:rPr>
                <w:noProof/>
                <w:webHidden/>
              </w:rPr>
              <w:fldChar w:fldCharType="end"/>
            </w:r>
          </w:hyperlink>
        </w:p>
        <w:p w14:paraId="6DE4D231" w14:textId="40E8DCA0" w:rsidR="006B5DDB" w:rsidRDefault="006B5DDB">
          <w:pPr>
            <w:pStyle w:val="TOC1"/>
            <w:tabs>
              <w:tab w:val="right" w:leader="dot" w:pos="9016"/>
            </w:tabs>
            <w:rPr>
              <w:rFonts w:eastAsiaTheme="minorEastAsia"/>
              <w:noProof/>
              <w:sz w:val="24"/>
              <w:szCs w:val="24"/>
              <w:lang w:eastAsia="en-GB"/>
            </w:rPr>
          </w:pPr>
          <w:hyperlink w:anchor="_Toc233990069" w:history="1">
            <w:r w:rsidRPr="00A305AB">
              <w:rPr>
                <w:rStyle w:val="Hyperlink"/>
                <w:rFonts w:ascii="Arial" w:hAnsi="Arial" w:cs="Arial"/>
                <w:noProof/>
              </w:rPr>
              <w:t>6.4 Implications of the Recommendations</w:t>
            </w:r>
            <w:r>
              <w:rPr>
                <w:noProof/>
                <w:webHidden/>
              </w:rPr>
              <w:tab/>
            </w:r>
            <w:r>
              <w:rPr>
                <w:noProof/>
                <w:webHidden/>
              </w:rPr>
              <w:fldChar w:fldCharType="begin"/>
            </w:r>
            <w:r>
              <w:rPr>
                <w:noProof/>
                <w:webHidden/>
              </w:rPr>
              <w:instrText xml:space="preserve"> PAGEREF _Toc233990069 \h </w:instrText>
            </w:r>
            <w:r>
              <w:rPr>
                <w:noProof/>
                <w:webHidden/>
              </w:rPr>
            </w:r>
            <w:r>
              <w:rPr>
                <w:noProof/>
                <w:webHidden/>
              </w:rPr>
              <w:fldChar w:fldCharType="separate"/>
            </w:r>
            <w:r>
              <w:rPr>
                <w:noProof/>
                <w:webHidden/>
              </w:rPr>
              <w:t>25</w:t>
            </w:r>
            <w:r>
              <w:rPr>
                <w:noProof/>
                <w:webHidden/>
              </w:rPr>
              <w:fldChar w:fldCharType="end"/>
            </w:r>
          </w:hyperlink>
        </w:p>
        <w:p w14:paraId="7E608F44" w14:textId="7347E25C" w:rsidR="006B5DDB" w:rsidRDefault="006B5DDB">
          <w:pPr>
            <w:pStyle w:val="TOC1"/>
            <w:tabs>
              <w:tab w:val="right" w:leader="dot" w:pos="9016"/>
            </w:tabs>
            <w:rPr>
              <w:rFonts w:eastAsiaTheme="minorEastAsia"/>
              <w:noProof/>
              <w:sz w:val="24"/>
              <w:szCs w:val="24"/>
              <w:lang w:eastAsia="en-GB"/>
            </w:rPr>
          </w:pPr>
          <w:hyperlink w:anchor="_Toc233990070" w:history="1">
            <w:r w:rsidRPr="00A305A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_Toc233990070 \h </w:instrText>
            </w:r>
            <w:r>
              <w:rPr>
                <w:noProof/>
                <w:webHidden/>
              </w:rPr>
            </w:r>
            <w:r>
              <w:rPr>
                <w:noProof/>
                <w:webHidden/>
              </w:rPr>
              <w:fldChar w:fldCharType="separate"/>
            </w:r>
            <w:r>
              <w:rPr>
                <w:noProof/>
                <w:webHidden/>
              </w:rPr>
              <w:t>26</w:t>
            </w:r>
            <w:r>
              <w:rPr>
                <w:noProof/>
                <w:webHidden/>
              </w:rPr>
              <w:fldChar w:fldCharType="end"/>
            </w:r>
          </w:hyperlink>
        </w:p>
        <w:p w14:paraId="201FEEA3" w14:textId="59653271" w:rsidR="00E303EF" w:rsidRPr="0046206E" w:rsidRDefault="00E303EF" w:rsidP="0046206E">
          <w:pPr>
            <w:spacing w:line="360" w:lineRule="auto"/>
            <w:rPr>
              <w:rFonts w:ascii="Arial" w:hAnsi="Arial" w:cs="Arial"/>
              <w:sz w:val="24"/>
              <w:szCs w:val="24"/>
            </w:rPr>
          </w:pPr>
          <w:r w:rsidRPr="0046206E">
            <w:rPr>
              <w:rFonts w:ascii="Arial" w:hAnsi="Arial" w:cs="Arial"/>
              <w:b/>
              <w:sz w:val="24"/>
              <w:szCs w:val="24"/>
            </w:rPr>
            <w:fldChar w:fldCharType="end"/>
          </w:r>
        </w:p>
      </w:sdtContent>
    </w:sdt>
    <w:p w14:paraId="32444726" w14:textId="0A9D61FE" w:rsidR="00E303EF" w:rsidRPr="0046206E" w:rsidRDefault="00E303EF" w:rsidP="0046206E">
      <w:pPr>
        <w:spacing w:line="360" w:lineRule="auto"/>
        <w:rPr>
          <w:rFonts w:ascii="Arial" w:hAnsi="Arial" w:cs="Arial"/>
          <w:sz w:val="24"/>
          <w:szCs w:val="24"/>
        </w:rPr>
      </w:pPr>
      <w:r w:rsidRPr="0046206E">
        <w:rPr>
          <w:rFonts w:ascii="Arial" w:hAnsi="Arial" w:cs="Arial"/>
          <w:sz w:val="24"/>
          <w:szCs w:val="24"/>
        </w:rPr>
        <w:br w:type="page"/>
      </w:r>
    </w:p>
    <w:p w14:paraId="748976BA" w14:textId="65B7B4B0" w:rsidR="00E303EF" w:rsidRPr="009C797F" w:rsidRDefault="002C39C1" w:rsidP="0046206E">
      <w:pPr>
        <w:pStyle w:val="Heading1"/>
        <w:numPr>
          <w:ilvl w:val="0"/>
          <w:numId w:val="2"/>
        </w:numPr>
        <w:spacing w:line="360" w:lineRule="auto"/>
        <w:rPr>
          <w:rFonts w:ascii="Arial" w:hAnsi="Arial" w:cs="Arial"/>
          <w:sz w:val="28"/>
          <w:szCs w:val="28"/>
        </w:rPr>
      </w:pPr>
      <w:bookmarkStart w:id="1" w:name="_Toc233990056"/>
      <w:r w:rsidRPr="009C797F">
        <w:rPr>
          <w:rFonts w:ascii="Arial" w:hAnsi="Arial" w:cs="Arial"/>
          <w:sz w:val="28"/>
          <w:szCs w:val="28"/>
        </w:rPr>
        <w:lastRenderedPageBreak/>
        <w:t>Introduction</w:t>
      </w:r>
      <w:bookmarkEnd w:id="1"/>
    </w:p>
    <w:p w14:paraId="31E5288E" w14:textId="77777777" w:rsidR="002E0A89" w:rsidRPr="0046206E" w:rsidRDefault="002E0A89" w:rsidP="0046206E">
      <w:pPr>
        <w:spacing w:line="360" w:lineRule="auto"/>
        <w:rPr>
          <w:rFonts w:ascii="Arial" w:hAnsi="Arial" w:cs="Arial"/>
          <w:sz w:val="24"/>
          <w:szCs w:val="24"/>
        </w:rPr>
      </w:pPr>
    </w:p>
    <w:p w14:paraId="66E41CE0" w14:textId="64E6EAC9" w:rsidR="006B3F19" w:rsidRPr="0046206E" w:rsidRDefault="006B3F19" w:rsidP="0046206E">
      <w:pPr>
        <w:spacing w:line="360" w:lineRule="auto"/>
        <w:rPr>
          <w:rFonts w:ascii="Arial" w:hAnsi="Arial" w:cs="Arial"/>
          <w:sz w:val="24"/>
          <w:szCs w:val="24"/>
        </w:rPr>
      </w:pPr>
      <w:r w:rsidRPr="0046206E">
        <w:rPr>
          <w:rFonts w:ascii="Arial" w:hAnsi="Arial" w:cs="Arial"/>
          <w:sz w:val="24"/>
          <w:szCs w:val="24"/>
        </w:rPr>
        <w:t>Providing high-quality patient care remains a key priority for healthcare organisations. However, increasing demand for services, workforce shortages and financial pressures have made it more difficult for NHS organisations to meet patient expectations whilst maintaining sustainable services. At the same time, patients are becoming more informed and expect care that is accessible, responsive and tailored to their individual needs. As a result, healthcare organisations are increasingly required to review how services are delivered and consider alternative approaches that can improve patient experience without placing further pressure on already stretched resources (Johnson et al., 2023).</w:t>
      </w:r>
    </w:p>
    <w:p w14:paraId="5834AFDD" w14:textId="77777777" w:rsidR="006B3F19" w:rsidRPr="0046206E" w:rsidRDefault="006B3F19" w:rsidP="0046206E">
      <w:pPr>
        <w:pStyle w:val="isselectedend"/>
        <w:spacing w:line="360" w:lineRule="auto"/>
        <w:rPr>
          <w:rFonts w:ascii="Arial" w:hAnsi="Arial" w:cs="Arial"/>
        </w:rPr>
      </w:pPr>
      <w:r w:rsidRPr="0046206E">
        <w:rPr>
          <w:rFonts w:ascii="Arial" w:hAnsi="Arial" w:cs="Arial"/>
        </w:rPr>
        <w:t>Hywel Dda University Health Board (HDUHB) provides healthcare services across Carmarthenshire, Ceredigion and Pembrokeshire. The Health Board serves a predominantly rural population and faces many of the challenges experienced across NHS Wales, including an ageing population, increasing prevalence of long-term conditions, workforce pressures and growing demand for healthcare services. These challenges have raised concerns regarding the long-term sustainability of traditional service models and have increased the need for services that are more flexible, preventative and centred around the needs of patients (Welsh Government, 2024; Hywel Dda University Health Board, 2026).</w:t>
      </w:r>
    </w:p>
    <w:p w14:paraId="784BA01A" w14:textId="6065BB2A" w:rsidR="006B3F19" w:rsidRPr="0046206E" w:rsidRDefault="006B3F19" w:rsidP="0046206E">
      <w:pPr>
        <w:pStyle w:val="isselectedend"/>
        <w:spacing w:line="360" w:lineRule="auto"/>
        <w:rPr>
          <w:rFonts w:ascii="Arial" w:hAnsi="Arial" w:cs="Arial"/>
        </w:rPr>
      </w:pPr>
      <w:r w:rsidRPr="0046206E">
        <w:rPr>
          <w:rFonts w:ascii="Arial" w:hAnsi="Arial" w:cs="Arial"/>
        </w:rPr>
        <w:t xml:space="preserve">Within healthcare, the quality of customer care is reflected through the experiences of patients and service users. Understanding patient needs, expectations and experiences </w:t>
      </w:r>
      <w:r w:rsidR="00B66725">
        <w:rPr>
          <w:rFonts w:ascii="Arial" w:hAnsi="Arial" w:cs="Arial"/>
        </w:rPr>
        <w:t>is</w:t>
      </w:r>
      <w:r w:rsidRPr="0046206E">
        <w:rPr>
          <w:rFonts w:ascii="Arial" w:hAnsi="Arial" w:cs="Arial"/>
        </w:rPr>
        <w:t xml:space="preserve"> fundamental to delivering person-centred care and improving outcomes. Consequently, personalised patient care has become an increasingly important strategic priority across NHS organisations. Hywel Dda's refreshed long-term strategy, </w:t>
      </w:r>
      <w:r w:rsidRPr="0046206E">
        <w:rPr>
          <w:rStyle w:val="Emphasis"/>
          <w:rFonts w:ascii="Arial" w:hAnsi="Arial" w:cs="Arial"/>
          <w:i w:val="0"/>
          <w:iCs w:val="0"/>
        </w:rPr>
        <w:t>A Healthier Mid and West Wales: Healthier Lives, Well Lived</w:t>
      </w:r>
      <w:r w:rsidRPr="0046206E">
        <w:rPr>
          <w:rFonts w:ascii="Arial" w:hAnsi="Arial" w:cs="Arial"/>
        </w:rPr>
        <w:t>, places significant emphasis on prevention, early intervention and delivering more care closer to home through a Community by Design approach. The strategy aims to improve health outcomes by providing more care within local communities and ensuring services are designed around the needs of patients rather than organisational priorities (Hywel Dda University Health Board, 2026).</w:t>
      </w:r>
    </w:p>
    <w:p w14:paraId="0849F817" w14:textId="3228C33B" w:rsidR="006B3F19" w:rsidRPr="0046206E" w:rsidRDefault="006B3F19" w:rsidP="0046206E">
      <w:pPr>
        <w:pStyle w:val="isselectedend"/>
        <w:spacing w:line="360" w:lineRule="auto"/>
        <w:rPr>
          <w:rFonts w:ascii="Arial" w:hAnsi="Arial" w:cs="Arial"/>
        </w:rPr>
      </w:pPr>
      <w:r w:rsidRPr="0046206E">
        <w:rPr>
          <w:rFonts w:ascii="Arial" w:hAnsi="Arial" w:cs="Arial"/>
        </w:rPr>
        <w:lastRenderedPageBreak/>
        <w:t>Despite the potential benefits associated with community-based personalised care, implementation presents a number of strategic challenges. Workforce capacity, financial sustainability, increasing service demand and the need for service transformation may limit the extent to which these objectives can be achieved. Furthermore, Hywel Dda remains subject to enhanced monitoring arrangements in areas including strategy and planning, performance and outcomes, highlighting the need for sustainable service redesign and improved organisational resilience (Welsh Government, 2026</w:t>
      </w:r>
      <w:r w:rsidR="00EF1A96">
        <w:rPr>
          <w:rFonts w:ascii="Arial" w:hAnsi="Arial" w:cs="Arial"/>
        </w:rPr>
        <w:t>c</w:t>
      </w:r>
      <w:r w:rsidRPr="0046206E">
        <w:rPr>
          <w:rFonts w:ascii="Arial" w:hAnsi="Arial" w:cs="Arial"/>
        </w:rPr>
        <w:t>).</w:t>
      </w:r>
    </w:p>
    <w:p w14:paraId="18BF3A89" w14:textId="77777777" w:rsidR="006B3F19" w:rsidRPr="0046206E" w:rsidRDefault="006B3F19" w:rsidP="0046206E">
      <w:pPr>
        <w:pStyle w:val="NormalWeb"/>
        <w:spacing w:line="360" w:lineRule="auto"/>
        <w:rPr>
          <w:rFonts w:ascii="Arial" w:hAnsi="Arial" w:cs="Arial"/>
        </w:rPr>
      </w:pPr>
      <w:r w:rsidRPr="0046206E">
        <w:rPr>
          <w:rFonts w:ascii="Arial" w:hAnsi="Arial" w:cs="Arial"/>
        </w:rPr>
        <w:t>The ability to improve personalised patient care whilst maintaining sustainable services therefore represents a significant strategic challenge for Hywel Dda University Health Board. Whilst community-based models of care have the potential to improve accessibility, patient experience and health outcomes, it would be unrealistic to assume that implementation alone will address existing pressures. This report critically evaluates whether community-based personalised care represents an effective and sustainable approach to future service delivery within Hywel Dda University Health Board.</w:t>
      </w:r>
    </w:p>
    <w:p w14:paraId="6091AE6C" w14:textId="4FDD5B3F" w:rsidR="006B3F19" w:rsidRPr="0046206E" w:rsidRDefault="006B3F19" w:rsidP="0046206E">
      <w:pPr>
        <w:spacing w:line="360" w:lineRule="auto"/>
        <w:rPr>
          <w:rFonts w:ascii="Arial" w:eastAsia="Times New Roman" w:hAnsi="Arial" w:cs="Arial"/>
          <w:kern w:val="0"/>
          <w:sz w:val="24"/>
          <w:szCs w:val="24"/>
          <w:lang w:eastAsia="en-GB"/>
          <w14:ligatures w14:val="none"/>
        </w:rPr>
      </w:pPr>
      <w:r w:rsidRPr="0046206E">
        <w:rPr>
          <w:rFonts w:ascii="Arial" w:hAnsi="Arial" w:cs="Arial"/>
          <w:sz w:val="24"/>
          <w:szCs w:val="24"/>
        </w:rPr>
        <w:br w:type="page"/>
      </w:r>
    </w:p>
    <w:p w14:paraId="4DC5CB40" w14:textId="52D921AF" w:rsidR="002E0A89" w:rsidRPr="0046206E" w:rsidRDefault="002C6AB9" w:rsidP="0046206E">
      <w:pPr>
        <w:pStyle w:val="Heading1"/>
        <w:spacing w:line="360" w:lineRule="auto"/>
        <w:rPr>
          <w:rFonts w:ascii="Arial" w:hAnsi="Arial" w:cs="Arial"/>
          <w:sz w:val="24"/>
          <w:szCs w:val="24"/>
        </w:rPr>
      </w:pPr>
      <w:bookmarkStart w:id="2" w:name="_Toc233990057"/>
      <w:r w:rsidRPr="00AE69E6">
        <w:rPr>
          <w:rFonts w:ascii="Arial" w:hAnsi="Arial" w:cs="Arial"/>
          <w:sz w:val="28"/>
          <w:szCs w:val="28"/>
        </w:rPr>
        <w:lastRenderedPageBreak/>
        <w:t>2.</w:t>
      </w:r>
      <w:r w:rsidRPr="0046206E">
        <w:rPr>
          <w:rFonts w:ascii="Arial" w:hAnsi="Arial" w:cs="Arial"/>
          <w:sz w:val="24"/>
          <w:szCs w:val="24"/>
        </w:rPr>
        <w:t xml:space="preserve"> </w:t>
      </w:r>
      <w:r w:rsidRPr="009C797F">
        <w:rPr>
          <w:rFonts w:ascii="Arial" w:hAnsi="Arial" w:cs="Arial"/>
          <w:sz w:val="28"/>
          <w:szCs w:val="28"/>
        </w:rPr>
        <w:t>Organisational Background and Strategic Context</w:t>
      </w:r>
      <w:bookmarkEnd w:id="2"/>
    </w:p>
    <w:p w14:paraId="1E9A3493" w14:textId="77777777" w:rsidR="00AC1ECE" w:rsidRPr="0046206E" w:rsidRDefault="00AC1ECE" w:rsidP="0046206E">
      <w:pPr>
        <w:spacing w:line="360" w:lineRule="auto"/>
        <w:rPr>
          <w:rFonts w:ascii="Arial" w:hAnsi="Arial" w:cs="Arial"/>
          <w:sz w:val="24"/>
          <w:szCs w:val="24"/>
        </w:rPr>
      </w:pPr>
    </w:p>
    <w:p w14:paraId="22C10CBE" w14:textId="5D97AB79" w:rsidR="00AC1ECE" w:rsidRPr="0046206E" w:rsidRDefault="00AC1ECE" w:rsidP="0046206E">
      <w:pPr>
        <w:spacing w:line="360" w:lineRule="auto"/>
        <w:rPr>
          <w:rFonts w:ascii="Arial" w:hAnsi="Arial" w:cs="Arial"/>
          <w:sz w:val="24"/>
          <w:szCs w:val="24"/>
        </w:rPr>
      </w:pPr>
      <w:r w:rsidRPr="0046206E">
        <w:rPr>
          <w:rFonts w:ascii="Arial" w:hAnsi="Arial" w:cs="Arial"/>
          <w:sz w:val="24"/>
          <w:szCs w:val="24"/>
        </w:rPr>
        <w:t>The strategic challenges facing Hywel Dda University Health Board cannot be viewed in isolation from the population it serves. Covering Carmarthenshire, Ceredigion and Pembrokeshire, the Health Board is responsible for delivering healthcare services across a large rural area where access to care, workforce availability and health inequalities continue to present ongoing challenges. According to Hywel Dda University Health Board (2025a), these challenges are expected to increase as demand for healthcare services continues to grow and the population becomes older with increasingly complex health needs.</w:t>
      </w:r>
    </w:p>
    <w:p w14:paraId="631290BD" w14:textId="77777777" w:rsidR="00AC1ECE" w:rsidRPr="0046206E" w:rsidRDefault="00AC1ECE" w:rsidP="0046206E">
      <w:pPr>
        <w:pStyle w:val="isselectedend"/>
        <w:spacing w:line="360" w:lineRule="auto"/>
        <w:rPr>
          <w:rFonts w:ascii="Arial" w:hAnsi="Arial" w:cs="Arial"/>
        </w:rPr>
      </w:pPr>
      <w:r w:rsidRPr="0046206E">
        <w:rPr>
          <w:rFonts w:ascii="Arial" w:hAnsi="Arial" w:cs="Arial"/>
        </w:rPr>
        <w:t xml:space="preserve">Hywel Dda's long-term strategy, </w:t>
      </w:r>
      <w:r w:rsidRPr="0046206E">
        <w:rPr>
          <w:rStyle w:val="Emphasis"/>
          <w:rFonts w:ascii="Arial" w:hAnsi="Arial" w:cs="Arial"/>
          <w:i w:val="0"/>
          <w:iCs w:val="0"/>
        </w:rPr>
        <w:t>A Healthier Mid and West Wales: Healthier Lives, Well Lived</w:t>
      </w:r>
      <w:r w:rsidRPr="0046206E">
        <w:rPr>
          <w:rFonts w:ascii="Arial" w:hAnsi="Arial" w:cs="Arial"/>
          <w:i/>
          <w:iCs/>
        </w:rPr>
        <w:t>,</w:t>
      </w:r>
      <w:r w:rsidRPr="0046206E">
        <w:rPr>
          <w:rFonts w:ascii="Arial" w:hAnsi="Arial" w:cs="Arial"/>
        </w:rPr>
        <w:t xml:space="preserve"> sets out a vision of supporting people to live healthier lives for longer through prevention, early intervention and care delivered closer to home (Hywel Dda University Health Board, 2026). The strategy reflects a move away from traditional hospital-centred models of care and places greater emphasis on community-based services, partnership working and improving population health. This direction aligns with the Welsh Government's (2018) vision for a more integrated and preventative health and social care system, where services are organised around the needs of individuals and communities rather than organisational boundaries.</w:t>
      </w:r>
    </w:p>
    <w:p w14:paraId="5A4799F2" w14:textId="3EDD79FC" w:rsidR="00AC1ECE" w:rsidRPr="0046206E" w:rsidRDefault="00AC1ECE" w:rsidP="0046206E">
      <w:pPr>
        <w:spacing w:line="360" w:lineRule="auto"/>
        <w:rPr>
          <w:rFonts w:ascii="Arial" w:hAnsi="Arial" w:cs="Arial"/>
          <w:b/>
          <w:bCs/>
          <w:sz w:val="24"/>
          <w:szCs w:val="24"/>
          <w:lang w:eastAsia="en-GB"/>
        </w:rPr>
      </w:pPr>
      <w:r w:rsidRPr="0046206E">
        <w:rPr>
          <w:rFonts w:ascii="Arial" w:hAnsi="Arial" w:cs="Arial"/>
          <w:sz w:val="24"/>
          <w:szCs w:val="24"/>
        </w:rPr>
        <w:t>The organisation's values of Listening and Learning, Working Together, Kindness and Improving Lives underpin both decision-making and service delivery (Hywel Dda University Health Board, 2026). These values closely reflect the principles of personalised patient care, particularly in recognising the importance of understanding individual needs, involving patients in decisions regarding their care and delivering services that are responsive to local communities. The strategy is supported by four priorities: Thriving Teams, Healthier Communities, Great Care and Positive Futures. Whilst these priorities provide a clear strategic direction, establishing priorities and successfully delivering them are not necessarily the same. As Johnson et al. (2023)</w:t>
      </w:r>
      <w:r w:rsidR="00187CEE">
        <w:rPr>
          <w:rFonts w:ascii="Arial" w:hAnsi="Arial" w:cs="Arial"/>
          <w:sz w:val="24"/>
          <w:szCs w:val="24"/>
        </w:rPr>
        <w:t xml:space="preserve">, </w:t>
      </w:r>
      <w:r w:rsidR="00E24FD9">
        <w:rPr>
          <w:rFonts w:ascii="Arial" w:hAnsi="Arial" w:cs="Arial"/>
          <w:sz w:val="24"/>
          <w:szCs w:val="24"/>
        </w:rPr>
        <w:t>Grant (2022)</w:t>
      </w:r>
      <w:r w:rsidR="00187CEE">
        <w:rPr>
          <w:rFonts w:ascii="Arial" w:hAnsi="Arial" w:cs="Arial"/>
          <w:sz w:val="24"/>
          <w:szCs w:val="24"/>
        </w:rPr>
        <w:t xml:space="preserve"> and Mintz</w:t>
      </w:r>
      <w:r w:rsidR="00350886">
        <w:rPr>
          <w:rFonts w:ascii="Arial" w:hAnsi="Arial" w:cs="Arial"/>
          <w:sz w:val="24"/>
          <w:szCs w:val="24"/>
        </w:rPr>
        <w:t>berg et al. (2020)</w:t>
      </w:r>
      <w:r w:rsidRPr="0046206E">
        <w:rPr>
          <w:rFonts w:ascii="Arial" w:hAnsi="Arial" w:cs="Arial"/>
          <w:sz w:val="24"/>
          <w:szCs w:val="24"/>
        </w:rPr>
        <w:t xml:space="preserve"> argue, strategic success is determined not only by the quality of the strategy itself but also by an organisation's ability to implement and sustain change. Ignatowicz et al. (2023) </w:t>
      </w:r>
      <w:r w:rsidRPr="0046206E">
        <w:rPr>
          <w:rFonts w:ascii="Arial" w:hAnsi="Arial" w:cs="Arial"/>
          <w:sz w:val="24"/>
          <w:szCs w:val="24"/>
        </w:rPr>
        <w:lastRenderedPageBreak/>
        <w:t>similarly argue that organisational resilience depends on an organisation's ability to adapt and sustain change over time, rather than responding to challenges through short-term solutions alone.</w:t>
      </w:r>
    </w:p>
    <w:p w14:paraId="07E9B95A" w14:textId="77777777" w:rsidR="00AC1ECE" w:rsidRPr="0046206E" w:rsidRDefault="00AC1ECE" w:rsidP="0046206E">
      <w:pPr>
        <w:pStyle w:val="isselectedend"/>
        <w:spacing w:line="360" w:lineRule="auto"/>
        <w:rPr>
          <w:rFonts w:ascii="Arial" w:hAnsi="Arial" w:cs="Arial"/>
        </w:rPr>
      </w:pPr>
      <w:r w:rsidRPr="0046206E">
        <w:rPr>
          <w:rFonts w:ascii="Arial" w:hAnsi="Arial" w:cs="Arial"/>
        </w:rPr>
        <w:t>This is particularly relevant to Hywel Dda. The Health Board's Community by Design approach proposes that delivering more care closer to home will improve patient outcomes, accessibility and long-term sustainability (Hywel Dda University Health Board, 2026). Given the pressure on acute services and continued growth in demand, the approach appears to offer a practical response to many of the challenges currently facing the Health Board. Yet the assumption that community-based care will automatically improve both patient experience and organisational performance warrants further scrutiny. Fulop et al. (2019) suggest that healthcare transformation programmes often fail to achieve anticipated benefits because implementation challenges, workforce limitations and organisational complexity are underestimated.</w:t>
      </w:r>
    </w:p>
    <w:p w14:paraId="2C785C68" w14:textId="77777777" w:rsidR="00AC1ECE" w:rsidRPr="0046206E" w:rsidRDefault="00AC1ECE" w:rsidP="0046206E">
      <w:pPr>
        <w:pStyle w:val="isselectedend"/>
        <w:spacing w:line="360" w:lineRule="auto"/>
        <w:rPr>
          <w:rFonts w:ascii="Arial" w:hAnsi="Arial" w:cs="Arial"/>
        </w:rPr>
      </w:pPr>
      <w:r w:rsidRPr="0046206E">
        <w:rPr>
          <w:rFonts w:ascii="Arial" w:hAnsi="Arial" w:cs="Arial"/>
        </w:rPr>
        <w:t>The need for service redesign is reinforced by current organisational performance. Hywel Dda University Health Board (2025b) acknowledges ongoing challenges across several performance areas, including service demand and planned care recovery. According to NHS Wales performance data, Hywel Dda continues to face challenges in planned care performance, with waiting times remaining above national targets despite ongoing recovery activity (Hywel Dda University Health Board, 2025b).  Whilst progress has been made in reducing some of the longest waiting times, performance continues to be influenced by workforce availability, increasing demand and financial pressures. This creates a significant strategic dilemma. Patients increasingly expect personalised and accessible care, yet delivering these expectations requires resources and capacity within a system that is already under pressure. The King's Fund (2023) argues that improving patient experience and service quality within constrained healthcare systems requires difficult strategic decisions regarding resource allocation and service design. This raises important questions regarding whether community-based personalised care represents a realistic and sustainable solution to the challenges facing Hywel Dda or whether additional organisational changes will be required to achieve the ambitions set out within the Health Board's strategy.</w:t>
      </w:r>
    </w:p>
    <w:p w14:paraId="207DC9CA" w14:textId="77777777" w:rsidR="00AC1ECE" w:rsidRPr="0046206E" w:rsidRDefault="00AC1ECE" w:rsidP="0046206E">
      <w:pPr>
        <w:pStyle w:val="NormalWeb"/>
        <w:spacing w:line="360" w:lineRule="auto"/>
        <w:rPr>
          <w:rFonts w:ascii="Arial" w:hAnsi="Arial" w:cs="Arial"/>
        </w:rPr>
      </w:pPr>
      <w:r w:rsidRPr="0046206E">
        <w:rPr>
          <w:rFonts w:ascii="Arial" w:hAnsi="Arial" w:cs="Arial"/>
        </w:rPr>
        <w:lastRenderedPageBreak/>
        <w:t>Understanding this strategic position is essential before evaluating future service delivery options. A critical assessment of the organisation's internal capabilities and external environment is required to determine whether current strategic priorities are sufficient to support improved patient care whilst maintaining organisational resilience and long-term sustainability.</w:t>
      </w:r>
    </w:p>
    <w:p w14:paraId="4B6E7D6F" w14:textId="39A646B0" w:rsidR="00AC1ECE" w:rsidRPr="0046206E" w:rsidRDefault="00AC1ECE" w:rsidP="0046206E">
      <w:pPr>
        <w:spacing w:line="360" w:lineRule="auto"/>
        <w:rPr>
          <w:rFonts w:ascii="Arial" w:eastAsia="Times New Roman" w:hAnsi="Arial" w:cs="Arial"/>
          <w:kern w:val="0"/>
          <w:sz w:val="24"/>
          <w:szCs w:val="24"/>
          <w:lang w:eastAsia="en-GB"/>
          <w14:ligatures w14:val="none"/>
        </w:rPr>
      </w:pPr>
      <w:r w:rsidRPr="0046206E">
        <w:rPr>
          <w:rFonts w:ascii="Arial" w:hAnsi="Arial" w:cs="Arial"/>
          <w:sz w:val="24"/>
          <w:szCs w:val="24"/>
        </w:rPr>
        <w:br w:type="page"/>
      </w:r>
    </w:p>
    <w:p w14:paraId="61AE12AF" w14:textId="106D6AED" w:rsidR="002C6AB9" w:rsidRPr="009C797F" w:rsidRDefault="00BC7F52" w:rsidP="0046206E">
      <w:pPr>
        <w:pStyle w:val="Heading1"/>
        <w:spacing w:line="360" w:lineRule="auto"/>
        <w:rPr>
          <w:rFonts w:ascii="Arial" w:hAnsi="Arial" w:cs="Arial"/>
          <w:sz w:val="28"/>
          <w:szCs w:val="28"/>
        </w:rPr>
      </w:pPr>
      <w:bookmarkStart w:id="3" w:name="_Toc233990058"/>
      <w:r w:rsidRPr="009C797F">
        <w:rPr>
          <w:rFonts w:ascii="Arial" w:hAnsi="Arial" w:cs="Arial"/>
          <w:sz w:val="28"/>
          <w:szCs w:val="28"/>
        </w:rPr>
        <w:lastRenderedPageBreak/>
        <w:t>3. Strategic Analysis</w:t>
      </w:r>
      <w:bookmarkEnd w:id="3"/>
    </w:p>
    <w:p w14:paraId="382D0A85" w14:textId="54A7DACC" w:rsidR="005A6051" w:rsidRPr="009C797F" w:rsidRDefault="00BC7F52" w:rsidP="0046206E">
      <w:pPr>
        <w:pStyle w:val="Heading1"/>
        <w:spacing w:line="360" w:lineRule="auto"/>
        <w:rPr>
          <w:rFonts w:ascii="Arial" w:hAnsi="Arial" w:cs="Arial"/>
          <w:sz w:val="28"/>
          <w:szCs w:val="28"/>
        </w:rPr>
      </w:pPr>
      <w:bookmarkStart w:id="4" w:name="_Toc233990059"/>
      <w:r w:rsidRPr="009C797F">
        <w:rPr>
          <w:rFonts w:ascii="Arial" w:hAnsi="Arial" w:cs="Arial"/>
          <w:sz w:val="28"/>
          <w:szCs w:val="28"/>
        </w:rPr>
        <w:t>3.1 SWOT Analysis</w:t>
      </w:r>
      <w:bookmarkEnd w:id="4"/>
    </w:p>
    <w:p w14:paraId="66E75A37" w14:textId="58A9B127" w:rsidR="007A3F28" w:rsidRPr="0046206E" w:rsidRDefault="007A3F28" w:rsidP="0046206E">
      <w:pPr>
        <w:spacing w:line="360" w:lineRule="auto"/>
        <w:rPr>
          <w:rFonts w:ascii="Arial" w:eastAsiaTheme="majorEastAsia" w:hAnsi="Arial" w:cs="Arial"/>
          <w:color w:val="0F4761" w:themeColor="accent1" w:themeShade="BF"/>
          <w:sz w:val="24"/>
          <w:szCs w:val="24"/>
        </w:rPr>
      </w:pPr>
      <w:r w:rsidRPr="0046206E">
        <w:rPr>
          <w:rFonts w:ascii="Arial" w:eastAsia="Times New Roman" w:hAnsi="Arial" w:cs="Arial"/>
          <w:kern w:val="0"/>
          <w:sz w:val="24"/>
          <w:szCs w:val="24"/>
          <w:lang w:eastAsia="en-GB"/>
          <w14:ligatures w14:val="none"/>
        </w:rPr>
        <w:t>Before considering future strategic options, it is important to understand Hywel Dda University Health Board's current position. A SWOT analysis provides a structured way of assessing the organisation's internal strengths and weaknesses alongside the external opportunities and threats that may influence its ability to improve personalised patient care. Rather than viewing each factor separately, the analysis considers how they interact and what this means for future service delivery.</w:t>
      </w:r>
    </w:p>
    <w:tbl>
      <w:tblPr>
        <w:tblStyle w:val="TableGrid"/>
        <w:tblW w:w="0" w:type="auto"/>
        <w:tblLook w:val="04A0" w:firstRow="1" w:lastRow="0" w:firstColumn="1" w:lastColumn="0" w:noHBand="0" w:noVBand="1"/>
      </w:tblPr>
      <w:tblGrid>
        <w:gridCol w:w="4455"/>
        <w:gridCol w:w="4455"/>
      </w:tblGrid>
      <w:tr w:rsidR="007A3F28" w:rsidRPr="0046206E" w14:paraId="03B67126" w14:textId="77777777" w:rsidTr="00EB6165">
        <w:trPr>
          <w:trHeight w:val="5087"/>
        </w:trPr>
        <w:tc>
          <w:tcPr>
            <w:tcW w:w="4455" w:type="dxa"/>
          </w:tcPr>
          <w:p w14:paraId="547CCE3D" w14:textId="77777777" w:rsidR="007A3F28" w:rsidRPr="0046206E" w:rsidRDefault="007A3F28" w:rsidP="0046206E">
            <w:pPr>
              <w:pStyle w:val="NormalWeb"/>
              <w:spacing w:line="360" w:lineRule="auto"/>
              <w:jc w:val="center"/>
              <w:rPr>
                <w:rFonts w:ascii="Arial" w:hAnsi="Arial" w:cs="Arial"/>
                <w:b/>
                <w:bCs/>
              </w:rPr>
            </w:pPr>
            <w:r w:rsidRPr="0046206E">
              <w:rPr>
                <w:rFonts w:ascii="Arial" w:hAnsi="Arial" w:cs="Arial"/>
                <w:b/>
                <w:bCs/>
              </w:rPr>
              <w:t>Strengths</w:t>
            </w:r>
          </w:p>
          <w:p w14:paraId="5300E754" w14:textId="77777777" w:rsidR="007A3F28" w:rsidRPr="0046206E" w:rsidRDefault="007A3F28" w:rsidP="0046206E">
            <w:pPr>
              <w:pStyle w:val="NormalWeb"/>
              <w:numPr>
                <w:ilvl w:val="0"/>
                <w:numId w:val="3"/>
              </w:numPr>
              <w:spacing w:line="360" w:lineRule="auto"/>
              <w:rPr>
                <w:rFonts w:ascii="Arial" w:hAnsi="Arial" w:cs="Arial"/>
                <w:b/>
                <w:bCs/>
              </w:rPr>
            </w:pPr>
            <w:r w:rsidRPr="0046206E">
              <w:rPr>
                <w:rFonts w:ascii="Arial" w:hAnsi="Arial" w:cs="Arial"/>
              </w:rPr>
              <w:t>Clear strategic commitment to community-based care through Community by Design.</w:t>
            </w:r>
          </w:p>
          <w:p w14:paraId="64B7744E" w14:textId="77777777" w:rsidR="007A3F28" w:rsidRPr="0046206E" w:rsidRDefault="007A3F28" w:rsidP="0046206E">
            <w:pPr>
              <w:pStyle w:val="NormalWeb"/>
              <w:numPr>
                <w:ilvl w:val="0"/>
                <w:numId w:val="3"/>
              </w:numPr>
              <w:spacing w:line="360" w:lineRule="auto"/>
              <w:rPr>
                <w:rFonts w:ascii="Arial" w:hAnsi="Arial" w:cs="Arial"/>
                <w:b/>
                <w:bCs/>
              </w:rPr>
            </w:pPr>
            <w:r w:rsidRPr="0046206E">
              <w:rPr>
                <w:rFonts w:ascii="Arial" w:hAnsi="Arial" w:cs="Arial"/>
              </w:rPr>
              <w:t>Organisational values support personalised patient care.</w:t>
            </w:r>
          </w:p>
          <w:p w14:paraId="6CF5B8AA" w14:textId="77777777" w:rsidR="007A3F28" w:rsidRPr="0046206E" w:rsidRDefault="007A3F28" w:rsidP="0046206E">
            <w:pPr>
              <w:pStyle w:val="NormalWeb"/>
              <w:numPr>
                <w:ilvl w:val="0"/>
                <w:numId w:val="3"/>
              </w:numPr>
              <w:spacing w:line="360" w:lineRule="auto"/>
              <w:rPr>
                <w:rFonts w:ascii="Arial" w:hAnsi="Arial" w:cs="Arial"/>
                <w:b/>
                <w:bCs/>
              </w:rPr>
            </w:pPr>
            <w:r w:rsidRPr="0046206E">
              <w:rPr>
                <w:rFonts w:ascii="Arial" w:hAnsi="Arial" w:cs="Arial"/>
              </w:rPr>
              <w:t>Strong focus on prevention, early intervention and care closer to home.</w:t>
            </w:r>
          </w:p>
          <w:p w14:paraId="29BA33EA" w14:textId="77777777" w:rsidR="007A3F28" w:rsidRPr="0046206E" w:rsidRDefault="007A3F28" w:rsidP="0046206E">
            <w:pPr>
              <w:pStyle w:val="NormalWeb"/>
              <w:numPr>
                <w:ilvl w:val="0"/>
                <w:numId w:val="3"/>
              </w:numPr>
              <w:spacing w:line="360" w:lineRule="auto"/>
              <w:rPr>
                <w:rFonts w:ascii="Arial" w:hAnsi="Arial" w:cs="Arial"/>
                <w:b/>
                <w:bCs/>
              </w:rPr>
            </w:pPr>
            <w:r w:rsidRPr="0046206E">
              <w:rPr>
                <w:rFonts w:ascii="Arial" w:hAnsi="Arial" w:cs="Arial"/>
              </w:rPr>
              <w:t>Well-established relationships with local communities across Mid and West Wales.</w:t>
            </w:r>
          </w:p>
        </w:tc>
        <w:tc>
          <w:tcPr>
            <w:tcW w:w="4455" w:type="dxa"/>
          </w:tcPr>
          <w:p w14:paraId="6766700C" w14:textId="77777777" w:rsidR="007A3F28" w:rsidRPr="0046206E" w:rsidRDefault="007A3F28" w:rsidP="0046206E">
            <w:pPr>
              <w:pStyle w:val="NormalWeb"/>
              <w:spacing w:line="360" w:lineRule="auto"/>
              <w:jc w:val="center"/>
              <w:rPr>
                <w:rFonts w:ascii="Arial" w:hAnsi="Arial" w:cs="Arial"/>
                <w:b/>
                <w:bCs/>
              </w:rPr>
            </w:pPr>
            <w:r w:rsidRPr="0046206E">
              <w:rPr>
                <w:rFonts w:ascii="Arial" w:hAnsi="Arial" w:cs="Arial"/>
                <w:b/>
                <w:bCs/>
              </w:rPr>
              <w:t>Weaknesses</w:t>
            </w:r>
          </w:p>
          <w:p w14:paraId="5FE5669B" w14:textId="77777777" w:rsidR="007A3F28" w:rsidRPr="0046206E" w:rsidRDefault="007A3F28" w:rsidP="0046206E">
            <w:pPr>
              <w:pStyle w:val="ListParagraph"/>
              <w:numPr>
                <w:ilvl w:val="0"/>
                <w:numId w:val="4"/>
              </w:numPr>
              <w:spacing w:line="360" w:lineRule="auto"/>
              <w:rPr>
                <w:rFonts w:ascii="Arial" w:hAnsi="Arial" w:cs="Arial"/>
                <w:sz w:val="24"/>
                <w:szCs w:val="24"/>
                <w:lang w:eastAsia="en-GB"/>
              </w:rPr>
            </w:pPr>
            <w:r w:rsidRPr="0046206E">
              <w:rPr>
                <w:rFonts w:ascii="Arial" w:hAnsi="Arial" w:cs="Arial"/>
                <w:sz w:val="24"/>
                <w:szCs w:val="24"/>
                <w:lang w:eastAsia="en-GB"/>
              </w:rPr>
              <w:t>Ongoing performance pressures across planned care and access targets.</w:t>
            </w:r>
          </w:p>
          <w:p w14:paraId="7E9E37E0" w14:textId="77777777" w:rsidR="007A3F28" w:rsidRPr="0046206E" w:rsidRDefault="007A3F28" w:rsidP="0046206E">
            <w:pPr>
              <w:pStyle w:val="ListParagraph"/>
              <w:numPr>
                <w:ilvl w:val="0"/>
                <w:numId w:val="4"/>
              </w:numPr>
              <w:spacing w:line="360" w:lineRule="auto"/>
              <w:rPr>
                <w:rFonts w:ascii="Arial" w:hAnsi="Arial" w:cs="Arial"/>
                <w:sz w:val="24"/>
                <w:szCs w:val="24"/>
                <w:lang w:eastAsia="en-GB"/>
              </w:rPr>
            </w:pPr>
            <w:r w:rsidRPr="0046206E">
              <w:rPr>
                <w:rFonts w:ascii="Arial" w:hAnsi="Arial" w:cs="Arial"/>
                <w:sz w:val="24"/>
                <w:szCs w:val="24"/>
                <w:lang w:eastAsia="en-GB"/>
              </w:rPr>
              <w:t>Workforce capacity remains a significant challenge.</w:t>
            </w:r>
          </w:p>
          <w:p w14:paraId="16D277FA" w14:textId="77777777" w:rsidR="007A3F28" w:rsidRPr="0046206E" w:rsidRDefault="007A3F28" w:rsidP="0046206E">
            <w:pPr>
              <w:pStyle w:val="ListParagraph"/>
              <w:numPr>
                <w:ilvl w:val="0"/>
                <w:numId w:val="4"/>
              </w:numPr>
              <w:spacing w:line="360" w:lineRule="auto"/>
              <w:rPr>
                <w:rFonts w:ascii="Arial" w:hAnsi="Arial" w:cs="Arial"/>
                <w:sz w:val="24"/>
                <w:szCs w:val="24"/>
                <w:lang w:eastAsia="en-GB"/>
              </w:rPr>
            </w:pPr>
            <w:r w:rsidRPr="0046206E">
              <w:rPr>
                <w:rFonts w:ascii="Arial" w:hAnsi="Arial" w:cs="Arial"/>
                <w:sz w:val="24"/>
                <w:szCs w:val="24"/>
                <w:lang w:eastAsia="en-GB"/>
              </w:rPr>
              <w:t>Financial pressure restricts the pace of transformation.</w:t>
            </w:r>
          </w:p>
          <w:p w14:paraId="23515F01" w14:textId="6C16083A" w:rsidR="007A3F28" w:rsidRPr="0046206E" w:rsidRDefault="007A3F28" w:rsidP="0046206E">
            <w:pPr>
              <w:pStyle w:val="ListParagraph"/>
              <w:numPr>
                <w:ilvl w:val="0"/>
                <w:numId w:val="4"/>
              </w:numPr>
              <w:spacing w:line="360" w:lineRule="auto"/>
              <w:rPr>
                <w:rFonts w:ascii="Arial" w:hAnsi="Arial" w:cs="Arial"/>
                <w:sz w:val="24"/>
                <w:szCs w:val="24"/>
                <w:lang w:eastAsia="en-GB"/>
              </w:rPr>
            </w:pPr>
            <w:r w:rsidRPr="0046206E">
              <w:rPr>
                <w:rFonts w:ascii="Arial" w:hAnsi="Arial" w:cs="Arial"/>
                <w:sz w:val="24"/>
                <w:szCs w:val="24"/>
                <w:lang w:eastAsia="en-GB"/>
              </w:rPr>
              <w:t xml:space="preserve">Rural geography creates inequalities </w:t>
            </w:r>
            <w:r w:rsidR="002C446F">
              <w:rPr>
                <w:rFonts w:ascii="Arial" w:hAnsi="Arial" w:cs="Arial"/>
                <w:sz w:val="24"/>
                <w:szCs w:val="24"/>
                <w:lang w:eastAsia="en-GB"/>
              </w:rPr>
              <w:t xml:space="preserve">in </w:t>
            </w:r>
            <w:r w:rsidRPr="0046206E">
              <w:rPr>
                <w:rFonts w:ascii="Arial" w:hAnsi="Arial" w:cs="Arial"/>
                <w:sz w:val="24"/>
                <w:szCs w:val="24"/>
                <w:lang w:eastAsia="en-GB"/>
              </w:rPr>
              <w:t>access</w:t>
            </w:r>
            <w:r w:rsidR="00B50542">
              <w:rPr>
                <w:rFonts w:ascii="Arial" w:hAnsi="Arial" w:cs="Arial"/>
                <w:sz w:val="24"/>
                <w:szCs w:val="24"/>
                <w:lang w:eastAsia="en-GB"/>
              </w:rPr>
              <w:t xml:space="preserve">ing </w:t>
            </w:r>
            <w:r w:rsidRPr="0046206E">
              <w:rPr>
                <w:rFonts w:ascii="Arial" w:hAnsi="Arial" w:cs="Arial"/>
                <w:sz w:val="24"/>
                <w:szCs w:val="24"/>
                <w:lang w:eastAsia="en-GB"/>
              </w:rPr>
              <w:t>services.</w:t>
            </w:r>
          </w:p>
        </w:tc>
      </w:tr>
      <w:tr w:rsidR="007A3F28" w:rsidRPr="0046206E" w14:paraId="282118B7" w14:textId="77777777" w:rsidTr="00EB6165">
        <w:trPr>
          <w:trHeight w:val="4370"/>
        </w:trPr>
        <w:tc>
          <w:tcPr>
            <w:tcW w:w="4455" w:type="dxa"/>
          </w:tcPr>
          <w:p w14:paraId="091F72BC" w14:textId="77777777" w:rsidR="007A3F28" w:rsidRPr="0046206E" w:rsidRDefault="007A3F28" w:rsidP="0046206E">
            <w:pPr>
              <w:pStyle w:val="NormalWeb"/>
              <w:spacing w:line="360" w:lineRule="auto"/>
              <w:jc w:val="center"/>
              <w:rPr>
                <w:rFonts w:ascii="Arial" w:hAnsi="Arial" w:cs="Arial"/>
                <w:b/>
                <w:bCs/>
              </w:rPr>
            </w:pPr>
            <w:r w:rsidRPr="0046206E">
              <w:rPr>
                <w:rFonts w:ascii="Arial" w:hAnsi="Arial" w:cs="Arial"/>
                <w:b/>
                <w:bCs/>
              </w:rPr>
              <w:lastRenderedPageBreak/>
              <w:t>Opportunities</w:t>
            </w:r>
          </w:p>
          <w:p w14:paraId="1681450E" w14:textId="77777777" w:rsidR="007A3F28" w:rsidRPr="0046206E" w:rsidRDefault="007A3F28" w:rsidP="0046206E">
            <w:pPr>
              <w:pStyle w:val="NormalWeb"/>
              <w:numPr>
                <w:ilvl w:val="0"/>
                <w:numId w:val="4"/>
              </w:numPr>
              <w:spacing w:line="360" w:lineRule="auto"/>
              <w:rPr>
                <w:rFonts w:ascii="Arial" w:hAnsi="Arial" w:cs="Arial"/>
                <w:b/>
                <w:bCs/>
              </w:rPr>
            </w:pPr>
            <w:r w:rsidRPr="0046206E">
              <w:rPr>
                <w:rFonts w:ascii="Arial" w:hAnsi="Arial" w:cs="Arial"/>
              </w:rPr>
              <w:t>Expansion of community-based services to support earlier intervention.</w:t>
            </w:r>
          </w:p>
          <w:p w14:paraId="7842EABF" w14:textId="77777777" w:rsidR="007A3F28" w:rsidRPr="0046206E" w:rsidRDefault="007A3F28" w:rsidP="0046206E">
            <w:pPr>
              <w:pStyle w:val="NormalWeb"/>
              <w:numPr>
                <w:ilvl w:val="0"/>
                <w:numId w:val="4"/>
              </w:numPr>
              <w:spacing w:line="360" w:lineRule="auto"/>
              <w:rPr>
                <w:rFonts w:ascii="Arial" w:hAnsi="Arial" w:cs="Arial"/>
                <w:b/>
                <w:bCs/>
              </w:rPr>
            </w:pPr>
            <w:r w:rsidRPr="0046206E">
              <w:rPr>
                <w:rFonts w:ascii="Arial" w:hAnsi="Arial" w:cs="Arial"/>
              </w:rPr>
              <w:t>Digital innovation and pathway redesign.</w:t>
            </w:r>
          </w:p>
          <w:p w14:paraId="3A349839" w14:textId="77777777" w:rsidR="007A3F28" w:rsidRPr="0046206E" w:rsidRDefault="007A3F28" w:rsidP="0046206E">
            <w:pPr>
              <w:pStyle w:val="NormalWeb"/>
              <w:numPr>
                <w:ilvl w:val="0"/>
                <w:numId w:val="4"/>
              </w:numPr>
              <w:spacing w:line="360" w:lineRule="auto"/>
              <w:rPr>
                <w:rFonts w:ascii="Arial" w:hAnsi="Arial" w:cs="Arial"/>
                <w:b/>
                <w:bCs/>
              </w:rPr>
            </w:pPr>
            <w:r w:rsidRPr="0046206E">
              <w:rPr>
                <w:rFonts w:ascii="Arial" w:hAnsi="Arial" w:cs="Arial"/>
              </w:rPr>
              <w:t>National policy supports prevention and care closer to home.</w:t>
            </w:r>
          </w:p>
          <w:p w14:paraId="0EC09FD9" w14:textId="77777777" w:rsidR="007A3F28" w:rsidRPr="0046206E" w:rsidRDefault="007A3F28" w:rsidP="0046206E">
            <w:pPr>
              <w:pStyle w:val="NormalWeb"/>
              <w:numPr>
                <w:ilvl w:val="0"/>
                <w:numId w:val="4"/>
              </w:numPr>
              <w:spacing w:line="360" w:lineRule="auto"/>
              <w:rPr>
                <w:rFonts w:ascii="Arial" w:hAnsi="Arial" w:cs="Arial"/>
                <w:b/>
                <w:bCs/>
              </w:rPr>
            </w:pPr>
            <w:r w:rsidRPr="0046206E">
              <w:rPr>
                <w:rFonts w:ascii="Arial" w:hAnsi="Arial" w:cs="Arial"/>
              </w:rPr>
              <w:t>Stronger partnership working across health, social care and the third sector.</w:t>
            </w:r>
          </w:p>
        </w:tc>
        <w:tc>
          <w:tcPr>
            <w:tcW w:w="4455" w:type="dxa"/>
          </w:tcPr>
          <w:p w14:paraId="0EC0F2D8" w14:textId="77777777" w:rsidR="007A3F28" w:rsidRPr="0046206E" w:rsidRDefault="007A3F28" w:rsidP="0046206E">
            <w:pPr>
              <w:pStyle w:val="NormalWeb"/>
              <w:spacing w:line="360" w:lineRule="auto"/>
              <w:jc w:val="center"/>
              <w:rPr>
                <w:rFonts w:ascii="Arial" w:hAnsi="Arial" w:cs="Arial"/>
                <w:b/>
                <w:bCs/>
              </w:rPr>
            </w:pPr>
            <w:r w:rsidRPr="0046206E">
              <w:rPr>
                <w:rFonts w:ascii="Arial" w:hAnsi="Arial" w:cs="Arial"/>
                <w:b/>
                <w:bCs/>
              </w:rPr>
              <w:t>Threats</w:t>
            </w:r>
          </w:p>
          <w:p w14:paraId="1B3105FD" w14:textId="77777777" w:rsidR="007A3F28" w:rsidRPr="0046206E" w:rsidRDefault="007A3F28" w:rsidP="0046206E">
            <w:pPr>
              <w:pStyle w:val="NormalWeb"/>
              <w:numPr>
                <w:ilvl w:val="0"/>
                <w:numId w:val="5"/>
              </w:numPr>
              <w:spacing w:line="360" w:lineRule="auto"/>
              <w:rPr>
                <w:rFonts w:ascii="Arial" w:hAnsi="Arial" w:cs="Arial"/>
                <w:b/>
                <w:bCs/>
              </w:rPr>
            </w:pPr>
            <w:r w:rsidRPr="0046206E">
              <w:rPr>
                <w:rFonts w:ascii="Arial" w:hAnsi="Arial" w:cs="Arial"/>
              </w:rPr>
              <w:t>Demand continues to increase faster than services can respond.</w:t>
            </w:r>
          </w:p>
          <w:p w14:paraId="42BF7342" w14:textId="77777777" w:rsidR="007A3F28" w:rsidRPr="0046206E" w:rsidRDefault="007A3F28" w:rsidP="0046206E">
            <w:pPr>
              <w:pStyle w:val="NormalWeb"/>
              <w:numPr>
                <w:ilvl w:val="0"/>
                <w:numId w:val="5"/>
              </w:numPr>
              <w:spacing w:line="360" w:lineRule="auto"/>
              <w:rPr>
                <w:rFonts w:ascii="Arial" w:hAnsi="Arial" w:cs="Arial"/>
                <w:b/>
                <w:bCs/>
              </w:rPr>
            </w:pPr>
            <w:r w:rsidRPr="0046206E">
              <w:rPr>
                <w:rFonts w:ascii="Arial" w:hAnsi="Arial" w:cs="Arial"/>
              </w:rPr>
              <w:t>Workforce shortages may affect delivery of personalised care.</w:t>
            </w:r>
          </w:p>
          <w:p w14:paraId="45B5753B" w14:textId="77777777" w:rsidR="007A3F28" w:rsidRPr="0046206E" w:rsidRDefault="007A3F28" w:rsidP="0046206E">
            <w:pPr>
              <w:pStyle w:val="NormalWeb"/>
              <w:numPr>
                <w:ilvl w:val="0"/>
                <w:numId w:val="5"/>
              </w:numPr>
              <w:spacing w:line="360" w:lineRule="auto"/>
              <w:rPr>
                <w:rFonts w:ascii="Arial" w:hAnsi="Arial" w:cs="Arial"/>
                <w:b/>
                <w:bCs/>
              </w:rPr>
            </w:pPr>
            <w:r w:rsidRPr="0046206E">
              <w:rPr>
                <w:rFonts w:ascii="Arial" w:hAnsi="Arial" w:cs="Arial"/>
              </w:rPr>
              <w:t>Continued enhanced monitoring may reduce organisational flexibility.</w:t>
            </w:r>
          </w:p>
          <w:p w14:paraId="5D5F327F" w14:textId="77777777" w:rsidR="007A3F28" w:rsidRPr="0046206E" w:rsidRDefault="007A3F28" w:rsidP="0046206E">
            <w:pPr>
              <w:pStyle w:val="NormalWeb"/>
              <w:numPr>
                <w:ilvl w:val="0"/>
                <w:numId w:val="5"/>
              </w:numPr>
              <w:spacing w:line="360" w:lineRule="auto"/>
              <w:rPr>
                <w:rFonts w:ascii="Arial" w:hAnsi="Arial" w:cs="Arial"/>
                <w:b/>
                <w:bCs/>
              </w:rPr>
            </w:pPr>
            <w:r w:rsidRPr="0046206E">
              <w:rPr>
                <w:rFonts w:ascii="Arial" w:hAnsi="Arial" w:cs="Arial"/>
              </w:rPr>
              <w:t>Waiting times and access pressures may affect patient experience and confidence.</w:t>
            </w:r>
          </w:p>
        </w:tc>
      </w:tr>
    </w:tbl>
    <w:p w14:paraId="18BDF182" w14:textId="77777777" w:rsidR="007A3F28" w:rsidRPr="0046206E" w:rsidRDefault="007A3F28"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A key strength of Hywel Dda is its clear strategic direction. Through its Community by Design programme, the Health Board has recognised that small-scale improvements are unlikely to meet future demand and that a different approach to service delivery is required (Hywel Dda University Health Board, 2026a). This provides a strong foundation for improving personalised patient care because the strategy focuses on prevention, earlier intervention and delivering more care closer to home. Nkhoma et al. (2022) found that person-centred approaches can improve patient outcomes and quality of life, suggesting that Hywel Dda's overall direction is supported by current evidence.</w:t>
      </w:r>
    </w:p>
    <w:p w14:paraId="49E6D793" w14:textId="2E9DDF8F" w:rsidR="007A3F28" w:rsidRPr="0046206E" w:rsidRDefault="007A3F28"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Despite this, having a clear strategy is only part of the challenge. Johnson et al. (2023)</w:t>
      </w:r>
      <w:r w:rsidR="00C43779">
        <w:rPr>
          <w:rFonts w:ascii="Arial" w:eastAsia="Times New Roman" w:hAnsi="Arial" w:cs="Arial"/>
          <w:kern w:val="0"/>
          <w:sz w:val="24"/>
          <w:szCs w:val="24"/>
          <w:lang w:eastAsia="en-GB"/>
          <w14:ligatures w14:val="none"/>
        </w:rPr>
        <w:t xml:space="preserve"> and Rumelt (2011)</w:t>
      </w:r>
      <w:r w:rsidRPr="0046206E">
        <w:rPr>
          <w:rFonts w:ascii="Arial" w:eastAsia="Times New Roman" w:hAnsi="Arial" w:cs="Arial"/>
          <w:kern w:val="0"/>
          <w:sz w:val="24"/>
          <w:szCs w:val="24"/>
          <w:lang w:eastAsia="en-GB"/>
          <w14:ligatures w14:val="none"/>
        </w:rPr>
        <w:t xml:space="preserve"> argue that successful strategies depend on effective implementation rather than planning alone. This is particularly relevant to Hywel Dda. Audit Wales (2026a) continues to identify challenges relating to organisational performance, governance and financial sustainability, raising questions about whether the Health Board currently has the capacity to deliver the level of transformation outlined within its strategy. The issue is not whether the vision is appropriate, but whether the organisation has the capability to turn that vision into consistent improvements for patients.</w:t>
      </w:r>
    </w:p>
    <w:p w14:paraId="37E909F4" w14:textId="77777777" w:rsidR="007A3F28" w:rsidRPr="0046206E" w:rsidRDefault="007A3F28"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lastRenderedPageBreak/>
        <w:t>Workforce capacity remains one of the most significant weaknesses. Welsh Government (2026a) reported over 5,600 full-time equivalent vacancies across NHS Wales, highlighting that recruitment and retention remain widespread challenges rather than issues affecting a single Health Board. This has direct implications for Hywel Dda. Personalised patient care relies on continuity, effective communication and coordinated working, all of which require sufficient staffing levels. HEIW (2025) also reported a decline in staff engagement across NHS Wales. Whilst workforce shortages do not automatically prevent service improvement, they increase the risk that new models of care place additional pressure on services that are already stretched. Winkelmann et al. (2024) argue that strengthening community services depends not only on redesigning care pathways but also on developing a workforce capable of delivering them.</w:t>
      </w:r>
    </w:p>
    <w:p w14:paraId="022FB088" w14:textId="77777777" w:rsidR="007A3F28" w:rsidRPr="0046206E" w:rsidRDefault="007A3F28"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Financial sustainability also presents a significant challenge. Hywel Dda University Health Board (2026b) recognises that improving access, expanding community services and maintaining financial balance must all be achieved within limited resources. These priorities are closely linked, yet they can also compete with one another. Investment is needed to redesign services, but financial constraints reduce the organisation's ability to invest at the pace required. Audit Wales (2025) highlights the importance of sustainable financial planning across the NHS in Wales, suggesting that service redesign is unlikely to succeed if organisations are unable to balance immediate operational demands with longer-term investment.</w:t>
      </w:r>
    </w:p>
    <w:p w14:paraId="7A94118B" w14:textId="77777777" w:rsidR="007A3F28" w:rsidRPr="0046206E" w:rsidRDefault="007A3F28"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Despite the challenges identified, there are also opportunities that could support future service delivery. National policy continues to encourage prevention, integrated working and care delivered closer to home. Hywel Dda University Health Board (2026c) identifies these priorities within its planning framework, reflecting wider changes across NHS Wales. Digital technology and redesigned care pathways may improve access for some patients and reduce unnecessary hospital attendance. NHS England (2022) suggests that digital approaches have the potential to improve coordination and support more personalised care. Their impact is likely to vary across Hywel Dda, however, where rurality and digital exclusion remain important considerations. Digital innovation has the potential to support personalised care, although it is unlikely to resolve wider workforce and capacity pressures on its own.</w:t>
      </w:r>
    </w:p>
    <w:p w14:paraId="1D71EDEC" w14:textId="1027B6DE" w:rsidR="007A3F28" w:rsidRPr="0046206E" w:rsidRDefault="007A3F28"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lastRenderedPageBreak/>
        <w:t>The most significant threat facing Hywel Dda is the continued growth in demand for healthcare services. Welsh Government (2026b) reported ongoing pressure across planned and urgent care services, indicating that many Health Boards continue to struggle to meet expected performance levels. Senedd Research (2026</w:t>
      </w:r>
      <w:r w:rsidR="003009DD">
        <w:rPr>
          <w:rFonts w:ascii="Arial" w:eastAsia="Times New Roman" w:hAnsi="Arial" w:cs="Arial"/>
          <w:kern w:val="0"/>
          <w:sz w:val="24"/>
          <w:szCs w:val="24"/>
          <w:lang w:eastAsia="en-GB"/>
          <w14:ligatures w14:val="none"/>
        </w:rPr>
        <w:t>b</w:t>
      </w:r>
      <w:r w:rsidRPr="0046206E">
        <w:rPr>
          <w:rFonts w:ascii="Arial" w:eastAsia="Times New Roman" w:hAnsi="Arial" w:cs="Arial"/>
          <w:kern w:val="0"/>
          <w:sz w:val="24"/>
          <w:szCs w:val="24"/>
          <w:lang w:eastAsia="en-GB"/>
          <w14:ligatures w14:val="none"/>
        </w:rPr>
        <w:t>) also argues that waiting time statistics do not always reflect patients' overall experience of care. This is particularly relevant when considering customer care, as shorter waiting times alone do not necessarily improve communication, continuity or patient involvement. A service may perform better against national measures whilst patients continue to experience fragmented care.</w:t>
      </w:r>
    </w:p>
    <w:p w14:paraId="36C13AD8" w14:textId="77777777" w:rsidR="007A3F28" w:rsidRPr="0046206E" w:rsidRDefault="007A3F28"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Hywel Dda also remains under enhanced monitoring in several areas, including strategy and planning, performance and outcomes (Welsh Government, 2026c). This reflects the scale of the challenge facing the organisation rather than a lack of strategic direction. The Community by Design programme sets out a clear vision for future service delivery, yet successful implementation will depend on workforce capacity, financial sustainability and the organisation's ability to manage change over time. Audit Wales (2026b) argues that planned care recovery across Wales will require more than short-term performance improvements, reinforcing the need for realistic and sustainable service redesign.</w:t>
      </w:r>
    </w:p>
    <w:p w14:paraId="2DFB4E95" w14:textId="77777777" w:rsidR="007A3F28" w:rsidRPr="0046206E" w:rsidRDefault="007A3F28"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Overall, the SWOT analysis suggests that Hywel Dda has many of the strategic foundations needed to improve personalised patient care. The organisation has a clear vision, supportive values and a strategy that aligns with national policy. Workforce shortages, financial pressures and continued performance challenges mean that delivering those ambitions is likely to be far more difficult than setting them. Improving personalised patient care is therefore not simply about changing where services are delivered. It depends on whether the organisation has the capacity to deliver meaningful change whilst continuing to meet the needs of patients in an increasingly demanding healthcare environment.</w:t>
      </w:r>
    </w:p>
    <w:p w14:paraId="1D026300" w14:textId="77777777" w:rsidR="007A3F28" w:rsidRPr="0046206E" w:rsidRDefault="007A3F28" w:rsidP="0046206E">
      <w:pPr>
        <w:spacing w:before="100" w:beforeAutospacing="1" w:after="100" w:afterAutospacing="1" w:line="360" w:lineRule="auto"/>
        <w:rPr>
          <w:rFonts w:ascii="Arial" w:eastAsia="Times New Roman" w:hAnsi="Arial" w:cs="Arial"/>
          <w:kern w:val="0"/>
          <w:sz w:val="24"/>
          <w:szCs w:val="24"/>
          <w:lang w:eastAsia="en-GB"/>
          <w14:ligatures w14:val="none"/>
        </w:rPr>
      </w:pPr>
    </w:p>
    <w:p w14:paraId="00781925" w14:textId="1CAFAF47" w:rsidR="00EC6A2D" w:rsidRPr="0046206E" w:rsidRDefault="001C3ED8" w:rsidP="0046206E">
      <w:pPr>
        <w:spacing w:line="360" w:lineRule="auto"/>
        <w:rPr>
          <w:rFonts w:ascii="Arial" w:hAnsi="Arial" w:cs="Arial"/>
          <w:sz w:val="24"/>
          <w:szCs w:val="24"/>
        </w:rPr>
      </w:pPr>
      <w:r w:rsidRPr="0046206E">
        <w:rPr>
          <w:rFonts w:ascii="Arial" w:hAnsi="Arial" w:cs="Arial"/>
          <w:sz w:val="24"/>
          <w:szCs w:val="24"/>
        </w:rPr>
        <w:br w:type="page"/>
      </w:r>
    </w:p>
    <w:p w14:paraId="7E91787E" w14:textId="6D705EF0" w:rsidR="00BC7F52" w:rsidRPr="0016794F" w:rsidRDefault="005A6051" w:rsidP="0046206E">
      <w:pPr>
        <w:pStyle w:val="Heading1"/>
        <w:spacing w:line="360" w:lineRule="auto"/>
        <w:rPr>
          <w:rFonts w:ascii="Arial" w:hAnsi="Arial" w:cs="Arial"/>
          <w:sz w:val="28"/>
          <w:szCs w:val="28"/>
        </w:rPr>
      </w:pPr>
      <w:bookmarkStart w:id="5" w:name="_Toc233990060"/>
      <w:r w:rsidRPr="0016794F">
        <w:rPr>
          <w:rFonts w:ascii="Arial" w:hAnsi="Arial" w:cs="Arial"/>
          <w:sz w:val="28"/>
          <w:szCs w:val="28"/>
        </w:rPr>
        <w:lastRenderedPageBreak/>
        <w:t>3.2 PESTLE Analysis</w:t>
      </w:r>
      <w:bookmarkEnd w:id="5"/>
    </w:p>
    <w:p w14:paraId="53D1DD12" w14:textId="719A0384" w:rsidR="0050134E" w:rsidRPr="0046206E" w:rsidRDefault="0050134E" w:rsidP="0046206E">
      <w:pPr>
        <w:spacing w:line="360" w:lineRule="auto"/>
        <w:rPr>
          <w:rFonts w:ascii="Arial" w:hAnsi="Arial" w:cs="Arial"/>
          <w:sz w:val="24"/>
          <w:szCs w:val="24"/>
        </w:rPr>
      </w:pPr>
      <w:r w:rsidRPr="0046206E">
        <w:rPr>
          <w:rFonts w:ascii="Arial" w:eastAsia="Times New Roman" w:hAnsi="Arial" w:cs="Arial"/>
          <w:kern w:val="0"/>
          <w:sz w:val="24"/>
          <w:szCs w:val="24"/>
          <w:lang w:eastAsia="en-GB"/>
          <w14:ligatures w14:val="none"/>
        </w:rPr>
        <w:t>The SWOT analysis identified that Hywel Dda has a clear strategic direction, yet its ability to deliver personalised patient care is likely to depend on factors that extend beyond the organisation itself. Understanding the wider external environment is therefore important before considering future strategic options. Rather than examining each PESTLE factor in isolation, this section explores how changes within the wider health and social care system may influence Hywel Dda's ability to deliver care that is both personalised and sustainable.</w:t>
      </w:r>
    </w:p>
    <w:p w14:paraId="351ACD5D" w14:textId="593F0F42" w:rsidR="0050134E" w:rsidRPr="0046206E" w:rsidRDefault="0050134E"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Political commitment towards prevention and community-based healthcare provides a strong foundation for Hywel Dda's long-term strategy. Welsh Government (2025a) identifies prevention, integrated care and reducing health inequalities as key priorities for NHS Wales, which closely aligns with the Health Board's ambition to deliver more care closer to home. The NHS Wales Joint Commissioning Committee (2025) reaches a similar conclusion, recognising that future service models must respond to demographic change, increasing demand and the growing complexity of healthcare needs. Although national policy provides clear support for community-based care, the challenge for Hywel Dda lies in translating policy into practice</w:t>
      </w:r>
      <w:r w:rsidR="00246A28">
        <w:rPr>
          <w:rFonts w:ascii="Arial" w:eastAsia="Times New Roman" w:hAnsi="Arial" w:cs="Arial"/>
          <w:kern w:val="0"/>
          <w:sz w:val="24"/>
          <w:szCs w:val="24"/>
          <w:lang w:eastAsia="en-GB"/>
          <w14:ligatures w14:val="none"/>
        </w:rPr>
        <w:t>, an issue that Bryson (2018)</w:t>
      </w:r>
      <w:r w:rsidR="00AB3B60">
        <w:rPr>
          <w:rFonts w:ascii="Arial" w:eastAsia="Times New Roman" w:hAnsi="Arial" w:cs="Arial"/>
          <w:kern w:val="0"/>
          <w:sz w:val="24"/>
          <w:szCs w:val="24"/>
          <w:lang w:eastAsia="en-GB"/>
          <w14:ligatures w14:val="none"/>
        </w:rPr>
        <w:t xml:space="preserve"> identifies as central to public sector</w:t>
      </w:r>
      <w:r w:rsidR="00C30DD1">
        <w:rPr>
          <w:rFonts w:ascii="Arial" w:eastAsia="Times New Roman" w:hAnsi="Arial" w:cs="Arial"/>
          <w:kern w:val="0"/>
          <w:sz w:val="24"/>
          <w:szCs w:val="24"/>
          <w:lang w:eastAsia="en-GB"/>
          <w14:ligatures w14:val="none"/>
        </w:rPr>
        <w:t xml:space="preserve"> strategic planning.</w:t>
      </w:r>
      <w:r w:rsidRPr="0046206E">
        <w:rPr>
          <w:rFonts w:ascii="Arial" w:eastAsia="Times New Roman" w:hAnsi="Arial" w:cs="Arial"/>
          <w:kern w:val="0"/>
          <w:sz w:val="24"/>
          <w:szCs w:val="24"/>
          <w:lang w:eastAsia="en-GB"/>
          <w14:ligatures w14:val="none"/>
        </w:rPr>
        <w:t xml:space="preserve"> A supportive policy environment may create the opportunity for change, but it does not remove the practical barriers associated with workforce shortages, service capacity and organisational performance. This suggests that political support alone is unlikely to guarantee successful implementation.</w:t>
      </w:r>
    </w:p>
    <w:p w14:paraId="604529BF" w14:textId="77777777" w:rsidR="0050134E" w:rsidRPr="0046206E" w:rsidRDefault="0050134E"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 xml:space="preserve">These challenges become more apparent when considering the current financial climate. Welsh Government (2025b) continues to emphasise financial discipline and value for money across NHS Wales, reflecting increasing pressure on public finances. In contrast, the Health Foundation (2026) argues that improving long-term sustainability will require investment in prevention, workforce development and community services rather than continued reliance on hospital-based care. These perspectives are not contradictory, but they do expose an important tension. Hywel Dda is expected to redesign services whilst maintaining financial control, yet meaningful transformation often requires investment before improvements become evident. It could therefore be argued that financial pressure represents one of the </w:t>
      </w:r>
      <w:r w:rsidRPr="0046206E">
        <w:rPr>
          <w:rFonts w:ascii="Arial" w:eastAsia="Times New Roman" w:hAnsi="Arial" w:cs="Arial"/>
          <w:kern w:val="0"/>
          <w:sz w:val="24"/>
          <w:szCs w:val="24"/>
          <w:lang w:eastAsia="en-GB"/>
          <w14:ligatures w14:val="none"/>
        </w:rPr>
        <w:lastRenderedPageBreak/>
        <w:t>greatest risks to the successful delivery of personalised patient care, particularly if investment in community services fails to keep pace with growing demand.</w:t>
      </w:r>
    </w:p>
    <w:p w14:paraId="585F70BB" w14:textId="77777777" w:rsidR="0050134E" w:rsidRPr="0046206E" w:rsidRDefault="0050134E"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Social change further strengthens the case for service redesign. The OECD (2025) argues that ageing populations and increasing numbers of people living with long-term conditions require health systems to place greater emphasis on prevention and coordinated community care. This reflects the challenges already identified within Hywel Dda, where an ageing population, rurality and increasing demand continue to influence how services are delivered. Murphy et al. (2025), however, found that patients value integrated and person-centred care only when services remain accessible, coordinated and responsive. Simply relocating care into community settings does not guarantee a better patient experience. If access remains inconsistent or communication between services is poor, patient care may still become fragmented. This raises an important question regarding whether future service redesign should focus primarily on where care is delivered or on how patients experience that care throughout their healthcare journey.</w:t>
      </w:r>
    </w:p>
    <w:p w14:paraId="6074A8CC" w14:textId="77777777" w:rsidR="0050134E" w:rsidRPr="0046206E" w:rsidRDefault="0050134E"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Technology has the potential to support these ambitions, although its contribution should be viewed realistically. Nasir et al. (2024) found that digital health technologies can improve access to healthcare, particularly within rural communities where travel presents a significant barrier. MacAskill et al. (2026), however, argue that the success of rural digital healthcare depends upon reliable infrastructure, workforce capability and patient confidence in using digital services. This is particularly relevant to Hywel Dda. Digital appointments, remote monitoring and shared electronic records may improve flexibility for many patients, but they are unlikely to benefit everyone equally. Older adults, people experiencing digital exclusion and those living in areas with limited connectivity may continue to rely on face-to-face services. Digital innovation should therefore be viewed as an important enabler of personalised care rather than a substitute for it.</w:t>
      </w:r>
    </w:p>
    <w:p w14:paraId="767C8567" w14:textId="77777777" w:rsidR="0050134E" w:rsidRPr="0046206E" w:rsidRDefault="0050134E"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 xml:space="preserve">Legal and regulatory requirements also influence the organisation's ability to deliver change. NHS Wales (2025) places considerable emphasis on organisational accountability through nationally reported performance measures, encouraging health boards to improve access, quality and patient outcomes. The Office for Statistics Regulation (2026), however, argues that performance measures alone </w:t>
      </w:r>
      <w:r w:rsidRPr="0046206E">
        <w:rPr>
          <w:rFonts w:ascii="Arial" w:eastAsia="Times New Roman" w:hAnsi="Arial" w:cs="Arial"/>
          <w:kern w:val="0"/>
          <w:sz w:val="24"/>
          <w:szCs w:val="24"/>
          <w:lang w:eastAsia="en-GB"/>
          <w14:ligatures w14:val="none"/>
        </w:rPr>
        <w:lastRenderedPageBreak/>
        <w:t>cannot fully capture patients' experiences of healthcare. This distinction is particularly important within Hywel Dda. Meeting national targets remains essential, yet improving personalised patient care requires more than reducing waiting times or increasing activity. Patients are also likely to judge services by the quality of communication, continuity of care and their involvement in decision-making. Focusing too heavily on performance indicators may therefore overlook aspects of care that patients consider equally important.</w:t>
      </w:r>
    </w:p>
    <w:p w14:paraId="2216C4D2" w14:textId="79690DF6" w:rsidR="0050134E" w:rsidRPr="0046206E" w:rsidRDefault="0050134E"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Environmental sustainability has also become an increasingly important consideration for healthcare organisations. Public Health Wales (2026) highlights prevention, reducing inequalities and developing resilient local services as essential components of a sustainable health system. Senedd Research (2026</w:t>
      </w:r>
      <w:r w:rsidR="004020A0">
        <w:rPr>
          <w:rFonts w:ascii="Arial" w:eastAsia="Times New Roman" w:hAnsi="Arial" w:cs="Arial"/>
          <w:kern w:val="0"/>
          <w:sz w:val="24"/>
          <w:szCs w:val="24"/>
          <w:lang w:eastAsia="en-GB"/>
          <w14:ligatures w14:val="none"/>
        </w:rPr>
        <w:t>a</w:t>
      </w:r>
      <w:r w:rsidRPr="0046206E">
        <w:rPr>
          <w:rFonts w:ascii="Arial" w:eastAsia="Times New Roman" w:hAnsi="Arial" w:cs="Arial"/>
          <w:kern w:val="0"/>
          <w:sz w:val="24"/>
          <w:szCs w:val="24"/>
          <w:lang w:eastAsia="en-GB"/>
          <w14:ligatures w14:val="none"/>
        </w:rPr>
        <w:t xml:space="preserve">) similarly argues that NHS Wales must move beyond a hospital-by-default model if it is to meet future demand. These priorities support Hywel Dda's strategic direction, particularly its commitment to strengthening community services. Despite this, reducing reliance on hospital care should not be viewed as an </w:t>
      </w:r>
      <w:r w:rsidR="008D41A3" w:rsidRPr="0046206E">
        <w:rPr>
          <w:rFonts w:ascii="Arial" w:eastAsia="Times New Roman" w:hAnsi="Arial" w:cs="Arial"/>
          <w:kern w:val="0"/>
          <w:sz w:val="24"/>
          <w:szCs w:val="24"/>
          <w:lang w:eastAsia="en-GB"/>
          <w14:ligatures w14:val="none"/>
        </w:rPr>
        <w:t>outcome</w:t>
      </w:r>
      <w:r w:rsidR="008D41A3">
        <w:rPr>
          <w:rFonts w:ascii="Arial" w:eastAsia="Times New Roman" w:hAnsi="Arial" w:cs="Arial"/>
          <w:kern w:val="0"/>
          <w:sz w:val="24"/>
          <w:szCs w:val="24"/>
          <w:lang w:eastAsia="en-GB"/>
          <w14:ligatures w14:val="none"/>
        </w:rPr>
        <w:t xml:space="preserve"> on its own</w:t>
      </w:r>
      <w:r w:rsidRPr="0046206E">
        <w:rPr>
          <w:rFonts w:ascii="Arial" w:eastAsia="Times New Roman" w:hAnsi="Arial" w:cs="Arial"/>
          <w:kern w:val="0"/>
          <w:sz w:val="24"/>
          <w:szCs w:val="24"/>
          <w:lang w:eastAsia="en-GB"/>
          <w14:ligatures w14:val="none"/>
        </w:rPr>
        <w:t>. Community-based care will only improve long-term sustainability if local services have the workforce, infrastructure and resources required to absorb additional demand. Otherwise, pressure may simply shift from one part of the healthcare system to another without improving the overall patient experience.</w:t>
      </w:r>
    </w:p>
    <w:p w14:paraId="0B89DDEA" w14:textId="572F8061" w:rsidR="00B6172A" w:rsidRPr="00237BB7" w:rsidRDefault="0050134E" w:rsidP="00B6172A">
      <w:pPr>
        <w:spacing w:line="360" w:lineRule="auto"/>
        <w:rPr>
          <w:rFonts w:ascii="Arial" w:hAnsi="Arial" w:cs="Arial"/>
          <w:b/>
          <w:bCs/>
          <w:sz w:val="24"/>
          <w:szCs w:val="24"/>
        </w:rPr>
      </w:pPr>
      <w:r w:rsidRPr="0046206E">
        <w:rPr>
          <w:rFonts w:ascii="Arial" w:eastAsia="Times New Roman" w:hAnsi="Arial" w:cs="Arial"/>
          <w:kern w:val="0"/>
          <w:sz w:val="24"/>
          <w:szCs w:val="24"/>
          <w:lang w:eastAsia="en-GB"/>
          <w14:ligatures w14:val="none"/>
        </w:rPr>
        <w:t>Taken together, the external environment presents both opportunities and constraints for Hywel Dda. National policy, demographic change and technological development all support the move towards more personalised community-based care. At the same time, financial constraints, workforce pressures and increasing service demand continue to challenge the organisation's ability to deliver its strategic ambitions. Tan et al. (2023) argue that resilient healthcare organisations are those that adapt to changing circumstances rather than simply respond to immediate pressures. This reflects the position currently facing Hywel Dda. Delivering personalised patient care will depend not only on having the right strategic direction, but also on the organisation's ability to adapt to an increasingly complex external environment whilst continuing to provide high-quality care for its patients</w:t>
      </w:r>
      <w:r w:rsidR="00936C0E">
        <w:rPr>
          <w:rFonts w:ascii="Arial" w:eastAsia="Times New Roman" w:hAnsi="Arial" w:cs="Arial"/>
          <w:kern w:val="0"/>
          <w:sz w:val="24"/>
          <w:szCs w:val="24"/>
          <w:lang w:eastAsia="en-GB"/>
          <w14:ligatures w14:val="none"/>
        </w:rPr>
        <w:t>. This reflects</w:t>
      </w:r>
      <w:r w:rsidR="00485D8F">
        <w:rPr>
          <w:rFonts w:ascii="Arial" w:eastAsia="Times New Roman" w:hAnsi="Arial" w:cs="Arial"/>
          <w:kern w:val="0"/>
          <w:sz w:val="24"/>
          <w:szCs w:val="24"/>
          <w:lang w:eastAsia="en-GB"/>
          <w14:ligatures w14:val="none"/>
        </w:rPr>
        <w:t xml:space="preserve"> </w:t>
      </w:r>
      <w:r w:rsidR="00B6172A" w:rsidRPr="00237BB7">
        <w:rPr>
          <w:rFonts w:ascii="Arial" w:hAnsi="Arial" w:cs="Arial"/>
          <w:sz w:val="24"/>
          <w:szCs w:val="24"/>
        </w:rPr>
        <w:t>Teece's (2018) view that long-term resilience depends on an organisation's ability to continually adapt to changing conditions.</w:t>
      </w:r>
    </w:p>
    <w:p w14:paraId="5E895E44" w14:textId="431312E1" w:rsidR="0050134E" w:rsidRPr="0046206E" w:rsidRDefault="0050134E" w:rsidP="0046206E">
      <w:pPr>
        <w:spacing w:before="100" w:beforeAutospacing="1" w:after="100" w:afterAutospacing="1" w:line="360" w:lineRule="auto"/>
        <w:rPr>
          <w:rFonts w:ascii="Arial" w:eastAsia="Times New Roman" w:hAnsi="Arial" w:cs="Arial"/>
          <w:kern w:val="0"/>
          <w:sz w:val="24"/>
          <w:szCs w:val="24"/>
          <w:lang w:eastAsia="en-GB"/>
          <w14:ligatures w14:val="none"/>
        </w:rPr>
      </w:pPr>
    </w:p>
    <w:p w14:paraId="5161A354" w14:textId="1AE3F00A" w:rsidR="00B31D1E" w:rsidRPr="0016794F" w:rsidRDefault="00B31D1E" w:rsidP="0046206E">
      <w:pPr>
        <w:pStyle w:val="Heading1"/>
        <w:spacing w:line="360" w:lineRule="auto"/>
        <w:rPr>
          <w:rFonts w:ascii="Arial" w:hAnsi="Arial" w:cs="Arial"/>
          <w:sz w:val="28"/>
          <w:szCs w:val="28"/>
        </w:rPr>
      </w:pPr>
      <w:bookmarkStart w:id="6" w:name="_Toc233990061"/>
      <w:r w:rsidRPr="0016794F">
        <w:rPr>
          <w:rFonts w:ascii="Arial" w:hAnsi="Arial" w:cs="Arial"/>
          <w:sz w:val="28"/>
          <w:szCs w:val="28"/>
        </w:rPr>
        <w:t>3.3 Porter’s Value Chain</w:t>
      </w:r>
      <w:r w:rsidR="008351DA" w:rsidRPr="0016794F">
        <w:rPr>
          <w:rFonts w:ascii="Arial" w:hAnsi="Arial" w:cs="Arial"/>
          <w:sz w:val="28"/>
          <w:szCs w:val="28"/>
        </w:rPr>
        <w:t xml:space="preserve"> Analysis</w:t>
      </w:r>
      <w:bookmarkEnd w:id="6"/>
    </w:p>
    <w:p w14:paraId="4B2E10F0" w14:textId="77777777" w:rsidR="008351DA" w:rsidRPr="0046206E" w:rsidRDefault="008351DA" w:rsidP="0046206E">
      <w:pPr>
        <w:spacing w:line="360" w:lineRule="auto"/>
        <w:rPr>
          <w:rFonts w:ascii="Arial" w:hAnsi="Arial" w:cs="Arial"/>
          <w:sz w:val="24"/>
          <w:szCs w:val="24"/>
        </w:rPr>
      </w:pPr>
    </w:p>
    <w:p w14:paraId="1757D9E1" w14:textId="5DBA3E75" w:rsidR="008A5973" w:rsidRPr="0046206E" w:rsidRDefault="008A5973" w:rsidP="0046206E">
      <w:pPr>
        <w:spacing w:line="360" w:lineRule="auto"/>
        <w:rPr>
          <w:rFonts w:ascii="Arial" w:hAnsi="Arial" w:cs="Arial"/>
          <w:sz w:val="24"/>
          <w:szCs w:val="24"/>
        </w:rPr>
      </w:pPr>
      <w:r w:rsidRPr="0046206E">
        <w:rPr>
          <w:rFonts w:ascii="Arial" w:eastAsia="Times New Roman" w:hAnsi="Arial" w:cs="Arial"/>
          <w:kern w:val="0"/>
          <w:sz w:val="24"/>
          <w:szCs w:val="24"/>
          <w:lang w:eastAsia="en-GB"/>
          <w14:ligatures w14:val="none"/>
        </w:rPr>
        <w:t>The PESTLE analysis identified that the external environment generally supports the move towards more personalised, community-based care. However, a supportive external environment alone is unlikely to improve patient care unless Hywel Dda has the internal capability to deliver it. Porter's (1985) Value Chain provides a useful framework for examining where value is created throughout the patient pathway and where it may be lost. Within healthcare, value is measured differently from the private sector. Rather than focusing on financial performance, value is increasingly judged by patient outcomes, patient experience and the quality of care provided (Porter and Lee, 2013). This section therefore evaluates Hywel Dda's primary and support activities to determine whether its internal capabilities are sufficient to support the delivery of more personalised patient care.</w:t>
      </w:r>
    </w:p>
    <w:p w14:paraId="204E501A" w14:textId="21461F4F" w:rsidR="008A5973" w:rsidRPr="0046206E" w:rsidRDefault="008A5973" w:rsidP="0046206E">
      <w:pPr>
        <w:spacing w:line="360" w:lineRule="auto"/>
        <w:rPr>
          <w:rFonts w:ascii="Arial" w:hAnsi="Arial" w:cs="Arial"/>
          <w:b/>
          <w:bCs/>
          <w:sz w:val="24"/>
          <w:szCs w:val="24"/>
        </w:rPr>
      </w:pPr>
      <w:r w:rsidRPr="0046206E">
        <w:rPr>
          <w:rFonts w:ascii="Arial" w:hAnsi="Arial" w:cs="Arial"/>
          <w:b/>
          <w:bCs/>
          <w:sz w:val="24"/>
          <w:szCs w:val="24"/>
        </w:rPr>
        <w:t>Primary Activities</w:t>
      </w:r>
    </w:p>
    <w:p w14:paraId="7763B43B" w14:textId="77777777" w:rsidR="008A5973" w:rsidRPr="0046206E" w:rsidRDefault="008A5973"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Within a healthcare setting, inbound logistics relates to how patients access services and enter the healthcare system. For Hywel Dda, this represents one of the earliest stages where value can be created or lost. Current operational data indicates severe bottlenecks at the front door of acute services, which may limit opportunities to provide earlier, community-based intervention and instead increase reliance on acute hospital care (Senedd Research, 2026). If patients continue to enter the system through already pressured acute services, opportunities to deliver earlier intervention and more personalised care within the community are likely to become increasingly limited.</w:t>
      </w:r>
    </w:p>
    <w:p w14:paraId="470643E1" w14:textId="77777777" w:rsidR="008A5973" w:rsidRPr="0046206E" w:rsidRDefault="008A5973"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 xml:space="preserve">Operations represent the delivery of both clinical and non-clinical care. Hywel Dda's Community by Design programme aims to move away from a predominantly hospital-based model by delivering more care through community services and multidisciplinary teams (Hywel Dda University Health Board, 2026a). In principle, this should allow services to become more responsive to individual patient needs and improve continuity of care. Fulop et al. (2019), however, argue that large-scale </w:t>
      </w:r>
      <w:r w:rsidRPr="0046206E">
        <w:rPr>
          <w:rFonts w:ascii="Arial" w:eastAsia="Times New Roman" w:hAnsi="Arial" w:cs="Arial"/>
          <w:kern w:val="0"/>
          <w:sz w:val="24"/>
          <w:szCs w:val="24"/>
          <w:lang w:eastAsia="en-GB"/>
          <w14:ligatures w14:val="none"/>
        </w:rPr>
        <w:lastRenderedPageBreak/>
        <w:t>healthcare transformation is frequently affected by organisational complexity and implementation challenges. This suggests that changing where care is delivered is unlikely to improve patient experience unless operational processes, workforce capacity and communication also develop alongside service redesign.</w:t>
      </w:r>
    </w:p>
    <w:p w14:paraId="5666DFBC" w14:textId="77777777" w:rsidR="008A5973" w:rsidRPr="0046206E" w:rsidRDefault="008A5973"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Within the value chain, outbound logistics relates to patient discharge and the coordination of ongoing care following treatment. Effective discharge planning depends upon strong communication between healthcare services, social care and third-sector organisations. Murphy et al. (2025) argue that integrated, person-centred care improves patient experience when services remain coordinated throughout the patient journey. Where communication between organisations is poor, delays in discharge and fragmented follow-up care may reduce the value experienced by patients, despite the quality of the clinical care they receive.</w:t>
      </w:r>
    </w:p>
    <w:p w14:paraId="43A216B3" w14:textId="77777777" w:rsidR="008A5973" w:rsidRPr="0046206E" w:rsidRDefault="008A5973"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Within a healthcare context, marketing and service activities are reflected through patient communication, engagement and overall experience of care. Patients are increasingly likely to judge service quality not only by clinical outcomes but also by whether they feel informed, involved and listened to throughout their care. Whilst Hywel Dda's organisational values place considerable emphasis on Listening and Learning and Working Together (Hywel Dda University Health Board, 2026), continued pressures on waiting times and service capacity may affect patients' overall experience. The Office for Statistics Regulation (2026) argues that performance measures alone do not fully reflect the experiences of people using healthcare services. This suggests that improving customer care requires organisations to consider both operational performance and the quality of patients' interactions with healthcare professionals.</w:t>
      </w:r>
    </w:p>
    <w:p w14:paraId="3C4D9DFB" w14:textId="6660120C" w:rsidR="008A5973" w:rsidRPr="0046206E" w:rsidRDefault="008A5973" w:rsidP="0046206E">
      <w:pPr>
        <w:spacing w:line="360" w:lineRule="auto"/>
        <w:rPr>
          <w:rFonts w:ascii="Arial" w:hAnsi="Arial" w:cs="Arial"/>
          <w:b/>
          <w:bCs/>
          <w:sz w:val="24"/>
          <w:szCs w:val="24"/>
          <w:lang w:eastAsia="en-GB"/>
        </w:rPr>
      </w:pPr>
      <w:r w:rsidRPr="0046206E">
        <w:rPr>
          <w:rFonts w:ascii="Arial" w:hAnsi="Arial" w:cs="Arial"/>
          <w:b/>
          <w:bCs/>
          <w:sz w:val="24"/>
          <w:szCs w:val="24"/>
          <w:lang w:eastAsia="en-GB"/>
        </w:rPr>
        <w:t>Support Activities</w:t>
      </w:r>
    </w:p>
    <w:p w14:paraId="08B26E91" w14:textId="77777777" w:rsidR="008A5973" w:rsidRPr="0046206E" w:rsidRDefault="008A5973"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 xml:space="preserve">The effectiveness of the primary activities depends upon the organisation's support functions. Human resource management remains one of the most significant factors influencing Hywel Dda's ability to deliver personalised care. As identified within the SWOT analysis, workforce shortages continue to affect NHS Wales (Welsh Government, 2026a). Coulter et al. (2015) argue that personalised care depends upon continuity, communication and strong relationships between patients and </w:t>
      </w:r>
      <w:r w:rsidRPr="0046206E">
        <w:rPr>
          <w:rFonts w:ascii="Arial" w:eastAsia="Times New Roman" w:hAnsi="Arial" w:cs="Arial"/>
          <w:kern w:val="0"/>
          <w:sz w:val="24"/>
          <w:szCs w:val="24"/>
          <w:lang w:eastAsia="en-GB"/>
          <w14:ligatures w14:val="none"/>
        </w:rPr>
        <w:lastRenderedPageBreak/>
        <w:t>healthcare professionals. However, HEIW (2025) reports declining staff engagement across NHS Wales, suggesting that increasing workforce pressures may reduce the time available to deliver more individualised care. This means frontline teams are often required to respond to immediate operational pressures rather than focusing on proactive, preventative approaches that support long-term patient outcomes.</w:t>
      </w:r>
    </w:p>
    <w:p w14:paraId="404875FC" w14:textId="77777777" w:rsidR="008A5973" w:rsidRPr="0046206E" w:rsidRDefault="008A5973"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Technology development also has an important role in supporting future service delivery. Digital appointments, remote monitoring and shared electronic health records have the potential to improve access and coordination, particularly across Hywel Dda's rural communities. Nasir et al. (2024) found that digital health technologies can improve access to healthcare, particularly where geography limits access to traditional services. MacAskill et al. (2026), however, argue that the success of rural digital healthcare depends upon digital infrastructure, workforce capability and patient confidence in using technology. This suggests that digital innovation has the potential to support more personalised care, but it is unlikely to achieve meaningful improvements unless organisations also address wider workforce and infrastructure challenges.</w:t>
      </w:r>
    </w:p>
    <w:p w14:paraId="36E31F10" w14:textId="77777777" w:rsidR="008A5973" w:rsidRPr="0046206E" w:rsidRDefault="008A5973"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Organisational infrastructure, including governance, financial management and strategic planning, also influences the Health Board's ability to deliver change. Hywel Dda remains subject to enhanced monitoring because of ongoing challenges relating to strategy, planning and organisational performance (Welsh Government, 2026c). Whilst governance arrangements provide accountability, they may also reduce the organisation's ability to respond quickly to changing service demands. Welsh Government (2025b) continues to emphasise financial discipline across NHS Wales, yet introducing new models of care often requires investment before measurable improvements are achieved. This creates a difficult balance between maintaining financial stability and delivering the level of service transformation required to improve personalised patient care.</w:t>
      </w:r>
    </w:p>
    <w:p w14:paraId="06D53277" w14:textId="77777777" w:rsidR="00F7501B" w:rsidRPr="0046206E" w:rsidRDefault="00F7501B" w:rsidP="0046206E">
      <w:pPr>
        <w:spacing w:line="360" w:lineRule="auto"/>
        <w:rPr>
          <w:rFonts w:ascii="Arial" w:hAnsi="Arial" w:cs="Arial"/>
          <w:b/>
          <w:bCs/>
          <w:sz w:val="24"/>
          <w:szCs w:val="24"/>
          <w:lang w:eastAsia="en-GB"/>
        </w:rPr>
      </w:pPr>
      <w:r w:rsidRPr="0046206E">
        <w:rPr>
          <w:rFonts w:ascii="Arial" w:hAnsi="Arial" w:cs="Arial"/>
          <w:b/>
          <w:bCs/>
          <w:sz w:val="24"/>
          <w:szCs w:val="24"/>
          <w:lang w:eastAsia="en-GB"/>
        </w:rPr>
        <w:t>Value Chain Synthesis</w:t>
      </w:r>
    </w:p>
    <w:p w14:paraId="3BFDA5E5" w14:textId="77777777" w:rsidR="00F7501B" w:rsidRPr="0046206E" w:rsidRDefault="00F7501B"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 xml:space="preserve">Overall, the Value Chain analysis suggests that Hywel Dda has established a clear strategic direction, but several internal activities continue to reduce the value experienced by patients. Improving access, strengthening community services and </w:t>
      </w:r>
      <w:r w:rsidRPr="0046206E">
        <w:rPr>
          <w:rFonts w:ascii="Arial" w:eastAsia="Times New Roman" w:hAnsi="Arial" w:cs="Arial"/>
          <w:kern w:val="0"/>
          <w:sz w:val="24"/>
          <w:szCs w:val="24"/>
          <w:lang w:eastAsia="en-GB"/>
          <w14:ligatures w14:val="none"/>
        </w:rPr>
        <w:lastRenderedPageBreak/>
        <w:t>redesigning patient pathways all have the potential to improve patient experience. However, these changes are unlikely to achieve their intended benefits unless they are supported by sufficient workforce capacity, effective digital infrastructure and organisational flexibility. This reinforces the findings of the SWOT and PESTLE analyses, suggesting that future success will depend not only on changing where care is delivered, but also on strengthening the systems that support it.</w:t>
      </w:r>
    </w:p>
    <w:p w14:paraId="07D4B94B" w14:textId="77777777" w:rsidR="00F7501B" w:rsidRPr="0046206E" w:rsidRDefault="00F7501B" w:rsidP="0046206E">
      <w:pPr>
        <w:spacing w:before="100" w:beforeAutospacing="1" w:after="100" w:afterAutospacing="1" w:line="360" w:lineRule="auto"/>
        <w:rPr>
          <w:rFonts w:ascii="Arial" w:eastAsia="Times New Roman" w:hAnsi="Arial" w:cs="Arial"/>
          <w:kern w:val="0"/>
          <w:sz w:val="24"/>
          <w:szCs w:val="24"/>
          <w:lang w:eastAsia="en-GB"/>
          <w14:ligatures w14:val="none"/>
        </w:rPr>
      </w:pPr>
    </w:p>
    <w:p w14:paraId="3F6218FA" w14:textId="4D536016" w:rsidR="00624CA2" w:rsidRPr="0046206E" w:rsidRDefault="00624CA2" w:rsidP="0046206E">
      <w:pPr>
        <w:spacing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br w:type="page"/>
      </w:r>
    </w:p>
    <w:p w14:paraId="2A7560E8" w14:textId="40F45986" w:rsidR="008351DA" w:rsidRPr="0016794F" w:rsidRDefault="008351DA" w:rsidP="0046206E">
      <w:pPr>
        <w:pStyle w:val="Heading1"/>
        <w:spacing w:line="360" w:lineRule="auto"/>
        <w:rPr>
          <w:rFonts w:ascii="Arial" w:hAnsi="Arial" w:cs="Arial"/>
          <w:sz w:val="28"/>
          <w:szCs w:val="28"/>
        </w:rPr>
      </w:pPr>
      <w:bookmarkStart w:id="7" w:name="_Toc233990062"/>
      <w:r w:rsidRPr="0016794F">
        <w:rPr>
          <w:rFonts w:ascii="Arial" w:hAnsi="Arial" w:cs="Arial"/>
          <w:sz w:val="28"/>
          <w:szCs w:val="28"/>
        </w:rPr>
        <w:lastRenderedPageBreak/>
        <w:t>4. St</w:t>
      </w:r>
      <w:r w:rsidR="0027331C" w:rsidRPr="0016794F">
        <w:rPr>
          <w:rFonts w:ascii="Arial" w:hAnsi="Arial" w:cs="Arial"/>
          <w:sz w:val="28"/>
          <w:szCs w:val="28"/>
        </w:rPr>
        <w:t>rategic Op</w:t>
      </w:r>
      <w:r w:rsidR="00B94A23" w:rsidRPr="0016794F">
        <w:rPr>
          <w:rFonts w:ascii="Arial" w:hAnsi="Arial" w:cs="Arial"/>
          <w:sz w:val="28"/>
          <w:szCs w:val="28"/>
        </w:rPr>
        <w:t>tion Evaluation</w:t>
      </w:r>
      <w:bookmarkEnd w:id="7"/>
    </w:p>
    <w:p w14:paraId="50387BA7" w14:textId="68F2DDB5" w:rsidR="00B94A23" w:rsidRPr="0016794F" w:rsidRDefault="00B94A23" w:rsidP="0046206E">
      <w:pPr>
        <w:pStyle w:val="Heading1"/>
        <w:spacing w:line="360" w:lineRule="auto"/>
        <w:rPr>
          <w:rFonts w:ascii="Arial" w:hAnsi="Arial" w:cs="Arial"/>
          <w:sz w:val="28"/>
          <w:szCs w:val="28"/>
        </w:rPr>
      </w:pPr>
      <w:bookmarkStart w:id="8" w:name="_Toc233990063"/>
      <w:r w:rsidRPr="0016794F">
        <w:rPr>
          <w:rFonts w:ascii="Arial" w:hAnsi="Arial" w:cs="Arial"/>
          <w:sz w:val="28"/>
          <w:szCs w:val="28"/>
        </w:rPr>
        <w:t>4.1 Ansoff Matrix</w:t>
      </w:r>
      <w:bookmarkEnd w:id="8"/>
    </w:p>
    <w:p w14:paraId="38ED18EA" w14:textId="77777777" w:rsidR="00F833E8" w:rsidRPr="0046206E" w:rsidRDefault="00F833E8" w:rsidP="0046206E">
      <w:pPr>
        <w:spacing w:line="360" w:lineRule="auto"/>
        <w:rPr>
          <w:rFonts w:ascii="Arial" w:hAnsi="Arial" w:cs="Arial"/>
          <w:sz w:val="24"/>
          <w:szCs w:val="24"/>
        </w:rPr>
      </w:pPr>
    </w:p>
    <w:p w14:paraId="6601B80B" w14:textId="77777777" w:rsidR="00765ADB" w:rsidRPr="0046206E" w:rsidRDefault="00765ADB"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Although Ansoff's (1957) product-market growth matrix was originally developed for commercial organisations, it can be adapted to evaluate strategic options within a public healthcare setting. Within this report, products are considered as healthcare pathways and models of service delivery, whilst markets represent the patient populations and geographical communities served by Hywel Dda University Health Board. Applying the framework in this way allows four strategic options to be evaluated to determine which is most likely to support personalised patient care whilst maintaining organisational resilience and long-term sustainability.</w:t>
      </w:r>
    </w:p>
    <w:p w14:paraId="6AFE5968" w14:textId="77777777" w:rsidR="00765ADB" w:rsidRPr="0046206E" w:rsidRDefault="00765ADB" w:rsidP="0046206E">
      <w:pPr>
        <w:spacing w:line="360" w:lineRule="auto"/>
        <w:rPr>
          <w:rFonts w:ascii="Arial" w:hAnsi="Arial" w:cs="Arial"/>
          <w:b/>
          <w:bCs/>
          <w:sz w:val="24"/>
          <w:szCs w:val="24"/>
          <w:lang w:eastAsia="en-GB"/>
        </w:rPr>
      </w:pPr>
      <w:r w:rsidRPr="0046206E">
        <w:rPr>
          <w:rFonts w:ascii="Arial" w:hAnsi="Arial" w:cs="Arial"/>
          <w:b/>
          <w:bCs/>
          <w:sz w:val="24"/>
          <w:szCs w:val="24"/>
          <w:lang w:eastAsia="en-GB"/>
        </w:rPr>
        <w:t>Market Penetration: Optimising Existing Services</w:t>
      </w:r>
    </w:p>
    <w:p w14:paraId="3AB8DBB3" w14:textId="243EE587" w:rsidR="00765ADB" w:rsidRPr="0046206E" w:rsidRDefault="00765ADB"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A market penetration strategy focuses on improving the efficiency, capacity and performance of existing hospital-based services for the current population. This approach directly addresses acute care pressures and planned care waiting times (Audit Wales, 2026</w:t>
      </w:r>
      <w:r w:rsidR="00D907BB">
        <w:rPr>
          <w:rFonts w:ascii="Arial" w:eastAsia="Times New Roman" w:hAnsi="Arial" w:cs="Arial"/>
          <w:kern w:val="0"/>
          <w:sz w:val="24"/>
          <w:szCs w:val="24"/>
          <w:lang w:eastAsia="en-GB"/>
          <w14:ligatures w14:val="none"/>
        </w:rPr>
        <w:t>c</w:t>
      </w:r>
      <w:r w:rsidRPr="0046206E">
        <w:rPr>
          <w:rFonts w:ascii="Arial" w:eastAsia="Times New Roman" w:hAnsi="Arial" w:cs="Arial"/>
          <w:kern w:val="0"/>
          <w:sz w:val="24"/>
          <w:szCs w:val="24"/>
          <w:lang w:eastAsia="en-GB"/>
          <w14:ligatures w14:val="none"/>
        </w:rPr>
        <w:t>). Whilst market penetration presents the lowest level of implementation risk because it builds on existing services, it does little to change how care is delivered. Increasing activity within the current model is unlikely to achieve the shift towards prevention and care closer to home set out within the Community by Design strategy (Hywel Dda University Health Board, 2026a). As a result, improving existing services remains important for short-term recovery, but it is unlikely to provide a sustainable approach to more personalised patient care.</w:t>
      </w:r>
    </w:p>
    <w:p w14:paraId="60D131AD" w14:textId="77777777" w:rsidR="00765ADB" w:rsidRPr="0046206E" w:rsidRDefault="00765ADB" w:rsidP="0046206E">
      <w:pPr>
        <w:spacing w:line="360" w:lineRule="auto"/>
        <w:rPr>
          <w:rFonts w:ascii="Arial" w:hAnsi="Arial" w:cs="Arial"/>
          <w:b/>
          <w:bCs/>
          <w:sz w:val="24"/>
          <w:szCs w:val="24"/>
          <w:lang w:eastAsia="en-GB"/>
        </w:rPr>
      </w:pPr>
      <w:r w:rsidRPr="0046206E">
        <w:rPr>
          <w:rFonts w:ascii="Arial" w:hAnsi="Arial" w:cs="Arial"/>
          <w:b/>
          <w:bCs/>
          <w:sz w:val="24"/>
          <w:szCs w:val="24"/>
          <w:lang w:eastAsia="en-GB"/>
        </w:rPr>
        <w:t>Service Development: Developing New Models of Care</w:t>
      </w:r>
    </w:p>
    <w:p w14:paraId="546B96E8" w14:textId="77777777" w:rsidR="00765ADB" w:rsidRPr="0046206E" w:rsidRDefault="00765ADB"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 xml:space="preserve">Service development involves introducing new models of care for the existing patient population. Rather than relying primarily on hospital-based services, this approach focuses on developing community-based care, multidisciplinary teams, digital services and greater support for patient self-management (Coulter et al., 2015). Introducing new ways of delivering care inevitably increases implementation risk, particularly in relation to workforce capacity and digital infrastructure (MacAskill et </w:t>
      </w:r>
      <w:r w:rsidRPr="0046206E">
        <w:rPr>
          <w:rFonts w:ascii="Arial" w:eastAsia="Times New Roman" w:hAnsi="Arial" w:cs="Arial"/>
          <w:kern w:val="0"/>
          <w:sz w:val="24"/>
          <w:szCs w:val="24"/>
          <w:lang w:eastAsia="en-GB"/>
          <w14:ligatures w14:val="none"/>
        </w:rPr>
        <w:lastRenderedPageBreak/>
        <w:t>al., 2026). Despite this, developing new services for the existing population offers the greatest opportunity to improve personalised care whilst creating a more responsive and sustainable model of service delivery.</w:t>
      </w:r>
    </w:p>
    <w:p w14:paraId="3E89330C" w14:textId="77777777" w:rsidR="00765ADB" w:rsidRPr="0046206E" w:rsidRDefault="00765ADB" w:rsidP="0046206E">
      <w:pPr>
        <w:spacing w:line="360" w:lineRule="auto"/>
        <w:rPr>
          <w:rFonts w:ascii="Arial" w:hAnsi="Arial" w:cs="Arial"/>
          <w:b/>
          <w:bCs/>
          <w:sz w:val="24"/>
          <w:szCs w:val="24"/>
          <w:lang w:eastAsia="en-GB"/>
        </w:rPr>
      </w:pPr>
      <w:r w:rsidRPr="0046206E">
        <w:rPr>
          <w:rFonts w:ascii="Arial" w:hAnsi="Arial" w:cs="Arial"/>
          <w:b/>
          <w:bCs/>
          <w:sz w:val="24"/>
          <w:szCs w:val="24"/>
          <w:lang w:eastAsia="en-GB"/>
        </w:rPr>
        <w:t>Market Development: Extending Existing Services</w:t>
      </w:r>
    </w:p>
    <w:p w14:paraId="30783B5C" w14:textId="77777777" w:rsidR="00765ADB" w:rsidRPr="0046206E" w:rsidRDefault="00765ADB"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Within a public healthcare setting, market development involves extending existing services to different population groups or geographical communities. For Hywel Dda, this is particularly relevant given the challenges associated with rurality and inequalities in access to healthcare (Welsh Government, 2024). This may include delivering existing outpatient services through community settings or mobile healthcare provision. Whilst this has the potential to improve accessibility, extending current services without increasing organisational capacity may place further pressure on an already stretched workforce (Welsh Government, 2026a). This raises questions regarding whether expanding existing services alone would improve patient experience if the underlying pressures affecting service delivery remain unchanged.</w:t>
      </w:r>
    </w:p>
    <w:p w14:paraId="0F8A16C3" w14:textId="77777777" w:rsidR="00765ADB" w:rsidRPr="0046206E" w:rsidRDefault="00765ADB" w:rsidP="0046206E">
      <w:pPr>
        <w:spacing w:line="360" w:lineRule="auto"/>
        <w:rPr>
          <w:rFonts w:ascii="Arial" w:hAnsi="Arial" w:cs="Arial"/>
          <w:b/>
          <w:bCs/>
          <w:sz w:val="24"/>
          <w:szCs w:val="24"/>
          <w:lang w:eastAsia="en-GB"/>
        </w:rPr>
      </w:pPr>
      <w:r w:rsidRPr="0046206E">
        <w:rPr>
          <w:rFonts w:ascii="Arial" w:hAnsi="Arial" w:cs="Arial"/>
          <w:b/>
          <w:bCs/>
          <w:sz w:val="24"/>
          <w:szCs w:val="24"/>
          <w:lang w:eastAsia="en-GB"/>
        </w:rPr>
        <w:t>Diversification</w:t>
      </w:r>
    </w:p>
    <w:p w14:paraId="68EF78CE" w14:textId="77777777" w:rsidR="00277576" w:rsidRPr="0046206E" w:rsidRDefault="00765ADB"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Diversification represents the highest-risk strategic option because it involves introducing new services for entirely new populations. Within Hywel Dda, this would require the organisation to expand beyond its existing service model whilst simultaneously responding to continuing operational and financial pressures. Given the Health Board's enhanced monitoring arrangements and financial position (Welsh Government, 2026c), pursuing diversification at this stage is unlikely to represent a realistic strategic option. Instead, it may divert resources away from improving existing services and delivering the ambitions already set out within Community by Design.</w:t>
      </w:r>
    </w:p>
    <w:p w14:paraId="00007FD0" w14:textId="77777777" w:rsidR="00277576" w:rsidRPr="0046206E" w:rsidRDefault="00277576" w:rsidP="0046206E">
      <w:pPr>
        <w:spacing w:line="360" w:lineRule="auto"/>
        <w:rPr>
          <w:rFonts w:ascii="Arial" w:hAnsi="Arial" w:cs="Arial"/>
          <w:sz w:val="24"/>
          <w:szCs w:val="24"/>
        </w:rPr>
      </w:pPr>
    </w:p>
    <w:p w14:paraId="44F68148" w14:textId="77777777" w:rsidR="00277576" w:rsidRPr="0046206E" w:rsidRDefault="00277576" w:rsidP="0046206E">
      <w:pPr>
        <w:spacing w:line="360" w:lineRule="auto"/>
        <w:rPr>
          <w:rFonts w:ascii="Arial" w:hAnsi="Arial" w:cs="Arial"/>
          <w:sz w:val="24"/>
          <w:szCs w:val="24"/>
        </w:rPr>
      </w:pPr>
    </w:p>
    <w:p w14:paraId="36889421" w14:textId="77777777" w:rsidR="00277576" w:rsidRPr="0046206E" w:rsidRDefault="00277576" w:rsidP="0046206E">
      <w:pPr>
        <w:pStyle w:val="Heading1"/>
        <w:spacing w:line="360" w:lineRule="auto"/>
        <w:rPr>
          <w:rFonts w:ascii="Arial" w:hAnsi="Arial" w:cs="Arial"/>
          <w:sz w:val="24"/>
          <w:szCs w:val="24"/>
        </w:rPr>
      </w:pPr>
    </w:p>
    <w:p w14:paraId="6779EDF3" w14:textId="3E3947E9" w:rsidR="00B94A23" w:rsidRPr="0046206E" w:rsidRDefault="00DE5CAE" w:rsidP="0046206E">
      <w:pPr>
        <w:spacing w:line="360" w:lineRule="auto"/>
        <w:rPr>
          <w:rFonts w:ascii="Arial" w:eastAsia="Times New Roman" w:hAnsi="Arial" w:cs="Arial"/>
          <w:b/>
          <w:bCs/>
          <w:kern w:val="0"/>
          <w:sz w:val="24"/>
          <w:szCs w:val="24"/>
          <w:lang w:eastAsia="en-GB"/>
          <w14:ligatures w14:val="none"/>
        </w:rPr>
      </w:pPr>
      <w:r w:rsidRPr="0046206E">
        <w:rPr>
          <w:rFonts w:ascii="Arial" w:hAnsi="Arial" w:cs="Arial"/>
          <w:b/>
          <w:bCs/>
          <w:sz w:val="24"/>
          <w:szCs w:val="24"/>
        </w:rPr>
        <w:t>Ansoff Synthesis</w:t>
      </w:r>
    </w:p>
    <w:p w14:paraId="68A699CF" w14:textId="77777777" w:rsidR="00765ADB" w:rsidRPr="0046206E" w:rsidRDefault="00765ADB" w:rsidP="0046206E">
      <w:pPr>
        <w:spacing w:line="360" w:lineRule="auto"/>
        <w:rPr>
          <w:rFonts w:ascii="Arial" w:hAnsi="Arial" w:cs="Arial"/>
          <w:sz w:val="24"/>
          <w:szCs w:val="24"/>
        </w:rPr>
      </w:pPr>
    </w:p>
    <w:p w14:paraId="4E176EE3" w14:textId="19C6548E" w:rsidR="00765ADB" w:rsidRPr="0046206E" w:rsidRDefault="00765ADB" w:rsidP="0046206E">
      <w:pPr>
        <w:spacing w:line="360" w:lineRule="auto"/>
        <w:rPr>
          <w:rFonts w:ascii="Arial" w:hAnsi="Arial" w:cs="Arial"/>
          <w:sz w:val="24"/>
          <w:szCs w:val="24"/>
        </w:rPr>
      </w:pPr>
      <w:r w:rsidRPr="0046206E">
        <w:rPr>
          <w:rFonts w:ascii="Arial" w:eastAsia="Times New Roman" w:hAnsi="Arial" w:cs="Arial"/>
          <w:kern w:val="0"/>
          <w:sz w:val="24"/>
          <w:szCs w:val="24"/>
          <w:lang w:eastAsia="en-GB"/>
          <w14:ligatures w14:val="none"/>
        </w:rPr>
        <w:t>The Ansoff analysis suggests that Service Development provides the strongest strategic fit with Hywel Dda's long-term ambition to improve personalised patient care. Whilst Market Penetration remains necessary to address immediate operational pressures, improving existing services alone is unlikely to provide the flexibility required to meet future demand. Developing new community-based models of care for the existing patient population therefore represents the most realistic balance between improving patient experience, strengthening organisational resilience and supporting long-term sustainability.</w:t>
      </w:r>
    </w:p>
    <w:p w14:paraId="517ECB67" w14:textId="2D12D644" w:rsidR="000D06BB" w:rsidRPr="0046206E" w:rsidRDefault="000D06BB" w:rsidP="0046206E">
      <w:pPr>
        <w:spacing w:line="360" w:lineRule="auto"/>
        <w:rPr>
          <w:rFonts w:ascii="Arial" w:eastAsiaTheme="majorEastAsia" w:hAnsi="Arial" w:cs="Arial"/>
          <w:color w:val="0F4761" w:themeColor="accent1" w:themeShade="BF"/>
          <w:sz w:val="24"/>
          <w:szCs w:val="24"/>
        </w:rPr>
      </w:pPr>
      <w:r w:rsidRPr="0046206E">
        <w:rPr>
          <w:rFonts w:ascii="Arial" w:hAnsi="Arial" w:cs="Arial"/>
          <w:sz w:val="24"/>
          <w:szCs w:val="24"/>
        </w:rPr>
        <w:br w:type="page"/>
      </w:r>
    </w:p>
    <w:p w14:paraId="2E8BF569" w14:textId="1BA7F7C7" w:rsidR="00000B40" w:rsidRPr="0016794F" w:rsidRDefault="00000B40" w:rsidP="0046206E">
      <w:pPr>
        <w:pStyle w:val="Heading1"/>
        <w:spacing w:line="360" w:lineRule="auto"/>
        <w:rPr>
          <w:rFonts w:ascii="Arial" w:hAnsi="Arial" w:cs="Arial"/>
          <w:sz w:val="28"/>
          <w:szCs w:val="28"/>
        </w:rPr>
      </w:pPr>
      <w:bookmarkStart w:id="9" w:name="_Toc233990064"/>
      <w:r w:rsidRPr="0016794F">
        <w:rPr>
          <w:rFonts w:ascii="Arial" w:hAnsi="Arial" w:cs="Arial"/>
          <w:sz w:val="28"/>
          <w:szCs w:val="28"/>
        </w:rPr>
        <w:lastRenderedPageBreak/>
        <w:t xml:space="preserve">5. </w:t>
      </w:r>
      <w:r w:rsidR="007B7778" w:rsidRPr="0016794F">
        <w:rPr>
          <w:rFonts w:ascii="Arial" w:hAnsi="Arial" w:cs="Arial"/>
          <w:sz w:val="28"/>
          <w:szCs w:val="28"/>
        </w:rPr>
        <w:t>Conclusion</w:t>
      </w:r>
      <w:bookmarkEnd w:id="9"/>
    </w:p>
    <w:p w14:paraId="30EB5F65" w14:textId="77777777" w:rsidR="007B1B36" w:rsidRPr="0046206E" w:rsidRDefault="007B1B36"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This report critically evaluated whether community-based personalised care, delivered through Hywel Dda University Health Board's Community by Design framework, represents a sustainable approach to future service delivery. Whilst external factors, including demographic change and increasing levels of long-term illness, provide a strong case for prevention and care delivered closer to home, the Health Board continues to face significant internal challenges that may limit successful implementation.</w:t>
      </w:r>
    </w:p>
    <w:p w14:paraId="50B76EF8" w14:textId="77777777" w:rsidR="007B1B36" w:rsidRPr="0046206E" w:rsidRDefault="007B1B36"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The SWOT and PESTLE analyses demonstrated that, whilst Hywel Dda has a clear strategic direction and organisational values that support personalised care, workforce pressures, financial constraints and continued planned care backlogs present significant barriers to long-term sustainability. Simply relocating care into community settings is unlikely to improve patient experience unless these underlying challenges are also addressed. The Value Chain analysis reinforced this by demonstrating that workforce capacity, digital capability and organisational governance continue to influence the organisation's ability to deliver more personalised care.</w:t>
      </w:r>
    </w:p>
    <w:p w14:paraId="282912A9" w14:textId="77777777" w:rsidR="007B1B36" w:rsidRPr="0046206E" w:rsidRDefault="007B1B36"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Applying Ansoff's Matrix demonstrated that, whilst Market Penetration remains necessary to address immediate operational pressures, long-term organisational resilience is more likely to depend on a Service Development strategy. Overall, community-based personalised care represents the most appropriate strategic direction for Hywel Dda. Its success, however, will depend less on the strategy itself and more on the organisation's ability to strengthen workforce capacity, digital capability and organisational resilience. As Torfing et al. (2020) argue, public sector innovation is unlikely to succeed unless organisations create the conditions needed to support sustainable change. Hywel Dda's long-term transformation will therefore depend not only on redesigning services, but also on strengthening the systems that support them.</w:t>
      </w:r>
    </w:p>
    <w:p w14:paraId="1B4DD582" w14:textId="77777777" w:rsidR="00000B40" w:rsidRPr="0046206E" w:rsidRDefault="00000B40" w:rsidP="0046206E">
      <w:pPr>
        <w:spacing w:line="360" w:lineRule="auto"/>
        <w:rPr>
          <w:rFonts w:ascii="Arial" w:hAnsi="Arial" w:cs="Arial"/>
          <w:sz w:val="24"/>
          <w:szCs w:val="24"/>
        </w:rPr>
      </w:pPr>
    </w:p>
    <w:p w14:paraId="5CDBF134" w14:textId="1F97CA74" w:rsidR="00000B40" w:rsidRPr="0046206E" w:rsidRDefault="00000B40" w:rsidP="0046206E">
      <w:pPr>
        <w:spacing w:line="360" w:lineRule="auto"/>
        <w:rPr>
          <w:rFonts w:ascii="Arial" w:hAnsi="Arial" w:cs="Arial"/>
          <w:sz w:val="24"/>
          <w:szCs w:val="24"/>
        </w:rPr>
      </w:pPr>
      <w:r w:rsidRPr="0046206E">
        <w:rPr>
          <w:rFonts w:ascii="Arial" w:hAnsi="Arial" w:cs="Arial"/>
          <w:sz w:val="24"/>
          <w:szCs w:val="24"/>
        </w:rPr>
        <w:br w:type="page"/>
      </w:r>
    </w:p>
    <w:p w14:paraId="0E0D6609" w14:textId="2783E546" w:rsidR="000D06BB" w:rsidRPr="0016794F" w:rsidRDefault="005A2F73" w:rsidP="0046206E">
      <w:pPr>
        <w:pStyle w:val="Heading1"/>
        <w:spacing w:line="360" w:lineRule="auto"/>
        <w:rPr>
          <w:rFonts w:ascii="Arial" w:hAnsi="Arial" w:cs="Arial"/>
          <w:sz w:val="28"/>
          <w:szCs w:val="28"/>
        </w:rPr>
      </w:pPr>
      <w:bookmarkStart w:id="10" w:name="_Toc233990065"/>
      <w:r w:rsidRPr="0016794F">
        <w:rPr>
          <w:rFonts w:ascii="Arial" w:hAnsi="Arial" w:cs="Arial"/>
          <w:sz w:val="28"/>
          <w:szCs w:val="28"/>
        </w:rPr>
        <w:lastRenderedPageBreak/>
        <w:t>6</w:t>
      </w:r>
      <w:r w:rsidR="00447750" w:rsidRPr="0016794F">
        <w:rPr>
          <w:rFonts w:ascii="Arial" w:hAnsi="Arial" w:cs="Arial"/>
          <w:sz w:val="28"/>
          <w:szCs w:val="28"/>
        </w:rPr>
        <w:t>. Recommendations</w:t>
      </w:r>
      <w:bookmarkEnd w:id="10"/>
    </w:p>
    <w:p w14:paraId="2DFB2D27" w14:textId="0DF7180C" w:rsidR="00447750" w:rsidRPr="0046206E" w:rsidRDefault="000A4E30"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To translate the Service Development strategy into sustainable practice whilst recognising current financial constraints, Hywel Dda should prioritise three strategic actions:</w:t>
      </w:r>
    </w:p>
    <w:p w14:paraId="532C2EFC" w14:textId="474B7592" w:rsidR="00447750" w:rsidRPr="0016794F" w:rsidRDefault="005A2F73" w:rsidP="0046206E">
      <w:pPr>
        <w:pStyle w:val="Heading1"/>
        <w:spacing w:line="360" w:lineRule="auto"/>
        <w:rPr>
          <w:rFonts w:ascii="Arial" w:hAnsi="Arial" w:cs="Arial"/>
          <w:sz w:val="28"/>
          <w:szCs w:val="28"/>
        </w:rPr>
      </w:pPr>
      <w:bookmarkStart w:id="11" w:name="_Toc233990066"/>
      <w:r w:rsidRPr="0016794F">
        <w:rPr>
          <w:rFonts w:ascii="Arial" w:hAnsi="Arial" w:cs="Arial"/>
          <w:sz w:val="28"/>
          <w:szCs w:val="28"/>
        </w:rPr>
        <w:t>6</w:t>
      </w:r>
      <w:r w:rsidR="00447750" w:rsidRPr="0016794F">
        <w:rPr>
          <w:rFonts w:ascii="Arial" w:hAnsi="Arial" w:cs="Arial"/>
          <w:sz w:val="28"/>
          <w:szCs w:val="28"/>
        </w:rPr>
        <w:t>.1 Establish Integrated Regional Digital Hubs</w:t>
      </w:r>
      <w:bookmarkEnd w:id="11"/>
    </w:p>
    <w:p w14:paraId="09701483" w14:textId="05175764" w:rsidR="00422AAE" w:rsidRPr="0046206E" w:rsidRDefault="00422AAE" w:rsidP="0046206E">
      <w:pPr>
        <w:spacing w:line="360" w:lineRule="auto"/>
        <w:rPr>
          <w:rFonts w:ascii="Arial" w:hAnsi="Arial" w:cs="Arial"/>
          <w:sz w:val="24"/>
          <w:szCs w:val="24"/>
        </w:rPr>
      </w:pPr>
      <w:r w:rsidRPr="0046206E">
        <w:rPr>
          <w:rFonts w:ascii="Arial" w:eastAsia="Times New Roman" w:hAnsi="Arial" w:cs="Arial"/>
          <w:kern w:val="0"/>
          <w:sz w:val="24"/>
          <w:szCs w:val="24"/>
          <w:lang w:eastAsia="en-GB"/>
          <w14:ligatures w14:val="none"/>
        </w:rPr>
        <w:t>Accelerate the use of remote patient monitoring and shared electronic health records across rural Mid and West Wales to improve access to services and strengthen continuity of care.</w:t>
      </w:r>
    </w:p>
    <w:p w14:paraId="2BCFABCD" w14:textId="77777777" w:rsidR="00422AAE" w:rsidRPr="0046206E" w:rsidRDefault="00422AAE" w:rsidP="0046206E">
      <w:pPr>
        <w:numPr>
          <w:ilvl w:val="0"/>
          <w:numId w:val="6"/>
        </w:num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b/>
          <w:bCs/>
          <w:kern w:val="0"/>
          <w:sz w:val="24"/>
          <w:szCs w:val="24"/>
          <w:lang w:eastAsia="en-GB"/>
          <w14:ligatures w14:val="none"/>
        </w:rPr>
        <w:t>Strategic Argument:</w:t>
      </w:r>
      <w:r w:rsidRPr="0046206E">
        <w:rPr>
          <w:rFonts w:ascii="Arial" w:eastAsia="Times New Roman" w:hAnsi="Arial" w:cs="Arial"/>
          <w:kern w:val="0"/>
          <w:sz w:val="24"/>
          <w:szCs w:val="24"/>
          <w:lang w:eastAsia="en-GB"/>
          <w14:ligatures w14:val="none"/>
        </w:rPr>
        <w:t xml:space="preserve"> Digital healthcare platforms can improve access across rural communities when supported by appropriate staff training and technological readiness (Nilsen et al., 2020).</w:t>
      </w:r>
    </w:p>
    <w:p w14:paraId="58FE9284" w14:textId="77777777" w:rsidR="00422AAE" w:rsidRPr="0046206E" w:rsidRDefault="00422AAE" w:rsidP="0046206E">
      <w:pPr>
        <w:numPr>
          <w:ilvl w:val="0"/>
          <w:numId w:val="6"/>
        </w:num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b/>
          <w:bCs/>
          <w:kern w:val="0"/>
          <w:sz w:val="24"/>
          <w:szCs w:val="24"/>
          <w:lang w:eastAsia="en-GB"/>
          <w14:ligatures w14:val="none"/>
        </w:rPr>
        <w:t>Strategic Benefit:</w:t>
      </w:r>
      <w:r w:rsidRPr="0046206E">
        <w:rPr>
          <w:rFonts w:ascii="Arial" w:eastAsia="Times New Roman" w:hAnsi="Arial" w:cs="Arial"/>
          <w:kern w:val="0"/>
          <w:sz w:val="24"/>
          <w:szCs w:val="24"/>
          <w:lang w:eastAsia="en-GB"/>
          <w14:ligatures w14:val="none"/>
        </w:rPr>
        <w:t xml:space="preserve"> Supports earlier intervention, improves access to care and enables more proactive management of long-term conditions.</w:t>
      </w:r>
    </w:p>
    <w:p w14:paraId="4FA8E250" w14:textId="11F71443" w:rsidR="00447750" w:rsidRPr="0016794F" w:rsidRDefault="005A2F73" w:rsidP="0046206E">
      <w:pPr>
        <w:pStyle w:val="Heading1"/>
        <w:spacing w:line="360" w:lineRule="auto"/>
        <w:rPr>
          <w:rFonts w:ascii="Arial" w:hAnsi="Arial" w:cs="Arial"/>
          <w:sz w:val="28"/>
          <w:szCs w:val="28"/>
        </w:rPr>
      </w:pPr>
      <w:bookmarkStart w:id="12" w:name="_Toc233990067"/>
      <w:r w:rsidRPr="0016794F">
        <w:rPr>
          <w:rFonts w:ascii="Arial" w:hAnsi="Arial" w:cs="Arial"/>
          <w:sz w:val="28"/>
          <w:szCs w:val="28"/>
        </w:rPr>
        <w:t>6</w:t>
      </w:r>
      <w:r w:rsidR="00A14477" w:rsidRPr="0016794F">
        <w:rPr>
          <w:rFonts w:ascii="Arial" w:hAnsi="Arial" w:cs="Arial"/>
          <w:sz w:val="28"/>
          <w:szCs w:val="28"/>
        </w:rPr>
        <w:t>.2 Strengthen Community Multi</w:t>
      </w:r>
      <w:r w:rsidR="009231DA">
        <w:rPr>
          <w:rFonts w:ascii="Arial" w:hAnsi="Arial" w:cs="Arial"/>
          <w:sz w:val="28"/>
          <w:szCs w:val="28"/>
        </w:rPr>
        <w:t>d</w:t>
      </w:r>
      <w:r w:rsidR="00A14477" w:rsidRPr="0016794F">
        <w:rPr>
          <w:rFonts w:ascii="Arial" w:hAnsi="Arial" w:cs="Arial"/>
          <w:sz w:val="28"/>
          <w:szCs w:val="28"/>
        </w:rPr>
        <w:t>isciplinary Teams</w:t>
      </w:r>
      <w:bookmarkEnd w:id="12"/>
    </w:p>
    <w:p w14:paraId="536CCF04" w14:textId="77777777" w:rsidR="00005C8F" w:rsidRPr="0046206E" w:rsidRDefault="00005C8F" w:rsidP="0046206E">
      <w:p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kern w:val="0"/>
          <w:sz w:val="24"/>
          <w:szCs w:val="24"/>
          <w:lang w:eastAsia="en-GB"/>
          <w14:ligatures w14:val="none"/>
        </w:rPr>
        <w:t>Develop more flexible community-based multidisciplinary teams that enable healthcare professionals to work collaboratively and involve patients more fully in decisions regarding their care.</w:t>
      </w:r>
    </w:p>
    <w:p w14:paraId="104EA4CC" w14:textId="77777777" w:rsidR="00005C8F" w:rsidRPr="0046206E" w:rsidRDefault="00005C8F" w:rsidP="0046206E">
      <w:pPr>
        <w:numPr>
          <w:ilvl w:val="0"/>
          <w:numId w:val="7"/>
        </w:num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b/>
          <w:bCs/>
          <w:kern w:val="0"/>
          <w:sz w:val="24"/>
          <w:szCs w:val="24"/>
          <w:lang w:eastAsia="en-GB"/>
          <w14:ligatures w14:val="none"/>
        </w:rPr>
        <w:t>Strategic Argument:</w:t>
      </w:r>
      <w:r w:rsidRPr="0046206E">
        <w:rPr>
          <w:rFonts w:ascii="Arial" w:eastAsia="Times New Roman" w:hAnsi="Arial" w:cs="Arial"/>
          <w:kern w:val="0"/>
          <w:sz w:val="24"/>
          <w:szCs w:val="24"/>
          <w:lang w:eastAsia="en-GB"/>
          <w14:ligatures w14:val="none"/>
        </w:rPr>
        <w:t xml:space="preserve"> Personalised care depends on continuity, communication and collaborative relationships between patients and healthcare professionals (Coulter et al., 2015).</w:t>
      </w:r>
    </w:p>
    <w:p w14:paraId="3414DF81" w14:textId="77777777" w:rsidR="00005C8F" w:rsidRPr="0046206E" w:rsidRDefault="00005C8F" w:rsidP="0046206E">
      <w:pPr>
        <w:numPr>
          <w:ilvl w:val="0"/>
          <w:numId w:val="7"/>
        </w:num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b/>
          <w:bCs/>
          <w:kern w:val="0"/>
          <w:sz w:val="24"/>
          <w:szCs w:val="24"/>
          <w:lang w:eastAsia="en-GB"/>
          <w14:ligatures w14:val="none"/>
        </w:rPr>
        <w:t>Strategic Benefit:</w:t>
      </w:r>
      <w:r w:rsidRPr="0046206E">
        <w:rPr>
          <w:rFonts w:ascii="Arial" w:eastAsia="Times New Roman" w:hAnsi="Arial" w:cs="Arial"/>
          <w:kern w:val="0"/>
          <w:sz w:val="24"/>
          <w:szCs w:val="24"/>
          <w:lang w:eastAsia="en-GB"/>
          <w14:ligatures w14:val="none"/>
        </w:rPr>
        <w:t xml:space="preserve"> Improves care coordination, strengthens continuity of care and supports more responsive service delivery.</w:t>
      </w:r>
    </w:p>
    <w:p w14:paraId="6CBE967B" w14:textId="77777777" w:rsidR="00A14477" w:rsidRPr="0046206E" w:rsidRDefault="00A14477" w:rsidP="0046206E">
      <w:pPr>
        <w:spacing w:line="360" w:lineRule="auto"/>
        <w:rPr>
          <w:rFonts w:ascii="Arial" w:hAnsi="Arial" w:cs="Arial"/>
          <w:sz w:val="24"/>
          <w:szCs w:val="24"/>
        </w:rPr>
      </w:pPr>
    </w:p>
    <w:p w14:paraId="03210C28" w14:textId="77777777" w:rsidR="00662C00" w:rsidRPr="0046206E" w:rsidRDefault="00662C00" w:rsidP="0046206E">
      <w:pPr>
        <w:pStyle w:val="Heading1"/>
        <w:spacing w:line="360" w:lineRule="auto"/>
        <w:rPr>
          <w:rFonts w:ascii="Arial" w:hAnsi="Arial" w:cs="Arial"/>
          <w:sz w:val="24"/>
          <w:szCs w:val="24"/>
        </w:rPr>
      </w:pPr>
    </w:p>
    <w:p w14:paraId="14BBDEAA" w14:textId="55FB66BF" w:rsidR="003B4F11" w:rsidRPr="0016794F" w:rsidRDefault="005A2F73" w:rsidP="0046206E">
      <w:pPr>
        <w:pStyle w:val="Heading1"/>
        <w:spacing w:line="360" w:lineRule="auto"/>
        <w:rPr>
          <w:rFonts w:ascii="Arial" w:hAnsi="Arial" w:cs="Arial"/>
          <w:sz w:val="28"/>
          <w:szCs w:val="28"/>
        </w:rPr>
      </w:pPr>
      <w:bookmarkStart w:id="13" w:name="_Toc233990068"/>
      <w:r w:rsidRPr="0016794F">
        <w:rPr>
          <w:rFonts w:ascii="Arial" w:hAnsi="Arial" w:cs="Arial"/>
          <w:sz w:val="28"/>
          <w:szCs w:val="28"/>
        </w:rPr>
        <w:t>6</w:t>
      </w:r>
      <w:r w:rsidR="003B4F11" w:rsidRPr="0016794F">
        <w:rPr>
          <w:rFonts w:ascii="Arial" w:hAnsi="Arial" w:cs="Arial"/>
          <w:sz w:val="28"/>
          <w:szCs w:val="28"/>
        </w:rPr>
        <w:t xml:space="preserve">.3 Strengthen Governance to </w:t>
      </w:r>
      <w:r w:rsidR="003C4D06">
        <w:rPr>
          <w:rFonts w:ascii="Arial" w:hAnsi="Arial" w:cs="Arial"/>
          <w:sz w:val="28"/>
          <w:szCs w:val="28"/>
        </w:rPr>
        <w:t>S</w:t>
      </w:r>
      <w:r w:rsidR="003B4F11" w:rsidRPr="0016794F">
        <w:rPr>
          <w:rFonts w:ascii="Arial" w:hAnsi="Arial" w:cs="Arial"/>
          <w:sz w:val="28"/>
          <w:szCs w:val="28"/>
        </w:rPr>
        <w:t xml:space="preserve">upport </w:t>
      </w:r>
      <w:r w:rsidR="006B5DDB">
        <w:rPr>
          <w:rFonts w:ascii="Arial" w:hAnsi="Arial" w:cs="Arial"/>
          <w:sz w:val="28"/>
          <w:szCs w:val="28"/>
        </w:rPr>
        <w:t>S</w:t>
      </w:r>
      <w:r w:rsidR="003B4F11" w:rsidRPr="0016794F">
        <w:rPr>
          <w:rFonts w:ascii="Arial" w:hAnsi="Arial" w:cs="Arial"/>
          <w:sz w:val="28"/>
          <w:szCs w:val="28"/>
        </w:rPr>
        <w:t>ervice improvement</w:t>
      </w:r>
      <w:bookmarkEnd w:id="13"/>
      <w:r w:rsidR="003B4F11" w:rsidRPr="0016794F">
        <w:rPr>
          <w:rFonts w:ascii="Arial" w:hAnsi="Arial" w:cs="Arial"/>
          <w:sz w:val="28"/>
          <w:szCs w:val="28"/>
        </w:rPr>
        <w:t xml:space="preserve"> </w:t>
      </w:r>
    </w:p>
    <w:p w14:paraId="4A15CB9A" w14:textId="31185F19" w:rsidR="00662C00" w:rsidRPr="0046206E" w:rsidRDefault="00662C00" w:rsidP="0046206E">
      <w:pPr>
        <w:spacing w:line="360" w:lineRule="auto"/>
        <w:rPr>
          <w:rFonts w:ascii="Arial" w:eastAsiaTheme="majorEastAsia" w:hAnsi="Arial" w:cs="Arial"/>
          <w:color w:val="0F4761" w:themeColor="accent1" w:themeShade="BF"/>
          <w:sz w:val="24"/>
          <w:szCs w:val="24"/>
        </w:rPr>
      </w:pPr>
      <w:r w:rsidRPr="0046206E">
        <w:rPr>
          <w:rFonts w:ascii="Arial" w:eastAsia="Times New Roman" w:hAnsi="Arial" w:cs="Arial"/>
          <w:kern w:val="0"/>
          <w:sz w:val="24"/>
          <w:szCs w:val="24"/>
          <w:lang w:eastAsia="en-GB"/>
          <w14:ligatures w14:val="none"/>
        </w:rPr>
        <w:t>Develop governance arrangements that allow community-based services to be introduced, evaluated and refined whilst maintaining appropriate organisational oversight.</w:t>
      </w:r>
    </w:p>
    <w:p w14:paraId="38E45CF0" w14:textId="77777777" w:rsidR="007C7439" w:rsidRPr="007C7439" w:rsidRDefault="00662C00" w:rsidP="007C7439">
      <w:pPr>
        <w:pStyle w:val="ListParagraph"/>
        <w:numPr>
          <w:ilvl w:val="0"/>
          <w:numId w:val="10"/>
        </w:numPr>
        <w:spacing w:line="360" w:lineRule="auto"/>
        <w:rPr>
          <w:rFonts w:ascii="Arial" w:hAnsi="Arial" w:cs="Arial"/>
          <w:b/>
          <w:bCs/>
          <w:sz w:val="24"/>
          <w:szCs w:val="24"/>
        </w:rPr>
      </w:pPr>
      <w:r w:rsidRPr="007C7439">
        <w:rPr>
          <w:rFonts w:ascii="Arial" w:eastAsia="Times New Roman" w:hAnsi="Arial" w:cs="Arial"/>
          <w:b/>
          <w:bCs/>
          <w:kern w:val="0"/>
          <w:sz w:val="24"/>
          <w:szCs w:val="24"/>
          <w:lang w:eastAsia="en-GB"/>
          <w14:ligatures w14:val="none"/>
        </w:rPr>
        <w:t>Strategic Argument:</w:t>
      </w:r>
      <w:r w:rsidRPr="007C7439">
        <w:rPr>
          <w:rFonts w:ascii="Arial" w:eastAsia="Times New Roman" w:hAnsi="Arial" w:cs="Arial"/>
          <w:kern w:val="0"/>
          <w:sz w:val="24"/>
          <w:szCs w:val="24"/>
          <w:lang w:eastAsia="en-GB"/>
          <w14:ligatures w14:val="none"/>
        </w:rPr>
        <w:t xml:space="preserve"> Public sector agility depends on creating an environment where organisations can learn from service improvement and adapt to changing circumstances (Ansell and Boin, 2019).</w:t>
      </w:r>
      <w:r w:rsidR="00E70924" w:rsidRPr="007C7439">
        <w:rPr>
          <w:rFonts w:ascii="Arial" w:eastAsia="Times New Roman" w:hAnsi="Arial" w:cs="Arial"/>
          <w:kern w:val="0"/>
          <w:sz w:val="24"/>
          <w:szCs w:val="24"/>
          <w:lang w:eastAsia="en-GB"/>
          <w14:ligatures w14:val="none"/>
        </w:rPr>
        <w:t xml:space="preserve"> </w:t>
      </w:r>
      <w:r w:rsidR="007C7439" w:rsidRPr="007C7439">
        <w:rPr>
          <w:rStyle w:val="Strong"/>
          <w:rFonts w:ascii="Arial" w:hAnsi="Arial" w:cs="Arial"/>
          <w:b w:val="0"/>
          <w:bCs w:val="0"/>
          <w:sz w:val="24"/>
          <w:szCs w:val="24"/>
        </w:rPr>
        <w:t>This also requires an organisational culture that supports learning and continuous improvement (Schein and Schein, 2021).</w:t>
      </w:r>
    </w:p>
    <w:p w14:paraId="0424E3E7" w14:textId="77777777" w:rsidR="00662C00" w:rsidRPr="007C7439" w:rsidRDefault="00662C00" w:rsidP="007C7439">
      <w:pPr>
        <w:pStyle w:val="ListParagraph"/>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7C7439">
        <w:rPr>
          <w:rFonts w:ascii="Arial" w:eastAsia="Times New Roman" w:hAnsi="Arial" w:cs="Arial"/>
          <w:b/>
          <w:bCs/>
          <w:kern w:val="0"/>
          <w:sz w:val="24"/>
          <w:szCs w:val="24"/>
          <w:lang w:eastAsia="en-GB"/>
          <w14:ligatures w14:val="none"/>
        </w:rPr>
        <w:t>Strategic Benefit:</w:t>
      </w:r>
      <w:r w:rsidRPr="007C7439">
        <w:rPr>
          <w:rFonts w:ascii="Arial" w:eastAsia="Times New Roman" w:hAnsi="Arial" w:cs="Arial"/>
          <w:kern w:val="0"/>
          <w:sz w:val="24"/>
          <w:szCs w:val="24"/>
          <w:lang w:eastAsia="en-GB"/>
          <w14:ligatures w14:val="none"/>
        </w:rPr>
        <w:t xml:space="preserve"> Supports continuous improvement whilst maintaining accountability and organisational resilience.</w:t>
      </w:r>
    </w:p>
    <w:p w14:paraId="77991062" w14:textId="634ADC5C" w:rsidR="00A14477" w:rsidRPr="0016794F" w:rsidRDefault="005A2F73" w:rsidP="0046206E">
      <w:pPr>
        <w:pStyle w:val="Heading1"/>
        <w:spacing w:line="360" w:lineRule="auto"/>
        <w:rPr>
          <w:rFonts w:ascii="Arial" w:hAnsi="Arial" w:cs="Arial"/>
          <w:sz w:val="28"/>
          <w:szCs w:val="28"/>
        </w:rPr>
      </w:pPr>
      <w:bookmarkStart w:id="14" w:name="_Toc233990069"/>
      <w:r w:rsidRPr="0016794F">
        <w:rPr>
          <w:rFonts w:ascii="Arial" w:hAnsi="Arial" w:cs="Arial"/>
          <w:sz w:val="28"/>
          <w:szCs w:val="28"/>
        </w:rPr>
        <w:t>6</w:t>
      </w:r>
      <w:r w:rsidR="00B97F6F" w:rsidRPr="0016794F">
        <w:rPr>
          <w:rFonts w:ascii="Arial" w:hAnsi="Arial" w:cs="Arial"/>
          <w:sz w:val="28"/>
          <w:szCs w:val="28"/>
        </w:rPr>
        <w:t>.4 Implications of the Recommendations</w:t>
      </w:r>
      <w:bookmarkEnd w:id="14"/>
    </w:p>
    <w:p w14:paraId="51A29A1F" w14:textId="49085A18" w:rsidR="00E33F62" w:rsidRPr="0046206E" w:rsidRDefault="00E33F62" w:rsidP="0046206E">
      <w:pPr>
        <w:spacing w:line="360" w:lineRule="auto"/>
        <w:rPr>
          <w:rFonts w:ascii="Arial" w:hAnsi="Arial" w:cs="Arial"/>
          <w:sz w:val="24"/>
          <w:szCs w:val="24"/>
        </w:rPr>
      </w:pPr>
      <w:r w:rsidRPr="0046206E">
        <w:rPr>
          <w:rFonts w:ascii="Arial" w:eastAsia="Times New Roman" w:hAnsi="Arial" w:cs="Arial"/>
          <w:kern w:val="0"/>
          <w:sz w:val="24"/>
          <w:szCs w:val="24"/>
          <w:lang w:eastAsia="en-GB"/>
          <w14:ligatures w14:val="none"/>
        </w:rPr>
        <w:t>Implementing these recommendations will create several organisational, financial and workforce implications that require careful management.</w:t>
      </w:r>
    </w:p>
    <w:p w14:paraId="65FF6E54" w14:textId="77777777" w:rsidR="00E33F62" w:rsidRPr="0046206E" w:rsidRDefault="00E33F62" w:rsidP="0046206E">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b/>
          <w:bCs/>
          <w:kern w:val="0"/>
          <w:sz w:val="24"/>
          <w:szCs w:val="24"/>
          <w:lang w:eastAsia="en-GB"/>
          <w14:ligatures w14:val="none"/>
        </w:rPr>
        <w:t>Resource implications:</w:t>
      </w:r>
      <w:r w:rsidRPr="0046206E">
        <w:rPr>
          <w:rFonts w:ascii="Arial" w:eastAsia="Times New Roman" w:hAnsi="Arial" w:cs="Arial"/>
          <w:kern w:val="0"/>
          <w:sz w:val="24"/>
          <w:szCs w:val="24"/>
          <w:lang w:eastAsia="en-GB"/>
          <w14:ligatures w14:val="none"/>
        </w:rPr>
        <w:t xml:space="preserve"> Expanding digital services and strengthening community teams will require investment at a time of continued financial pressure. Although this may reduce future demand on acute services, short-term financial pressures are likely during implementation.</w:t>
      </w:r>
    </w:p>
    <w:p w14:paraId="133868E8" w14:textId="77777777" w:rsidR="00E33F62" w:rsidRPr="0046206E" w:rsidRDefault="00E33F62" w:rsidP="0046206E">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b/>
          <w:bCs/>
          <w:kern w:val="0"/>
          <w:sz w:val="24"/>
          <w:szCs w:val="24"/>
          <w:lang w:eastAsia="en-GB"/>
          <w14:ligatures w14:val="none"/>
        </w:rPr>
        <w:t>Organisational culture:</w:t>
      </w:r>
      <w:r w:rsidRPr="0046206E">
        <w:rPr>
          <w:rFonts w:ascii="Arial" w:eastAsia="Times New Roman" w:hAnsi="Arial" w:cs="Arial"/>
          <w:kern w:val="0"/>
          <w:sz w:val="24"/>
          <w:szCs w:val="24"/>
          <w:lang w:eastAsia="en-GB"/>
          <w14:ligatures w14:val="none"/>
        </w:rPr>
        <w:t xml:space="preserve"> Providing greater flexibility for frontline teams will require changes to existing governance arrangements and greater support for local decision-making whilst maintaining accountability.</w:t>
      </w:r>
    </w:p>
    <w:p w14:paraId="761D3E55" w14:textId="77777777" w:rsidR="00E33F62" w:rsidRPr="0046206E" w:rsidRDefault="00E33F62" w:rsidP="0046206E">
      <w:pPr>
        <w:numPr>
          <w:ilvl w:val="0"/>
          <w:numId w:val="9"/>
        </w:numPr>
        <w:spacing w:before="100" w:beforeAutospacing="1" w:after="100" w:afterAutospacing="1" w:line="360" w:lineRule="auto"/>
        <w:rPr>
          <w:rFonts w:ascii="Arial" w:eastAsia="Times New Roman" w:hAnsi="Arial" w:cs="Arial"/>
          <w:kern w:val="0"/>
          <w:sz w:val="24"/>
          <w:szCs w:val="24"/>
          <w:lang w:eastAsia="en-GB"/>
          <w14:ligatures w14:val="none"/>
        </w:rPr>
      </w:pPr>
      <w:r w:rsidRPr="0046206E">
        <w:rPr>
          <w:rFonts w:ascii="Arial" w:eastAsia="Times New Roman" w:hAnsi="Arial" w:cs="Arial"/>
          <w:b/>
          <w:bCs/>
          <w:kern w:val="0"/>
          <w:sz w:val="24"/>
          <w:szCs w:val="24"/>
          <w:lang w:eastAsia="en-GB"/>
          <w14:ligatures w14:val="none"/>
        </w:rPr>
        <w:t>Workforce implications:</w:t>
      </w:r>
      <w:r w:rsidRPr="0046206E">
        <w:rPr>
          <w:rFonts w:ascii="Arial" w:eastAsia="Times New Roman" w:hAnsi="Arial" w:cs="Arial"/>
          <w:kern w:val="0"/>
          <w:sz w:val="24"/>
          <w:szCs w:val="24"/>
          <w:lang w:eastAsia="en-GB"/>
          <w14:ligatures w14:val="none"/>
        </w:rPr>
        <w:t xml:space="preserve"> Developing community multidisciplinary teams will require changes to staff roles, additional training and effective communication to support implementation and minimise resistance to change.</w:t>
      </w:r>
    </w:p>
    <w:p w14:paraId="6CEEFAF7" w14:textId="77777777" w:rsidR="00E33F62" w:rsidRPr="0046206E" w:rsidRDefault="00E33F62" w:rsidP="0046206E">
      <w:pPr>
        <w:spacing w:line="360" w:lineRule="auto"/>
        <w:rPr>
          <w:rFonts w:ascii="Arial" w:eastAsia="Times New Roman" w:hAnsi="Arial" w:cs="Arial"/>
          <w:b/>
          <w:bCs/>
          <w:kern w:val="0"/>
          <w:sz w:val="24"/>
          <w:szCs w:val="24"/>
          <w:lang w:eastAsia="en-GB"/>
          <w14:ligatures w14:val="none"/>
        </w:rPr>
      </w:pPr>
    </w:p>
    <w:p w14:paraId="626161D5" w14:textId="77777777" w:rsidR="00E33F62" w:rsidRPr="0046206E" w:rsidRDefault="00E33F62" w:rsidP="0046206E">
      <w:pPr>
        <w:spacing w:line="360" w:lineRule="auto"/>
        <w:rPr>
          <w:rFonts w:ascii="Arial" w:eastAsia="Times New Roman" w:hAnsi="Arial" w:cs="Arial"/>
          <w:b/>
          <w:bCs/>
          <w:kern w:val="0"/>
          <w:sz w:val="24"/>
          <w:szCs w:val="24"/>
          <w:lang w:eastAsia="en-GB"/>
          <w14:ligatures w14:val="none"/>
        </w:rPr>
      </w:pPr>
    </w:p>
    <w:p w14:paraId="236C3BB7" w14:textId="77777777" w:rsidR="007B7778" w:rsidRPr="0046206E" w:rsidRDefault="007B7778" w:rsidP="0046206E">
      <w:pPr>
        <w:spacing w:line="360" w:lineRule="auto"/>
        <w:rPr>
          <w:rFonts w:ascii="Arial" w:eastAsia="Times New Roman" w:hAnsi="Arial" w:cs="Arial"/>
          <w:b/>
          <w:kern w:val="0"/>
          <w:sz w:val="24"/>
          <w:szCs w:val="24"/>
          <w:lang w:eastAsia="en-GB"/>
          <w14:ligatures w14:val="none"/>
        </w:rPr>
      </w:pPr>
      <w:r w:rsidRPr="0046206E">
        <w:rPr>
          <w:rFonts w:ascii="Arial" w:eastAsia="Times New Roman" w:hAnsi="Arial" w:cs="Arial"/>
          <w:b/>
          <w:kern w:val="0"/>
          <w:sz w:val="24"/>
          <w:szCs w:val="24"/>
          <w:lang w:eastAsia="en-GB"/>
          <w14:ligatures w14:val="none"/>
        </w:rPr>
        <w:br w:type="page"/>
      </w:r>
    </w:p>
    <w:p w14:paraId="0EFF1757" w14:textId="4CF30DFB" w:rsidR="007B7778" w:rsidRPr="0016794F" w:rsidRDefault="001345F9" w:rsidP="0046206E">
      <w:pPr>
        <w:pStyle w:val="Heading1"/>
        <w:spacing w:line="360" w:lineRule="auto"/>
        <w:rPr>
          <w:rFonts w:ascii="Arial" w:hAnsi="Arial" w:cs="Arial"/>
          <w:sz w:val="28"/>
          <w:szCs w:val="28"/>
        </w:rPr>
      </w:pPr>
      <w:bookmarkStart w:id="15" w:name="_Toc233990070"/>
      <w:r w:rsidRPr="0016794F">
        <w:rPr>
          <w:rFonts w:ascii="Arial" w:hAnsi="Arial" w:cs="Arial"/>
          <w:sz w:val="28"/>
          <w:szCs w:val="28"/>
        </w:rPr>
        <w:lastRenderedPageBreak/>
        <w:t>References</w:t>
      </w:r>
      <w:bookmarkEnd w:id="15"/>
    </w:p>
    <w:p w14:paraId="3674D2B7" w14:textId="77777777" w:rsidR="00A324E4" w:rsidRPr="0046206E" w:rsidRDefault="00A324E4" w:rsidP="0046206E">
      <w:pPr>
        <w:spacing w:line="360" w:lineRule="auto"/>
        <w:rPr>
          <w:rFonts w:ascii="Arial" w:hAnsi="Arial" w:cs="Arial"/>
          <w:sz w:val="24"/>
          <w:szCs w:val="24"/>
        </w:rPr>
      </w:pPr>
    </w:p>
    <w:p w14:paraId="50E71669" w14:textId="77777777" w:rsidR="00D321F7" w:rsidRPr="00156228" w:rsidRDefault="00D321F7" w:rsidP="00156228">
      <w:pPr>
        <w:spacing w:after="0" w:line="360" w:lineRule="auto"/>
        <w:rPr>
          <w:rFonts w:ascii="Arial" w:eastAsia="Times New Roman" w:hAnsi="Arial" w:cs="Arial"/>
          <w:color w:val="1F1F1F"/>
          <w:kern w:val="0"/>
          <w:sz w:val="24"/>
          <w:szCs w:val="24"/>
          <w:lang w:eastAsia="en-GB"/>
          <w14:ligatures w14:val="none"/>
        </w:rPr>
      </w:pPr>
      <w:r w:rsidRPr="00156228">
        <w:rPr>
          <w:rFonts w:ascii="Arial" w:eastAsia="Times New Roman" w:hAnsi="Arial" w:cs="Arial"/>
          <w:color w:val="1F1F1F"/>
          <w:kern w:val="0"/>
          <w:sz w:val="24"/>
          <w:szCs w:val="24"/>
          <w:lang w:eastAsia="en-GB"/>
          <w14:ligatures w14:val="none"/>
        </w:rPr>
        <w:t xml:space="preserve">Ansell, C. and Boin, A. (2019) ‘Taming Deep Uncertainty: The Need for New Governance Approaches’, </w:t>
      </w:r>
      <w:r w:rsidRPr="00156228">
        <w:rPr>
          <w:rFonts w:ascii="Arial" w:eastAsia="Times New Roman" w:hAnsi="Arial" w:cs="Arial"/>
          <w:i/>
          <w:iCs/>
          <w:color w:val="1F1F1F"/>
          <w:kern w:val="0"/>
          <w:sz w:val="24"/>
          <w:szCs w:val="24"/>
          <w:bdr w:val="none" w:sz="0" w:space="0" w:color="auto" w:frame="1"/>
          <w:lang w:eastAsia="en-GB"/>
          <w14:ligatures w14:val="none"/>
        </w:rPr>
        <w:t>Public Administration Review</w:t>
      </w:r>
      <w:r w:rsidRPr="00156228">
        <w:rPr>
          <w:rFonts w:ascii="Arial" w:eastAsia="Times New Roman" w:hAnsi="Arial" w:cs="Arial"/>
          <w:color w:val="1F1F1F"/>
          <w:kern w:val="0"/>
          <w:sz w:val="24"/>
          <w:szCs w:val="24"/>
          <w:lang w:eastAsia="en-GB"/>
          <w14:ligatures w14:val="none"/>
        </w:rPr>
        <w:t>, 79(6), pp. 1079–1086.</w:t>
      </w:r>
    </w:p>
    <w:p w14:paraId="4C539EB3" w14:textId="77777777" w:rsidR="00D321F7" w:rsidRPr="00156228" w:rsidRDefault="00D321F7" w:rsidP="00156228">
      <w:pPr>
        <w:spacing w:line="360" w:lineRule="auto"/>
        <w:rPr>
          <w:rFonts w:ascii="Arial" w:hAnsi="Arial" w:cs="Arial"/>
          <w:sz w:val="24"/>
          <w:szCs w:val="24"/>
          <w:lang w:eastAsia="en-GB"/>
        </w:rPr>
      </w:pPr>
      <w:r w:rsidRPr="00156228">
        <w:rPr>
          <w:rFonts w:ascii="Arial" w:hAnsi="Arial" w:cs="Arial"/>
          <w:sz w:val="24"/>
          <w:szCs w:val="24"/>
          <w:lang w:eastAsia="en-GB"/>
        </w:rPr>
        <w:t>Ansoff, H.I. (1957) ‘Strategies for Diversification’, Harvard Business Review, 35(5), pp. 113–124.</w:t>
      </w:r>
    </w:p>
    <w:p w14:paraId="3EFC09BA" w14:textId="77777777" w:rsidR="00D321F7" w:rsidRPr="00156228" w:rsidRDefault="00D321F7" w:rsidP="00156228">
      <w:pPr>
        <w:pStyle w:val="NormalWeb"/>
        <w:spacing w:line="360" w:lineRule="auto"/>
        <w:rPr>
          <w:rFonts w:ascii="Arial" w:hAnsi="Arial" w:cs="Arial"/>
        </w:rPr>
      </w:pPr>
      <w:r w:rsidRPr="00156228">
        <w:rPr>
          <w:rFonts w:ascii="Arial" w:hAnsi="Arial" w:cs="Arial"/>
        </w:rPr>
        <w:t xml:space="preserve">Audit Wales (2025) </w:t>
      </w:r>
      <w:r w:rsidRPr="00156228">
        <w:rPr>
          <w:rStyle w:val="Emphasis"/>
          <w:rFonts w:ascii="Arial" w:hAnsi="Arial" w:cs="Arial"/>
        </w:rPr>
        <w:t>Hywel Dda University Health Board: Structured Assessment 2025</w:t>
      </w:r>
      <w:r w:rsidRPr="00156228">
        <w:rPr>
          <w:rFonts w:ascii="Arial" w:hAnsi="Arial" w:cs="Arial"/>
        </w:rPr>
        <w:t>. Cardiff: Audit Wales.</w:t>
      </w:r>
    </w:p>
    <w:p w14:paraId="660DF019" w14:textId="77777777" w:rsidR="00D321F7" w:rsidRPr="00156228" w:rsidRDefault="00D321F7" w:rsidP="00156228">
      <w:pPr>
        <w:pStyle w:val="NormalWeb"/>
        <w:spacing w:line="360" w:lineRule="auto"/>
        <w:rPr>
          <w:rFonts w:ascii="Arial" w:hAnsi="Arial" w:cs="Arial"/>
        </w:rPr>
      </w:pPr>
      <w:r w:rsidRPr="00156228">
        <w:rPr>
          <w:rFonts w:ascii="Arial" w:hAnsi="Arial" w:cs="Arial"/>
        </w:rPr>
        <w:t xml:space="preserve">Audit Wales (2026a) </w:t>
      </w:r>
      <w:r w:rsidRPr="00156228">
        <w:rPr>
          <w:rStyle w:val="Emphasis"/>
          <w:rFonts w:ascii="Arial" w:hAnsi="Arial" w:cs="Arial"/>
        </w:rPr>
        <w:t>Hywel Dda University Health Board: Annual Audit Summary 2025</w:t>
      </w:r>
      <w:r w:rsidRPr="00156228">
        <w:rPr>
          <w:rFonts w:ascii="Arial" w:hAnsi="Arial" w:cs="Arial"/>
        </w:rPr>
        <w:t>. Cardiff: Audit Wales.</w:t>
      </w:r>
    </w:p>
    <w:p w14:paraId="3FC0CC85" w14:textId="77777777" w:rsidR="00D321F7" w:rsidRPr="00156228" w:rsidRDefault="00D321F7" w:rsidP="00156228">
      <w:pPr>
        <w:pStyle w:val="NormalWeb"/>
        <w:spacing w:line="360" w:lineRule="auto"/>
        <w:rPr>
          <w:rFonts w:ascii="Arial" w:hAnsi="Arial" w:cs="Arial"/>
        </w:rPr>
      </w:pPr>
      <w:r w:rsidRPr="00156228">
        <w:rPr>
          <w:rFonts w:ascii="Arial" w:hAnsi="Arial" w:cs="Arial"/>
        </w:rPr>
        <w:t xml:space="preserve">Audit Wales (2026b) </w:t>
      </w:r>
      <w:r w:rsidRPr="00156228">
        <w:rPr>
          <w:rStyle w:val="Emphasis"/>
          <w:rFonts w:ascii="Arial" w:hAnsi="Arial" w:cs="Arial"/>
        </w:rPr>
        <w:t>NHS planned care: fit for the future?</w:t>
      </w:r>
      <w:r w:rsidRPr="00156228">
        <w:rPr>
          <w:rFonts w:ascii="Arial" w:hAnsi="Arial" w:cs="Arial"/>
        </w:rPr>
        <w:t xml:space="preserve"> Cardiff: Audit Wales.</w:t>
      </w:r>
    </w:p>
    <w:p w14:paraId="6272D132" w14:textId="77777777" w:rsidR="00D321F7" w:rsidRPr="00156228" w:rsidRDefault="00D321F7" w:rsidP="00156228">
      <w:pPr>
        <w:spacing w:line="360" w:lineRule="auto"/>
        <w:rPr>
          <w:rFonts w:ascii="Arial" w:hAnsi="Arial" w:cs="Arial"/>
          <w:sz w:val="24"/>
          <w:szCs w:val="24"/>
          <w:lang w:eastAsia="en-GB"/>
        </w:rPr>
      </w:pPr>
      <w:r w:rsidRPr="00156228">
        <w:rPr>
          <w:rFonts w:ascii="Arial" w:hAnsi="Arial" w:cs="Arial"/>
          <w:sz w:val="24"/>
          <w:szCs w:val="24"/>
          <w:lang w:eastAsia="en-GB"/>
        </w:rPr>
        <w:t>Audit Wales (2026c) Operational Performance and Waiting Times: Hywel Dda University Health Board. Cardiff: Audit Wales.</w:t>
      </w:r>
    </w:p>
    <w:p w14:paraId="69D064EC" w14:textId="77777777" w:rsidR="00D321F7" w:rsidRPr="00156228" w:rsidRDefault="00D321F7" w:rsidP="00156228">
      <w:pPr>
        <w:spacing w:line="360" w:lineRule="auto"/>
        <w:rPr>
          <w:rFonts w:ascii="Arial" w:hAnsi="Arial" w:cs="Arial"/>
          <w:sz w:val="24"/>
          <w:szCs w:val="24"/>
        </w:rPr>
      </w:pPr>
      <w:r w:rsidRPr="00156228">
        <w:rPr>
          <w:rFonts w:ascii="Arial" w:hAnsi="Arial" w:cs="Arial"/>
          <w:sz w:val="24"/>
          <w:szCs w:val="24"/>
        </w:rPr>
        <w:t xml:space="preserve">Bryson, J.M. (2018) </w:t>
      </w:r>
      <w:r w:rsidRPr="00156228">
        <w:rPr>
          <w:rStyle w:val="Emphasis"/>
          <w:rFonts w:ascii="Arial" w:hAnsi="Arial" w:cs="Arial"/>
          <w:sz w:val="24"/>
          <w:szCs w:val="24"/>
        </w:rPr>
        <w:t>Strategic Planning for Public and Nonprofit Organizations: A Guide to Strengthening and Sustaining Organizational Achievement</w:t>
      </w:r>
      <w:r w:rsidRPr="00156228">
        <w:rPr>
          <w:rFonts w:ascii="Arial" w:hAnsi="Arial" w:cs="Arial"/>
          <w:sz w:val="24"/>
          <w:szCs w:val="24"/>
        </w:rPr>
        <w:t>. 5th edn. Hoboken, NJ: John Wiley &amp; Sons.</w:t>
      </w:r>
    </w:p>
    <w:p w14:paraId="7ABC91F0" w14:textId="77777777" w:rsidR="00D321F7" w:rsidRPr="00156228" w:rsidRDefault="00D321F7" w:rsidP="00156228">
      <w:pPr>
        <w:pStyle w:val="isselectedend"/>
        <w:spacing w:line="360" w:lineRule="auto"/>
        <w:rPr>
          <w:rFonts w:ascii="Arial" w:hAnsi="Arial" w:cs="Arial"/>
        </w:rPr>
      </w:pPr>
      <w:r w:rsidRPr="00156228">
        <w:rPr>
          <w:rFonts w:ascii="Arial" w:hAnsi="Arial" w:cs="Arial"/>
        </w:rPr>
        <w:t xml:space="preserve">Coulter, A., Entwistle, V.A., Eccles, A., Ryan, S., Shepperd, S. and Perera, R. (2015) ‘Personalised care planning for adults with chronic or long-term health conditions’, </w:t>
      </w:r>
      <w:r w:rsidRPr="00156228">
        <w:rPr>
          <w:rStyle w:val="Emphasis"/>
          <w:rFonts w:ascii="Arial" w:hAnsi="Arial" w:cs="Arial"/>
        </w:rPr>
        <w:t>Cochrane Database of Systematic Reviews</w:t>
      </w:r>
      <w:r w:rsidRPr="00156228">
        <w:rPr>
          <w:rFonts w:ascii="Arial" w:hAnsi="Arial" w:cs="Arial"/>
        </w:rPr>
        <w:t>, 3(3), pp. 1–110.</w:t>
      </w:r>
    </w:p>
    <w:p w14:paraId="2F37AD15" w14:textId="77777777" w:rsidR="00D321F7" w:rsidRPr="00156228" w:rsidRDefault="00D321F7" w:rsidP="00156228">
      <w:pPr>
        <w:spacing w:line="360" w:lineRule="auto"/>
        <w:rPr>
          <w:rFonts w:ascii="Arial" w:hAnsi="Arial" w:cs="Arial"/>
          <w:sz w:val="24"/>
          <w:szCs w:val="24"/>
        </w:rPr>
      </w:pPr>
      <w:r w:rsidRPr="00156228">
        <w:rPr>
          <w:rFonts w:ascii="Arial" w:hAnsi="Arial" w:cs="Arial"/>
          <w:sz w:val="24"/>
          <w:szCs w:val="24"/>
        </w:rPr>
        <w:t>Fulop, N.J., Ramsay, A.I.G., Perry, C., Boaden, R.J., McKevitt, C., Ritchie, B., Ariss, S., Anderson, J.E., Barlow, J., Black, N. and Dixon-Woods, M. (2019) ‘Explaining outcomes in major system change: a qualitative study of implementing centralised acute stroke services in two large metropolitan regions in England’, Implementation Science, 14(1), pp. 1–16.</w:t>
      </w:r>
    </w:p>
    <w:p w14:paraId="05F7D314" w14:textId="77777777" w:rsidR="00D321F7" w:rsidRPr="00156228" w:rsidRDefault="00D321F7" w:rsidP="00156228">
      <w:pPr>
        <w:spacing w:line="360" w:lineRule="auto"/>
        <w:rPr>
          <w:rFonts w:ascii="Arial" w:hAnsi="Arial" w:cs="Arial"/>
          <w:sz w:val="24"/>
          <w:szCs w:val="24"/>
        </w:rPr>
      </w:pPr>
      <w:r w:rsidRPr="00156228">
        <w:rPr>
          <w:rFonts w:ascii="Arial" w:hAnsi="Arial" w:cs="Arial"/>
          <w:sz w:val="24"/>
          <w:szCs w:val="24"/>
        </w:rPr>
        <w:t xml:space="preserve">Grant, R.M. (2022) </w:t>
      </w:r>
      <w:r w:rsidRPr="00156228">
        <w:rPr>
          <w:rStyle w:val="Emphasis"/>
          <w:rFonts w:ascii="Arial" w:hAnsi="Arial" w:cs="Arial"/>
          <w:sz w:val="24"/>
          <w:szCs w:val="24"/>
        </w:rPr>
        <w:t>Contemporary Strategy Analysis</w:t>
      </w:r>
      <w:r w:rsidRPr="00156228">
        <w:rPr>
          <w:rFonts w:ascii="Arial" w:hAnsi="Arial" w:cs="Arial"/>
          <w:sz w:val="24"/>
          <w:szCs w:val="24"/>
        </w:rPr>
        <w:t>. 11th edn. Hoboken: Wiley</w:t>
      </w:r>
      <w:r w:rsidRPr="00156228">
        <w:rPr>
          <w:rFonts w:ascii="Arial" w:hAnsi="Arial" w:cs="Arial"/>
          <w:sz w:val="24"/>
          <w:szCs w:val="24"/>
        </w:rPr>
        <w:t>.</w:t>
      </w:r>
    </w:p>
    <w:p w14:paraId="0F694E95" w14:textId="77777777" w:rsidR="00D321F7" w:rsidRPr="00156228" w:rsidRDefault="00D321F7" w:rsidP="00156228">
      <w:pPr>
        <w:pStyle w:val="NormalWeb"/>
        <w:spacing w:line="360" w:lineRule="auto"/>
        <w:rPr>
          <w:rFonts w:ascii="Arial" w:hAnsi="Arial" w:cs="Arial"/>
        </w:rPr>
      </w:pPr>
      <w:r w:rsidRPr="00156228">
        <w:rPr>
          <w:rFonts w:ascii="Arial" w:hAnsi="Arial" w:cs="Arial"/>
        </w:rPr>
        <w:t xml:space="preserve">Health Education and Improvement Wales (2025) </w:t>
      </w:r>
      <w:r w:rsidRPr="00156228">
        <w:rPr>
          <w:rStyle w:val="Emphasis"/>
          <w:rFonts w:ascii="Arial" w:hAnsi="Arial" w:cs="Arial"/>
        </w:rPr>
        <w:t>NHS Wales Staff Survey 2024: National Findings Report</w:t>
      </w:r>
      <w:r w:rsidRPr="00156228">
        <w:rPr>
          <w:rFonts w:ascii="Arial" w:hAnsi="Arial" w:cs="Arial"/>
        </w:rPr>
        <w:t>. Cardiff: HEIW.</w:t>
      </w:r>
    </w:p>
    <w:p w14:paraId="55F852F7" w14:textId="77777777" w:rsidR="00D321F7" w:rsidRPr="00156228" w:rsidRDefault="00D321F7" w:rsidP="00156228">
      <w:pPr>
        <w:spacing w:before="100" w:beforeAutospacing="1" w:after="100" w:afterAutospacing="1" w:line="360" w:lineRule="auto"/>
        <w:rPr>
          <w:rFonts w:ascii="Arial" w:eastAsia="Times New Roman" w:hAnsi="Arial" w:cs="Arial"/>
          <w:kern w:val="0"/>
          <w:sz w:val="24"/>
          <w:szCs w:val="24"/>
          <w:lang w:eastAsia="en-GB"/>
          <w14:ligatures w14:val="none"/>
        </w:rPr>
      </w:pPr>
      <w:r w:rsidRPr="00156228">
        <w:rPr>
          <w:rFonts w:ascii="Arial" w:eastAsia="Times New Roman" w:hAnsi="Arial" w:cs="Arial"/>
          <w:kern w:val="0"/>
          <w:sz w:val="24"/>
          <w:szCs w:val="24"/>
          <w:lang w:eastAsia="en-GB"/>
          <w14:ligatures w14:val="none"/>
        </w:rPr>
        <w:lastRenderedPageBreak/>
        <w:t xml:space="preserve">Health Foundation (2026) </w:t>
      </w:r>
      <w:r w:rsidRPr="00156228">
        <w:rPr>
          <w:rFonts w:ascii="Arial" w:eastAsia="Times New Roman" w:hAnsi="Arial" w:cs="Arial"/>
          <w:i/>
          <w:iCs/>
          <w:kern w:val="0"/>
          <w:sz w:val="24"/>
          <w:szCs w:val="24"/>
          <w:lang w:eastAsia="en-GB"/>
          <w14:ligatures w14:val="none"/>
        </w:rPr>
        <w:t>Fiscal sustainability of the NHS in Wales</w:t>
      </w:r>
      <w:r w:rsidRPr="00156228">
        <w:rPr>
          <w:rFonts w:ascii="Arial" w:eastAsia="Times New Roman" w:hAnsi="Arial" w:cs="Arial"/>
          <w:kern w:val="0"/>
          <w:sz w:val="24"/>
          <w:szCs w:val="24"/>
          <w:lang w:eastAsia="en-GB"/>
          <w14:ligatures w14:val="none"/>
        </w:rPr>
        <w:t>. London: The Health Foundation.</w:t>
      </w:r>
    </w:p>
    <w:p w14:paraId="3293A759" w14:textId="77777777" w:rsidR="00D321F7" w:rsidRPr="00156228" w:rsidRDefault="00D321F7" w:rsidP="00156228">
      <w:pPr>
        <w:pStyle w:val="isselectedend"/>
        <w:spacing w:line="360" w:lineRule="auto"/>
        <w:rPr>
          <w:rFonts w:ascii="Arial" w:hAnsi="Arial" w:cs="Arial"/>
        </w:rPr>
      </w:pPr>
      <w:r w:rsidRPr="00156228">
        <w:rPr>
          <w:rFonts w:ascii="Arial" w:hAnsi="Arial" w:cs="Arial"/>
        </w:rPr>
        <w:t xml:space="preserve">Hywel Dda University Health Board (2025a) </w:t>
      </w:r>
      <w:r w:rsidRPr="00156228">
        <w:rPr>
          <w:rStyle w:val="Emphasis"/>
          <w:rFonts w:ascii="Arial" w:hAnsi="Arial" w:cs="Arial"/>
        </w:rPr>
        <w:t>Annual Plan 2025–2026</w:t>
      </w:r>
      <w:r w:rsidRPr="00156228">
        <w:rPr>
          <w:rFonts w:ascii="Arial" w:hAnsi="Arial" w:cs="Arial"/>
        </w:rPr>
        <w:t>. Carmarthen: Hywel Dda University Health Board.</w:t>
      </w:r>
    </w:p>
    <w:p w14:paraId="6587BE19" w14:textId="77777777" w:rsidR="00D321F7" w:rsidRPr="00156228" w:rsidRDefault="00D321F7" w:rsidP="00156228">
      <w:pPr>
        <w:pStyle w:val="isselectedend"/>
        <w:spacing w:line="360" w:lineRule="auto"/>
        <w:rPr>
          <w:rFonts w:ascii="Arial" w:hAnsi="Arial" w:cs="Arial"/>
        </w:rPr>
      </w:pPr>
      <w:r w:rsidRPr="00156228">
        <w:rPr>
          <w:rFonts w:ascii="Arial" w:hAnsi="Arial" w:cs="Arial"/>
        </w:rPr>
        <w:t xml:space="preserve">Hywel Dda University Health Board (2025b) </w:t>
      </w:r>
      <w:r w:rsidRPr="00156228">
        <w:rPr>
          <w:rStyle w:val="Emphasis"/>
          <w:rFonts w:ascii="Arial" w:hAnsi="Arial" w:cs="Arial"/>
        </w:rPr>
        <w:t>Annual Report and Accounts 2024–2025</w:t>
      </w:r>
      <w:r w:rsidRPr="00156228">
        <w:rPr>
          <w:rFonts w:ascii="Arial" w:hAnsi="Arial" w:cs="Arial"/>
        </w:rPr>
        <w:t>. Carmarthen: Hywel Dda University Health Board.</w:t>
      </w:r>
    </w:p>
    <w:p w14:paraId="2394AAD6" w14:textId="77777777" w:rsidR="00D321F7" w:rsidRPr="00156228" w:rsidRDefault="00D321F7" w:rsidP="00156228">
      <w:pPr>
        <w:pStyle w:val="isselectedend"/>
        <w:spacing w:line="360" w:lineRule="auto"/>
        <w:rPr>
          <w:rFonts w:ascii="Arial" w:hAnsi="Arial" w:cs="Arial"/>
        </w:rPr>
      </w:pPr>
      <w:r w:rsidRPr="00156228">
        <w:rPr>
          <w:rFonts w:ascii="Arial" w:hAnsi="Arial" w:cs="Arial"/>
        </w:rPr>
        <w:t xml:space="preserve">Hywel Dda University Health Board (2026) </w:t>
      </w:r>
      <w:r w:rsidRPr="00156228">
        <w:rPr>
          <w:rStyle w:val="Emphasis"/>
          <w:rFonts w:ascii="Arial" w:hAnsi="Arial" w:cs="Arial"/>
        </w:rPr>
        <w:t>A Healthier Mid and West Wales: Healthier Lives, Well Lived</w:t>
      </w:r>
      <w:r w:rsidRPr="00156228">
        <w:rPr>
          <w:rFonts w:ascii="Arial" w:hAnsi="Arial" w:cs="Arial"/>
        </w:rPr>
        <w:t>. Carmarthen: Hywel Dda University Health Board.</w:t>
      </w:r>
    </w:p>
    <w:p w14:paraId="196AA0D9" w14:textId="77777777" w:rsidR="00D321F7" w:rsidRPr="00156228" w:rsidRDefault="00D321F7" w:rsidP="00156228">
      <w:pPr>
        <w:pStyle w:val="NormalWeb"/>
        <w:spacing w:line="360" w:lineRule="auto"/>
        <w:rPr>
          <w:rFonts w:ascii="Arial" w:hAnsi="Arial" w:cs="Arial"/>
        </w:rPr>
      </w:pPr>
      <w:r w:rsidRPr="00156228">
        <w:rPr>
          <w:rFonts w:ascii="Arial" w:hAnsi="Arial" w:cs="Arial"/>
        </w:rPr>
        <w:t xml:space="preserve">Hywel Dda University Health Board (2026a) </w:t>
      </w:r>
      <w:r w:rsidRPr="00156228">
        <w:rPr>
          <w:rStyle w:val="Emphasis"/>
          <w:rFonts w:ascii="Arial" w:hAnsi="Arial" w:cs="Arial"/>
        </w:rPr>
        <w:t>Community by Design Strategic Plan</w:t>
      </w:r>
      <w:r w:rsidRPr="00156228">
        <w:rPr>
          <w:rFonts w:ascii="Arial" w:hAnsi="Arial" w:cs="Arial"/>
        </w:rPr>
        <w:t>. Carmarthen: Hywel Dda University Health Board.</w:t>
      </w:r>
    </w:p>
    <w:p w14:paraId="2AA954CA" w14:textId="77777777" w:rsidR="00D321F7" w:rsidRPr="00156228" w:rsidRDefault="00D321F7" w:rsidP="00156228">
      <w:pPr>
        <w:pStyle w:val="NormalWeb"/>
        <w:spacing w:line="360" w:lineRule="auto"/>
        <w:rPr>
          <w:rFonts w:ascii="Arial" w:hAnsi="Arial" w:cs="Arial"/>
        </w:rPr>
      </w:pPr>
      <w:r w:rsidRPr="00156228">
        <w:rPr>
          <w:rFonts w:ascii="Arial" w:hAnsi="Arial" w:cs="Arial"/>
        </w:rPr>
        <w:t xml:space="preserve">Hywel Dda University Health Board (2026b) </w:t>
      </w:r>
      <w:r w:rsidRPr="00156228">
        <w:rPr>
          <w:rStyle w:val="Emphasis"/>
          <w:rFonts w:ascii="Arial" w:hAnsi="Arial" w:cs="Arial"/>
        </w:rPr>
        <w:t>Annual Plan 2026/27</w:t>
      </w:r>
      <w:r w:rsidRPr="00156228">
        <w:rPr>
          <w:rFonts w:ascii="Arial" w:hAnsi="Arial" w:cs="Arial"/>
        </w:rPr>
        <w:t>. Carmarthen: Hywel Dda University Health Board.</w:t>
      </w:r>
    </w:p>
    <w:p w14:paraId="3D268673" w14:textId="77777777" w:rsidR="00D321F7" w:rsidRPr="00156228" w:rsidRDefault="00D321F7" w:rsidP="00156228">
      <w:pPr>
        <w:pStyle w:val="NormalWeb"/>
        <w:spacing w:line="360" w:lineRule="auto"/>
        <w:rPr>
          <w:rFonts w:ascii="Arial" w:hAnsi="Arial" w:cs="Arial"/>
        </w:rPr>
      </w:pPr>
      <w:r w:rsidRPr="00156228">
        <w:rPr>
          <w:rFonts w:ascii="Arial" w:hAnsi="Arial" w:cs="Arial"/>
        </w:rPr>
        <w:t xml:space="preserve">Hywel Dda University Health Board (2026c) </w:t>
      </w:r>
      <w:r w:rsidRPr="00156228">
        <w:rPr>
          <w:rStyle w:val="Emphasis"/>
          <w:rFonts w:ascii="Arial" w:hAnsi="Arial" w:cs="Arial"/>
        </w:rPr>
        <w:t>Annual Plan 2025/26 Closure Report</w:t>
      </w:r>
      <w:r w:rsidRPr="00156228">
        <w:rPr>
          <w:rFonts w:ascii="Arial" w:hAnsi="Arial" w:cs="Arial"/>
        </w:rPr>
        <w:t>. Carmarthen: Hywel Dda University Health Board.</w:t>
      </w:r>
    </w:p>
    <w:p w14:paraId="0A00C50B" w14:textId="77777777" w:rsidR="00D321F7" w:rsidRPr="00156228" w:rsidRDefault="00D321F7" w:rsidP="00156228">
      <w:pPr>
        <w:pStyle w:val="NormalWeb"/>
        <w:spacing w:line="360" w:lineRule="auto"/>
        <w:rPr>
          <w:rFonts w:ascii="Arial" w:hAnsi="Arial" w:cs="Arial"/>
        </w:rPr>
      </w:pPr>
      <w:r w:rsidRPr="00156228">
        <w:rPr>
          <w:rFonts w:ascii="Arial" w:hAnsi="Arial" w:cs="Arial"/>
        </w:rPr>
        <w:t xml:space="preserve">Ignatowicz, A., Tarrant, C., Mannion, R., Liberati, E., Conroy, S., Richards, N., Bowie, P., Skrypak, M. and Dixon-Woods, M. (2023) ‘Organizational resilience in healthcare: a review and descriptive narrative synthesis of approaches to resilience measurement and assessment in empirical studies’, </w:t>
      </w:r>
      <w:r w:rsidRPr="00156228">
        <w:rPr>
          <w:rStyle w:val="Emphasis"/>
          <w:rFonts w:ascii="Arial" w:hAnsi="Arial" w:cs="Arial"/>
        </w:rPr>
        <w:t>BMC Health Services Research</w:t>
      </w:r>
      <w:r w:rsidRPr="00156228">
        <w:rPr>
          <w:rFonts w:ascii="Arial" w:hAnsi="Arial" w:cs="Arial"/>
        </w:rPr>
        <w:t>, 23, article 376.</w:t>
      </w:r>
    </w:p>
    <w:p w14:paraId="5A93F39D" w14:textId="77777777" w:rsidR="00D321F7" w:rsidRPr="00156228" w:rsidRDefault="00D321F7" w:rsidP="00156228">
      <w:pPr>
        <w:pStyle w:val="isselectedend"/>
        <w:spacing w:line="360" w:lineRule="auto"/>
        <w:rPr>
          <w:rFonts w:ascii="Arial" w:hAnsi="Arial" w:cs="Arial"/>
        </w:rPr>
      </w:pPr>
      <w:r w:rsidRPr="00156228">
        <w:rPr>
          <w:rFonts w:ascii="Arial" w:hAnsi="Arial" w:cs="Arial"/>
        </w:rPr>
        <w:t xml:space="preserve">Johnson, G., Whittington, R., Scholes, K., Angwin, D. and Regnér, P. (2023) </w:t>
      </w:r>
      <w:r w:rsidRPr="00156228">
        <w:rPr>
          <w:rStyle w:val="Emphasis"/>
          <w:rFonts w:ascii="Arial" w:hAnsi="Arial" w:cs="Arial"/>
        </w:rPr>
        <w:t>Exploring Strategy</w:t>
      </w:r>
      <w:r w:rsidRPr="00156228">
        <w:rPr>
          <w:rFonts w:ascii="Arial" w:hAnsi="Arial" w:cs="Arial"/>
        </w:rPr>
        <w:t>. 13th edn. Harlow: Pearson Education.</w:t>
      </w:r>
    </w:p>
    <w:p w14:paraId="78F5A5D9" w14:textId="77777777" w:rsidR="00D321F7" w:rsidRPr="00156228" w:rsidRDefault="00D321F7" w:rsidP="00156228">
      <w:pPr>
        <w:spacing w:line="360" w:lineRule="auto"/>
        <w:rPr>
          <w:rFonts w:ascii="Arial" w:hAnsi="Arial" w:cs="Arial"/>
          <w:sz w:val="24"/>
          <w:szCs w:val="24"/>
          <w:lang w:eastAsia="en-GB"/>
        </w:rPr>
      </w:pPr>
      <w:r w:rsidRPr="00156228">
        <w:rPr>
          <w:rFonts w:ascii="Arial" w:hAnsi="Arial" w:cs="Arial"/>
          <w:sz w:val="24"/>
          <w:szCs w:val="24"/>
          <w:lang w:eastAsia="en-GB"/>
        </w:rPr>
        <w:t>MacAskill, S., Jones, R., Davies, H. and Thomas, B. (2026) ‘Digital infrastructure and remote health delivery in rural Wales’, Welsh Journal of Healthcare, 18(2), pp. 45–59.</w:t>
      </w:r>
    </w:p>
    <w:p w14:paraId="02E8718B" w14:textId="77777777" w:rsidR="00D321F7" w:rsidRPr="00156228" w:rsidRDefault="00D321F7" w:rsidP="00156228">
      <w:pPr>
        <w:spacing w:before="100" w:beforeAutospacing="1" w:after="100" w:afterAutospacing="1" w:line="360" w:lineRule="auto"/>
        <w:rPr>
          <w:rFonts w:ascii="Arial" w:eastAsia="Times New Roman" w:hAnsi="Arial" w:cs="Arial"/>
          <w:kern w:val="0"/>
          <w:sz w:val="24"/>
          <w:szCs w:val="24"/>
          <w:lang w:eastAsia="en-GB"/>
          <w14:ligatures w14:val="none"/>
        </w:rPr>
      </w:pPr>
      <w:r w:rsidRPr="00156228">
        <w:rPr>
          <w:rFonts w:ascii="Arial" w:eastAsia="Times New Roman" w:hAnsi="Arial" w:cs="Arial"/>
          <w:kern w:val="0"/>
          <w:sz w:val="24"/>
          <w:szCs w:val="24"/>
          <w:lang w:eastAsia="en-GB"/>
          <w14:ligatures w14:val="none"/>
        </w:rPr>
        <w:t xml:space="preserve">MacAskill, W., Macdonald, J., Cleland, J., Gibson, J. and MacVicar, R. (2026) ‘A systematic review of the scope and impact of rural digital health technology innovations within primary care’, </w:t>
      </w:r>
      <w:r w:rsidRPr="00156228">
        <w:rPr>
          <w:rFonts w:ascii="Arial" w:eastAsia="Times New Roman" w:hAnsi="Arial" w:cs="Arial"/>
          <w:i/>
          <w:iCs/>
          <w:kern w:val="0"/>
          <w:sz w:val="24"/>
          <w:szCs w:val="24"/>
          <w:lang w:eastAsia="en-GB"/>
          <w14:ligatures w14:val="none"/>
        </w:rPr>
        <w:t>BMJ Open</w:t>
      </w:r>
      <w:r w:rsidRPr="00156228">
        <w:rPr>
          <w:rFonts w:ascii="Arial" w:eastAsia="Times New Roman" w:hAnsi="Arial" w:cs="Arial"/>
          <w:kern w:val="0"/>
          <w:sz w:val="24"/>
          <w:szCs w:val="24"/>
          <w:lang w:eastAsia="en-GB"/>
          <w14:ligatures w14:val="none"/>
        </w:rPr>
        <w:t>, 16(1), e097874.</w:t>
      </w:r>
    </w:p>
    <w:p w14:paraId="2A5890C7" w14:textId="77777777" w:rsidR="00D321F7" w:rsidRPr="00237BB7" w:rsidRDefault="00D321F7" w:rsidP="00D321F7">
      <w:pPr>
        <w:spacing w:line="360" w:lineRule="auto"/>
        <w:rPr>
          <w:rFonts w:ascii="Arial" w:hAnsi="Arial" w:cs="Arial"/>
          <w:b/>
          <w:bCs/>
          <w:sz w:val="24"/>
          <w:szCs w:val="24"/>
        </w:rPr>
      </w:pPr>
      <w:r w:rsidRPr="00237BB7">
        <w:rPr>
          <w:rFonts w:ascii="Arial" w:hAnsi="Arial" w:cs="Arial"/>
          <w:sz w:val="24"/>
          <w:szCs w:val="24"/>
        </w:rPr>
        <w:lastRenderedPageBreak/>
        <w:t xml:space="preserve">Mintzberg, H., Ahlstrand, B. and Lampel, J. (2020) </w:t>
      </w:r>
      <w:r w:rsidRPr="00237BB7">
        <w:rPr>
          <w:rStyle w:val="Emphasis"/>
          <w:rFonts w:ascii="Arial" w:hAnsi="Arial" w:cs="Arial"/>
          <w:sz w:val="24"/>
          <w:szCs w:val="24"/>
        </w:rPr>
        <w:t>Strategy Safari: Your Complete Guide Through the Wilds of Strategic Management</w:t>
      </w:r>
      <w:r w:rsidRPr="00237BB7">
        <w:rPr>
          <w:rFonts w:ascii="Arial" w:hAnsi="Arial" w:cs="Arial"/>
          <w:sz w:val="24"/>
          <w:szCs w:val="24"/>
        </w:rPr>
        <w:t>. 3rd edn. Harlow: Pearson.</w:t>
      </w:r>
    </w:p>
    <w:p w14:paraId="22B6ED60" w14:textId="77777777" w:rsidR="00D321F7" w:rsidRPr="00156228" w:rsidRDefault="00D321F7" w:rsidP="00156228">
      <w:pPr>
        <w:spacing w:line="360" w:lineRule="auto"/>
        <w:rPr>
          <w:rFonts w:ascii="Arial" w:hAnsi="Arial" w:cs="Arial"/>
          <w:sz w:val="24"/>
          <w:szCs w:val="24"/>
        </w:rPr>
      </w:pPr>
      <w:r w:rsidRPr="00156228">
        <w:rPr>
          <w:rFonts w:ascii="Arial" w:hAnsi="Arial" w:cs="Arial"/>
          <w:sz w:val="24"/>
          <w:szCs w:val="24"/>
        </w:rPr>
        <w:t>Murphy, S., O’Shea, E., Keogh, B., Larkin, P. and Cornally, N. (2025) ‘How do older people experience person-centred integrated care? An integrative review of the evidence’, International Journal of Integrated Care, 25(1), pp. 1–17.</w:t>
      </w:r>
    </w:p>
    <w:p w14:paraId="5EBD4681" w14:textId="77777777" w:rsidR="00D321F7" w:rsidRPr="00156228" w:rsidRDefault="00D321F7" w:rsidP="00156228">
      <w:pPr>
        <w:spacing w:before="100" w:beforeAutospacing="1" w:after="100" w:afterAutospacing="1" w:line="360" w:lineRule="auto"/>
        <w:rPr>
          <w:rFonts w:ascii="Arial" w:eastAsia="Times New Roman" w:hAnsi="Arial" w:cs="Arial"/>
          <w:kern w:val="0"/>
          <w:sz w:val="24"/>
          <w:szCs w:val="24"/>
          <w:lang w:eastAsia="en-GB"/>
          <w14:ligatures w14:val="none"/>
        </w:rPr>
      </w:pPr>
      <w:r w:rsidRPr="00156228">
        <w:rPr>
          <w:rFonts w:ascii="Arial" w:eastAsia="Times New Roman" w:hAnsi="Arial" w:cs="Arial"/>
          <w:kern w:val="0"/>
          <w:sz w:val="24"/>
          <w:szCs w:val="24"/>
          <w:lang w:eastAsia="en-GB"/>
          <w14:ligatures w14:val="none"/>
        </w:rPr>
        <w:t xml:space="preserve">Nasir, B.F., Schulz, P.J., Schwarzer, R. and Raftery, J. (2024) ‘Can digital innovation transform rural primary health care? A systematic review of the use and integration of digital health technology’, </w:t>
      </w:r>
      <w:r w:rsidRPr="00156228">
        <w:rPr>
          <w:rFonts w:ascii="Arial" w:eastAsia="Times New Roman" w:hAnsi="Arial" w:cs="Arial"/>
          <w:i/>
          <w:iCs/>
          <w:kern w:val="0"/>
          <w:sz w:val="24"/>
          <w:szCs w:val="24"/>
          <w:lang w:eastAsia="en-GB"/>
          <w14:ligatures w14:val="none"/>
        </w:rPr>
        <w:t>BMJ Open</w:t>
      </w:r>
      <w:r w:rsidRPr="00156228">
        <w:rPr>
          <w:rFonts w:ascii="Arial" w:eastAsia="Times New Roman" w:hAnsi="Arial" w:cs="Arial"/>
          <w:kern w:val="0"/>
          <w:sz w:val="24"/>
          <w:szCs w:val="24"/>
          <w:lang w:eastAsia="en-GB"/>
          <w14:ligatures w14:val="none"/>
        </w:rPr>
        <w:t>, 14(6), e083152.</w:t>
      </w:r>
    </w:p>
    <w:p w14:paraId="1E469968" w14:textId="77777777" w:rsidR="00D321F7" w:rsidRPr="00156228" w:rsidRDefault="00D321F7" w:rsidP="00156228">
      <w:pPr>
        <w:pStyle w:val="NormalWeb"/>
        <w:spacing w:line="360" w:lineRule="auto"/>
        <w:rPr>
          <w:rFonts w:ascii="Arial" w:hAnsi="Arial" w:cs="Arial"/>
        </w:rPr>
      </w:pPr>
      <w:r w:rsidRPr="00156228">
        <w:rPr>
          <w:rFonts w:ascii="Arial" w:hAnsi="Arial" w:cs="Arial"/>
        </w:rPr>
        <w:t xml:space="preserve">NHS England (2022) </w:t>
      </w:r>
      <w:r w:rsidRPr="00156228">
        <w:rPr>
          <w:rStyle w:val="Emphasis"/>
          <w:rFonts w:ascii="Arial" w:hAnsi="Arial" w:cs="Arial"/>
        </w:rPr>
        <w:t>A plan for digital health and social care</w:t>
      </w:r>
      <w:r w:rsidRPr="00156228">
        <w:rPr>
          <w:rFonts w:ascii="Arial" w:hAnsi="Arial" w:cs="Arial"/>
        </w:rPr>
        <w:t>. London: Department of Health and Social Care.</w:t>
      </w:r>
    </w:p>
    <w:p w14:paraId="1577FCC1" w14:textId="77777777" w:rsidR="00D321F7" w:rsidRPr="00156228" w:rsidRDefault="00D321F7" w:rsidP="00156228">
      <w:pPr>
        <w:pStyle w:val="isselectedend"/>
        <w:spacing w:line="360" w:lineRule="auto"/>
        <w:rPr>
          <w:rFonts w:ascii="Arial" w:hAnsi="Arial" w:cs="Arial"/>
        </w:rPr>
      </w:pPr>
      <w:r w:rsidRPr="00156228">
        <w:rPr>
          <w:rFonts w:ascii="Arial" w:hAnsi="Arial" w:cs="Arial"/>
        </w:rPr>
        <w:t xml:space="preserve">NHS Wales (2024) </w:t>
      </w:r>
      <w:r w:rsidRPr="00156228">
        <w:rPr>
          <w:rStyle w:val="Emphasis"/>
          <w:rFonts w:ascii="Arial" w:hAnsi="Arial" w:cs="Arial"/>
        </w:rPr>
        <w:t>NHS Wales Planning Framework 2024–2027</w:t>
      </w:r>
      <w:r w:rsidRPr="00156228">
        <w:rPr>
          <w:rFonts w:ascii="Arial" w:hAnsi="Arial" w:cs="Arial"/>
        </w:rPr>
        <w:t>. Cardiff: NHS Wales.</w:t>
      </w:r>
    </w:p>
    <w:p w14:paraId="37284703" w14:textId="77777777" w:rsidR="00D321F7" w:rsidRPr="00156228" w:rsidRDefault="00D321F7" w:rsidP="00156228">
      <w:pPr>
        <w:spacing w:before="100" w:beforeAutospacing="1" w:after="100" w:afterAutospacing="1" w:line="360" w:lineRule="auto"/>
        <w:rPr>
          <w:rFonts w:ascii="Arial" w:eastAsia="Times New Roman" w:hAnsi="Arial" w:cs="Arial"/>
          <w:kern w:val="0"/>
          <w:sz w:val="24"/>
          <w:szCs w:val="24"/>
          <w:lang w:eastAsia="en-GB"/>
          <w14:ligatures w14:val="none"/>
        </w:rPr>
      </w:pPr>
      <w:r w:rsidRPr="00156228">
        <w:rPr>
          <w:rFonts w:ascii="Arial" w:eastAsia="Times New Roman" w:hAnsi="Arial" w:cs="Arial"/>
          <w:kern w:val="0"/>
          <w:sz w:val="24"/>
          <w:szCs w:val="24"/>
          <w:lang w:eastAsia="en-GB"/>
          <w14:ligatures w14:val="none"/>
        </w:rPr>
        <w:t xml:space="preserve">NHS Wales (2025) </w:t>
      </w:r>
      <w:r w:rsidRPr="00156228">
        <w:rPr>
          <w:rFonts w:ascii="Arial" w:eastAsia="Times New Roman" w:hAnsi="Arial" w:cs="Arial"/>
          <w:i/>
          <w:iCs/>
          <w:kern w:val="0"/>
          <w:sz w:val="24"/>
          <w:szCs w:val="24"/>
          <w:lang w:eastAsia="en-GB"/>
          <w14:ligatures w14:val="none"/>
        </w:rPr>
        <w:t>NHS Wales Performance Framework and Guidance 2025–2026</w:t>
      </w:r>
      <w:r w:rsidRPr="00156228">
        <w:rPr>
          <w:rFonts w:ascii="Arial" w:eastAsia="Times New Roman" w:hAnsi="Arial" w:cs="Arial"/>
          <w:kern w:val="0"/>
          <w:sz w:val="24"/>
          <w:szCs w:val="24"/>
          <w:lang w:eastAsia="en-GB"/>
          <w14:ligatures w14:val="none"/>
        </w:rPr>
        <w:t>. Cardiff: NHS Wales.</w:t>
      </w:r>
    </w:p>
    <w:p w14:paraId="1F392232" w14:textId="77777777" w:rsidR="00D321F7" w:rsidRPr="00156228" w:rsidRDefault="00D321F7" w:rsidP="00156228">
      <w:pPr>
        <w:spacing w:before="100" w:beforeAutospacing="1" w:after="100" w:afterAutospacing="1" w:line="360" w:lineRule="auto"/>
        <w:rPr>
          <w:rFonts w:ascii="Arial" w:eastAsia="Times New Roman" w:hAnsi="Arial" w:cs="Arial"/>
          <w:kern w:val="0"/>
          <w:sz w:val="24"/>
          <w:szCs w:val="24"/>
          <w:lang w:eastAsia="en-GB"/>
          <w14:ligatures w14:val="none"/>
        </w:rPr>
      </w:pPr>
      <w:r w:rsidRPr="00156228">
        <w:rPr>
          <w:rFonts w:ascii="Arial" w:eastAsia="Times New Roman" w:hAnsi="Arial" w:cs="Arial"/>
          <w:kern w:val="0"/>
          <w:sz w:val="24"/>
          <w:szCs w:val="24"/>
          <w:lang w:eastAsia="en-GB"/>
          <w14:ligatures w14:val="none"/>
        </w:rPr>
        <w:t xml:space="preserve">NHS Wales Joint Commissioning Committee (2025) </w:t>
      </w:r>
      <w:r w:rsidRPr="00156228">
        <w:rPr>
          <w:rFonts w:ascii="Arial" w:eastAsia="Times New Roman" w:hAnsi="Arial" w:cs="Arial"/>
          <w:i/>
          <w:iCs/>
          <w:kern w:val="0"/>
          <w:sz w:val="24"/>
          <w:szCs w:val="24"/>
          <w:lang w:eastAsia="en-GB"/>
          <w14:ligatures w14:val="none"/>
        </w:rPr>
        <w:t>NHS Wales Technical Planning Guidance 2025–2028</w:t>
      </w:r>
      <w:r w:rsidRPr="00156228">
        <w:rPr>
          <w:rFonts w:ascii="Arial" w:eastAsia="Times New Roman" w:hAnsi="Arial" w:cs="Arial"/>
          <w:kern w:val="0"/>
          <w:sz w:val="24"/>
          <w:szCs w:val="24"/>
          <w:lang w:eastAsia="en-GB"/>
          <w14:ligatures w14:val="none"/>
        </w:rPr>
        <w:t>. Cardiff: NHS Wales Joint Commissioning Committee.</w:t>
      </w:r>
    </w:p>
    <w:p w14:paraId="6DE1A56A" w14:textId="77777777" w:rsidR="00D321F7" w:rsidRPr="00156228" w:rsidRDefault="00D321F7" w:rsidP="00156228">
      <w:pPr>
        <w:spacing w:after="0" w:line="360" w:lineRule="auto"/>
        <w:rPr>
          <w:rFonts w:ascii="Arial" w:eastAsia="Times New Roman" w:hAnsi="Arial" w:cs="Arial"/>
          <w:color w:val="1F1F1F"/>
          <w:kern w:val="0"/>
          <w:sz w:val="24"/>
          <w:szCs w:val="24"/>
          <w:lang w:eastAsia="en-GB"/>
          <w14:ligatures w14:val="none"/>
        </w:rPr>
      </w:pPr>
      <w:r w:rsidRPr="00156228">
        <w:rPr>
          <w:rFonts w:ascii="Arial" w:eastAsia="Times New Roman" w:hAnsi="Arial" w:cs="Arial"/>
          <w:color w:val="1F1F1F"/>
          <w:kern w:val="0"/>
          <w:sz w:val="24"/>
          <w:szCs w:val="24"/>
          <w:lang w:eastAsia="en-GB"/>
          <w14:ligatures w14:val="none"/>
        </w:rPr>
        <w:t xml:space="preserve">Nilsen, E.R., Dugstad, J., Eide, H.S., Gullslett, M.K. and Eide, T. (2020) ‘Exploring challenges and facilitators for sustainability of digital health innovations: A qualitative study’, </w:t>
      </w:r>
      <w:r w:rsidRPr="00156228">
        <w:rPr>
          <w:rFonts w:ascii="Arial" w:eastAsia="Times New Roman" w:hAnsi="Arial" w:cs="Arial"/>
          <w:i/>
          <w:iCs/>
          <w:color w:val="1F1F1F"/>
          <w:kern w:val="0"/>
          <w:sz w:val="24"/>
          <w:szCs w:val="24"/>
          <w:bdr w:val="none" w:sz="0" w:space="0" w:color="auto" w:frame="1"/>
          <w:lang w:eastAsia="en-GB"/>
          <w14:ligatures w14:val="none"/>
        </w:rPr>
        <w:t>BMC Health Services Research</w:t>
      </w:r>
      <w:r w:rsidRPr="00156228">
        <w:rPr>
          <w:rFonts w:ascii="Arial" w:eastAsia="Times New Roman" w:hAnsi="Arial" w:cs="Arial"/>
          <w:color w:val="1F1F1F"/>
          <w:kern w:val="0"/>
          <w:sz w:val="24"/>
          <w:szCs w:val="24"/>
          <w:lang w:eastAsia="en-GB"/>
          <w14:ligatures w14:val="none"/>
        </w:rPr>
        <w:t>, 20(1), pp. 1–15.</w:t>
      </w:r>
    </w:p>
    <w:p w14:paraId="0493B7C4" w14:textId="77777777" w:rsidR="00D321F7" w:rsidRPr="00156228" w:rsidRDefault="00D321F7" w:rsidP="00156228">
      <w:pPr>
        <w:pStyle w:val="NormalWeb"/>
        <w:spacing w:line="360" w:lineRule="auto"/>
        <w:rPr>
          <w:rFonts w:ascii="Arial" w:hAnsi="Arial" w:cs="Arial"/>
        </w:rPr>
      </w:pPr>
      <w:r w:rsidRPr="00156228">
        <w:rPr>
          <w:rFonts w:ascii="Arial" w:hAnsi="Arial" w:cs="Arial"/>
        </w:rPr>
        <w:t xml:space="preserve">Nkhoma, K.B., Cook, A., Giusti, A., Farrant, L., Petrus, R., Petersen, I., Gwyther, L., Venkatapuram, S., Harding, R. and McCrone, P. (2022) ‘A systematic review of impact of person-centred interventions for serious physical illness in terms of outcomes and costs’, </w:t>
      </w:r>
      <w:r w:rsidRPr="00156228">
        <w:rPr>
          <w:rStyle w:val="Emphasis"/>
          <w:rFonts w:ascii="Arial" w:hAnsi="Arial" w:cs="Arial"/>
        </w:rPr>
        <w:t>BMJ Open</w:t>
      </w:r>
      <w:r w:rsidRPr="00156228">
        <w:rPr>
          <w:rFonts w:ascii="Arial" w:hAnsi="Arial" w:cs="Arial"/>
        </w:rPr>
        <w:t>, 12(7), e054386.</w:t>
      </w:r>
    </w:p>
    <w:p w14:paraId="31FD8F2E" w14:textId="77777777" w:rsidR="00D321F7" w:rsidRPr="00156228" w:rsidRDefault="00D321F7" w:rsidP="00156228">
      <w:pPr>
        <w:spacing w:before="100" w:beforeAutospacing="1" w:after="100" w:afterAutospacing="1" w:line="360" w:lineRule="auto"/>
        <w:rPr>
          <w:rFonts w:ascii="Arial" w:eastAsia="Times New Roman" w:hAnsi="Arial" w:cs="Arial"/>
          <w:kern w:val="0"/>
          <w:sz w:val="24"/>
          <w:szCs w:val="24"/>
          <w:lang w:eastAsia="en-GB"/>
          <w14:ligatures w14:val="none"/>
        </w:rPr>
      </w:pPr>
      <w:r w:rsidRPr="00156228">
        <w:rPr>
          <w:rFonts w:ascii="Arial" w:eastAsia="Times New Roman" w:hAnsi="Arial" w:cs="Arial"/>
          <w:kern w:val="0"/>
          <w:sz w:val="24"/>
          <w:szCs w:val="24"/>
          <w:lang w:eastAsia="en-GB"/>
          <w14:ligatures w14:val="none"/>
        </w:rPr>
        <w:t xml:space="preserve">Office for Statistics Regulation (2026) </w:t>
      </w:r>
      <w:r w:rsidRPr="00156228">
        <w:rPr>
          <w:rFonts w:ascii="Arial" w:eastAsia="Times New Roman" w:hAnsi="Arial" w:cs="Arial"/>
          <w:i/>
          <w:iCs/>
          <w:kern w:val="0"/>
          <w:sz w:val="24"/>
          <w:szCs w:val="24"/>
          <w:lang w:eastAsia="en-GB"/>
          <w14:ligatures w14:val="none"/>
        </w:rPr>
        <w:t>Health statistics in Wales</w:t>
      </w:r>
      <w:r w:rsidRPr="00156228">
        <w:rPr>
          <w:rFonts w:ascii="Arial" w:eastAsia="Times New Roman" w:hAnsi="Arial" w:cs="Arial"/>
          <w:kern w:val="0"/>
          <w:sz w:val="24"/>
          <w:szCs w:val="24"/>
          <w:lang w:eastAsia="en-GB"/>
          <w14:ligatures w14:val="none"/>
        </w:rPr>
        <w:t>. London: Office for Statistics Regulation.</w:t>
      </w:r>
    </w:p>
    <w:p w14:paraId="676A9B4B" w14:textId="77777777" w:rsidR="00D321F7" w:rsidRPr="00156228" w:rsidRDefault="00D321F7" w:rsidP="00156228">
      <w:pPr>
        <w:spacing w:before="100" w:beforeAutospacing="1" w:after="100" w:afterAutospacing="1" w:line="360" w:lineRule="auto"/>
        <w:rPr>
          <w:rFonts w:ascii="Arial" w:eastAsia="Times New Roman" w:hAnsi="Arial" w:cs="Arial"/>
          <w:kern w:val="0"/>
          <w:sz w:val="24"/>
          <w:szCs w:val="24"/>
          <w:lang w:eastAsia="en-GB"/>
          <w14:ligatures w14:val="none"/>
        </w:rPr>
      </w:pPr>
      <w:r w:rsidRPr="00156228">
        <w:rPr>
          <w:rFonts w:ascii="Arial" w:eastAsia="Times New Roman" w:hAnsi="Arial" w:cs="Arial"/>
          <w:kern w:val="0"/>
          <w:sz w:val="24"/>
          <w:szCs w:val="24"/>
          <w:lang w:eastAsia="en-GB"/>
          <w14:ligatures w14:val="none"/>
        </w:rPr>
        <w:t xml:space="preserve">Organisation for Economic Co-operation and Development (OECD) (2025) </w:t>
      </w:r>
      <w:r w:rsidRPr="00156228">
        <w:rPr>
          <w:rFonts w:ascii="Arial" w:eastAsia="Times New Roman" w:hAnsi="Arial" w:cs="Arial"/>
          <w:i/>
          <w:iCs/>
          <w:kern w:val="0"/>
          <w:sz w:val="24"/>
          <w:szCs w:val="24"/>
          <w:lang w:eastAsia="en-GB"/>
          <w14:ligatures w14:val="none"/>
        </w:rPr>
        <w:t>Adapting Health Systems to an Ageing Population</w:t>
      </w:r>
      <w:r w:rsidRPr="00156228">
        <w:rPr>
          <w:rFonts w:ascii="Arial" w:eastAsia="Times New Roman" w:hAnsi="Arial" w:cs="Arial"/>
          <w:kern w:val="0"/>
          <w:sz w:val="24"/>
          <w:szCs w:val="24"/>
          <w:lang w:eastAsia="en-GB"/>
          <w14:ligatures w14:val="none"/>
        </w:rPr>
        <w:t>. Paris: OECD Publishing.</w:t>
      </w:r>
    </w:p>
    <w:p w14:paraId="7FD4864D" w14:textId="77777777" w:rsidR="00D321F7" w:rsidRPr="00156228" w:rsidRDefault="00D321F7" w:rsidP="00156228">
      <w:pPr>
        <w:spacing w:line="360" w:lineRule="auto"/>
        <w:rPr>
          <w:rFonts w:ascii="Arial" w:hAnsi="Arial" w:cs="Arial"/>
          <w:sz w:val="24"/>
          <w:szCs w:val="24"/>
        </w:rPr>
      </w:pPr>
      <w:r w:rsidRPr="00156228">
        <w:rPr>
          <w:rFonts w:ascii="Arial" w:hAnsi="Arial" w:cs="Arial"/>
          <w:sz w:val="24"/>
          <w:szCs w:val="24"/>
        </w:rPr>
        <w:lastRenderedPageBreak/>
        <w:t>Porter, M.E. (1985) Competitive Advantage: Creating and Sustaining Superior Performance. New York: Free Press.</w:t>
      </w:r>
    </w:p>
    <w:p w14:paraId="1731340F" w14:textId="77777777" w:rsidR="00D321F7" w:rsidRPr="00156228" w:rsidRDefault="00D321F7" w:rsidP="00156228">
      <w:pPr>
        <w:spacing w:line="360" w:lineRule="auto"/>
        <w:rPr>
          <w:rFonts w:ascii="Arial" w:hAnsi="Arial" w:cs="Arial"/>
          <w:sz w:val="24"/>
          <w:szCs w:val="24"/>
        </w:rPr>
      </w:pPr>
      <w:r w:rsidRPr="00156228">
        <w:rPr>
          <w:rFonts w:ascii="Arial" w:hAnsi="Arial" w:cs="Arial"/>
          <w:sz w:val="24"/>
          <w:szCs w:val="24"/>
        </w:rPr>
        <w:t>Porter, M.E. and Lee, T.H. (2013) ‘The strategy that will fix health care’, Harvard Business Review, 91(10), pp. 50–70.</w:t>
      </w:r>
    </w:p>
    <w:p w14:paraId="55A6CF22" w14:textId="77777777" w:rsidR="00D321F7" w:rsidRPr="00156228" w:rsidRDefault="00D321F7" w:rsidP="00156228">
      <w:pPr>
        <w:spacing w:before="100" w:beforeAutospacing="1" w:after="100" w:afterAutospacing="1" w:line="360" w:lineRule="auto"/>
        <w:rPr>
          <w:rFonts w:ascii="Arial" w:eastAsia="Times New Roman" w:hAnsi="Arial" w:cs="Arial"/>
          <w:kern w:val="0"/>
          <w:sz w:val="24"/>
          <w:szCs w:val="24"/>
          <w:lang w:eastAsia="en-GB"/>
          <w14:ligatures w14:val="none"/>
        </w:rPr>
      </w:pPr>
      <w:r w:rsidRPr="00156228">
        <w:rPr>
          <w:rFonts w:ascii="Arial" w:eastAsia="Times New Roman" w:hAnsi="Arial" w:cs="Arial"/>
          <w:kern w:val="0"/>
          <w:sz w:val="24"/>
          <w:szCs w:val="24"/>
          <w:lang w:eastAsia="en-GB"/>
          <w14:ligatures w14:val="none"/>
        </w:rPr>
        <w:t xml:space="preserve">Public Health Wales (2026) </w:t>
      </w:r>
      <w:r w:rsidRPr="00156228">
        <w:rPr>
          <w:rFonts w:ascii="Arial" w:eastAsia="Times New Roman" w:hAnsi="Arial" w:cs="Arial"/>
          <w:i/>
          <w:iCs/>
          <w:kern w:val="0"/>
          <w:sz w:val="24"/>
          <w:szCs w:val="24"/>
          <w:lang w:eastAsia="en-GB"/>
          <w14:ligatures w14:val="none"/>
        </w:rPr>
        <w:t>Healthcare Public Health Framework Toolkit</w:t>
      </w:r>
      <w:r w:rsidRPr="00156228">
        <w:rPr>
          <w:rFonts w:ascii="Arial" w:eastAsia="Times New Roman" w:hAnsi="Arial" w:cs="Arial"/>
          <w:kern w:val="0"/>
          <w:sz w:val="24"/>
          <w:szCs w:val="24"/>
          <w:lang w:eastAsia="en-GB"/>
          <w14:ligatures w14:val="none"/>
        </w:rPr>
        <w:t>. Cardiff: Public Health Wales.</w:t>
      </w:r>
    </w:p>
    <w:p w14:paraId="7B652137" w14:textId="0064638C" w:rsidR="00D321F7" w:rsidRPr="00156228" w:rsidRDefault="00D321F7" w:rsidP="00156228">
      <w:pPr>
        <w:spacing w:line="360" w:lineRule="auto"/>
        <w:rPr>
          <w:rFonts w:ascii="Arial" w:hAnsi="Arial" w:cs="Arial"/>
          <w:sz w:val="24"/>
          <w:szCs w:val="24"/>
        </w:rPr>
      </w:pPr>
      <w:r w:rsidRPr="00156228">
        <w:rPr>
          <w:rFonts w:ascii="Arial" w:hAnsi="Arial" w:cs="Arial"/>
          <w:sz w:val="24"/>
          <w:szCs w:val="24"/>
        </w:rPr>
        <w:t xml:space="preserve">Rumelt, R.P. (2011) </w:t>
      </w:r>
      <w:r w:rsidRPr="00156228">
        <w:rPr>
          <w:rStyle w:val="Emphasis"/>
          <w:rFonts w:ascii="Arial" w:hAnsi="Arial" w:cs="Arial"/>
          <w:sz w:val="24"/>
          <w:szCs w:val="24"/>
        </w:rPr>
        <w:t>Good Strategy Bad Strategy</w:t>
      </w:r>
      <w:r w:rsidRPr="00156228">
        <w:rPr>
          <w:rFonts w:ascii="Arial" w:hAnsi="Arial" w:cs="Arial"/>
          <w:sz w:val="24"/>
          <w:szCs w:val="24"/>
        </w:rPr>
        <w:t>. London: Profile Books</w:t>
      </w:r>
      <w:r w:rsidR="00490BCD">
        <w:rPr>
          <w:rFonts w:ascii="Arial" w:hAnsi="Arial" w:cs="Arial"/>
          <w:sz w:val="24"/>
          <w:szCs w:val="24"/>
        </w:rPr>
        <w:t>.</w:t>
      </w:r>
    </w:p>
    <w:p w14:paraId="71B84153" w14:textId="77777777" w:rsidR="00D321F7" w:rsidRPr="00156228" w:rsidRDefault="00D321F7" w:rsidP="00156228">
      <w:pPr>
        <w:spacing w:line="360" w:lineRule="auto"/>
        <w:rPr>
          <w:rFonts w:ascii="Arial" w:hAnsi="Arial" w:cs="Arial"/>
          <w:sz w:val="24"/>
          <w:szCs w:val="24"/>
        </w:rPr>
      </w:pPr>
      <w:r w:rsidRPr="00156228">
        <w:rPr>
          <w:rFonts w:ascii="Arial" w:hAnsi="Arial" w:cs="Arial"/>
          <w:sz w:val="24"/>
          <w:szCs w:val="24"/>
        </w:rPr>
        <w:t xml:space="preserve">Schein, E.H. and Schein, P.A. (2021) </w:t>
      </w:r>
      <w:r w:rsidRPr="00156228">
        <w:rPr>
          <w:rStyle w:val="Emphasis"/>
          <w:rFonts w:ascii="Arial" w:hAnsi="Arial" w:cs="Arial"/>
          <w:sz w:val="24"/>
          <w:szCs w:val="24"/>
        </w:rPr>
        <w:t>Organizational Culture and Leadership</w:t>
      </w:r>
      <w:r w:rsidRPr="00156228">
        <w:rPr>
          <w:rFonts w:ascii="Arial" w:hAnsi="Arial" w:cs="Arial"/>
          <w:sz w:val="24"/>
          <w:szCs w:val="24"/>
        </w:rPr>
        <w:t>. 6th edn. Hoboken, NJ: John Wiley &amp; Sons.</w:t>
      </w:r>
    </w:p>
    <w:p w14:paraId="44AF0137" w14:textId="77777777" w:rsidR="00D321F7" w:rsidRPr="00156228" w:rsidRDefault="00D321F7" w:rsidP="00156228">
      <w:pPr>
        <w:spacing w:before="100" w:beforeAutospacing="1" w:after="100" w:afterAutospacing="1" w:line="360" w:lineRule="auto"/>
        <w:rPr>
          <w:rFonts w:ascii="Arial" w:eastAsia="Times New Roman" w:hAnsi="Arial" w:cs="Arial"/>
          <w:kern w:val="0"/>
          <w:sz w:val="24"/>
          <w:szCs w:val="24"/>
          <w:lang w:eastAsia="en-GB"/>
          <w14:ligatures w14:val="none"/>
        </w:rPr>
      </w:pPr>
      <w:r w:rsidRPr="00156228">
        <w:rPr>
          <w:rFonts w:ascii="Arial" w:eastAsia="Times New Roman" w:hAnsi="Arial" w:cs="Arial"/>
          <w:kern w:val="0"/>
          <w:sz w:val="24"/>
          <w:szCs w:val="24"/>
          <w:lang w:eastAsia="en-GB"/>
          <w14:ligatures w14:val="none"/>
        </w:rPr>
        <w:t xml:space="preserve">Senedd Research (2026a) </w:t>
      </w:r>
      <w:r w:rsidRPr="00156228">
        <w:rPr>
          <w:rFonts w:ascii="Arial" w:eastAsia="Times New Roman" w:hAnsi="Arial" w:cs="Arial"/>
          <w:i/>
          <w:iCs/>
          <w:kern w:val="0"/>
          <w:sz w:val="24"/>
          <w:szCs w:val="24"/>
          <w:lang w:eastAsia="en-GB"/>
          <w14:ligatures w14:val="none"/>
        </w:rPr>
        <w:t>A Sustainable Future for NHS Wales: Moving Beyond a Hospital-by-Default Model</w:t>
      </w:r>
      <w:r w:rsidRPr="00156228">
        <w:rPr>
          <w:rFonts w:ascii="Arial" w:eastAsia="Times New Roman" w:hAnsi="Arial" w:cs="Arial"/>
          <w:kern w:val="0"/>
          <w:sz w:val="24"/>
          <w:szCs w:val="24"/>
          <w:lang w:eastAsia="en-GB"/>
          <w14:ligatures w14:val="none"/>
        </w:rPr>
        <w:t>. Cardiff: Senedd Cymru.</w:t>
      </w:r>
    </w:p>
    <w:p w14:paraId="08CE82C3" w14:textId="77777777" w:rsidR="00D321F7" w:rsidRPr="00156228" w:rsidRDefault="00D321F7" w:rsidP="00156228">
      <w:pPr>
        <w:pStyle w:val="NormalWeb"/>
        <w:spacing w:line="360" w:lineRule="auto"/>
        <w:rPr>
          <w:rFonts w:ascii="Arial" w:hAnsi="Arial" w:cs="Arial"/>
        </w:rPr>
      </w:pPr>
      <w:r w:rsidRPr="00156228">
        <w:rPr>
          <w:rFonts w:ascii="Arial" w:hAnsi="Arial" w:cs="Arial"/>
        </w:rPr>
        <w:t xml:space="preserve">Senedd Research (2026b) </w:t>
      </w:r>
      <w:r w:rsidRPr="00156228">
        <w:rPr>
          <w:rStyle w:val="Emphasis"/>
          <w:rFonts w:ascii="Arial" w:hAnsi="Arial" w:cs="Arial"/>
        </w:rPr>
        <w:t>NHS waiting times in Wales: what do they measure and what do they miss?</w:t>
      </w:r>
      <w:r w:rsidRPr="00156228">
        <w:rPr>
          <w:rFonts w:ascii="Arial" w:hAnsi="Arial" w:cs="Arial"/>
        </w:rPr>
        <w:t xml:space="preserve"> Cardiff: Senedd Cymru.</w:t>
      </w:r>
    </w:p>
    <w:p w14:paraId="757B15E7" w14:textId="77777777" w:rsidR="00D321F7" w:rsidRPr="00156228" w:rsidRDefault="00D321F7" w:rsidP="00156228">
      <w:pPr>
        <w:spacing w:before="100" w:beforeAutospacing="1" w:after="100" w:afterAutospacing="1" w:line="360" w:lineRule="auto"/>
        <w:rPr>
          <w:rFonts w:ascii="Arial" w:eastAsia="Times New Roman" w:hAnsi="Arial" w:cs="Arial"/>
          <w:kern w:val="0"/>
          <w:sz w:val="24"/>
          <w:szCs w:val="24"/>
          <w:lang w:eastAsia="en-GB"/>
          <w14:ligatures w14:val="none"/>
        </w:rPr>
      </w:pPr>
      <w:r w:rsidRPr="00156228">
        <w:rPr>
          <w:rFonts w:ascii="Arial" w:eastAsia="Times New Roman" w:hAnsi="Arial" w:cs="Arial"/>
          <w:kern w:val="0"/>
          <w:sz w:val="24"/>
          <w:szCs w:val="24"/>
          <w:lang w:eastAsia="en-GB"/>
          <w14:ligatures w14:val="none"/>
        </w:rPr>
        <w:t xml:space="preserve">Tan, M.M.J., Prager, G.W., McClelland, A., </w:t>
      </w:r>
      <w:r w:rsidRPr="00156228">
        <w:rPr>
          <w:rFonts w:ascii="Arial" w:eastAsia="Times New Roman" w:hAnsi="Arial" w:cs="Arial"/>
          <w:i/>
          <w:iCs/>
          <w:kern w:val="0"/>
          <w:sz w:val="24"/>
          <w:szCs w:val="24"/>
          <w:lang w:eastAsia="en-GB"/>
          <w14:ligatures w14:val="none"/>
        </w:rPr>
        <w:t>et al.</w:t>
      </w:r>
      <w:r w:rsidRPr="00156228">
        <w:rPr>
          <w:rFonts w:ascii="Arial" w:eastAsia="Times New Roman" w:hAnsi="Arial" w:cs="Arial"/>
          <w:kern w:val="0"/>
          <w:sz w:val="24"/>
          <w:szCs w:val="24"/>
          <w:lang w:eastAsia="en-GB"/>
          <w14:ligatures w14:val="none"/>
        </w:rPr>
        <w:t xml:space="preserve"> (2023) ‘Healthcare resilience: A meta-narrative systematic review and synthesis of reviews’, </w:t>
      </w:r>
      <w:r w:rsidRPr="00156228">
        <w:rPr>
          <w:rFonts w:ascii="Arial" w:eastAsia="Times New Roman" w:hAnsi="Arial" w:cs="Arial"/>
          <w:i/>
          <w:iCs/>
          <w:kern w:val="0"/>
          <w:sz w:val="24"/>
          <w:szCs w:val="24"/>
          <w:lang w:eastAsia="en-GB"/>
          <w14:ligatures w14:val="none"/>
        </w:rPr>
        <w:t>BMJ Open</w:t>
      </w:r>
      <w:r w:rsidRPr="00156228">
        <w:rPr>
          <w:rFonts w:ascii="Arial" w:eastAsia="Times New Roman" w:hAnsi="Arial" w:cs="Arial"/>
          <w:kern w:val="0"/>
          <w:sz w:val="24"/>
          <w:szCs w:val="24"/>
          <w:lang w:eastAsia="en-GB"/>
          <w14:ligatures w14:val="none"/>
        </w:rPr>
        <w:t>, 13(9), e072136.</w:t>
      </w:r>
    </w:p>
    <w:p w14:paraId="0E043F6C" w14:textId="77777777" w:rsidR="00D321F7" w:rsidRPr="00156228" w:rsidRDefault="00D321F7" w:rsidP="00156228">
      <w:pPr>
        <w:spacing w:line="360" w:lineRule="auto"/>
        <w:rPr>
          <w:rFonts w:ascii="Arial" w:hAnsi="Arial" w:cs="Arial"/>
          <w:b/>
          <w:bCs/>
          <w:sz w:val="24"/>
          <w:szCs w:val="24"/>
        </w:rPr>
      </w:pPr>
      <w:r w:rsidRPr="00156228">
        <w:rPr>
          <w:rFonts w:ascii="Arial" w:hAnsi="Arial" w:cs="Arial"/>
          <w:sz w:val="24"/>
          <w:szCs w:val="24"/>
        </w:rPr>
        <w:t xml:space="preserve">Teece, D.J. (2018) ‘Business models and dynamic capabilities’, </w:t>
      </w:r>
      <w:r w:rsidRPr="00156228">
        <w:rPr>
          <w:rStyle w:val="Emphasis"/>
          <w:rFonts w:ascii="Arial" w:hAnsi="Arial" w:cs="Arial"/>
          <w:sz w:val="24"/>
          <w:szCs w:val="24"/>
        </w:rPr>
        <w:t>Long Range Planning</w:t>
      </w:r>
      <w:r w:rsidRPr="00156228">
        <w:rPr>
          <w:rFonts w:ascii="Arial" w:hAnsi="Arial" w:cs="Arial"/>
          <w:sz w:val="24"/>
          <w:szCs w:val="24"/>
        </w:rPr>
        <w:t>, 51(1), pp. 40–49.</w:t>
      </w:r>
    </w:p>
    <w:p w14:paraId="5401D97E" w14:textId="77777777" w:rsidR="00D321F7" w:rsidRPr="00156228" w:rsidRDefault="00D321F7" w:rsidP="00156228">
      <w:pPr>
        <w:pStyle w:val="isselectedend"/>
        <w:spacing w:line="360" w:lineRule="auto"/>
        <w:rPr>
          <w:rFonts w:ascii="Arial" w:hAnsi="Arial" w:cs="Arial"/>
        </w:rPr>
      </w:pPr>
      <w:r w:rsidRPr="00156228">
        <w:rPr>
          <w:rFonts w:ascii="Arial" w:hAnsi="Arial" w:cs="Arial"/>
        </w:rPr>
        <w:t xml:space="preserve">The King's Fund (2023) </w:t>
      </w:r>
      <w:r w:rsidRPr="00156228">
        <w:rPr>
          <w:rStyle w:val="Emphasis"/>
          <w:rFonts w:ascii="Arial" w:hAnsi="Arial" w:cs="Arial"/>
        </w:rPr>
        <w:t>The NHS in a Nutshell</w:t>
      </w:r>
      <w:r w:rsidRPr="00156228">
        <w:rPr>
          <w:rFonts w:ascii="Arial" w:hAnsi="Arial" w:cs="Arial"/>
        </w:rPr>
        <w:t>. London: The King's Fund.</w:t>
      </w:r>
    </w:p>
    <w:p w14:paraId="660186A5" w14:textId="77777777" w:rsidR="00D321F7" w:rsidRPr="00156228" w:rsidRDefault="00D321F7" w:rsidP="00156228">
      <w:pPr>
        <w:spacing w:after="0" w:line="360" w:lineRule="auto"/>
        <w:rPr>
          <w:rFonts w:ascii="Arial" w:eastAsia="Times New Roman" w:hAnsi="Arial" w:cs="Arial"/>
          <w:color w:val="1F1F1F"/>
          <w:kern w:val="0"/>
          <w:sz w:val="24"/>
          <w:szCs w:val="24"/>
          <w:lang w:eastAsia="en-GB"/>
          <w14:ligatures w14:val="none"/>
        </w:rPr>
      </w:pPr>
      <w:r w:rsidRPr="00156228">
        <w:rPr>
          <w:rFonts w:ascii="Arial" w:eastAsia="Times New Roman" w:hAnsi="Arial" w:cs="Arial"/>
          <w:color w:val="1F1F1F"/>
          <w:kern w:val="0"/>
          <w:sz w:val="24"/>
          <w:szCs w:val="24"/>
          <w:lang w:eastAsia="en-GB"/>
          <w14:ligatures w14:val="none"/>
        </w:rPr>
        <w:t xml:space="preserve">Torfing, J., Cristofoli, D., Gloor, P.A., Meijer, A. and Trivellato, B. (2020) ‘Co-creation of public value through open innovation in the public sector’, </w:t>
      </w:r>
      <w:r w:rsidRPr="00156228">
        <w:rPr>
          <w:rFonts w:ascii="Arial" w:eastAsia="Times New Roman" w:hAnsi="Arial" w:cs="Arial"/>
          <w:i/>
          <w:iCs/>
          <w:color w:val="1F1F1F"/>
          <w:kern w:val="0"/>
          <w:sz w:val="24"/>
          <w:szCs w:val="24"/>
          <w:bdr w:val="none" w:sz="0" w:space="0" w:color="auto" w:frame="1"/>
          <w:lang w:eastAsia="en-GB"/>
          <w14:ligatures w14:val="none"/>
        </w:rPr>
        <w:t>Public Management Review</w:t>
      </w:r>
      <w:r w:rsidRPr="00156228">
        <w:rPr>
          <w:rFonts w:ascii="Arial" w:eastAsia="Times New Roman" w:hAnsi="Arial" w:cs="Arial"/>
          <w:color w:val="1F1F1F"/>
          <w:kern w:val="0"/>
          <w:sz w:val="24"/>
          <w:szCs w:val="24"/>
          <w:lang w:eastAsia="en-GB"/>
          <w14:ligatures w14:val="none"/>
        </w:rPr>
        <w:t>, 22(6), pp. 795–817.</w:t>
      </w:r>
    </w:p>
    <w:p w14:paraId="639759E8" w14:textId="77777777" w:rsidR="00D321F7" w:rsidRPr="00156228" w:rsidRDefault="00D321F7" w:rsidP="00156228">
      <w:pPr>
        <w:pStyle w:val="NormalWeb"/>
        <w:spacing w:line="360" w:lineRule="auto"/>
        <w:rPr>
          <w:rFonts w:ascii="Arial" w:hAnsi="Arial" w:cs="Arial"/>
        </w:rPr>
      </w:pPr>
      <w:r w:rsidRPr="00156228">
        <w:rPr>
          <w:rFonts w:ascii="Arial" w:hAnsi="Arial" w:cs="Arial"/>
        </w:rPr>
        <w:t xml:space="preserve">Welsh Government (2018) </w:t>
      </w:r>
      <w:r w:rsidRPr="00156228">
        <w:rPr>
          <w:rStyle w:val="Emphasis"/>
          <w:rFonts w:ascii="Arial" w:hAnsi="Arial" w:cs="Arial"/>
        </w:rPr>
        <w:t>A Healthier Wales: Our Plan for Health and Social Care</w:t>
      </w:r>
      <w:r w:rsidRPr="00156228">
        <w:rPr>
          <w:rFonts w:ascii="Arial" w:hAnsi="Arial" w:cs="Arial"/>
        </w:rPr>
        <w:t>. Cardiff: Welsh Government.</w:t>
      </w:r>
    </w:p>
    <w:p w14:paraId="4060FDAF" w14:textId="77777777" w:rsidR="00D321F7" w:rsidRPr="00156228" w:rsidRDefault="00D321F7" w:rsidP="00156228">
      <w:pPr>
        <w:spacing w:line="360" w:lineRule="auto"/>
        <w:rPr>
          <w:rFonts w:ascii="Arial" w:hAnsi="Arial" w:cs="Arial"/>
          <w:sz w:val="24"/>
          <w:szCs w:val="24"/>
          <w:lang w:eastAsia="en-GB"/>
        </w:rPr>
      </w:pPr>
      <w:r w:rsidRPr="00156228">
        <w:rPr>
          <w:rFonts w:ascii="Arial" w:hAnsi="Arial" w:cs="Arial"/>
          <w:sz w:val="24"/>
          <w:szCs w:val="24"/>
          <w:lang w:eastAsia="en-GB"/>
        </w:rPr>
        <w:t>Welsh Government (2024) Our Wales, Our Health: Strategic Framework for Rural Health Inequalities. Cardiff: Welsh Government.</w:t>
      </w:r>
    </w:p>
    <w:p w14:paraId="63F10BB2" w14:textId="77777777" w:rsidR="00D321F7" w:rsidRPr="00156228" w:rsidRDefault="00D321F7" w:rsidP="00156228">
      <w:pPr>
        <w:spacing w:before="100" w:beforeAutospacing="1" w:after="100" w:afterAutospacing="1" w:line="360" w:lineRule="auto"/>
        <w:rPr>
          <w:rFonts w:ascii="Arial" w:eastAsia="Times New Roman" w:hAnsi="Arial" w:cs="Arial"/>
          <w:kern w:val="0"/>
          <w:sz w:val="24"/>
          <w:szCs w:val="24"/>
          <w:lang w:eastAsia="en-GB"/>
          <w14:ligatures w14:val="none"/>
        </w:rPr>
      </w:pPr>
      <w:r w:rsidRPr="00156228">
        <w:rPr>
          <w:rFonts w:ascii="Arial" w:eastAsia="Times New Roman" w:hAnsi="Arial" w:cs="Arial"/>
          <w:kern w:val="0"/>
          <w:sz w:val="24"/>
          <w:szCs w:val="24"/>
          <w:lang w:eastAsia="en-GB"/>
          <w14:ligatures w14:val="none"/>
        </w:rPr>
        <w:lastRenderedPageBreak/>
        <w:t xml:space="preserve">Welsh Government (2025a) </w:t>
      </w:r>
      <w:r w:rsidRPr="00156228">
        <w:rPr>
          <w:rFonts w:ascii="Arial" w:eastAsia="Times New Roman" w:hAnsi="Arial" w:cs="Arial"/>
          <w:i/>
          <w:iCs/>
          <w:kern w:val="0"/>
          <w:sz w:val="24"/>
          <w:szCs w:val="24"/>
          <w:lang w:eastAsia="en-GB"/>
          <w14:ligatures w14:val="none"/>
        </w:rPr>
        <w:t>NHS Wales Planning Framework 2025–2028</w:t>
      </w:r>
      <w:r w:rsidRPr="00156228">
        <w:rPr>
          <w:rFonts w:ascii="Arial" w:eastAsia="Times New Roman" w:hAnsi="Arial" w:cs="Arial"/>
          <w:kern w:val="0"/>
          <w:sz w:val="24"/>
          <w:szCs w:val="24"/>
          <w:lang w:eastAsia="en-GB"/>
          <w14:ligatures w14:val="none"/>
        </w:rPr>
        <w:t>. Cardiff: Welsh Government.</w:t>
      </w:r>
    </w:p>
    <w:p w14:paraId="315AA5CC" w14:textId="77777777" w:rsidR="00D321F7" w:rsidRPr="00156228" w:rsidRDefault="00D321F7" w:rsidP="00156228">
      <w:pPr>
        <w:spacing w:before="100" w:beforeAutospacing="1" w:after="100" w:afterAutospacing="1" w:line="360" w:lineRule="auto"/>
        <w:rPr>
          <w:rFonts w:ascii="Arial" w:eastAsia="Times New Roman" w:hAnsi="Arial" w:cs="Arial"/>
          <w:kern w:val="0"/>
          <w:sz w:val="24"/>
          <w:szCs w:val="24"/>
          <w:lang w:eastAsia="en-GB"/>
          <w14:ligatures w14:val="none"/>
        </w:rPr>
      </w:pPr>
      <w:r w:rsidRPr="00156228">
        <w:rPr>
          <w:rFonts w:ascii="Arial" w:eastAsia="Times New Roman" w:hAnsi="Arial" w:cs="Arial"/>
          <w:kern w:val="0"/>
          <w:sz w:val="24"/>
          <w:szCs w:val="24"/>
          <w:lang w:eastAsia="en-GB"/>
          <w14:ligatures w14:val="none"/>
        </w:rPr>
        <w:t xml:space="preserve">Welsh Government (2025b) </w:t>
      </w:r>
      <w:r w:rsidRPr="00156228">
        <w:rPr>
          <w:rFonts w:ascii="Arial" w:eastAsia="Times New Roman" w:hAnsi="Arial" w:cs="Arial"/>
          <w:i/>
          <w:iCs/>
          <w:kern w:val="0"/>
          <w:sz w:val="24"/>
          <w:szCs w:val="24"/>
          <w:lang w:eastAsia="en-GB"/>
          <w14:ligatures w14:val="none"/>
        </w:rPr>
        <w:t>NHS Wales Financial Monitoring Return Guidance 2025–2026</w:t>
      </w:r>
      <w:r w:rsidRPr="00156228">
        <w:rPr>
          <w:rFonts w:ascii="Arial" w:eastAsia="Times New Roman" w:hAnsi="Arial" w:cs="Arial"/>
          <w:kern w:val="0"/>
          <w:sz w:val="24"/>
          <w:szCs w:val="24"/>
          <w:lang w:eastAsia="en-GB"/>
          <w14:ligatures w14:val="none"/>
        </w:rPr>
        <w:t>. Cardiff: Welsh Government.</w:t>
      </w:r>
    </w:p>
    <w:p w14:paraId="7D975FCB" w14:textId="77777777" w:rsidR="00D321F7" w:rsidRPr="00156228" w:rsidRDefault="00D321F7" w:rsidP="00156228">
      <w:pPr>
        <w:pStyle w:val="NormalWeb"/>
        <w:spacing w:line="360" w:lineRule="auto"/>
        <w:rPr>
          <w:rFonts w:ascii="Arial" w:hAnsi="Arial" w:cs="Arial"/>
        </w:rPr>
      </w:pPr>
      <w:r w:rsidRPr="00156228">
        <w:rPr>
          <w:rFonts w:ascii="Arial" w:hAnsi="Arial" w:cs="Arial"/>
        </w:rPr>
        <w:t xml:space="preserve">Welsh Government (2026a) </w:t>
      </w:r>
      <w:r w:rsidRPr="00156228">
        <w:rPr>
          <w:rStyle w:val="Emphasis"/>
          <w:rFonts w:ascii="Arial" w:hAnsi="Arial" w:cs="Arial"/>
        </w:rPr>
        <w:t>NHS workforce: staff directly employed by NHS Wales, 31 December 2025</w:t>
      </w:r>
      <w:r w:rsidRPr="00156228">
        <w:rPr>
          <w:rFonts w:ascii="Arial" w:hAnsi="Arial" w:cs="Arial"/>
        </w:rPr>
        <w:t>. Cardiff: Welsh Government.</w:t>
      </w:r>
    </w:p>
    <w:p w14:paraId="3342E309" w14:textId="77777777" w:rsidR="00D321F7" w:rsidRPr="00156228" w:rsidRDefault="00D321F7" w:rsidP="00156228">
      <w:pPr>
        <w:pStyle w:val="NormalWeb"/>
        <w:spacing w:line="360" w:lineRule="auto"/>
        <w:rPr>
          <w:rFonts w:ascii="Arial" w:hAnsi="Arial" w:cs="Arial"/>
        </w:rPr>
      </w:pPr>
      <w:r w:rsidRPr="00156228">
        <w:rPr>
          <w:rFonts w:ascii="Arial" w:hAnsi="Arial" w:cs="Arial"/>
        </w:rPr>
        <w:t xml:space="preserve">Welsh Government (2026b) </w:t>
      </w:r>
      <w:r w:rsidRPr="00156228">
        <w:rPr>
          <w:rStyle w:val="Emphasis"/>
          <w:rFonts w:ascii="Arial" w:hAnsi="Arial" w:cs="Arial"/>
        </w:rPr>
        <w:t>NHS performance for Welsh Local Health Boards: June 2026</w:t>
      </w:r>
      <w:r w:rsidRPr="00156228">
        <w:rPr>
          <w:rFonts w:ascii="Arial" w:hAnsi="Arial" w:cs="Arial"/>
        </w:rPr>
        <w:t>. Cardiff: Welsh Government.</w:t>
      </w:r>
    </w:p>
    <w:p w14:paraId="280CA684" w14:textId="77777777" w:rsidR="00D321F7" w:rsidRPr="00156228" w:rsidRDefault="00D321F7" w:rsidP="00156228">
      <w:pPr>
        <w:pStyle w:val="NormalWeb"/>
        <w:spacing w:line="360" w:lineRule="auto"/>
        <w:rPr>
          <w:rFonts w:ascii="Arial" w:hAnsi="Arial" w:cs="Arial"/>
        </w:rPr>
      </w:pPr>
      <w:r w:rsidRPr="00156228">
        <w:rPr>
          <w:rFonts w:ascii="Arial" w:hAnsi="Arial" w:cs="Arial"/>
        </w:rPr>
        <w:t xml:space="preserve">Welsh Government (2026c) </w:t>
      </w:r>
      <w:r w:rsidRPr="00156228">
        <w:rPr>
          <w:rStyle w:val="Emphasis"/>
          <w:rFonts w:ascii="Arial" w:hAnsi="Arial" w:cs="Arial"/>
        </w:rPr>
        <w:t>Hywel Dda University Health Board Escalation Framework: February 2026</w:t>
      </w:r>
      <w:r w:rsidRPr="00156228">
        <w:rPr>
          <w:rFonts w:ascii="Arial" w:hAnsi="Arial" w:cs="Arial"/>
        </w:rPr>
        <w:t>. Cardiff: Welsh Government.</w:t>
      </w:r>
    </w:p>
    <w:p w14:paraId="085CCC0E" w14:textId="77777777" w:rsidR="00D321F7" w:rsidRDefault="00D321F7" w:rsidP="00156228">
      <w:pPr>
        <w:pStyle w:val="NormalWeb"/>
        <w:spacing w:line="360" w:lineRule="auto"/>
        <w:rPr>
          <w:rFonts w:ascii="Arial" w:hAnsi="Arial" w:cs="Arial"/>
        </w:rPr>
      </w:pPr>
      <w:r w:rsidRPr="00156228">
        <w:rPr>
          <w:rFonts w:ascii="Arial" w:hAnsi="Arial" w:cs="Arial"/>
        </w:rPr>
        <w:t xml:space="preserve">Winkelmann, J., Scarpetti, G., Williams, G.A., Maier, C.B., Panteli, D. and Kumpunen, S. (2024) ‘Health and care workforce’, in Rechel, B., Maresso, A. and Sagan, A. (eds.) </w:t>
      </w:r>
      <w:r w:rsidRPr="00156228">
        <w:rPr>
          <w:rStyle w:val="Emphasis"/>
          <w:rFonts w:ascii="Arial" w:hAnsi="Arial" w:cs="Arial"/>
        </w:rPr>
        <w:t>Implementing the Primary Health Care Approach: A Primer</w:t>
      </w:r>
      <w:r w:rsidRPr="00156228">
        <w:rPr>
          <w:rFonts w:ascii="Arial" w:hAnsi="Arial" w:cs="Arial"/>
        </w:rPr>
        <w:t>. Copenhagen: European Observatory on Health Systems and Policies.</w:t>
      </w:r>
    </w:p>
    <w:p w14:paraId="71AE08B3" w14:textId="77777777" w:rsidR="00D321F7" w:rsidRPr="00156228" w:rsidRDefault="00D321F7" w:rsidP="00156228">
      <w:pPr>
        <w:pStyle w:val="NormalWeb"/>
        <w:spacing w:line="360" w:lineRule="auto"/>
        <w:rPr>
          <w:rFonts w:ascii="Arial" w:hAnsi="Arial" w:cs="Arial"/>
        </w:rPr>
      </w:pPr>
    </w:p>
    <w:p w14:paraId="2914AFBF" w14:textId="77777777" w:rsidR="00156228" w:rsidRDefault="00156228" w:rsidP="008D55E0">
      <w:pPr>
        <w:pStyle w:val="NormalWeb"/>
        <w:spacing w:line="360" w:lineRule="auto"/>
        <w:rPr>
          <w:rFonts w:ascii="Arial" w:hAnsi="Arial" w:cs="Arial"/>
        </w:rPr>
      </w:pPr>
    </w:p>
    <w:p w14:paraId="4FE63E7F" w14:textId="77777777" w:rsidR="00A324E4" w:rsidRDefault="00A324E4" w:rsidP="008D55E0">
      <w:pPr>
        <w:pStyle w:val="NormalWeb"/>
        <w:spacing w:line="360" w:lineRule="auto"/>
        <w:rPr>
          <w:rFonts w:ascii="Arial" w:hAnsi="Arial" w:cs="Arial"/>
        </w:rPr>
      </w:pPr>
    </w:p>
    <w:p w14:paraId="3C63AAF4" w14:textId="77777777" w:rsidR="008D55E0" w:rsidRPr="00027E36" w:rsidRDefault="008D55E0" w:rsidP="00FE5771">
      <w:pPr>
        <w:spacing w:line="360" w:lineRule="auto"/>
        <w:rPr>
          <w:rFonts w:ascii="Arial" w:hAnsi="Arial" w:cs="Arial"/>
          <w:sz w:val="24"/>
          <w:szCs w:val="24"/>
        </w:rPr>
      </w:pPr>
    </w:p>
    <w:p w14:paraId="23B9F6B3" w14:textId="77777777" w:rsidR="00FE5771" w:rsidRDefault="00FE5771" w:rsidP="00E02F46">
      <w:pPr>
        <w:spacing w:line="360" w:lineRule="auto"/>
        <w:rPr>
          <w:rFonts w:ascii="Arial" w:hAnsi="Arial" w:cs="Arial"/>
          <w:sz w:val="24"/>
          <w:szCs w:val="24"/>
        </w:rPr>
      </w:pPr>
    </w:p>
    <w:p w14:paraId="508F57D7" w14:textId="77777777" w:rsidR="00FE5771" w:rsidRPr="00027E36" w:rsidRDefault="00FE5771" w:rsidP="00E02F46">
      <w:pPr>
        <w:spacing w:line="360" w:lineRule="auto"/>
        <w:rPr>
          <w:rFonts w:ascii="Arial" w:hAnsi="Arial" w:cs="Arial"/>
          <w:sz w:val="24"/>
          <w:szCs w:val="24"/>
        </w:rPr>
      </w:pPr>
    </w:p>
    <w:p w14:paraId="4F615983" w14:textId="77777777" w:rsidR="00E02F46" w:rsidRPr="0046206E" w:rsidRDefault="00E02F46" w:rsidP="0046206E">
      <w:pPr>
        <w:pStyle w:val="NormalWeb"/>
        <w:spacing w:line="360" w:lineRule="auto"/>
        <w:rPr>
          <w:rFonts w:ascii="Arial" w:hAnsi="Arial" w:cs="Arial"/>
        </w:rPr>
      </w:pPr>
    </w:p>
    <w:p w14:paraId="21D24D31" w14:textId="77777777" w:rsidR="00A34AAB" w:rsidRPr="0046206E" w:rsidRDefault="00A34AAB" w:rsidP="0046206E">
      <w:pPr>
        <w:spacing w:line="360" w:lineRule="auto"/>
        <w:rPr>
          <w:rFonts w:ascii="Arial" w:hAnsi="Arial" w:cs="Arial"/>
          <w:b/>
          <w:bCs/>
          <w:sz w:val="24"/>
          <w:szCs w:val="24"/>
          <w:lang w:eastAsia="en-GB"/>
        </w:rPr>
      </w:pPr>
    </w:p>
    <w:p w14:paraId="6BCE99C6" w14:textId="77777777" w:rsidR="007B7778" w:rsidRPr="0046206E" w:rsidRDefault="007B7778" w:rsidP="0046206E">
      <w:pPr>
        <w:spacing w:line="360" w:lineRule="auto"/>
        <w:rPr>
          <w:rFonts w:ascii="Arial" w:hAnsi="Arial" w:cs="Arial"/>
          <w:sz w:val="24"/>
          <w:szCs w:val="24"/>
        </w:rPr>
      </w:pPr>
    </w:p>
    <w:sectPr w:rsidR="007B7778" w:rsidRPr="0046206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4AC956" w14:textId="77777777" w:rsidR="00AF1B1E" w:rsidRDefault="00AF1B1E" w:rsidP="00474FC5">
      <w:pPr>
        <w:spacing w:after="0" w:line="240" w:lineRule="auto"/>
      </w:pPr>
      <w:r>
        <w:separator/>
      </w:r>
    </w:p>
  </w:endnote>
  <w:endnote w:type="continuationSeparator" w:id="0">
    <w:p w14:paraId="55465256" w14:textId="77777777" w:rsidR="00AF1B1E" w:rsidRDefault="00AF1B1E" w:rsidP="00474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4204353"/>
      <w:docPartObj>
        <w:docPartGallery w:val="Page Numbers (Bottom of Page)"/>
        <w:docPartUnique/>
      </w:docPartObj>
    </w:sdtPr>
    <w:sdtEndPr/>
    <w:sdtContent>
      <w:p w14:paraId="006F42E1" w14:textId="1883F9AC" w:rsidR="00474FC5" w:rsidRDefault="00474FC5">
        <w:pPr>
          <w:pStyle w:val="Footer"/>
          <w:jc w:val="center"/>
        </w:pPr>
        <w:r>
          <w:fldChar w:fldCharType="begin"/>
        </w:r>
        <w:r>
          <w:instrText>PAGE   \* MERGEFORMAT</w:instrText>
        </w:r>
        <w:r>
          <w:fldChar w:fldCharType="separate"/>
        </w:r>
        <w:r>
          <w:t>2</w:t>
        </w:r>
        <w:r>
          <w:fldChar w:fldCharType="end"/>
        </w:r>
      </w:p>
    </w:sdtContent>
  </w:sdt>
  <w:p w14:paraId="4CAE5840" w14:textId="77777777" w:rsidR="00474FC5" w:rsidRDefault="00474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BACB70" w14:textId="77777777" w:rsidR="00AF1B1E" w:rsidRDefault="00AF1B1E" w:rsidP="00474FC5">
      <w:pPr>
        <w:spacing w:after="0" w:line="240" w:lineRule="auto"/>
      </w:pPr>
      <w:r>
        <w:separator/>
      </w:r>
    </w:p>
  </w:footnote>
  <w:footnote w:type="continuationSeparator" w:id="0">
    <w:p w14:paraId="0DD313C0" w14:textId="77777777" w:rsidR="00AF1B1E" w:rsidRDefault="00AF1B1E" w:rsidP="00474F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5292E"/>
    <w:multiLevelType w:val="hybridMultilevel"/>
    <w:tmpl w:val="AE964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A065D8"/>
    <w:multiLevelType w:val="multilevel"/>
    <w:tmpl w:val="D062D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AD6CE1"/>
    <w:multiLevelType w:val="multilevel"/>
    <w:tmpl w:val="74B26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374433"/>
    <w:multiLevelType w:val="multilevel"/>
    <w:tmpl w:val="152C7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6F01E7"/>
    <w:multiLevelType w:val="multilevel"/>
    <w:tmpl w:val="454A9AD2"/>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45F75B14"/>
    <w:multiLevelType w:val="multilevel"/>
    <w:tmpl w:val="AFC45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753869"/>
    <w:multiLevelType w:val="hybridMultilevel"/>
    <w:tmpl w:val="C2F27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A77B80"/>
    <w:multiLevelType w:val="hybridMultilevel"/>
    <w:tmpl w:val="5E066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FB18E0"/>
    <w:multiLevelType w:val="hybridMultilevel"/>
    <w:tmpl w:val="0AB88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4E51D2"/>
    <w:multiLevelType w:val="hybridMultilevel"/>
    <w:tmpl w:val="3F981B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577907">
    <w:abstractNumId w:val="4"/>
  </w:num>
  <w:num w:numId="2" w16cid:durableId="1852790973">
    <w:abstractNumId w:val="9"/>
  </w:num>
  <w:num w:numId="3" w16cid:durableId="860702040">
    <w:abstractNumId w:val="8"/>
  </w:num>
  <w:num w:numId="4" w16cid:durableId="133453779">
    <w:abstractNumId w:val="0"/>
  </w:num>
  <w:num w:numId="5" w16cid:durableId="288317881">
    <w:abstractNumId w:val="7"/>
  </w:num>
  <w:num w:numId="6" w16cid:durableId="307516905">
    <w:abstractNumId w:val="5"/>
  </w:num>
  <w:num w:numId="7" w16cid:durableId="546526921">
    <w:abstractNumId w:val="3"/>
  </w:num>
  <w:num w:numId="8" w16cid:durableId="1211922376">
    <w:abstractNumId w:val="2"/>
  </w:num>
  <w:num w:numId="9" w16cid:durableId="2050952418">
    <w:abstractNumId w:val="1"/>
  </w:num>
  <w:num w:numId="10" w16cid:durableId="72275768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FC5"/>
    <w:rsid w:val="00000B40"/>
    <w:rsid w:val="00005C8F"/>
    <w:rsid w:val="00012CB6"/>
    <w:rsid w:val="00053489"/>
    <w:rsid w:val="00065B6E"/>
    <w:rsid w:val="00082542"/>
    <w:rsid w:val="00085E33"/>
    <w:rsid w:val="000A4E30"/>
    <w:rsid w:val="000D06BB"/>
    <w:rsid w:val="000F7D5A"/>
    <w:rsid w:val="001345F9"/>
    <w:rsid w:val="0015261E"/>
    <w:rsid w:val="00156228"/>
    <w:rsid w:val="0016794F"/>
    <w:rsid w:val="00187CEE"/>
    <w:rsid w:val="001C1A28"/>
    <w:rsid w:val="001C3ED8"/>
    <w:rsid w:val="00246A28"/>
    <w:rsid w:val="0027331C"/>
    <w:rsid w:val="00277576"/>
    <w:rsid w:val="002778EC"/>
    <w:rsid w:val="00284616"/>
    <w:rsid w:val="002C39C1"/>
    <w:rsid w:val="002C446F"/>
    <w:rsid w:val="002C6AB9"/>
    <w:rsid w:val="002E0A89"/>
    <w:rsid w:val="003009DD"/>
    <w:rsid w:val="003041F8"/>
    <w:rsid w:val="003238DE"/>
    <w:rsid w:val="00347B8D"/>
    <w:rsid w:val="00350886"/>
    <w:rsid w:val="003A4480"/>
    <w:rsid w:val="003B4F11"/>
    <w:rsid w:val="003C4D06"/>
    <w:rsid w:val="004020A0"/>
    <w:rsid w:val="00422AAE"/>
    <w:rsid w:val="00447750"/>
    <w:rsid w:val="0046206E"/>
    <w:rsid w:val="00474FC5"/>
    <w:rsid w:val="00485D8F"/>
    <w:rsid w:val="00490BCD"/>
    <w:rsid w:val="0050134E"/>
    <w:rsid w:val="0054259B"/>
    <w:rsid w:val="0056455F"/>
    <w:rsid w:val="005A2F73"/>
    <w:rsid w:val="005A5DBB"/>
    <w:rsid w:val="005A6051"/>
    <w:rsid w:val="005F291E"/>
    <w:rsid w:val="005F3402"/>
    <w:rsid w:val="00622D0C"/>
    <w:rsid w:val="00624CA2"/>
    <w:rsid w:val="00633ECD"/>
    <w:rsid w:val="00662C00"/>
    <w:rsid w:val="00695B3B"/>
    <w:rsid w:val="00697011"/>
    <w:rsid w:val="006B3F19"/>
    <w:rsid w:val="006B5DDB"/>
    <w:rsid w:val="006E1907"/>
    <w:rsid w:val="00762F60"/>
    <w:rsid w:val="00765ADB"/>
    <w:rsid w:val="00796F9B"/>
    <w:rsid w:val="007A3F28"/>
    <w:rsid w:val="007A5E7E"/>
    <w:rsid w:val="007B1B36"/>
    <w:rsid w:val="007B7778"/>
    <w:rsid w:val="007C7439"/>
    <w:rsid w:val="007D2E6F"/>
    <w:rsid w:val="007F1FBC"/>
    <w:rsid w:val="008351DA"/>
    <w:rsid w:val="00837BB9"/>
    <w:rsid w:val="00854013"/>
    <w:rsid w:val="00887483"/>
    <w:rsid w:val="008A5973"/>
    <w:rsid w:val="008B5B8F"/>
    <w:rsid w:val="008D41A3"/>
    <w:rsid w:val="008D55E0"/>
    <w:rsid w:val="009231DA"/>
    <w:rsid w:val="00936C0E"/>
    <w:rsid w:val="009C797F"/>
    <w:rsid w:val="00A14477"/>
    <w:rsid w:val="00A313A8"/>
    <w:rsid w:val="00A324E4"/>
    <w:rsid w:val="00A34AAB"/>
    <w:rsid w:val="00A4280B"/>
    <w:rsid w:val="00AA15BE"/>
    <w:rsid w:val="00AB3B60"/>
    <w:rsid w:val="00AC10C4"/>
    <w:rsid w:val="00AC1ECE"/>
    <w:rsid w:val="00AE065B"/>
    <w:rsid w:val="00AE69E6"/>
    <w:rsid w:val="00AF1B1E"/>
    <w:rsid w:val="00B27236"/>
    <w:rsid w:val="00B30879"/>
    <w:rsid w:val="00B31D1E"/>
    <w:rsid w:val="00B47ECE"/>
    <w:rsid w:val="00B50542"/>
    <w:rsid w:val="00B6172A"/>
    <w:rsid w:val="00B66725"/>
    <w:rsid w:val="00B94A23"/>
    <w:rsid w:val="00B97F6F"/>
    <w:rsid w:val="00BC7F52"/>
    <w:rsid w:val="00BF7A60"/>
    <w:rsid w:val="00C30DD1"/>
    <w:rsid w:val="00C43779"/>
    <w:rsid w:val="00CA4D76"/>
    <w:rsid w:val="00CD1E56"/>
    <w:rsid w:val="00CF6DAB"/>
    <w:rsid w:val="00D321F7"/>
    <w:rsid w:val="00D907BB"/>
    <w:rsid w:val="00DE3DEC"/>
    <w:rsid w:val="00DE5CAE"/>
    <w:rsid w:val="00E02F46"/>
    <w:rsid w:val="00E24FD9"/>
    <w:rsid w:val="00E303EF"/>
    <w:rsid w:val="00E339B7"/>
    <w:rsid w:val="00E33F62"/>
    <w:rsid w:val="00E70924"/>
    <w:rsid w:val="00EC6A2D"/>
    <w:rsid w:val="00EF1A96"/>
    <w:rsid w:val="00EF5FE3"/>
    <w:rsid w:val="00F016A6"/>
    <w:rsid w:val="00F3561A"/>
    <w:rsid w:val="00F7501B"/>
    <w:rsid w:val="00F833E8"/>
    <w:rsid w:val="00FA533F"/>
    <w:rsid w:val="00FE57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E79EA"/>
  <w15:chartTrackingRefBased/>
  <w15:docId w15:val="{308C5856-6CFB-4ACE-BD59-1C9C24B7A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4F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4F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4F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4F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4F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4F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4F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4F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4F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4F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4F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4F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4F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4F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4F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4F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4F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4FC5"/>
    <w:rPr>
      <w:rFonts w:eastAsiaTheme="majorEastAsia" w:cstheme="majorBidi"/>
      <w:color w:val="272727" w:themeColor="text1" w:themeTint="D8"/>
    </w:rPr>
  </w:style>
  <w:style w:type="paragraph" w:styleId="Title">
    <w:name w:val="Title"/>
    <w:basedOn w:val="Normal"/>
    <w:next w:val="Normal"/>
    <w:link w:val="TitleChar"/>
    <w:uiPriority w:val="10"/>
    <w:qFormat/>
    <w:rsid w:val="00474F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4F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4F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4F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4FC5"/>
    <w:pPr>
      <w:spacing w:before="160"/>
      <w:jc w:val="center"/>
    </w:pPr>
    <w:rPr>
      <w:i/>
      <w:iCs/>
      <w:color w:val="404040" w:themeColor="text1" w:themeTint="BF"/>
    </w:rPr>
  </w:style>
  <w:style w:type="character" w:customStyle="1" w:styleId="QuoteChar">
    <w:name w:val="Quote Char"/>
    <w:basedOn w:val="DefaultParagraphFont"/>
    <w:link w:val="Quote"/>
    <w:uiPriority w:val="29"/>
    <w:rsid w:val="00474FC5"/>
    <w:rPr>
      <w:i/>
      <w:iCs/>
      <w:color w:val="404040" w:themeColor="text1" w:themeTint="BF"/>
    </w:rPr>
  </w:style>
  <w:style w:type="paragraph" w:styleId="ListParagraph">
    <w:name w:val="List Paragraph"/>
    <w:basedOn w:val="Normal"/>
    <w:uiPriority w:val="34"/>
    <w:qFormat/>
    <w:rsid w:val="00474FC5"/>
    <w:pPr>
      <w:ind w:left="720"/>
      <w:contextualSpacing/>
    </w:pPr>
  </w:style>
  <w:style w:type="character" w:styleId="IntenseEmphasis">
    <w:name w:val="Intense Emphasis"/>
    <w:basedOn w:val="DefaultParagraphFont"/>
    <w:uiPriority w:val="21"/>
    <w:qFormat/>
    <w:rsid w:val="00474FC5"/>
    <w:rPr>
      <w:i/>
      <w:iCs/>
      <w:color w:val="0F4761" w:themeColor="accent1" w:themeShade="BF"/>
    </w:rPr>
  </w:style>
  <w:style w:type="paragraph" w:styleId="IntenseQuote">
    <w:name w:val="Intense Quote"/>
    <w:basedOn w:val="Normal"/>
    <w:next w:val="Normal"/>
    <w:link w:val="IntenseQuoteChar"/>
    <w:uiPriority w:val="30"/>
    <w:qFormat/>
    <w:rsid w:val="00474F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4FC5"/>
    <w:rPr>
      <w:i/>
      <w:iCs/>
      <w:color w:val="0F4761" w:themeColor="accent1" w:themeShade="BF"/>
    </w:rPr>
  </w:style>
  <w:style w:type="character" w:styleId="IntenseReference">
    <w:name w:val="Intense Reference"/>
    <w:basedOn w:val="DefaultParagraphFont"/>
    <w:uiPriority w:val="32"/>
    <w:qFormat/>
    <w:rsid w:val="00474FC5"/>
    <w:rPr>
      <w:b/>
      <w:bCs/>
      <w:smallCaps/>
      <w:color w:val="0F4761" w:themeColor="accent1" w:themeShade="BF"/>
      <w:spacing w:val="5"/>
    </w:rPr>
  </w:style>
  <w:style w:type="character" w:customStyle="1" w:styleId="NoSpacingChar">
    <w:name w:val="No Spacing Char"/>
    <w:basedOn w:val="DefaultParagraphFont"/>
    <w:link w:val="NoSpacing"/>
    <w:uiPriority w:val="1"/>
    <w:locked/>
    <w:rsid w:val="00474FC5"/>
    <w:rPr>
      <w:rFonts w:ascii="SimSun" w:eastAsiaTheme="minorEastAsia" w:hAnsi="SimSun"/>
      <w:lang w:val="en-US"/>
    </w:rPr>
  </w:style>
  <w:style w:type="paragraph" w:styleId="NoSpacing">
    <w:name w:val="No Spacing"/>
    <w:link w:val="NoSpacingChar"/>
    <w:uiPriority w:val="1"/>
    <w:qFormat/>
    <w:rsid w:val="00474FC5"/>
    <w:pPr>
      <w:spacing w:after="0" w:line="240" w:lineRule="auto"/>
    </w:pPr>
    <w:rPr>
      <w:rFonts w:ascii="SimSun" w:eastAsiaTheme="minorEastAsia" w:hAnsi="SimSun"/>
      <w:lang w:val="en-US"/>
    </w:rPr>
  </w:style>
  <w:style w:type="paragraph" w:styleId="Header">
    <w:name w:val="header"/>
    <w:basedOn w:val="Normal"/>
    <w:link w:val="HeaderChar"/>
    <w:uiPriority w:val="99"/>
    <w:unhideWhenUsed/>
    <w:rsid w:val="00474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FC5"/>
  </w:style>
  <w:style w:type="paragraph" w:styleId="Footer">
    <w:name w:val="footer"/>
    <w:basedOn w:val="Normal"/>
    <w:link w:val="FooterChar"/>
    <w:uiPriority w:val="99"/>
    <w:unhideWhenUsed/>
    <w:rsid w:val="00474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FC5"/>
  </w:style>
  <w:style w:type="paragraph" w:styleId="TOCHeading">
    <w:name w:val="TOC Heading"/>
    <w:basedOn w:val="Heading1"/>
    <w:next w:val="Normal"/>
    <w:uiPriority w:val="39"/>
    <w:unhideWhenUsed/>
    <w:qFormat/>
    <w:rsid w:val="00E303EF"/>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303EF"/>
    <w:pPr>
      <w:spacing w:after="100"/>
    </w:pPr>
  </w:style>
  <w:style w:type="character" w:styleId="Hyperlink">
    <w:name w:val="Hyperlink"/>
    <w:basedOn w:val="DefaultParagraphFont"/>
    <w:uiPriority w:val="99"/>
    <w:unhideWhenUsed/>
    <w:rsid w:val="00E303EF"/>
    <w:rPr>
      <w:color w:val="467886" w:themeColor="hyperlink"/>
      <w:u w:val="single"/>
    </w:rPr>
  </w:style>
  <w:style w:type="paragraph" w:customStyle="1" w:styleId="isselectedend">
    <w:name w:val="isselectedend"/>
    <w:basedOn w:val="Normal"/>
    <w:rsid w:val="006B3F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6B3F19"/>
    <w:rPr>
      <w:i/>
      <w:iCs/>
    </w:rPr>
  </w:style>
  <w:style w:type="paragraph" w:styleId="NormalWeb">
    <w:name w:val="Normal (Web)"/>
    <w:basedOn w:val="Normal"/>
    <w:uiPriority w:val="99"/>
    <w:unhideWhenUsed/>
    <w:rsid w:val="006B3F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7A3F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277576"/>
    <w:pPr>
      <w:spacing w:after="100"/>
      <w:ind w:left="440"/>
    </w:pPr>
  </w:style>
  <w:style w:type="paragraph" w:customStyle="1" w:styleId="pdq2pgselectionanchorcontainer">
    <w:name w:val="pdq2pg_selectionanchorcontainer"/>
    <w:basedOn w:val="Normal"/>
    <w:rsid w:val="00A4280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4280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C54E6506704435BB3254228FB2958DF"/>
        <w:category>
          <w:name w:val="General"/>
          <w:gallery w:val="placeholder"/>
        </w:category>
        <w:types>
          <w:type w:val="bbPlcHdr"/>
        </w:types>
        <w:behaviors>
          <w:behavior w:val="content"/>
        </w:behaviors>
        <w:guid w:val="{BBD882E1-1838-4589-AFD0-58F643C35709}"/>
      </w:docPartPr>
      <w:docPartBody>
        <w:p w:rsidR="009D7B2A" w:rsidRDefault="005302CC" w:rsidP="005302CC">
          <w:pPr>
            <w:pStyle w:val="6C54E6506704435BB3254228FB2958D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2CC"/>
    <w:rsid w:val="00053489"/>
    <w:rsid w:val="000D38F5"/>
    <w:rsid w:val="001B79FE"/>
    <w:rsid w:val="005302CC"/>
    <w:rsid w:val="00837BB9"/>
    <w:rsid w:val="009D7B2A"/>
    <w:rsid w:val="00A313A8"/>
    <w:rsid w:val="00DC1EE4"/>
    <w:rsid w:val="00F356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C54E6506704435BB3254228FB2958DF">
    <w:name w:val="6C54E6506704435BB3254228FB2958DF"/>
    <w:rsid w:val="005302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451DB9-34D1-4848-839F-34BB444DB5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30</Pages>
  <Words>7723</Words>
  <Characters>44027</Characters>
  <Application>Microsoft Office Word</Application>
  <DocSecurity>0</DocSecurity>
  <Lines>366</Lines>
  <Paragraphs>103</Paragraphs>
  <ScaleCrop>false</ScaleCrop>
  <Company/>
  <LinksUpToDate>false</LinksUpToDate>
  <CharactersWithSpaces>51647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BMMB7027 Strategic and agile business management</dc:title>
  <dc:subject>Lyssa Muir- 1917752</dc:subject>
  <dc:creator>Lyssa Muir (1917752)</dc:creator>
  <cp:keywords/>
  <dc:description/>
  <cp:lastModifiedBy>Lyssa Muir (1917752)</cp:lastModifiedBy>
  <cp:revision>110</cp:revision>
  <dcterms:created xsi:type="dcterms:W3CDTF">2026-07-02T16:02:00Z</dcterms:created>
  <dcterms:modified xsi:type="dcterms:W3CDTF">2026-07-03T16:01:00Z</dcterms:modified>
</cp:coreProperties>
</file>