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6805" w:type="dxa"/>
        <w:tblInd w:w="-856" w:type="dxa"/>
        <w:tblLook w:val="04A0" w:firstRow="1" w:lastRow="0" w:firstColumn="1" w:lastColumn="0" w:noHBand="0" w:noVBand="1"/>
      </w:tblPr>
      <w:tblGrid>
        <w:gridCol w:w="1418"/>
        <w:gridCol w:w="5387"/>
      </w:tblGrid>
      <w:tr w:rsidR="008852B0" w:rsidRPr="003B5D4C" w14:paraId="70820B30" w14:textId="77777777" w:rsidTr="008852B0">
        <w:tc>
          <w:tcPr>
            <w:tcW w:w="1418" w:type="dxa"/>
          </w:tcPr>
          <w:p w14:paraId="35174489" w14:textId="4E1F243F" w:rsidR="008852B0" w:rsidRPr="003B5D4C" w:rsidRDefault="008852B0">
            <w:pPr>
              <w:spacing w:line="360" w:lineRule="auto"/>
              <w:rPr>
                <w:rFonts w:ascii="Arial" w:hAnsi="Arial"/>
                <w:b/>
                <w:bCs/>
              </w:rPr>
            </w:pPr>
          </w:p>
        </w:tc>
        <w:tc>
          <w:tcPr>
            <w:tcW w:w="5387" w:type="dxa"/>
          </w:tcPr>
          <w:p w14:paraId="58AD007A" w14:textId="0549C7FB" w:rsidR="008852B0" w:rsidRPr="003B5D4C" w:rsidRDefault="00B17B16" w:rsidP="00B17B16">
            <w:pPr>
              <w:spacing w:line="360" w:lineRule="auto"/>
              <w:jc w:val="center"/>
              <w:rPr>
                <w:rFonts w:ascii="Arial" w:hAnsi="Arial"/>
                <w:b/>
                <w:bCs/>
              </w:rPr>
            </w:pPr>
            <w:r>
              <w:rPr>
                <w:rFonts w:ascii="Arial" w:hAnsi="Arial"/>
                <w:b/>
                <w:bCs/>
              </w:rPr>
              <w:t>Targets</w:t>
            </w:r>
          </w:p>
        </w:tc>
      </w:tr>
      <w:tr w:rsidR="008852B0" w:rsidRPr="003B5D4C" w14:paraId="2E7C8234" w14:textId="77777777" w:rsidTr="008852B0">
        <w:tc>
          <w:tcPr>
            <w:tcW w:w="1418" w:type="dxa"/>
          </w:tcPr>
          <w:p w14:paraId="47F42E8B" w14:textId="77777777" w:rsidR="008852B0" w:rsidRPr="003B5D4C" w:rsidRDefault="008852B0">
            <w:pPr>
              <w:spacing w:line="360" w:lineRule="auto"/>
              <w:rPr>
                <w:rFonts w:ascii="Arial" w:hAnsi="Arial"/>
                <w:b/>
                <w:bCs/>
              </w:rPr>
            </w:pPr>
            <w:r w:rsidRPr="003B5D4C">
              <w:rPr>
                <w:rFonts w:ascii="Arial" w:hAnsi="Arial"/>
                <w:b/>
                <w:bCs/>
              </w:rPr>
              <w:t>Target 1</w:t>
            </w:r>
          </w:p>
          <w:p w14:paraId="7DAA58F1" w14:textId="77777777" w:rsidR="008852B0" w:rsidRPr="003B5D4C" w:rsidRDefault="008852B0">
            <w:pPr>
              <w:spacing w:line="360" w:lineRule="auto"/>
              <w:rPr>
                <w:rFonts w:ascii="Arial" w:hAnsi="Arial" w:cs="Arial"/>
              </w:rPr>
            </w:pPr>
          </w:p>
        </w:tc>
        <w:tc>
          <w:tcPr>
            <w:tcW w:w="5387" w:type="dxa"/>
          </w:tcPr>
          <w:p w14:paraId="0B231C93" w14:textId="00E99478" w:rsidR="008852B0" w:rsidRPr="003B5D4C" w:rsidRDefault="008852B0" w:rsidP="008852B0">
            <w:pPr>
              <w:spacing w:line="360" w:lineRule="auto"/>
              <w:jc w:val="center"/>
              <w:rPr>
                <w:rFonts w:ascii="Arial" w:hAnsi="Arial"/>
              </w:rPr>
            </w:pPr>
            <w:r>
              <w:rPr>
                <w:rFonts w:ascii="Arial" w:hAnsi="Arial"/>
              </w:rPr>
              <w:t>Refer to the Harvard Referencing Guide.</w:t>
            </w:r>
          </w:p>
        </w:tc>
      </w:tr>
      <w:tr w:rsidR="008852B0" w:rsidRPr="003B5D4C" w14:paraId="05C37D8E" w14:textId="77777777" w:rsidTr="008852B0">
        <w:tc>
          <w:tcPr>
            <w:tcW w:w="1418" w:type="dxa"/>
          </w:tcPr>
          <w:p w14:paraId="799BC699" w14:textId="77777777" w:rsidR="008852B0" w:rsidRPr="003B5D4C" w:rsidRDefault="008852B0">
            <w:pPr>
              <w:spacing w:line="360" w:lineRule="auto"/>
              <w:rPr>
                <w:rFonts w:ascii="Arial" w:hAnsi="Arial"/>
                <w:b/>
                <w:bCs/>
              </w:rPr>
            </w:pPr>
            <w:r w:rsidRPr="003B5D4C">
              <w:rPr>
                <w:rFonts w:ascii="Arial" w:hAnsi="Arial"/>
                <w:b/>
                <w:bCs/>
              </w:rPr>
              <w:t>Target 2</w:t>
            </w:r>
          </w:p>
          <w:p w14:paraId="681EE73F" w14:textId="77777777" w:rsidR="008852B0" w:rsidRPr="003B5D4C" w:rsidRDefault="008852B0">
            <w:pPr>
              <w:spacing w:line="360" w:lineRule="auto"/>
              <w:rPr>
                <w:rFonts w:ascii="Arial" w:hAnsi="Arial"/>
              </w:rPr>
            </w:pPr>
            <w:r w:rsidRPr="003B5D4C">
              <w:rPr>
                <w:rFonts w:ascii="Arial" w:hAnsi="Arial"/>
              </w:rPr>
              <w:t>.</w:t>
            </w:r>
          </w:p>
        </w:tc>
        <w:tc>
          <w:tcPr>
            <w:tcW w:w="5387" w:type="dxa"/>
          </w:tcPr>
          <w:p w14:paraId="049A4BE9" w14:textId="19EF1EAC" w:rsidR="008852B0" w:rsidRPr="003B5D4C" w:rsidRDefault="008852B0" w:rsidP="008852B0">
            <w:pPr>
              <w:spacing w:line="360" w:lineRule="auto"/>
              <w:jc w:val="center"/>
              <w:rPr>
                <w:rFonts w:ascii="Arial" w:hAnsi="Arial"/>
              </w:rPr>
            </w:pPr>
            <w:r>
              <w:rPr>
                <w:rFonts w:ascii="Arial" w:hAnsi="Arial"/>
              </w:rPr>
              <w:t>Proofread your work.</w:t>
            </w:r>
          </w:p>
        </w:tc>
      </w:tr>
    </w:tbl>
    <w:p w14:paraId="37B45441" w14:textId="77777777" w:rsidR="00F447D5" w:rsidRDefault="00F447D5" w:rsidP="00F447D5">
      <w:pPr>
        <w:spacing w:line="360" w:lineRule="auto"/>
        <w:jc w:val="center"/>
        <w:rPr>
          <w:rFonts w:ascii="Arial" w:hAnsi="Arial" w:cs="Arial"/>
          <w:b/>
          <w:bCs/>
          <w:sz w:val="36"/>
          <w:szCs w:val="36"/>
          <w:u w:val="single"/>
        </w:rPr>
      </w:pPr>
    </w:p>
    <w:p w14:paraId="7E6D22C6" w14:textId="5C299521" w:rsidR="00A81A9E" w:rsidRDefault="00A81A9E" w:rsidP="00F447D5">
      <w:pPr>
        <w:spacing w:line="360" w:lineRule="auto"/>
        <w:jc w:val="center"/>
        <w:rPr>
          <w:rFonts w:ascii="Arial" w:hAnsi="Arial" w:cs="Arial"/>
          <w:b/>
          <w:bCs/>
          <w:sz w:val="36"/>
          <w:szCs w:val="36"/>
          <w:u w:val="single"/>
        </w:rPr>
      </w:pPr>
      <w:r w:rsidRPr="00A81A9E">
        <w:rPr>
          <w:rFonts w:ascii="Arial" w:hAnsi="Arial" w:cs="Arial"/>
          <w:b/>
          <w:bCs/>
          <w:sz w:val="36"/>
          <w:szCs w:val="36"/>
          <w:u w:val="single"/>
        </w:rPr>
        <w:t>Research Project: Case Study based on an Electives Experience</w:t>
      </w:r>
    </w:p>
    <w:p w14:paraId="5E1EDD40" w14:textId="5BD46680" w:rsidR="00A81A9E" w:rsidRDefault="00A81A9E" w:rsidP="00A81A9E">
      <w:pPr>
        <w:spacing w:line="360" w:lineRule="auto"/>
        <w:jc w:val="center"/>
        <w:rPr>
          <w:rFonts w:ascii="Arial" w:hAnsi="Arial" w:cs="Arial"/>
          <w:b/>
          <w:bCs/>
          <w:sz w:val="36"/>
          <w:szCs w:val="36"/>
          <w:u w:val="single"/>
        </w:rPr>
      </w:pPr>
      <w:r w:rsidRPr="00A81A9E">
        <w:rPr>
          <w:rFonts w:ascii="Arial" w:hAnsi="Arial" w:cs="Arial"/>
          <w:b/>
          <w:bCs/>
          <w:sz w:val="36"/>
          <w:szCs w:val="36"/>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028AFC09" w14:textId="3BF18B6B" w:rsidR="00A81A9E" w:rsidRPr="00A81A9E" w:rsidRDefault="00A81A9E" w:rsidP="00A81A9E">
      <w:pPr>
        <w:spacing w:line="360" w:lineRule="auto"/>
        <w:rPr>
          <w:rFonts w:ascii="Arial" w:hAnsi="Arial" w:cs="Arial"/>
          <w:b/>
          <w:bCs/>
          <w:sz w:val="36"/>
          <w:szCs w:val="36"/>
          <w:u w:val="single"/>
        </w:rPr>
      </w:pPr>
      <w:r>
        <w:rPr>
          <w:rFonts w:ascii="Arial" w:hAnsi="Arial" w:cs="Arial"/>
          <w:b/>
          <w:bCs/>
          <w:sz w:val="36"/>
          <w:szCs w:val="36"/>
          <w:u w:val="single"/>
        </w:rPr>
        <w:t>Research Question: “</w:t>
      </w:r>
      <w:r w:rsidR="00C40EFA">
        <w:rPr>
          <w:rFonts w:ascii="Arial" w:hAnsi="Arial" w:cs="Arial"/>
          <w:b/>
          <w:bCs/>
          <w:sz w:val="36"/>
          <w:szCs w:val="36"/>
          <w:u w:val="single"/>
        </w:rPr>
        <w:t>Perceptions of teachers and pupils on parental engagement within reading and its effect on pupil progression”</w:t>
      </w:r>
    </w:p>
    <w:p w14:paraId="5C221657" w14:textId="77777777" w:rsidR="00A81A9E" w:rsidRDefault="00A81A9E" w:rsidP="00B266BC">
      <w:pPr>
        <w:spacing w:line="360" w:lineRule="auto"/>
        <w:rPr>
          <w:rFonts w:ascii="Arial" w:hAnsi="Arial" w:cs="Arial"/>
          <w:b/>
          <w:bCs/>
        </w:rPr>
      </w:pPr>
    </w:p>
    <w:p w14:paraId="3A1297BA" w14:textId="77777777" w:rsidR="00A81A9E" w:rsidRDefault="00A81A9E" w:rsidP="00B266BC">
      <w:pPr>
        <w:spacing w:line="360" w:lineRule="auto"/>
        <w:rPr>
          <w:rFonts w:ascii="Arial" w:hAnsi="Arial" w:cs="Arial"/>
          <w:b/>
          <w:bCs/>
        </w:rPr>
      </w:pPr>
    </w:p>
    <w:p w14:paraId="00432861" w14:textId="77777777" w:rsidR="00A81A9E" w:rsidRDefault="00A81A9E" w:rsidP="00B266BC">
      <w:pPr>
        <w:spacing w:line="360" w:lineRule="auto"/>
        <w:rPr>
          <w:rFonts w:ascii="Arial" w:hAnsi="Arial" w:cs="Arial"/>
          <w:b/>
          <w:bCs/>
        </w:rPr>
      </w:pPr>
    </w:p>
    <w:p w14:paraId="2111E854" w14:textId="77777777" w:rsidR="00A81A9E" w:rsidRDefault="00A81A9E" w:rsidP="00B266BC">
      <w:pPr>
        <w:spacing w:line="360" w:lineRule="auto"/>
        <w:rPr>
          <w:rFonts w:ascii="Arial" w:hAnsi="Arial" w:cs="Arial"/>
          <w:b/>
          <w:bCs/>
        </w:rPr>
      </w:pPr>
    </w:p>
    <w:p w14:paraId="7CB4C1C0" w14:textId="77777777" w:rsidR="00A81A9E" w:rsidRDefault="00A81A9E" w:rsidP="00B266BC">
      <w:pPr>
        <w:spacing w:line="360" w:lineRule="auto"/>
        <w:rPr>
          <w:rFonts w:ascii="Arial" w:hAnsi="Arial" w:cs="Arial"/>
          <w:b/>
          <w:bCs/>
        </w:rPr>
      </w:pPr>
    </w:p>
    <w:p w14:paraId="49C6C30D" w14:textId="77777777" w:rsidR="00A81A9E" w:rsidRDefault="00A81A9E" w:rsidP="00B266BC">
      <w:pPr>
        <w:spacing w:line="360" w:lineRule="auto"/>
        <w:rPr>
          <w:rFonts w:ascii="Arial" w:hAnsi="Arial" w:cs="Arial"/>
          <w:b/>
          <w:bCs/>
        </w:rPr>
      </w:pPr>
    </w:p>
    <w:p w14:paraId="0DF4EF0B" w14:textId="77777777" w:rsidR="00F447D5" w:rsidRDefault="00F447D5" w:rsidP="00B266BC">
      <w:pPr>
        <w:spacing w:line="360" w:lineRule="auto"/>
        <w:rPr>
          <w:rFonts w:ascii="Arial" w:hAnsi="Arial" w:cs="Arial"/>
          <w:b/>
          <w:bCs/>
        </w:rPr>
      </w:pPr>
    </w:p>
    <w:p w14:paraId="4A82D4F7" w14:textId="77777777" w:rsidR="00A81A9E" w:rsidRDefault="00A81A9E" w:rsidP="00B266BC">
      <w:pPr>
        <w:spacing w:line="360" w:lineRule="auto"/>
        <w:rPr>
          <w:rFonts w:ascii="Arial" w:hAnsi="Arial" w:cs="Arial"/>
          <w:b/>
          <w:bCs/>
        </w:rPr>
      </w:pPr>
    </w:p>
    <w:sdt>
      <w:sdtPr>
        <w:rPr>
          <w:rFonts w:asciiTheme="minorHAnsi" w:eastAsiaTheme="minorHAnsi" w:hAnsiTheme="minorHAnsi" w:cstheme="minorBidi"/>
          <w:color w:val="auto"/>
          <w:kern w:val="2"/>
          <w:sz w:val="22"/>
          <w:szCs w:val="22"/>
          <w:lang w:val="en-GB"/>
          <w14:ligatures w14:val="standardContextual"/>
        </w:rPr>
        <w:id w:val="-1792124938"/>
        <w:docPartObj>
          <w:docPartGallery w:val="Table of Contents"/>
          <w:docPartUnique/>
        </w:docPartObj>
      </w:sdtPr>
      <w:sdtEndPr>
        <w:rPr>
          <w:b/>
          <w:bCs/>
          <w:noProof/>
        </w:rPr>
      </w:sdtEndPr>
      <w:sdtContent>
        <w:p w14:paraId="3437E1D5" w14:textId="77777777" w:rsidR="00F447D5" w:rsidRPr="00A30C1E" w:rsidRDefault="00F447D5" w:rsidP="00F447D5">
          <w:pPr>
            <w:pStyle w:val="TOCHeading"/>
            <w:jc w:val="center"/>
            <w:rPr>
              <w:rFonts w:ascii="Arial" w:hAnsi="Arial" w:cs="Arial"/>
              <w:b/>
              <w:bCs/>
              <w:color w:val="auto"/>
              <w:sz w:val="22"/>
              <w:szCs w:val="22"/>
              <w:u w:val="single"/>
            </w:rPr>
          </w:pPr>
          <w:r w:rsidRPr="00A30C1E">
            <w:rPr>
              <w:rFonts w:ascii="Arial" w:hAnsi="Arial" w:cs="Arial"/>
              <w:b/>
              <w:bCs/>
              <w:color w:val="auto"/>
              <w:sz w:val="22"/>
              <w:szCs w:val="22"/>
              <w:u w:val="single"/>
            </w:rPr>
            <w:t>Table of Contents</w:t>
          </w:r>
        </w:p>
        <w:p w14:paraId="5EDF7960" w14:textId="77777777" w:rsidR="00F447D5" w:rsidRPr="00A30C1E" w:rsidRDefault="00F447D5" w:rsidP="00F447D5">
          <w:pPr>
            <w:rPr>
              <w:rFonts w:ascii="Arial" w:hAnsi="Arial" w:cs="Arial"/>
              <w:b/>
              <w:bCs/>
            </w:rPr>
          </w:pPr>
          <w:r w:rsidRPr="00A30C1E">
            <w:rPr>
              <w:rFonts w:ascii="Arial" w:hAnsi="Arial" w:cs="Arial"/>
              <w:b/>
              <w:bCs/>
            </w:rPr>
            <w:t>Part One</w:t>
          </w:r>
        </w:p>
        <w:p w14:paraId="3E403F47" w14:textId="77777777" w:rsidR="00F447D5" w:rsidRPr="00A30C1E" w:rsidRDefault="00F447D5" w:rsidP="00F447D5">
          <w:pPr>
            <w:rPr>
              <w:rFonts w:ascii="Arial" w:hAnsi="Arial" w:cs="Arial"/>
            </w:rPr>
          </w:pPr>
          <w:r w:rsidRPr="00A30C1E">
            <w:rPr>
              <w:rFonts w:ascii="Arial" w:hAnsi="Arial" w:cs="Arial"/>
              <w:b/>
              <w:bCs/>
              <w:i/>
              <w:iCs/>
            </w:rPr>
            <w:t>Written</w:t>
          </w:r>
          <w:r>
            <w:rPr>
              <w:rFonts w:ascii="Arial" w:hAnsi="Arial" w:cs="Arial"/>
              <w:b/>
              <w:bCs/>
              <w:i/>
              <w:iCs/>
            </w:rPr>
            <w:t xml:space="preserve"> </w:t>
          </w:r>
          <w:r w:rsidRPr="00A30C1E">
            <w:rPr>
              <w:rFonts w:ascii="Arial" w:hAnsi="Arial" w:cs="Arial"/>
              <w:b/>
              <w:bCs/>
              <w:i/>
              <w:iCs/>
            </w:rPr>
            <w:t>Extract</w:t>
          </w:r>
          <w:r w:rsidRPr="00A30C1E">
            <w:rPr>
              <w:rFonts w:ascii="Arial" w:hAnsi="Arial" w:cs="Arial"/>
            </w:rPr>
            <w:t xml:space="preserve">…………………………………………………………………………………… </w:t>
          </w:r>
          <w:r w:rsidRPr="00A30C1E">
            <w:rPr>
              <w:rFonts w:ascii="Arial" w:hAnsi="Arial" w:cs="Arial"/>
              <w:b/>
              <w:bCs/>
            </w:rPr>
            <w:t>3</w:t>
          </w:r>
        </w:p>
        <w:p w14:paraId="41C853BF" w14:textId="294370D0" w:rsidR="00F447D5" w:rsidRPr="00A30C1E" w:rsidRDefault="00F447D5" w:rsidP="00F447D5">
          <w:pPr>
            <w:rPr>
              <w:rFonts w:ascii="Arial" w:hAnsi="Arial" w:cs="Arial"/>
            </w:rPr>
          </w:pPr>
          <w:r w:rsidRPr="00A30C1E">
            <w:rPr>
              <w:rFonts w:ascii="Arial" w:hAnsi="Arial" w:cs="Arial"/>
              <w:b/>
              <w:bCs/>
              <w:i/>
              <w:iCs/>
            </w:rPr>
            <w:t>Reference</w:t>
          </w:r>
          <w:r>
            <w:rPr>
              <w:rFonts w:ascii="Arial" w:hAnsi="Arial" w:cs="Arial"/>
              <w:b/>
              <w:bCs/>
              <w:i/>
              <w:iCs/>
            </w:rPr>
            <w:t xml:space="preserve"> </w:t>
          </w:r>
          <w:r w:rsidRPr="00A30C1E">
            <w:rPr>
              <w:rFonts w:ascii="Arial" w:hAnsi="Arial" w:cs="Arial"/>
              <w:b/>
              <w:bCs/>
              <w:i/>
              <w:iCs/>
            </w:rPr>
            <w:t>List</w:t>
          </w:r>
          <w:r w:rsidRPr="00A30C1E">
            <w:rPr>
              <w:rFonts w:ascii="Arial" w:hAnsi="Arial" w:cs="Arial"/>
            </w:rPr>
            <w:t>……………………………………………………………………………………</w:t>
          </w:r>
          <w:r>
            <w:rPr>
              <w:rFonts w:ascii="Arial" w:hAnsi="Arial" w:cs="Arial"/>
            </w:rPr>
            <w:t xml:space="preserve"> </w:t>
          </w:r>
          <w:r w:rsidR="00C263A6">
            <w:rPr>
              <w:rFonts w:ascii="Arial" w:hAnsi="Arial" w:cs="Arial"/>
            </w:rPr>
            <w:t xml:space="preserve"> </w:t>
          </w:r>
          <w:r w:rsidR="00C40EFA" w:rsidRPr="00C40EFA">
            <w:rPr>
              <w:rFonts w:ascii="Arial" w:hAnsi="Arial" w:cs="Arial"/>
              <w:b/>
              <w:bCs/>
            </w:rPr>
            <w:t>15</w:t>
          </w:r>
        </w:p>
        <w:p w14:paraId="3D418EC5" w14:textId="77777777" w:rsidR="00F447D5" w:rsidRDefault="000C3CAC" w:rsidP="00F447D5">
          <w:pPr>
            <w:rPr>
              <w:b/>
              <w:bCs/>
              <w:noProof/>
            </w:rPr>
          </w:pPr>
        </w:p>
      </w:sdtContent>
    </w:sdt>
    <w:p w14:paraId="282D59FC" w14:textId="77777777" w:rsidR="00A81A9E" w:rsidRDefault="00A81A9E" w:rsidP="00B266BC">
      <w:pPr>
        <w:spacing w:line="360" w:lineRule="auto"/>
        <w:rPr>
          <w:rFonts w:ascii="Arial" w:hAnsi="Arial" w:cs="Arial"/>
          <w:b/>
          <w:bCs/>
        </w:rPr>
      </w:pPr>
    </w:p>
    <w:p w14:paraId="6CC65584" w14:textId="77777777" w:rsidR="00A81A9E" w:rsidRDefault="00A81A9E" w:rsidP="00B266BC">
      <w:pPr>
        <w:spacing w:line="360" w:lineRule="auto"/>
        <w:rPr>
          <w:rFonts w:ascii="Arial" w:hAnsi="Arial" w:cs="Arial"/>
          <w:b/>
          <w:bCs/>
        </w:rPr>
      </w:pPr>
    </w:p>
    <w:p w14:paraId="0E9BE987" w14:textId="77777777" w:rsidR="00A81A9E" w:rsidRDefault="00A81A9E" w:rsidP="00B266BC">
      <w:pPr>
        <w:spacing w:line="360" w:lineRule="auto"/>
        <w:rPr>
          <w:rFonts w:ascii="Arial" w:hAnsi="Arial" w:cs="Arial"/>
          <w:b/>
          <w:bCs/>
        </w:rPr>
      </w:pPr>
    </w:p>
    <w:p w14:paraId="471EA15B" w14:textId="77777777" w:rsidR="00A81A9E" w:rsidRDefault="00A81A9E" w:rsidP="00B266BC">
      <w:pPr>
        <w:spacing w:line="360" w:lineRule="auto"/>
        <w:rPr>
          <w:rFonts w:ascii="Arial" w:hAnsi="Arial" w:cs="Arial"/>
          <w:b/>
          <w:bCs/>
        </w:rPr>
      </w:pPr>
    </w:p>
    <w:p w14:paraId="73903033" w14:textId="77777777" w:rsidR="00A81A9E" w:rsidRDefault="00A81A9E" w:rsidP="00B266BC">
      <w:pPr>
        <w:spacing w:line="360" w:lineRule="auto"/>
        <w:rPr>
          <w:rFonts w:ascii="Arial" w:hAnsi="Arial" w:cs="Arial"/>
          <w:b/>
          <w:bCs/>
        </w:rPr>
      </w:pPr>
    </w:p>
    <w:p w14:paraId="013320DC" w14:textId="77777777" w:rsidR="00A81A9E" w:rsidRDefault="00A81A9E" w:rsidP="00B266BC">
      <w:pPr>
        <w:spacing w:line="360" w:lineRule="auto"/>
        <w:rPr>
          <w:rFonts w:ascii="Arial" w:hAnsi="Arial" w:cs="Arial"/>
          <w:b/>
          <w:bCs/>
        </w:rPr>
      </w:pPr>
    </w:p>
    <w:p w14:paraId="4ECB7CE7" w14:textId="77777777" w:rsidR="00A81A9E" w:rsidRDefault="00A81A9E" w:rsidP="00B266BC">
      <w:pPr>
        <w:spacing w:line="360" w:lineRule="auto"/>
        <w:rPr>
          <w:rFonts w:ascii="Arial" w:hAnsi="Arial" w:cs="Arial"/>
          <w:b/>
          <w:bCs/>
        </w:rPr>
      </w:pPr>
    </w:p>
    <w:p w14:paraId="264C69A1" w14:textId="77777777" w:rsidR="00A81A9E" w:rsidRDefault="00A81A9E" w:rsidP="00B266BC">
      <w:pPr>
        <w:spacing w:line="360" w:lineRule="auto"/>
        <w:rPr>
          <w:rFonts w:ascii="Arial" w:hAnsi="Arial" w:cs="Arial"/>
          <w:b/>
          <w:bCs/>
        </w:rPr>
      </w:pPr>
    </w:p>
    <w:p w14:paraId="4292DFF4" w14:textId="77777777" w:rsidR="00A81A9E" w:rsidRDefault="00A81A9E" w:rsidP="00B266BC">
      <w:pPr>
        <w:spacing w:line="360" w:lineRule="auto"/>
        <w:rPr>
          <w:rFonts w:ascii="Arial" w:hAnsi="Arial" w:cs="Arial"/>
          <w:b/>
          <w:bCs/>
        </w:rPr>
      </w:pPr>
    </w:p>
    <w:p w14:paraId="65B4A583" w14:textId="77777777" w:rsidR="00A81A9E" w:rsidRDefault="00A81A9E" w:rsidP="00B266BC">
      <w:pPr>
        <w:spacing w:line="360" w:lineRule="auto"/>
        <w:rPr>
          <w:rFonts w:ascii="Arial" w:hAnsi="Arial" w:cs="Arial"/>
          <w:b/>
          <w:bCs/>
        </w:rPr>
      </w:pPr>
    </w:p>
    <w:p w14:paraId="1C5103F2" w14:textId="77777777" w:rsidR="00A81A9E" w:rsidRDefault="00A81A9E" w:rsidP="00B266BC">
      <w:pPr>
        <w:spacing w:line="360" w:lineRule="auto"/>
        <w:rPr>
          <w:rFonts w:ascii="Arial" w:hAnsi="Arial" w:cs="Arial"/>
          <w:b/>
          <w:bCs/>
        </w:rPr>
      </w:pPr>
    </w:p>
    <w:p w14:paraId="163B6F14" w14:textId="77777777" w:rsidR="00F447D5" w:rsidRDefault="00F447D5" w:rsidP="00B266BC">
      <w:pPr>
        <w:spacing w:line="360" w:lineRule="auto"/>
        <w:rPr>
          <w:rFonts w:ascii="Arial" w:hAnsi="Arial" w:cs="Arial"/>
        </w:rPr>
      </w:pPr>
    </w:p>
    <w:p w14:paraId="69A9E9EB" w14:textId="77777777" w:rsidR="00F447D5" w:rsidRDefault="00F447D5" w:rsidP="00B266BC">
      <w:pPr>
        <w:spacing w:line="360" w:lineRule="auto"/>
        <w:rPr>
          <w:rFonts w:ascii="Arial" w:hAnsi="Arial" w:cs="Arial"/>
        </w:rPr>
      </w:pPr>
    </w:p>
    <w:p w14:paraId="611E5D78" w14:textId="77777777" w:rsidR="00F447D5" w:rsidRDefault="00F447D5" w:rsidP="00B266BC">
      <w:pPr>
        <w:spacing w:line="360" w:lineRule="auto"/>
        <w:rPr>
          <w:rFonts w:ascii="Arial" w:hAnsi="Arial" w:cs="Arial"/>
        </w:rPr>
      </w:pPr>
    </w:p>
    <w:p w14:paraId="1A6E5778" w14:textId="77777777" w:rsidR="00F447D5" w:rsidRDefault="00F447D5" w:rsidP="00B266BC">
      <w:pPr>
        <w:spacing w:line="360" w:lineRule="auto"/>
        <w:rPr>
          <w:rFonts w:ascii="Arial" w:hAnsi="Arial" w:cs="Arial"/>
        </w:rPr>
      </w:pPr>
    </w:p>
    <w:p w14:paraId="24CFB1E9" w14:textId="77777777" w:rsidR="00F447D5" w:rsidRDefault="00F447D5" w:rsidP="00B266BC">
      <w:pPr>
        <w:spacing w:line="360" w:lineRule="auto"/>
        <w:rPr>
          <w:rFonts w:ascii="Arial" w:hAnsi="Arial" w:cs="Arial"/>
        </w:rPr>
      </w:pPr>
    </w:p>
    <w:p w14:paraId="5945EDC9" w14:textId="77777777" w:rsidR="00F447D5" w:rsidRDefault="00F447D5" w:rsidP="00B266BC">
      <w:pPr>
        <w:spacing w:line="360" w:lineRule="auto"/>
        <w:rPr>
          <w:rFonts w:ascii="Arial" w:hAnsi="Arial" w:cs="Arial"/>
        </w:rPr>
      </w:pPr>
    </w:p>
    <w:p w14:paraId="66BEC7FA" w14:textId="77777777" w:rsidR="00F447D5" w:rsidRDefault="00F447D5" w:rsidP="00B266BC">
      <w:pPr>
        <w:spacing w:line="360" w:lineRule="auto"/>
        <w:rPr>
          <w:rFonts w:ascii="Arial" w:hAnsi="Arial" w:cs="Arial"/>
        </w:rPr>
      </w:pPr>
    </w:p>
    <w:p w14:paraId="76E4DBCE" w14:textId="77777777" w:rsidR="00F447D5" w:rsidRDefault="00F447D5" w:rsidP="00B266BC">
      <w:pPr>
        <w:spacing w:line="360" w:lineRule="auto"/>
        <w:rPr>
          <w:rFonts w:ascii="Arial" w:hAnsi="Arial" w:cs="Arial"/>
        </w:rPr>
      </w:pPr>
    </w:p>
    <w:p w14:paraId="32F5961B" w14:textId="77777777" w:rsidR="00F447D5" w:rsidRDefault="00F447D5" w:rsidP="00B266BC">
      <w:pPr>
        <w:spacing w:line="360" w:lineRule="auto"/>
        <w:rPr>
          <w:rFonts w:ascii="Arial" w:hAnsi="Arial" w:cs="Arial"/>
        </w:rPr>
      </w:pPr>
    </w:p>
    <w:p w14:paraId="2D1FDCC4" w14:textId="77777777" w:rsidR="00F447D5" w:rsidRDefault="00F447D5" w:rsidP="00B266BC">
      <w:pPr>
        <w:spacing w:line="360" w:lineRule="auto"/>
        <w:rPr>
          <w:rFonts w:ascii="Arial" w:hAnsi="Arial" w:cs="Arial"/>
        </w:rPr>
      </w:pPr>
    </w:p>
    <w:p w14:paraId="3E382100" w14:textId="77777777" w:rsidR="00F447D5" w:rsidRDefault="00F447D5" w:rsidP="00B266BC">
      <w:pPr>
        <w:spacing w:line="360" w:lineRule="auto"/>
        <w:rPr>
          <w:rFonts w:ascii="Arial" w:hAnsi="Arial" w:cs="Arial"/>
        </w:rPr>
      </w:pPr>
    </w:p>
    <w:p w14:paraId="0C7A0B7A" w14:textId="4F325072" w:rsidR="00E123DA" w:rsidRDefault="00E123DA" w:rsidP="00E123DA">
      <w:pPr>
        <w:spacing w:line="360" w:lineRule="auto"/>
        <w:jc w:val="center"/>
        <w:rPr>
          <w:rFonts w:ascii="Arial" w:hAnsi="Arial" w:cs="Arial"/>
          <w:b/>
          <w:bCs/>
          <w:sz w:val="36"/>
          <w:szCs w:val="36"/>
          <w:u w:val="single"/>
        </w:rPr>
      </w:pPr>
      <w:r w:rsidRPr="001B0C9B">
        <w:rPr>
          <w:rFonts w:ascii="Arial" w:hAnsi="Arial" w:cs="Arial"/>
          <w:b/>
          <w:bCs/>
          <w:sz w:val="36"/>
          <w:szCs w:val="36"/>
          <w:u w:val="single"/>
        </w:rPr>
        <w:t>Part One</w:t>
      </w:r>
    </w:p>
    <w:p w14:paraId="62804947" w14:textId="59FCD12D" w:rsidR="00C40EFA" w:rsidRPr="00C40EFA" w:rsidRDefault="00C40EFA" w:rsidP="00E123DA">
      <w:pPr>
        <w:spacing w:line="360" w:lineRule="auto"/>
        <w:jc w:val="center"/>
        <w:rPr>
          <w:rFonts w:ascii="Arial" w:hAnsi="Arial" w:cs="Arial"/>
          <w:b/>
          <w:bCs/>
          <w:sz w:val="28"/>
          <w:szCs w:val="28"/>
        </w:rPr>
      </w:pPr>
      <w:r w:rsidRPr="00C40EFA">
        <w:rPr>
          <w:rFonts w:ascii="Arial" w:hAnsi="Arial" w:cs="Arial"/>
          <w:b/>
          <w:bCs/>
          <w:sz w:val="28"/>
          <w:szCs w:val="28"/>
        </w:rPr>
        <w:t>Introduction</w:t>
      </w:r>
    </w:p>
    <w:p w14:paraId="5C0F65F8" w14:textId="647DFED8" w:rsid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This assignment will present the research that has been conducted in a primary school </w:t>
      </w:r>
      <w:r w:rsidR="000619EC">
        <w:rPr>
          <w:rFonts w:ascii="Arial" w:hAnsi="Arial" w:cs="Arial"/>
          <w:color w:val="252525"/>
          <w:sz w:val="22"/>
          <w:szCs w:val="22"/>
        </w:rPr>
        <w:t xml:space="preserve">setting, </w:t>
      </w:r>
      <w:r w:rsidRPr="001B1EAA">
        <w:rPr>
          <w:rFonts w:ascii="Arial" w:hAnsi="Arial" w:cs="Arial"/>
          <w:color w:val="252525"/>
          <w:sz w:val="22"/>
          <w:szCs w:val="22"/>
        </w:rPr>
        <w:t>while critically examining current literature on children's reading habits at home with their parents and carers. It will also provide a</w:t>
      </w:r>
      <w:r w:rsidR="00C263A6">
        <w:rPr>
          <w:rFonts w:ascii="Arial" w:hAnsi="Arial" w:cs="Arial"/>
          <w:color w:val="252525"/>
          <w:sz w:val="22"/>
          <w:szCs w:val="22"/>
        </w:rPr>
        <w:t xml:space="preserve"> description </w:t>
      </w:r>
      <w:r w:rsidRPr="001B1EAA">
        <w:rPr>
          <w:rFonts w:ascii="Arial" w:hAnsi="Arial" w:cs="Arial"/>
          <w:color w:val="252525"/>
          <w:sz w:val="22"/>
          <w:szCs w:val="22"/>
        </w:rPr>
        <w:t xml:space="preserve">of the methods employed to collect the data. The motivation to investigate this subject arises from previous teaching practice within another school; the previous school had a high percentage of pupils who engaged in home reading with their parents, whereas this school does not. The primary objective of this research study is to investigate the teachers' perspectives regarding the impact of pupils' reading at home with their parents or carers on pupils' reading progression. </w:t>
      </w:r>
      <w:r w:rsidR="007146D3" w:rsidRPr="001B1EAA">
        <w:rPr>
          <w:rFonts w:ascii="Arial" w:hAnsi="Arial" w:cs="Arial"/>
          <w:color w:val="252525"/>
          <w:sz w:val="22"/>
          <w:szCs w:val="22"/>
        </w:rPr>
        <w:t>Thus,</w:t>
      </w:r>
      <w:r w:rsidRPr="001B1EAA">
        <w:rPr>
          <w:rFonts w:ascii="Arial" w:hAnsi="Arial" w:cs="Arial"/>
          <w:color w:val="252525"/>
          <w:sz w:val="22"/>
          <w:szCs w:val="22"/>
        </w:rPr>
        <w:t xml:space="preserve"> ascertain</w:t>
      </w:r>
      <w:r w:rsidR="00C263A6">
        <w:rPr>
          <w:rFonts w:ascii="Arial" w:hAnsi="Arial" w:cs="Arial"/>
          <w:color w:val="252525"/>
          <w:sz w:val="22"/>
          <w:szCs w:val="22"/>
        </w:rPr>
        <w:t xml:space="preserve">ing </w:t>
      </w:r>
      <w:r w:rsidRPr="001B1EAA">
        <w:rPr>
          <w:rFonts w:ascii="Arial" w:hAnsi="Arial" w:cs="Arial"/>
          <w:color w:val="252525"/>
          <w:sz w:val="22"/>
          <w:szCs w:val="22"/>
        </w:rPr>
        <w:t xml:space="preserve">whether a correlation exists between pupils who read at home and any potential disparities in their reading age compared to those who do not read with parents or carers. The setting in which the research took place was a small primary school situated in South Wales, which is an English-medium setting. The school’s 2016 Estyn report identified 325 pupils on </w:t>
      </w:r>
      <w:r w:rsidR="00C263A6">
        <w:rPr>
          <w:rFonts w:ascii="Arial" w:hAnsi="Arial" w:cs="Arial"/>
          <w:color w:val="252525"/>
          <w:sz w:val="22"/>
          <w:szCs w:val="22"/>
        </w:rPr>
        <w:t>roll</w:t>
      </w:r>
      <w:r w:rsidRPr="001B1EAA">
        <w:rPr>
          <w:rFonts w:ascii="Arial" w:hAnsi="Arial" w:cs="Arial"/>
          <w:color w:val="252525"/>
          <w:sz w:val="22"/>
          <w:szCs w:val="22"/>
        </w:rPr>
        <w:t xml:space="preserve">, aged between 3 and 11, </w:t>
      </w:r>
      <w:r w:rsidR="00C263A6">
        <w:rPr>
          <w:rFonts w:ascii="Arial" w:hAnsi="Arial" w:cs="Arial"/>
          <w:color w:val="252525"/>
          <w:sz w:val="22"/>
          <w:szCs w:val="22"/>
        </w:rPr>
        <w:t>organised in</w:t>
      </w:r>
      <w:r w:rsidRPr="001B1EAA">
        <w:rPr>
          <w:rFonts w:ascii="Arial" w:hAnsi="Arial" w:cs="Arial"/>
          <w:color w:val="252525"/>
          <w:sz w:val="22"/>
          <w:szCs w:val="22"/>
        </w:rPr>
        <w:t xml:space="preserve"> 13 classes (Estyn, 2016).</w:t>
      </w:r>
    </w:p>
    <w:p w14:paraId="1AF061AD" w14:textId="5FF78407" w:rsidR="00C40EFA" w:rsidRPr="00C40EFA" w:rsidRDefault="00C40EFA" w:rsidP="00C40EFA">
      <w:pPr>
        <w:pStyle w:val="NormalWeb"/>
        <w:spacing w:line="360" w:lineRule="auto"/>
        <w:jc w:val="center"/>
        <w:rPr>
          <w:rFonts w:ascii="Arial" w:hAnsi="Arial" w:cs="Arial"/>
          <w:b/>
          <w:bCs/>
          <w:color w:val="252525"/>
          <w:sz w:val="28"/>
          <w:szCs w:val="28"/>
        </w:rPr>
      </w:pPr>
      <w:r w:rsidRPr="00C40EFA">
        <w:rPr>
          <w:rFonts w:ascii="Arial" w:hAnsi="Arial" w:cs="Arial"/>
          <w:b/>
          <w:bCs/>
          <w:color w:val="252525"/>
          <w:sz w:val="28"/>
          <w:szCs w:val="28"/>
        </w:rPr>
        <w:t>Literature Review</w:t>
      </w:r>
    </w:p>
    <w:p w14:paraId="55C7C4AB"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Butter (2018) argues that having a low socioeconomic status alone is not a reliable indicator of reading achievement. However, when combined with other factors like a home environment lacking in literacy resources, insufficient school instruction, or being an English language learner, the likelihood of experiencing difficulties in reading increases (Butter, 2018). These findings suggest that households with lower socioeconomic status are less inclined to engage in home reading, but they may not be definitive and should not be considered the sole factor that contributes to pupils' lack of at-home reading. Reading Mate (2020) contends that children's lack of interest in reading stems from their perception that it is not enjoyable; thus, these perceptions contribute to the baseline of this research.</w:t>
      </w:r>
    </w:p>
    <w:p w14:paraId="6BD0AB56" w14:textId="21AF6730"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Maslow's (1943) hierarchy of needs theory states that children cannot reach their maximum potential unless their fundamental physiological and safety requirements are fulfilled. Children can pursue additional accomplishments and self-actuali</w:t>
      </w:r>
      <w:r w:rsidR="00C263A6">
        <w:rPr>
          <w:rFonts w:ascii="Arial" w:hAnsi="Arial" w:cs="Arial"/>
          <w:color w:val="252525"/>
          <w:sz w:val="22"/>
          <w:szCs w:val="22"/>
        </w:rPr>
        <w:t>s</w:t>
      </w:r>
      <w:r w:rsidRPr="001B1EAA">
        <w:rPr>
          <w:rFonts w:ascii="Arial" w:hAnsi="Arial" w:cs="Arial"/>
          <w:color w:val="252525"/>
          <w:sz w:val="22"/>
          <w:szCs w:val="22"/>
        </w:rPr>
        <w:t xml:space="preserve">ation only once these needs are addressed. Additionally, bolstering Butter's (2018) perspective that their </w:t>
      </w:r>
      <w:r w:rsidRPr="001B1EAA">
        <w:rPr>
          <w:rFonts w:ascii="Arial" w:hAnsi="Arial" w:cs="Arial"/>
          <w:color w:val="252525"/>
          <w:sz w:val="22"/>
          <w:szCs w:val="22"/>
        </w:rPr>
        <w:lastRenderedPageBreak/>
        <w:t xml:space="preserve">socioeconomic position can significantly impact parental involvement in their child's reading, thus influencing their academic </w:t>
      </w:r>
      <w:r w:rsidR="007146D3" w:rsidRPr="001B1EAA">
        <w:rPr>
          <w:rFonts w:ascii="Arial" w:hAnsi="Arial" w:cs="Arial"/>
          <w:color w:val="252525"/>
          <w:sz w:val="22"/>
          <w:szCs w:val="22"/>
        </w:rPr>
        <w:t>advancement.</w:t>
      </w:r>
    </w:p>
    <w:p w14:paraId="3F49EC91" w14:textId="7548222F"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Research and surveys conducted by the National Literacy Trust in 2023 identified that 52.9% of individuals between the ages of 8 and 18 receive encouragement from their parents or carers to read. Additionally, 58.4% reported witnessing their parents or carers engage in reading activities, while 19.9% reported participating in reading activities with their family. Additionally, according to the National Literacy Trust (2023), 43.4% of children and young people between the ages of 8 and 18 expressed a preference for reading in their free time. This represents the minimum level seen since the survey's inception in 2005. The significance of this study is substantial since it provides a comprehensive overview of the number of pupils in the United Kingdom who genuinely enjoy reading and actively participate in reading activities at home (National Literacy Trust, 2023). </w:t>
      </w:r>
      <w:r w:rsidR="00A22E2A">
        <w:rPr>
          <w:rFonts w:ascii="Arial" w:hAnsi="Arial" w:cs="Arial"/>
          <w:color w:val="252525"/>
          <w:sz w:val="22"/>
          <w:szCs w:val="22"/>
        </w:rPr>
        <w:t>A</w:t>
      </w:r>
      <w:r w:rsidRPr="001B1EAA">
        <w:rPr>
          <w:rFonts w:ascii="Arial" w:hAnsi="Arial" w:cs="Arial"/>
          <w:color w:val="252525"/>
          <w:sz w:val="22"/>
          <w:szCs w:val="22"/>
        </w:rPr>
        <w:t>lthough this source presents indisputable statistics, it lacks an explanation for the reasoning behind pupils' sentiments and the significant decline in the nation's reading enjoyment.</w:t>
      </w:r>
    </w:p>
    <w:p w14:paraId="6F7EBA2D" w14:textId="134FFCC4"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Consequently, one can infer that fewer pupils are engaging in reading activities with their parents or guardians at home, which may result in reduced progress in reading and learning. Similarly, according to Cole, Clark, and Picton's (2022, p</w:t>
      </w:r>
      <w:r w:rsidR="00541CD9">
        <w:rPr>
          <w:rFonts w:ascii="Arial" w:hAnsi="Arial" w:cs="Arial"/>
          <w:color w:val="252525"/>
          <w:sz w:val="22"/>
          <w:szCs w:val="22"/>
        </w:rPr>
        <w:t>.</w:t>
      </w:r>
      <w:r w:rsidRPr="001B1EAA">
        <w:rPr>
          <w:rFonts w:ascii="Arial" w:hAnsi="Arial" w:cs="Arial"/>
          <w:color w:val="252525"/>
          <w:sz w:val="22"/>
          <w:szCs w:val="22"/>
        </w:rPr>
        <w:t xml:space="preserve"> 1) findings, approximately 6.5% of young individuals, or 1 in 15, lack a personal reading book. Furthermore, the proportion of individuals without a book is 5.8% among those who do not receive </w:t>
      </w:r>
      <w:r w:rsidR="008852B0">
        <w:rPr>
          <w:rFonts w:ascii="Arial" w:hAnsi="Arial" w:cs="Arial"/>
          <w:color w:val="252525"/>
          <w:sz w:val="22"/>
          <w:szCs w:val="22"/>
        </w:rPr>
        <w:t>F</w:t>
      </w:r>
      <w:r w:rsidRPr="001B1EAA">
        <w:rPr>
          <w:rFonts w:ascii="Arial" w:hAnsi="Arial" w:cs="Arial"/>
          <w:color w:val="252525"/>
          <w:sz w:val="22"/>
          <w:szCs w:val="22"/>
        </w:rPr>
        <w:t xml:space="preserve">ree </w:t>
      </w:r>
      <w:r w:rsidR="008852B0">
        <w:rPr>
          <w:rFonts w:ascii="Arial" w:hAnsi="Arial" w:cs="Arial"/>
          <w:color w:val="252525"/>
          <w:sz w:val="22"/>
          <w:szCs w:val="22"/>
        </w:rPr>
        <w:t>S</w:t>
      </w:r>
      <w:r w:rsidRPr="001B1EAA">
        <w:rPr>
          <w:rFonts w:ascii="Arial" w:hAnsi="Arial" w:cs="Arial"/>
          <w:color w:val="252525"/>
          <w:sz w:val="22"/>
          <w:szCs w:val="22"/>
        </w:rPr>
        <w:t xml:space="preserve">chool </w:t>
      </w:r>
      <w:r w:rsidR="008852B0">
        <w:rPr>
          <w:rFonts w:ascii="Arial" w:hAnsi="Arial" w:cs="Arial"/>
          <w:color w:val="252525"/>
          <w:sz w:val="22"/>
          <w:szCs w:val="22"/>
        </w:rPr>
        <w:t>M</w:t>
      </w:r>
      <w:r w:rsidRPr="001B1EAA">
        <w:rPr>
          <w:rFonts w:ascii="Arial" w:hAnsi="Arial" w:cs="Arial"/>
          <w:color w:val="252525"/>
          <w:sz w:val="22"/>
          <w:szCs w:val="22"/>
        </w:rPr>
        <w:t>eals (FSMs), but increases to 9.7% among those who do receive FSMs (National Literacy Trust, 2023).</w:t>
      </w:r>
      <w:r w:rsidR="00C263A6">
        <w:rPr>
          <w:rFonts w:ascii="Arial" w:hAnsi="Arial" w:cs="Arial"/>
          <w:color w:val="252525"/>
          <w:sz w:val="22"/>
          <w:szCs w:val="22"/>
        </w:rPr>
        <w:t xml:space="preserve"> </w:t>
      </w:r>
      <w:r w:rsidRPr="001B1EAA">
        <w:rPr>
          <w:rFonts w:ascii="Arial" w:hAnsi="Arial" w:cs="Arial"/>
          <w:color w:val="252525"/>
          <w:sz w:val="22"/>
          <w:szCs w:val="22"/>
        </w:rPr>
        <w:t>Reinforcing Butter's (2018) perspective, pupils from lower socioeconomic backgrounds have less involvement in reading at home with their parents or guardians. One explanation could be the limited availability of reading materials for those households because of budgetary constraints.</w:t>
      </w:r>
    </w:p>
    <w:p w14:paraId="6BB94682"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Shaffi (2023) states that research shows that due to current economic hardship, 20% of parents and carers are reducing their expenditure on books for their children. While there is a distinct disparity in the reading habits of pupils according to their FSM status, there is also a discernible association between gender and reading engagement. Contrastingly, Cole et al. (2022, p. 8) studied that the proportion of boys receiving free school meals is 39.8%, which translates to only 2 out of 5 boys who expressed their enjoyment of reading, in contrast to around 46.0% of girls who receive free school lunches. Hence, it is proposed that numerous diverse circumstances, including pupils with dyslexia, can impact a pupil's involvement in reading, particularly within the home environment. Research by the NHS </w:t>
      </w:r>
      <w:r w:rsidRPr="001B1EAA">
        <w:rPr>
          <w:rFonts w:ascii="Arial" w:hAnsi="Arial" w:cs="Arial"/>
          <w:color w:val="252525"/>
          <w:sz w:val="22"/>
          <w:szCs w:val="22"/>
        </w:rPr>
        <w:lastRenderedPageBreak/>
        <w:t>(2019) suggests that children with dyslexia may avoid reading and tasks associated with reading.</w:t>
      </w:r>
    </w:p>
    <w:p w14:paraId="770F5E9E" w14:textId="77777777" w:rsidR="00C40EFA" w:rsidRDefault="00C40EFA" w:rsidP="001B1EAA">
      <w:pPr>
        <w:pStyle w:val="NormalWeb"/>
        <w:spacing w:line="360" w:lineRule="auto"/>
        <w:rPr>
          <w:rFonts w:ascii="Arial" w:hAnsi="Arial" w:cs="Arial"/>
          <w:color w:val="252525"/>
          <w:sz w:val="22"/>
          <w:szCs w:val="22"/>
        </w:rPr>
      </w:pPr>
    </w:p>
    <w:p w14:paraId="5C2608F0" w14:textId="5653F0CE" w:rsidR="00C40EFA" w:rsidRPr="00C40EFA" w:rsidRDefault="00C40EFA" w:rsidP="00C40EFA">
      <w:pPr>
        <w:pStyle w:val="NormalWeb"/>
        <w:spacing w:line="360" w:lineRule="auto"/>
        <w:jc w:val="center"/>
        <w:rPr>
          <w:rFonts w:ascii="Arial" w:hAnsi="Arial" w:cs="Arial"/>
          <w:b/>
          <w:bCs/>
          <w:color w:val="252525"/>
          <w:sz w:val="28"/>
          <w:szCs w:val="28"/>
        </w:rPr>
      </w:pPr>
      <w:r w:rsidRPr="00C40EFA">
        <w:rPr>
          <w:rFonts w:ascii="Arial" w:hAnsi="Arial" w:cs="Arial"/>
          <w:b/>
          <w:bCs/>
          <w:color w:val="252525"/>
          <w:sz w:val="28"/>
          <w:szCs w:val="28"/>
        </w:rPr>
        <w:t>Case Studies</w:t>
      </w:r>
    </w:p>
    <w:p w14:paraId="3DD2D44D" w14:textId="23ADC332" w:rsidR="001B1EAA" w:rsidRPr="001B1EAA" w:rsidRDefault="001B1EAA" w:rsidP="001B1EAA">
      <w:pPr>
        <w:pStyle w:val="NormalWeb"/>
        <w:spacing w:line="360" w:lineRule="auto"/>
        <w:rPr>
          <w:rFonts w:ascii="Arial" w:hAnsi="Arial" w:cs="Arial"/>
          <w:color w:val="252525"/>
          <w:sz w:val="22"/>
          <w:szCs w:val="22"/>
        </w:rPr>
      </w:pPr>
      <w:proofErr w:type="spellStart"/>
      <w:r w:rsidRPr="001B1EAA">
        <w:rPr>
          <w:rFonts w:ascii="Arial" w:hAnsi="Arial" w:cs="Arial"/>
          <w:color w:val="252525"/>
          <w:sz w:val="22"/>
          <w:szCs w:val="22"/>
        </w:rPr>
        <w:t>McCombes</w:t>
      </w:r>
      <w:proofErr w:type="spellEnd"/>
      <w:r w:rsidRPr="001B1EAA">
        <w:rPr>
          <w:rFonts w:ascii="Arial" w:hAnsi="Arial" w:cs="Arial"/>
          <w:color w:val="252525"/>
          <w:sz w:val="22"/>
          <w:szCs w:val="22"/>
        </w:rPr>
        <w:t xml:space="preserve"> (2019) defined a case study as an extensive investigation into a particular subject, such as an individual, group, place, event, organisation, or phenomenon. Case studies are commonly employed in social, educational, clinical, and business-oriented research. Hassan (2023) specifies case study research as a strategy that involves a comprehensive assessment and examination of a particular phenomenon or instance, such as an individual, organisation, community, event, or scenario. Case studies typically yield qualitative data, although they can occasionally be used to generate quantitative data. Rebolj (2013) adds </w:t>
      </w:r>
      <w:r w:rsidR="006B4706">
        <w:rPr>
          <w:rFonts w:ascii="Arial" w:hAnsi="Arial" w:cs="Arial"/>
          <w:color w:val="252525"/>
          <w:sz w:val="22"/>
          <w:szCs w:val="22"/>
        </w:rPr>
        <w:t>c</w:t>
      </w:r>
      <w:r w:rsidRPr="001B1EAA">
        <w:rPr>
          <w:rFonts w:ascii="Arial" w:hAnsi="Arial" w:cs="Arial"/>
          <w:color w:val="252525"/>
          <w:sz w:val="22"/>
          <w:szCs w:val="22"/>
        </w:rPr>
        <w:t>ase studies were among the initial forms of research employed in the realm of qualitative analysis. Qualitative research involves the collection of non-numerical data, including words, images, and sounds.</w:t>
      </w:r>
    </w:p>
    <w:p w14:paraId="5C27572D"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primary focus of this case study is to examine an individual's subjective experiences, beliefs, and attitudes, typically achieved through the methods of observation and interviews (McLeod, 2023). Hiter (2021) consolidates that quantitative data refers to the gathering of numerical information. Case study research is commonly employed to examine genuine, real-world situations to gain a more profound and comprehensive understanding of what and how inquiries may arise. Incorporating any research strategy within research as a methodology can have drawbacks as well as advantages.</w:t>
      </w:r>
    </w:p>
    <w:p w14:paraId="6C4844F1"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McLeod (2022) discusses the possibility of researcher bias regarding case studies. Deviations from the truth in research lead to distorted outcomes and inaccurate conclusions. </w:t>
      </w:r>
      <w:proofErr w:type="spellStart"/>
      <w:r w:rsidRPr="001B1EAA">
        <w:rPr>
          <w:rFonts w:ascii="Arial" w:hAnsi="Arial" w:cs="Arial"/>
          <w:color w:val="252525"/>
          <w:sz w:val="22"/>
          <w:szCs w:val="22"/>
        </w:rPr>
        <w:t>Šimundić</w:t>
      </w:r>
      <w:proofErr w:type="spellEnd"/>
      <w:r w:rsidRPr="001B1EAA">
        <w:rPr>
          <w:rFonts w:ascii="Arial" w:hAnsi="Arial" w:cs="Arial"/>
          <w:color w:val="252525"/>
          <w:sz w:val="22"/>
          <w:szCs w:val="22"/>
        </w:rPr>
        <w:t xml:space="preserve"> (2013) supports the notion that bias refers to any systematic tendency or deviation from accuracy in the process of collecting, analysing, interpreting, and publishing data, which can lead to erroneous findings. Biases can manifest at any stage of the research process, encompassing data collection, data analysis, interpretation, and publication. Research bias can manifest in both qualitative and quantitative studies (</w:t>
      </w:r>
      <w:proofErr w:type="spellStart"/>
      <w:r w:rsidRPr="001B1EAA">
        <w:rPr>
          <w:rFonts w:ascii="Arial" w:hAnsi="Arial" w:cs="Arial"/>
          <w:color w:val="252525"/>
          <w:sz w:val="22"/>
          <w:szCs w:val="22"/>
        </w:rPr>
        <w:t>Scribbr</w:t>
      </w:r>
      <w:proofErr w:type="spellEnd"/>
      <w:r w:rsidRPr="001B1EAA">
        <w:rPr>
          <w:rFonts w:ascii="Arial" w:hAnsi="Arial" w:cs="Arial"/>
          <w:color w:val="252525"/>
          <w:sz w:val="22"/>
          <w:szCs w:val="22"/>
        </w:rPr>
        <w:t>, 2022). Another potential constraint of case study research arises from its infrequent occurrence, leading to reduced reliability due to the unlikelihood of achieving perfect replication (Tutor2u, 2020). While it is vital to acknowledge the limitations of applying case study research, it is also crucial to recognise its significant benefits.</w:t>
      </w:r>
    </w:p>
    <w:p w14:paraId="2B89CB76"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lastRenderedPageBreak/>
        <w:t xml:space="preserve">Case-study research can enable researchers to thoroughly investigate intricate situations and conditions. Researchers can uncover intricate insights and deep levels of comprehension that may be overlooked by other research methods, such as large-scale survey studies, which tend to concentrate on a specific occurrence or event (Drew, 2023). Case studies allow the researchers to scrutinise phenomena that may be arduous or unfeasible to replicate inside a controlled laboratory setting (Very Well Mind, 2023). While previously mentioned as a drawback, this can also be viewed as a benefit, as it allows research to be conducted outside of controlled laboratory settings and in genuine real-world situations. </w:t>
      </w:r>
      <w:proofErr w:type="spellStart"/>
      <w:r w:rsidRPr="001B1EAA">
        <w:rPr>
          <w:rFonts w:ascii="Arial" w:hAnsi="Arial" w:cs="Arial"/>
          <w:color w:val="252525"/>
          <w:sz w:val="22"/>
          <w:szCs w:val="22"/>
        </w:rPr>
        <w:t>Tetnowski</w:t>
      </w:r>
      <w:proofErr w:type="spellEnd"/>
      <w:r w:rsidRPr="001B1EAA">
        <w:rPr>
          <w:rFonts w:ascii="Arial" w:hAnsi="Arial" w:cs="Arial"/>
          <w:color w:val="252525"/>
          <w:sz w:val="22"/>
          <w:szCs w:val="22"/>
        </w:rPr>
        <w:t xml:space="preserve"> (2015, p. 39) further explains that experimental designs are highly effective in establishing causal relationships. However, it is not feasible to conduct all investigations in controlled scenarios.</w:t>
      </w:r>
    </w:p>
    <w:p w14:paraId="4664B28C" w14:textId="2A6A7A6B" w:rsidR="00C40EFA" w:rsidRPr="00C40EFA" w:rsidRDefault="00C40EFA" w:rsidP="00C40EFA">
      <w:pPr>
        <w:pStyle w:val="NormalWeb"/>
        <w:spacing w:line="360" w:lineRule="auto"/>
        <w:jc w:val="center"/>
        <w:rPr>
          <w:rFonts w:ascii="Arial" w:hAnsi="Arial" w:cs="Arial"/>
          <w:b/>
          <w:bCs/>
          <w:color w:val="252525"/>
          <w:sz w:val="28"/>
          <w:szCs w:val="28"/>
        </w:rPr>
      </w:pPr>
      <w:r w:rsidRPr="00C40EFA">
        <w:rPr>
          <w:rFonts w:ascii="Arial" w:hAnsi="Arial" w:cs="Arial"/>
          <w:b/>
          <w:bCs/>
          <w:color w:val="252525"/>
          <w:sz w:val="28"/>
          <w:szCs w:val="28"/>
        </w:rPr>
        <w:t>Research Methods</w:t>
      </w:r>
    </w:p>
    <w:p w14:paraId="604F35B9" w14:textId="6D49E1B4"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During the current investigation at a primary school in South Wales, six pupils were participating from a Year Six class, along with six teachers who taught across both phases. Pupil participants were involved in a focus group as an informal interview, during which they were asked questions about their individual opinions and their level of involvement in reading. They were asked about their reading habits outside of school. The teacher participants were provided with an online questionnaire and asked to complete the anonymous form using a link sent by the school headteacher.</w:t>
      </w:r>
    </w:p>
    <w:p w14:paraId="59CCDB76" w14:textId="10399AF8"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research first utilised a focus group as the research methodology. Focus groups act as a research methodology that gathers a small group of people in a controlled environment to answer questions related to a specific topic (</w:t>
      </w:r>
      <w:proofErr w:type="spellStart"/>
      <w:r w:rsidRPr="001B1EAA">
        <w:rPr>
          <w:rFonts w:ascii="Arial" w:hAnsi="Arial" w:cs="Arial"/>
          <w:color w:val="252525"/>
          <w:sz w:val="22"/>
          <w:szCs w:val="22"/>
        </w:rPr>
        <w:t>Scribbr</w:t>
      </w:r>
      <w:proofErr w:type="spellEnd"/>
      <w:r w:rsidRPr="001B1EAA">
        <w:rPr>
          <w:rFonts w:ascii="Arial" w:hAnsi="Arial" w:cs="Arial"/>
          <w:color w:val="252525"/>
          <w:sz w:val="22"/>
          <w:szCs w:val="22"/>
        </w:rPr>
        <w:t xml:space="preserve">, 2022b). </w:t>
      </w:r>
      <w:r w:rsidR="007146D3" w:rsidRPr="001B1EAA">
        <w:rPr>
          <w:rFonts w:ascii="Arial" w:hAnsi="Arial" w:cs="Arial"/>
          <w:color w:val="252525"/>
          <w:sz w:val="22"/>
          <w:szCs w:val="22"/>
        </w:rPr>
        <w:t>Similarly,</w:t>
      </w:r>
      <w:r w:rsidRPr="001B1EAA">
        <w:rPr>
          <w:rFonts w:ascii="Arial" w:hAnsi="Arial" w:cs="Arial"/>
          <w:color w:val="252525"/>
          <w:sz w:val="22"/>
          <w:szCs w:val="22"/>
        </w:rPr>
        <w:t xml:space="preserve"> to other research methods, focus groups offer both benefits and drawbacks when used in a research study. According to the Office for Health Improvement and Disparities (2020), group dynamics have the potential to improve communication, facilitate the exchange of ideas, and stimulate debate. Promoting the use of focus groups, specifically in the context of involving children, Kruger (2014, p. 2) agrees and additionally proposes that a methodically structured dialogue focused on collecting viewpoints regarding a particular issue of interest in a permissive and non-intimidating environment can improve the credibility of the collected data.</w:t>
      </w:r>
    </w:p>
    <w:p w14:paraId="230C353B"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According to Shaw, Brady, and Davey (2011), focus groups can create a safe environment for children to interact with their peers. Focus groups can help alleviate power imbalances that may occur between researchers and participants, particularly in situations involving an adult-child or teacher-pupil relationship, as observed in one-on-one interviews (Shaw, Brady, </w:t>
      </w:r>
      <w:r w:rsidRPr="001B1EAA">
        <w:rPr>
          <w:rFonts w:ascii="Arial" w:hAnsi="Arial" w:cs="Arial"/>
          <w:color w:val="252525"/>
          <w:sz w:val="22"/>
          <w:szCs w:val="22"/>
        </w:rPr>
        <w:lastRenderedPageBreak/>
        <w:t>and Davey, 2011). Illustrating the effectiveness of focus groups in obtaining and gathering information, specifically from children.</w:t>
      </w:r>
    </w:p>
    <w:p w14:paraId="2662D979"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However, the use of focus groups cannot be considered free from limitations and challenges. Preserving anonymity and guaranteeing confidentiality is a limitation of this research methodology. Wellings et al. (2000, p. 255) state that within a group situation, people are compelled to publicly disclose information that they typically consider private. The group's response and level of discretion cannot be reliably anticipated. Ensuring confidentiality and anonymity might be challenging for researchers due to their limited control over members' communication outside the group (Sim, J., and Waterfield, J., 2019).</w:t>
      </w:r>
    </w:p>
    <w:p w14:paraId="393DC3E9"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Utilising focus groups as an interview style might raise questions about validity, as participants may be influenced to conform and make incorrect responses, thus undermining the integrity of the collected data. </w:t>
      </w:r>
      <w:proofErr w:type="spellStart"/>
      <w:r w:rsidRPr="001B1EAA">
        <w:rPr>
          <w:rFonts w:ascii="Arial" w:hAnsi="Arial" w:cs="Arial"/>
          <w:color w:val="252525"/>
          <w:sz w:val="22"/>
          <w:szCs w:val="22"/>
        </w:rPr>
        <w:t>Mcleod</w:t>
      </w:r>
      <w:proofErr w:type="spellEnd"/>
      <w:r w:rsidRPr="001B1EAA">
        <w:rPr>
          <w:rFonts w:ascii="Arial" w:hAnsi="Arial" w:cs="Arial"/>
          <w:color w:val="252525"/>
          <w:sz w:val="22"/>
          <w:szCs w:val="22"/>
        </w:rPr>
        <w:t xml:space="preserve"> (2022) argues that the validity of group interviews may be affected because participants may engage in impression management, adhere to peer influence, and provide incorrect responses. Additionally, this may inadvertently influence the responses of participants who are hesitant to express opposing views and instead choose to conform to the prevalent atmosphere (Roller and </w:t>
      </w:r>
      <w:proofErr w:type="spellStart"/>
      <w:r w:rsidRPr="001B1EAA">
        <w:rPr>
          <w:rFonts w:ascii="Arial" w:hAnsi="Arial" w:cs="Arial"/>
          <w:color w:val="252525"/>
          <w:sz w:val="22"/>
          <w:szCs w:val="22"/>
        </w:rPr>
        <w:t>Lavrakas</w:t>
      </w:r>
      <w:proofErr w:type="spellEnd"/>
      <w:r w:rsidRPr="001B1EAA">
        <w:rPr>
          <w:rFonts w:ascii="Arial" w:hAnsi="Arial" w:cs="Arial"/>
          <w:color w:val="252525"/>
          <w:sz w:val="22"/>
          <w:szCs w:val="22"/>
        </w:rPr>
        <w:t>, 2015, p. 112).</w:t>
      </w:r>
    </w:p>
    <w:p w14:paraId="11918A07"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research extensively examined the correlation between parental engagement and reading. Focus groups are used for data collection in participatory research, particularly when young individuals are included (Bagnoli and Clark, 2010). The research method of focus groups was used to examine the correlation between parental engagement and reading. This choice was made due to the method's open-ended questioning style, which is particularly advantageous when working with children. Fargas-Malet et al. (2010, p. 180) state that the use of open-ended questions can provide richer data, especially when working with children. Tay-Lim and Lim (2013, p. 72) further add that by employing open-ended inquiries, the children are prompted to engage in profound introspection about their surroundings and are provided with the freedom to explore their ideas.</w:t>
      </w:r>
    </w:p>
    <w:p w14:paraId="1768F3DB"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Through the collection of data from pupils regarding their reading behaviours and preferences, the objective was to acquire a more profound comprehension of their engagement with reading, both within and beyond the classroom environment. This data will be invaluable for formulating future interventions and strategies to enhance reading engagement among pupils. Based on past teaching experiences, gathering feedback from learners regarding their level of engagement with their learning has proven to be a crucial factor in shaping interventions that aim to foster active participation and promote advancement.</w:t>
      </w:r>
    </w:p>
    <w:p w14:paraId="305FCCB6" w14:textId="1B34ED74"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lastRenderedPageBreak/>
        <w:t xml:space="preserve">The focus group interviews consisted of six participants, specifically six pupils in </w:t>
      </w:r>
      <w:r w:rsidR="00B73B99">
        <w:rPr>
          <w:rFonts w:ascii="Arial" w:hAnsi="Arial" w:cs="Arial"/>
          <w:color w:val="252525"/>
          <w:sz w:val="22"/>
          <w:szCs w:val="22"/>
        </w:rPr>
        <w:t>Y</w:t>
      </w:r>
      <w:r w:rsidRPr="001B1EAA">
        <w:rPr>
          <w:rFonts w:ascii="Arial" w:hAnsi="Arial" w:cs="Arial"/>
          <w:color w:val="252525"/>
          <w:sz w:val="22"/>
          <w:szCs w:val="22"/>
        </w:rPr>
        <w:t xml:space="preserve">ear </w:t>
      </w:r>
      <w:r w:rsidR="00B73B99">
        <w:rPr>
          <w:rFonts w:ascii="Arial" w:hAnsi="Arial" w:cs="Arial"/>
          <w:color w:val="252525"/>
          <w:sz w:val="22"/>
          <w:szCs w:val="22"/>
        </w:rPr>
        <w:t>S</w:t>
      </w:r>
      <w:r w:rsidRPr="001B1EAA">
        <w:rPr>
          <w:rFonts w:ascii="Arial" w:hAnsi="Arial" w:cs="Arial"/>
          <w:color w:val="252525"/>
          <w:sz w:val="22"/>
          <w:szCs w:val="22"/>
        </w:rPr>
        <w:t>ix, with an equal distribution of three boys and three girls. The focus group interviews comprised</w:t>
      </w:r>
      <w:r w:rsidR="00C263A6">
        <w:rPr>
          <w:rFonts w:ascii="Arial" w:hAnsi="Arial" w:cs="Arial"/>
          <w:color w:val="252525"/>
          <w:sz w:val="22"/>
          <w:szCs w:val="22"/>
        </w:rPr>
        <w:t xml:space="preserve"> of</w:t>
      </w:r>
      <w:r w:rsidRPr="001B1EAA">
        <w:rPr>
          <w:rFonts w:ascii="Arial" w:hAnsi="Arial" w:cs="Arial"/>
          <w:color w:val="252525"/>
          <w:sz w:val="22"/>
          <w:szCs w:val="22"/>
        </w:rPr>
        <w:t xml:space="preserve"> unstructured questions that facilitated the participants in articulating their thoughts and viewpoints regarding their reading habits and preferences. Examples of questions include: "What genres of books do you get the most pleasure from?" and "How often do you engage in reading activities outside of school?" (Refer to Appendix Two.) The discussions had a duration of around 30 minutes and were conducted in an intervention classroom with the presence of two additional researchers. The door was slightly open to comply with both school protocols regarding safety and ethical considerations.</w:t>
      </w:r>
    </w:p>
    <w:p w14:paraId="663D25C7"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researchers ensured the establishment of a conducive and tranquil setting for the participants, fostering an atmosphere that encouraged them to freely express their opinions. Clark (2011a, p. 13) supports the statement about conducting interviews in a familiar environment. The use of open-ended questions facilitated a more profound comprehension of the pupil's reading habits and preferences, yielding useful perspectives for further interventions and tactics aimed at fostering reading involvement among pupils. Although focus groups were selected as the research methodology for investigating the correlation between parental engagement and reading, it is crucial to recognise certain constraints associated with this strategy.</w:t>
      </w:r>
    </w:p>
    <w:p w14:paraId="52DF1DF5" w14:textId="6B8F8488"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Firstly, focus groups depend on the participants' inclination to candidly express their views and viewpoints, which may not always occur. Clark (2011) also states that certain children will exclusively respond when questioned collectively, while others only give answers in a one-on-one setting. The presence of fellow group members may elicit discomfort in certain participants, hindering their ability to express their genuine opinions or exerting an influence on them. Furthermore, the limited sample size of only six pupils in </w:t>
      </w:r>
      <w:r w:rsidR="00B73B99">
        <w:rPr>
          <w:rFonts w:ascii="Arial" w:hAnsi="Arial" w:cs="Arial"/>
          <w:color w:val="252525"/>
          <w:sz w:val="22"/>
          <w:szCs w:val="22"/>
        </w:rPr>
        <w:t>Y</w:t>
      </w:r>
      <w:r w:rsidRPr="001B1EAA">
        <w:rPr>
          <w:rFonts w:ascii="Arial" w:hAnsi="Arial" w:cs="Arial"/>
          <w:color w:val="252525"/>
          <w:sz w:val="22"/>
          <w:szCs w:val="22"/>
        </w:rPr>
        <w:t xml:space="preserve">ear </w:t>
      </w:r>
      <w:r w:rsidR="00B73B99">
        <w:rPr>
          <w:rFonts w:ascii="Arial" w:hAnsi="Arial" w:cs="Arial"/>
          <w:color w:val="252525"/>
          <w:sz w:val="22"/>
          <w:szCs w:val="22"/>
        </w:rPr>
        <w:t>S</w:t>
      </w:r>
      <w:r w:rsidRPr="001B1EAA">
        <w:rPr>
          <w:rFonts w:ascii="Arial" w:hAnsi="Arial" w:cs="Arial"/>
          <w:color w:val="252525"/>
          <w:sz w:val="22"/>
          <w:szCs w:val="22"/>
        </w:rPr>
        <w:t>ix may not accurately reflect the overall pupil population.</w:t>
      </w:r>
    </w:p>
    <w:p w14:paraId="548D119A"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Emmel (2013, p. 141) argues that the primary factor to be considered is the validity, meaningfulness, and insights derived from qualitative research, rather than the size of the sample. Nevertheless, the objective of this study was to acquire a more profound comprehension of the reading behaviours and preferences of a particular cohort of pupils rather than extrapolating the results to encompass every pupil. Although there were limits, the insights obtained from the focus group interviews offered useful information for creating approaches and methods to enhance reading engagement among pupils.</w:t>
      </w:r>
    </w:p>
    <w:p w14:paraId="0298CF80" w14:textId="342A68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An online questionnaire was employed as a further research tool for gathering data from the teacher participants. The use of the online questionnaire for teachers facilitated the inclusion </w:t>
      </w:r>
      <w:r w:rsidRPr="001B1EAA">
        <w:rPr>
          <w:rFonts w:ascii="Arial" w:hAnsi="Arial" w:cs="Arial"/>
          <w:color w:val="252525"/>
          <w:sz w:val="22"/>
          <w:szCs w:val="22"/>
        </w:rPr>
        <w:lastRenderedPageBreak/>
        <w:t>of a larger sample size, hence enabling a more extensive and all-encompassing examination of the reading habits and preferences of the pupils. By employing this strategy, a wide array of viewpoints was included, thus enhancing the credibility of the results.</w:t>
      </w:r>
      <w:r w:rsidR="00C263A6">
        <w:rPr>
          <w:rFonts w:ascii="Arial" w:hAnsi="Arial" w:cs="Arial"/>
          <w:color w:val="252525"/>
          <w:sz w:val="22"/>
          <w:szCs w:val="22"/>
        </w:rPr>
        <w:t xml:space="preserve"> </w:t>
      </w:r>
      <w:r w:rsidRPr="001B1EAA">
        <w:rPr>
          <w:rFonts w:ascii="Arial" w:hAnsi="Arial" w:cs="Arial"/>
          <w:color w:val="252525"/>
          <w:sz w:val="22"/>
          <w:szCs w:val="22"/>
        </w:rPr>
        <w:t>Questionnaires, like other research tools, possess both advantages and constraints when employed in a study. An important advantage of utilising online questionnaires is their ability to be disseminated and finished promptly and efficiently. The average duration for completing an online survey is almost two-thirds shorter compared to other research methodologies (Mahmutovic, 2021). An additional advantage of online surveys is the ability to anonymi</w:t>
      </w:r>
      <w:r w:rsidR="00C263A6">
        <w:rPr>
          <w:rFonts w:ascii="Arial" w:hAnsi="Arial" w:cs="Arial"/>
          <w:color w:val="252525"/>
          <w:sz w:val="22"/>
          <w:szCs w:val="22"/>
        </w:rPr>
        <w:t>s</w:t>
      </w:r>
      <w:r w:rsidRPr="001B1EAA">
        <w:rPr>
          <w:rFonts w:ascii="Arial" w:hAnsi="Arial" w:cs="Arial"/>
          <w:color w:val="252525"/>
          <w:sz w:val="22"/>
          <w:szCs w:val="22"/>
        </w:rPr>
        <w:t xml:space="preserve">e participant details from the beginning, ensuring the anonymity of participants and adhering to the rules set by the British Ethical Regulation Association (2018) </w:t>
      </w:r>
      <w:r w:rsidR="00C263A6">
        <w:rPr>
          <w:rFonts w:ascii="Arial" w:hAnsi="Arial" w:cs="Arial"/>
          <w:color w:val="252525"/>
          <w:sz w:val="22"/>
          <w:szCs w:val="22"/>
        </w:rPr>
        <w:t xml:space="preserve">(BERA) </w:t>
      </w:r>
      <w:r w:rsidRPr="001B1EAA">
        <w:rPr>
          <w:rFonts w:ascii="Arial" w:hAnsi="Arial" w:cs="Arial"/>
          <w:color w:val="252525"/>
          <w:sz w:val="22"/>
          <w:szCs w:val="22"/>
        </w:rPr>
        <w:t>for study completion. Researchers must acknowledge the legitimate rights of both institutions and individual participants to privacy and should respect their entitlement to secrecy and anonymity (BERA, 2018). Employing an anonymous questionnaire format reduces the likelihood of participant information being acquired or shared without consent.</w:t>
      </w:r>
    </w:p>
    <w:p w14:paraId="5056616D" w14:textId="77777777" w:rsidR="008F7E91"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Although viewed as an advantageous research methodology, questionnaires have limitations. Self-reporting bias is a disadvantage of using questionnaires as a means of collecting data. Demetriou, Ozer, and Essau (2015, p. 1) state that an issue that arises in self-reporting questionnaires is response bias, which refers to an individual's inclination to consistently reply in a particular manner, regardless of the specific topic being asked. Bias refers to any factor that can introduce a distortion in the findings of a study (Polit and Beck, 2021, p. 17). Moreover, this can lead to participants giving inaccurate or socially desired answers, which could undermine the validity and dependability of the obtained data. Furthermore, questionnaires can potentially give rise to challenges in interpretation due to their solitary completion and the participants' freedom to respond as they deem appropriate. </w:t>
      </w:r>
    </w:p>
    <w:p w14:paraId="3B5D0684" w14:textId="56B3F1F6"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Hardy and Ford (2014) suggest that varied interpretations of the questionnaire questions by participants can result in validity concerns regarding their responses, particularly if their understanding of the questions differs from the researcher's. Researchers must categorise responses to open-ended questions, which might result in misinterpretation problems when analysing the data. McLoed (2023) examines open-ended responses as a necessity for meticulous scrutiny and may entail subjective assessments by the researcher. This can inherently cause bias throughout the data analysis, further affecting the validity of the conclusions. Hence, researchers must be meticulous in their methodology to guarantee precise interpretation and mitigate any biases that may emerge during the analysis phase.</w:t>
      </w:r>
    </w:p>
    <w:p w14:paraId="0FD6D945" w14:textId="5EB025CE"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lastRenderedPageBreak/>
        <w:t>School administrators distributed the questionnaire for this study via email. The questionnaire consisted of inquiries such as, 'Do you incorporate reading into your regular classroom regime?' and 'To what extent do you perceive reading as crucial in facilitating student progress?' (Refer to Appendix Three.).</w:t>
      </w:r>
      <w:r w:rsidR="00C263A6">
        <w:rPr>
          <w:rFonts w:ascii="Arial" w:hAnsi="Arial" w:cs="Arial"/>
          <w:color w:val="252525"/>
          <w:sz w:val="22"/>
          <w:szCs w:val="22"/>
        </w:rPr>
        <w:t xml:space="preserve"> </w:t>
      </w:r>
      <w:r w:rsidRPr="001B1EAA">
        <w:rPr>
          <w:rFonts w:ascii="Arial" w:hAnsi="Arial" w:cs="Arial"/>
          <w:color w:val="252525"/>
          <w:sz w:val="22"/>
          <w:szCs w:val="22"/>
        </w:rPr>
        <w:t>The questionnaire facilitated the gathering of both qualitative and quantitative data. When conducting the questionnaire, the researcher encountered a minor issue when sharing the survey link, as it had been issued before the arrival at the setting. Consequently, there was no oversight regarding which staff members received the link and participated in the questionnaire. Data was obtained in each educational phase in which the teachers were situated, either the foundation phase or key stage 2. This information was acquired through the initial question in the questionnaire.</w:t>
      </w:r>
    </w:p>
    <w:p w14:paraId="429FD791" w14:textId="77777777" w:rsidR="00157C4B" w:rsidRDefault="001B1EAA" w:rsidP="00157C4B">
      <w:pPr>
        <w:pStyle w:val="NormalWeb"/>
        <w:spacing w:line="360" w:lineRule="auto"/>
        <w:rPr>
          <w:rFonts w:ascii="Arial" w:hAnsi="Arial" w:cs="Arial"/>
          <w:color w:val="252525"/>
          <w:sz w:val="22"/>
          <w:szCs w:val="22"/>
        </w:rPr>
      </w:pPr>
      <w:r w:rsidRPr="001B1EAA">
        <w:rPr>
          <w:rFonts w:ascii="Arial" w:hAnsi="Arial" w:cs="Arial"/>
          <w:color w:val="252525"/>
          <w:sz w:val="22"/>
          <w:szCs w:val="22"/>
        </w:rPr>
        <w:t>A further constraint was encountered when employing questionnaires as a research instrument, as there were exceedingly low response rates, with only six responses obtained. The limited sample size may undermine the validity of the results and limit their generalisability to the population. Altman (1991) suggests that a limited sample size may hinder the generalisability of the findings. Nevertheless, an advantage of utilising the online questionnaire was that it allowed the participants to complete the form at their convenience and acquire pertinent information. Lefever, Dal, and Matthíasdóttir (2007, p. 578) further conclude that online data collection offers the opportunity to reach a wide and geographically dispersed population while also being efficient in terms of time and money for the researcher.</w:t>
      </w:r>
    </w:p>
    <w:p w14:paraId="378E1FA6" w14:textId="2276CCE9" w:rsidR="001B1EAA" w:rsidRPr="00157C4B" w:rsidRDefault="001B1EAA" w:rsidP="00157C4B">
      <w:pPr>
        <w:pStyle w:val="NormalWeb"/>
        <w:spacing w:line="360" w:lineRule="auto"/>
        <w:jc w:val="center"/>
        <w:rPr>
          <w:rFonts w:ascii="Arial" w:hAnsi="Arial" w:cs="Arial"/>
          <w:color w:val="252525"/>
          <w:sz w:val="22"/>
          <w:szCs w:val="22"/>
        </w:rPr>
      </w:pPr>
      <w:r w:rsidRPr="00157C4B">
        <w:rPr>
          <w:rFonts w:ascii="Arial" w:hAnsi="Arial" w:cs="Arial"/>
          <w:b/>
          <w:bCs/>
          <w:color w:val="252525"/>
          <w:sz w:val="22"/>
          <w:szCs w:val="22"/>
        </w:rPr>
        <w:t>Data Presentation and Analysis Methods</w:t>
      </w:r>
    </w:p>
    <w:p w14:paraId="3B7DC167" w14:textId="173EF6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research findings will be showcased and analysed using diverse statistical approaches. This will facilitate a comprehensive analysis of the data, ensuring accurate and reliable results. Furthermore, it is feasible to identify and examine any potential trends or patterns in the data to acquire significant insights. Researchers can detect outliers or anomalies in the data that may need further inquiry by employing statistical approaches and software technologies. The thorough examination of the data facilitates a more profound comprehension and bolsters the validity of the research results.</w:t>
      </w:r>
    </w:p>
    <w:p w14:paraId="0316DE3B" w14:textId="77777777" w:rsidR="00062A80"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The results obtained from the staff questionnaire will be presented using quantitative techniques, such as charts and graphs. Graphs and pie charts are popular means of visually depicting relationships within data. The primary objective of a graph is to visually represent material that is excessively abundant or intricate to be sufficiently conveyed within the confines of written language and in a more condensed manner (Slutsky, 2014). Although graphs and charts can capture readers' attention, it is crucial to convey the data accurately </w:t>
      </w:r>
      <w:r w:rsidRPr="001B1EAA">
        <w:rPr>
          <w:rFonts w:ascii="Arial" w:hAnsi="Arial" w:cs="Arial"/>
          <w:color w:val="252525"/>
          <w:sz w:val="22"/>
          <w:szCs w:val="22"/>
        </w:rPr>
        <w:lastRenderedPageBreak/>
        <w:t xml:space="preserve">and in the most suitable way. As with any data presentation technique, there are both strengths and weaknesses. One of the many strengths of using graphs and charts when presenting data is that they enable readers to visually analyse and compare data by emphasising patterns and relationships, such as variations in frequency distribution and correlation (Grech, 2019, p. 54). Divecha, </w:t>
      </w:r>
      <w:proofErr w:type="spellStart"/>
      <w:r w:rsidRPr="001B1EAA">
        <w:rPr>
          <w:rFonts w:ascii="Arial" w:hAnsi="Arial" w:cs="Arial"/>
          <w:color w:val="252525"/>
          <w:sz w:val="22"/>
          <w:szCs w:val="22"/>
        </w:rPr>
        <w:t>Tullu</w:t>
      </w:r>
      <w:proofErr w:type="spellEnd"/>
      <w:r w:rsidRPr="001B1EAA">
        <w:rPr>
          <w:rFonts w:ascii="Arial" w:hAnsi="Arial" w:cs="Arial"/>
          <w:color w:val="252525"/>
          <w:sz w:val="22"/>
          <w:szCs w:val="22"/>
        </w:rPr>
        <w:t xml:space="preserve">, and </w:t>
      </w:r>
      <w:proofErr w:type="spellStart"/>
      <w:r w:rsidRPr="001B1EAA">
        <w:rPr>
          <w:rFonts w:ascii="Arial" w:hAnsi="Arial" w:cs="Arial"/>
          <w:color w:val="252525"/>
          <w:sz w:val="22"/>
          <w:szCs w:val="22"/>
        </w:rPr>
        <w:t>Karande</w:t>
      </w:r>
      <w:proofErr w:type="spellEnd"/>
      <w:r w:rsidRPr="001B1EAA">
        <w:rPr>
          <w:rFonts w:ascii="Arial" w:hAnsi="Arial" w:cs="Arial"/>
          <w:color w:val="252525"/>
          <w:sz w:val="22"/>
          <w:szCs w:val="22"/>
        </w:rPr>
        <w:t xml:space="preserve"> (2023) agree that graphs and pie charts can provide key benefits when implemented as a technique for presenting data, stating that they provide the most accurate representation of the data in its raw form. However, there are also several constraints that should be considered when choosing graphs and pie charts as a data presentation method. For example, pie charts fail to reveal key assumptions, causes, effects, or patterns (MWAIKUSA, 2018).</w:t>
      </w:r>
    </w:p>
    <w:p w14:paraId="2FEB5A0C" w14:textId="5AEE4D43"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The qualitative data gathered from the pupil focus group will be analysed through a thematic approach. Boyatzis (1998, p. 12) explains that thematic analysis serves as a mediator between qualitative and quantitative analysis, facilitating communication among researchers employing different research methodologies. Thematic analysis can be used as a technique to analyse qualitative data by carefully examining the data and identifying recurring patterns in the underlying meaning, which are referred to as themes. Braun and Clarke (2006, p. 77) state that thematic analysis is a versatile method that may be adapted to suit various research requirements, delivering a comprehensive and rich, yet complex, representation of data. Cassel, Symon, and King (2004, p. 277) further agree that utilising thematic analysis is valuable for condensing important characteristics of a substantial dataset, as it compels the researcher to adopt a methodical approach to managing data. </w:t>
      </w:r>
      <w:r w:rsidR="007146D3" w:rsidRPr="001B1EAA">
        <w:rPr>
          <w:rFonts w:ascii="Arial" w:hAnsi="Arial" w:cs="Arial"/>
          <w:color w:val="252525"/>
          <w:sz w:val="22"/>
          <w:szCs w:val="22"/>
        </w:rPr>
        <w:t>Thus,</w:t>
      </w:r>
      <w:r w:rsidRPr="001B1EAA">
        <w:rPr>
          <w:rFonts w:ascii="Arial" w:hAnsi="Arial" w:cs="Arial"/>
          <w:color w:val="252525"/>
          <w:sz w:val="22"/>
          <w:szCs w:val="22"/>
        </w:rPr>
        <w:t xml:space="preserve"> facilitating the creation of a coherent and orderly final report.</w:t>
      </w:r>
    </w:p>
    <w:p w14:paraId="0AF28919" w14:textId="2F5D7E01" w:rsidR="001B1EAA" w:rsidRPr="00607C3C" w:rsidRDefault="001B1EAA" w:rsidP="00607C3C">
      <w:pPr>
        <w:pStyle w:val="NormalWeb"/>
        <w:spacing w:line="360" w:lineRule="auto"/>
        <w:jc w:val="center"/>
        <w:rPr>
          <w:rFonts w:ascii="Arial" w:hAnsi="Arial" w:cs="Arial"/>
          <w:b/>
          <w:bCs/>
          <w:color w:val="252525"/>
          <w:sz w:val="22"/>
          <w:szCs w:val="22"/>
        </w:rPr>
      </w:pPr>
      <w:r w:rsidRPr="00607C3C">
        <w:rPr>
          <w:rFonts w:ascii="Arial" w:hAnsi="Arial" w:cs="Arial"/>
          <w:b/>
          <w:bCs/>
          <w:color w:val="252525"/>
          <w:sz w:val="22"/>
          <w:szCs w:val="22"/>
        </w:rPr>
        <w:t>ETHICAL CONSIDERATIONS</w:t>
      </w:r>
    </w:p>
    <w:p w14:paraId="1582335D" w14:textId="58415C4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Prior to conducting a research project, researchers must possess a comprehensive understanding of the ethical considerations that need to be considered. BERA (2018) states that their recommendations aim to assist educational researchers in doing research with the utmost adherence to ethical guidelines in all circumstances. The BERA guidelines consist of many different aspects, including but not limited to</w:t>
      </w:r>
      <w:r w:rsidR="007146D3">
        <w:rPr>
          <w:rFonts w:ascii="Arial" w:hAnsi="Arial" w:cs="Arial"/>
          <w:color w:val="252525"/>
          <w:sz w:val="22"/>
          <w:szCs w:val="22"/>
        </w:rPr>
        <w:t xml:space="preserve"> </w:t>
      </w:r>
      <w:r w:rsidRPr="001B1EAA">
        <w:rPr>
          <w:rFonts w:ascii="Arial" w:hAnsi="Arial" w:cs="Arial"/>
          <w:color w:val="252525"/>
          <w:sz w:val="22"/>
          <w:szCs w:val="22"/>
        </w:rPr>
        <w:t>consent, anonymity, confidentiality, and assent. Consent is crucial in research as it enables participants to make educated decisions about their involvement, considering the objectives of the study.</w:t>
      </w:r>
      <w:r w:rsidR="00C40EFA">
        <w:rPr>
          <w:rFonts w:ascii="Arial" w:hAnsi="Arial" w:cs="Arial"/>
          <w:color w:val="252525"/>
          <w:sz w:val="22"/>
          <w:szCs w:val="22"/>
        </w:rPr>
        <w:t xml:space="preserve"> Consent letters were sent to parents before the research commenced, to gain parental consent for pupils to participate in the focus group. Staff participants were also asked if they were content with their responses being used within the research study (Refer to Appendix 6 &amp; 7)</w:t>
      </w:r>
    </w:p>
    <w:p w14:paraId="3EF941DD" w14:textId="3AA56C38"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lastRenderedPageBreak/>
        <w:t xml:space="preserve">Before engaging with children, it is essential to obtain consent from their parents or legal guardians (General Medical Council, n.d.). As per the NSPCC (2023), consent is required from the parent, guardian, or another suitable adult for children between the ages of 8 and 15. In addition to obtaining consent from parents or guardians, it is also necessary to obtain </w:t>
      </w:r>
      <w:r w:rsidR="00C263A6">
        <w:rPr>
          <w:rFonts w:ascii="Arial" w:hAnsi="Arial" w:cs="Arial"/>
          <w:color w:val="252525"/>
          <w:sz w:val="22"/>
          <w:szCs w:val="22"/>
        </w:rPr>
        <w:t xml:space="preserve">assent </w:t>
      </w:r>
      <w:r w:rsidRPr="001B1EAA">
        <w:rPr>
          <w:rFonts w:ascii="Arial" w:hAnsi="Arial" w:cs="Arial"/>
          <w:color w:val="252525"/>
          <w:sz w:val="22"/>
          <w:szCs w:val="22"/>
        </w:rPr>
        <w:t>from the child. The United Nations Convention on the Rights of the Child (1989) (UNCRC) comprises 54 globally acknowledged provisions that establish the fundamental rights of children. Article 12 states that every child has the right to express their opinions, feelings, and wishes on matters that affect them and to have their views recognised and taken seriously. Emphasising the significance of obtaining consent from both the child and their parents or guardians.</w:t>
      </w:r>
    </w:p>
    <w:p w14:paraId="434B7E0A" w14:textId="59DF4BC5"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Hence, the participants were asked about their willingness to participate in a research study on their reading engagement before initiating any questions or discussions. After the focus group, pupils were also asked about their agreement to provide the researcher with permission to utilise the findings and responses derived from the discussions.</w:t>
      </w:r>
      <w:r w:rsidR="00C263A6">
        <w:rPr>
          <w:rFonts w:ascii="Arial" w:hAnsi="Arial" w:cs="Arial"/>
          <w:color w:val="252525"/>
          <w:sz w:val="22"/>
          <w:szCs w:val="22"/>
        </w:rPr>
        <w:t xml:space="preserve"> </w:t>
      </w:r>
      <w:r w:rsidRPr="001B1EAA">
        <w:rPr>
          <w:rFonts w:ascii="Arial" w:hAnsi="Arial" w:cs="Arial"/>
          <w:color w:val="252525"/>
          <w:sz w:val="22"/>
          <w:szCs w:val="22"/>
        </w:rPr>
        <w:t>Ensuring confidentiality in research is of the utmost importance in maintaining the privacy and rights of participants. It guarantees the confidentiality of sensitive information exchanged during the research, preventing unauthorised parties from accessing or revealing it. In addition, keeping concealment cultivates trust between researchers and participants, promoting candid and transparent responses, ultimately resulting in more accurate findings.</w:t>
      </w:r>
    </w:p>
    <w:p w14:paraId="2389C5A2" w14:textId="036E7267" w:rsidR="001B1EAA" w:rsidRPr="00607C3C" w:rsidRDefault="001B1EAA" w:rsidP="007146D3">
      <w:pPr>
        <w:pStyle w:val="NormalWeb"/>
        <w:spacing w:line="360" w:lineRule="auto"/>
        <w:ind w:left="2160"/>
        <w:rPr>
          <w:rFonts w:ascii="Arial" w:hAnsi="Arial" w:cs="Arial"/>
          <w:b/>
          <w:bCs/>
          <w:color w:val="252525"/>
          <w:sz w:val="22"/>
          <w:szCs w:val="22"/>
        </w:rPr>
      </w:pPr>
      <w:r w:rsidRPr="00607C3C">
        <w:rPr>
          <w:rFonts w:ascii="Arial" w:hAnsi="Arial" w:cs="Arial"/>
          <w:b/>
          <w:bCs/>
          <w:color w:val="252525"/>
          <w:sz w:val="22"/>
          <w:szCs w:val="22"/>
        </w:rPr>
        <w:t>Results, Analysis of Results, and Discussion</w:t>
      </w:r>
    </w:p>
    <w:p w14:paraId="776F9C8F" w14:textId="05C6A996"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The data collected from the online survey indicated that </w:t>
      </w:r>
      <w:r w:rsidR="00C263A6" w:rsidRPr="001B1EAA">
        <w:rPr>
          <w:rFonts w:ascii="Arial" w:hAnsi="Arial" w:cs="Arial"/>
          <w:color w:val="252525"/>
          <w:sz w:val="22"/>
          <w:szCs w:val="22"/>
        </w:rPr>
        <w:t>all</w:t>
      </w:r>
      <w:r w:rsidRPr="001B1EAA">
        <w:rPr>
          <w:rFonts w:ascii="Arial" w:hAnsi="Arial" w:cs="Arial"/>
          <w:color w:val="252525"/>
          <w:sz w:val="22"/>
          <w:szCs w:val="22"/>
        </w:rPr>
        <w:t xml:space="preserve"> the staff members surveyed incorporated reading into their regular classroom schedules (refer to Appendix 4a). According to the data in Appendix 4b, 66% of teachers observed that over half of the </w:t>
      </w:r>
      <w:r w:rsidR="00C263A6">
        <w:rPr>
          <w:rFonts w:ascii="Arial" w:hAnsi="Arial" w:cs="Arial"/>
          <w:color w:val="252525"/>
          <w:sz w:val="22"/>
          <w:szCs w:val="22"/>
        </w:rPr>
        <w:t>pupils</w:t>
      </w:r>
      <w:r w:rsidRPr="001B1EAA">
        <w:rPr>
          <w:rFonts w:ascii="Arial" w:hAnsi="Arial" w:cs="Arial"/>
          <w:color w:val="252525"/>
          <w:sz w:val="22"/>
          <w:szCs w:val="22"/>
        </w:rPr>
        <w:t xml:space="preserve"> in their class were reading at a level acceptable for their age. In contrast, 33% of teachers reported that less than half of the </w:t>
      </w:r>
      <w:r w:rsidR="00C263A6">
        <w:rPr>
          <w:rFonts w:ascii="Arial" w:hAnsi="Arial" w:cs="Arial"/>
          <w:color w:val="252525"/>
          <w:sz w:val="22"/>
          <w:szCs w:val="22"/>
        </w:rPr>
        <w:t>pupils</w:t>
      </w:r>
      <w:r w:rsidRPr="001B1EAA">
        <w:rPr>
          <w:rFonts w:ascii="Arial" w:hAnsi="Arial" w:cs="Arial"/>
          <w:color w:val="252525"/>
          <w:sz w:val="22"/>
          <w:szCs w:val="22"/>
        </w:rPr>
        <w:t xml:space="preserve"> were reading below the average reading age for their age. Similarly, only 66% of teachers who took part in the questionnaire observed their pupils engaging in reading outside of the classroom, while the other participants did not (refer to Appendix 4c). When asked how essential they believe reading is to pupils learning and progression, all six respondents agreed that it was extremely important and gave it five stars (refer to Appendix 4d).</w:t>
      </w:r>
    </w:p>
    <w:p w14:paraId="0FD60972"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The participants were also asked about the tactics they employ to stimulate pupils to read outside of school. Many responses highlighted the effectiveness of engaging in conversations with pupils about authors, various genres, and making visits to the school </w:t>
      </w:r>
      <w:r w:rsidRPr="001B1EAA">
        <w:rPr>
          <w:rFonts w:ascii="Arial" w:hAnsi="Arial" w:cs="Arial"/>
          <w:color w:val="252525"/>
          <w:sz w:val="22"/>
          <w:szCs w:val="22"/>
        </w:rPr>
        <w:lastRenderedPageBreak/>
        <w:t>library (refer to Appendix 4e). These activities were found to be advantageous in fostering a pupil's passion for reading.</w:t>
      </w:r>
    </w:p>
    <w:p w14:paraId="213518AF"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Through the analysis of the data, it can be clearly inferred that all teachers view reading as an essential building block for aiding pupils learning and progression. Cekiso (2017, p. 1) added further that literacy is greatly esteemed and plays a crucial role in one's individual, societal, and financial welfare. The findings of the questionnaire also show that not all pupils have acquired a reading age appropriate for their age. The average age for reading proficiency in the United Kingdom population is 9 years, indicating that they have attained the typical reading ability of a 9-year-old (Jim, 2019). Thus, it suggests that the schools reading attainment is above average compared with the rest of the United Kingdom.</w:t>
      </w:r>
    </w:p>
    <w:p w14:paraId="6C755924" w14:textId="695E6242"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focus group answers have also been collected and have been generalised into a list of key findings, providing qualitative data in a simplistic, easily accessible format (refer to Appendix 5a). Despite the diverse composition of the focus group participants in terms of aptitude and gender, their responses to the proposed questions remained consistently similar and hardly deviated from one another. 83.33% of participants reported experiencing pleasure when engaging in reading. Likewise, every participant confirmed that they often read at home, with a minimum frequency of three times per week. Two individuals even reported reading daily. One participant also stated their preference for reading to parents, while the rest concurred that they would rather read to themselves. The consensus across all participants was that the ability to exercise independence in selecting books from the school or classroom library served as an encouragement for their own reading habits.</w:t>
      </w:r>
    </w:p>
    <w:p w14:paraId="681991F5" w14:textId="793C1336" w:rsidR="00062A80"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The statistics obtained by the National Literacy Trust (2023) provide an alternative perspective on students' reading habits. The trust asserts that the proportion of children who report enjoying reading is only 2 out of 5, which contradicts the findings obtained from the focus group. The survey reveals that fewer than 30% of children engage in daily reading, which is a significant contrast to the 33.3% of pupils who reported reading daily. Half of the children reported being motivated to read by their parents and carers, making it the ultimate comparable comparison.</w:t>
      </w:r>
      <w:r w:rsidR="00C263A6">
        <w:rPr>
          <w:rFonts w:ascii="Arial" w:hAnsi="Arial" w:cs="Arial"/>
          <w:color w:val="252525"/>
          <w:sz w:val="22"/>
          <w:szCs w:val="22"/>
        </w:rPr>
        <w:t xml:space="preserve"> </w:t>
      </w:r>
      <w:r w:rsidRPr="001B1EAA">
        <w:rPr>
          <w:rFonts w:ascii="Arial" w:hAnsi="Arial" w:cs="Arial"/>
          <w:color w:val="252525"/>
          <w:sz w:val="22"/>
          <w:szCs w:val="22"/>
        </w:rPr>
        <w:t>While the participants had comparable perspectives and comprehension of their reading habits, the limited diversity in terms of geography and age range may impede the ability to generalise the collected data. Enlisting a heterogeneous group of participants from different geographical regions and age brackets will yield a more comprehensive outlook and enhance the credibility of the results. Furthermore, considering diverse cultural backgrounds and varying socioeconomic positions could augment the overall comprehension of reading patterns.</w:t>
      </w:r>
    </w:p>
    <w:p w14:paraId="286D99A0" w14:textId="061B8067" w:rsidR="001B1EAA" w:rsidRPr="00062A80" w:rsidRDefault="001B1EAA" w:rsidP="00062A80">
      <w:pPr>
        <w:pStyle w:val="NormalWeb"/>
        <w:spacing w:line="360" w:lineRule="auto"/>
        <w:jc w:val="center"/>
        <w:rPr>
          <w:rFonts w:ascii="Arial" w:hAnsi="Arial" w:cs="Arial"/>
          <w:b/>
          <w:bCs/>
          <w:color w:val="252525"/>
          <w:sz w:val="22"/>
          <w:szCs w:val="22"/>
        </w:rPr>
      </w:pPr>
      <w:r w:rsidRPr="00062A80">
        <w:rPr>
          <w:rFonts w:ascii="Arial" w:hAnsi="Arial" w:cs="Arial"/>
          <w:b/>
          <w:bCs/>
          <w:color w:val="252525"/>
          <w:sz w:val="22"/>
          <w:szCs w:val="22"/>
        </w:rPr>
        <w:lastRenderedPageBreak/>
        <w:t>Conclusions and recommendations</w:t>
      </w:r>
    </w:p>
    <w:p w14:paraId="0FAB5BEE" w14:textId="444F8112"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In conclusion, this assignment has clearly demonstrated the significance of reading in the progression and development of pupils. While the study was limited for ethical reasons and did not directly address the research question on teachers' perspectives on the impact of pupils' reading at home with their parents or carers on reading advancement, it still provided valuable insights. These observations, which also have support from literature from around the world, demonstrate the significance of reading for progression in the Welsh Curriculum. Moreover, the results of this study indicate that encouraging reading at home might significantly enhance a pupil's overall academic achievement. This underscores the necessity for additional research to examine educators' viewpoints and strategies for promoting parental engagement in cultivating a literary environment beyond the confines of the educational institution. Understanding the perspectives of educators and their strategies for promoting parental engagement can help in developing effective interventions and programmes. Furthermore, investigating the probable obstacles and difficulties encountered by parents in cultivating a literary atmosphere at home might offer significant perspectives for developing focused support systems</w:t>
      </w:r>
      <w:r w:rsidR="00A50C98">
        <w:rPr>
          <w:rFonts w:ascii="Arial" w:hAnsi="Arial" w:cs="Arial"/>
          <w:color w:val="252525"/>
          <w:sz w:val="22"/>
          <w:szCs w:val="22"/>
        </w:rPr>
        <w:t>.</w:t>
      </w:r>
    </w:p>
    <w:p w14:paraId="3BF273E8" w14:textId="7C080C13"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Although all ethical considerations were thoroughly addressed and followed, many aspects of the research could not be fully conducted. The limited diversity of replies in both the staff questionnaire and the pupil focus group may compromise the generali</w:t>
      </w:r>
      <w:r w:rsidR="00C263A6">
        <w:rPr>
          <w:rFonts w:ascii="Arial" w:hAnsi="Arial" w:cs="Arial"/>
          <w:color w:val="252525"/>
          <w:sz w:val="22"/>
          <w:szCs w:val="22"/>
        </w:rPr>
        <w:t>s</w:t>
      </w:r>
      <w:r w:rsidRPr="001B1EAA">
        <w:rPr>
          <w:rFonts w:ascii="Arial" w:hAnsi="Arial" w:cs="Arial"/>
          <w:color w:val="252525"/>
          <w:sz w:val="22"/>
          <w:szCs w:val="22"/>
        </w:rPr>
        <w:t>ability of the results, thereby raising concerns about their validity.</w:t>
      </w:r>
    </w:p>
    <w:p w14:paraId="5F5558D5" w14:textId="77777777" w:rsidR="001B1EAA" w:rsidRP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In terms of the Qualified Teaching Standards (QTS), the process of conducting and reporting data collected within the educational field relates to continuing professional development and professional networks and communities (Welsh Government, 2019). These standards emphasise the importance of teachers engaging in ongoing learning and collaboration with their peers. By participating in professional networks and communities, educators can stay updated on best practices, exchange ideas, and enhance their teaching skills. This continuous professional development ensures that teachers are equipped with the knowledge and resources needed to provide high-quality education to their pupils.</w:t>
      </w:r>
    </w:p>
    <w:p w14:paraId="683DBD24" w14:textId="06D6C655" w:rsidR="001B1EAA" w:rsidRDefault="001B1EAA" w:rsidP="001B1EAA">
      <w:pPr>
        <w:pStyle w:val="NormalWeb"/>
        <w:spacing w:line="360" w:lineRule="auto"/>
        <w:rPr>
          <w:rFonts w:ascii="Arial" w:hAnsi="Arial" w:cs="Arial"/>
          <w:color w:val="252525"/>
          <w:sz w:val="22"/>
          <w:szCs w:val="22"/>
        </w:rPr>
      </w:pPr>
      <w:r w:rsidRPr="001B1EAA">
        <w:rPr>
          <w:rFonts w:ascii="Arial" w:hAnsi="Arial" w:cs="Arial"/>
          <w:color w:val="252525"/>
          <w:sz w:val="22"/>
          <w:szCs w:val="22"/>
        </w:rPr>
        <w:t xml:space="preserve">As a concluding suggestion for the school where the research was conducted, it is recommended to grant children of all age groups access to the local library and organise a competition for each grade level to determine who can read the highest number of books within a term. The enclosed sheet is intended for joint completion by parents and pupils every time a pupil borrows a book from the local library (refer to Appendix 6). This will not only cultivate a passion for reading but also promote a positive sense of competition among </w:t>
      </w:r>
      <w:r w:rsidRPr="001B1EAA">
        <w:rPr>
          <w:rFonts w:ascii="Arial" w:hAnsi="Arial" w:cs="Arial"/>
          <w:color w:val="252525"/>
          <w:sz w:val="22"/>
          <w:szCs w:val="22"/>
        </w:rPr>
        <w:lastRenderedPageBreak/>
        <w:t>the pupils. In addition, scheduling frequent visits to the library and arranging book-centric activities can augment the reading culture inside the school and foster a lifetime inclination towards reading among the pupils.</w:t>
      </w:r>
      <w:r w:rsidR="00DF00EC">
        <w:rPr>
          <w:rFonts w:ascii="Arial" w:hAnsi="Arial" w:cs="Arial"/>
          <w:color w:val="252525"/>
          <w:sz w:val="22"/>
          <w:szCs w:val="22"/>
        </w:rPr>
        <w:t xml:space="preserve"> </w:t>
      </w:r>
      <w:r w:rsidR="00C40EFA">
        <w:rPr>
          <w:rFonts w:ascii="Arial" w:hAnsi="Arial" w:cs="Arial"/>
          <w:color w:val="252525"/>
          <w:sz w:val="22"/>
          <w:szCs w:val="22"/>
        </w:rPr>
        <w:t xml:space="preserve">The results of this study are available upon request to the researcher. </w:t>
      </w:r>
    </w:p>
    <w:p w14:paraId="648267A1" w14:textId="77777777" w:rsidR="00696E7C" w:rsidRDefault="00696E7C" w:rsidP="001B1EAA">
      <w:pPr>
        <w:pStyle w:val="NormalWeb"/>
        <w:spacing w:line="360" w:lineRule="auto"/>
        <w:rPr>
          <w:rFonts w:ascii="Arial" w:hAnsi="Arial" w:cs="Arial"/>
          <w:color w:val="252525"/>
          <w:sz w:val="22"/>
          <w:szCs w:val="22"/>
        </w:rPr>
      </w:pPr>
    </w:p>
    <w:p w14:paraId="032DFE59" w14:textId="77777777" w:rsidR="00696E7C" w:rsidRDefault="00696E7C" w:rsidP="001B1EAA">
      <w:pPr>
        <w:pStyle w:val="NormalWeb"/>
        <w:spacing w:line="360" w:lineRule="auto"/>
        <w:rPr>
          <w:rFonts w:ascii="Arial" w:hAnsi="Arial" w:cs="Arial"/>
          <w:color w:val="252525"/>
          <w:sz w:val="22"/>
          <w:szCs w:val="22"/>
        </w:rPr>
      </w:pPr>
    </w:p>
    <w:p w14:paraId="4740425F" w14:textId="77777777" w:rsidR="00696E7C" w:rsidRDefault="00696E7C" w:rsidP="001B1EAA">
      <w:pPr>
        <w:pStyle w:val="NormalWeb"/>
        <w:spacing w:line="360" w:lineRule="auto"/>
        <w:rPr>
          <w:rFonts w:ascii="Arial" w:hAnsi="Arial" w:cs="Arial"/>
          <w:color w:val="252525"/>
          <w:sz w:val="22"/>
          <w:szCs w:val="22"/>
        </w:rPr>
      </w:pPr>
    </w:p>
    <w:p w14:paraId="1B7126B4" w14:textId="77777777" w:rsidR="00696E7C" w:rsidRDefault="00696E7C" w:rsidP="001B1EAA">
      <w:pPr>
        <w:pStyle w:val="NormalWeb"/>
        <w:spacing w:line="360" w:lineRule="auto"/>
        <w:rPr>
          <w:rFonts w:ascii="Arial" w:hAnsi="Arial" w:cs="Arial"/>
          <w:color w:val="252525"/>
          <w:sz w:val="22"/>
          <w:szCs w:val="22"/>
        </w:rPr>
      </w:pPr>
    </w:p>
    <w:p w14:paraId="4CEA3277" w14:textId="77777777" w:rsidR="00696E7C" w:rsidRDefault="00696E7C" w:rsidP="001B1EAA">
      <w:pPr>
        <w:pStyle w:val="NormalWeb"/>
        <w:spacing w:line="360" w:lineRule="auto"/>
        <w:rPr>
          <w:rFonts w:ascii="Arial" w:hAnsi="Arial" w:cs="Arial"/>
          <w:color w:val="252525"/>
          <w:sz w:val="22"/>
          <w:szCs w:val="22"/>
        </w:rPr>
      </w:pPr>
    </w:p>
    <w:p w14:paraId="1B060435" w14:textId="77777777" w:rsidR="00696E7C" w:rsidRDefault="00696E7C" w:rsidP="001B1EAA">
      <w:pPr>
        <w:pStyle w:val="NormalWeb"/>
        <w:spacing w:line="360" w:lineRule="auto"/>
        <w:rPr>
          <w:rFonts w:ascii="Arial" w:hAnsi="Arial" w:cs="Arial"/>
          <w:color w:val="252525"/>
          <w:sz w:val="22"/>
          <w:szCs w:val="22"/>
        </w:rPr>
      </w:pPr>
    </w:p>
    <w:p w14:paraId="275CE7B8" w14:textId="77777777" w:rsidR="00696E7C" w:rsidRDefault="00696E7C" w:rsidP="001B1EAA">
      <w:pPr>
        <w:pStyle w:val="NormalWeb"/>
        <w:spacing w:line="360" w:lineRule="auto"/>
        <w:rPr>
          <w:rFonts w:ascii="Arial" w:hAnsi="Arial" w:cs="Arial"/>
          <w:color w:val="252525"/>
          <w:sz w:val="22"/>
          <w:szCs w:val="22"/>
        </w:rPr>
      </w:pPr>
    </w:p>
    <w:p w14:paraId="4D1BEB9F" w14:textId="77777777" w:rsidR="00696E7C" w:rsidRDefault="00696E7C" w:rsidP="001B1EAA">
      <w:pPr>
        <w:pStyle w:val="NormalWeb"/>
        <w:spacing w:line="360" w:lineRule="auto"/>
        <w:rPr>
          <w:rFonts w:ascii="Arial" w:hAnsi="Arial" w:cs="Arial"/>
          <w:color w:val="252525"/>
          <w:sz w:val="22"/>
          <w:szCs w:val="22"/>
        </w:rPr>
      </w:pPr>
    </w:p>
    <w:p w14:paraId="65C01F6B" w14:textId="77777777" w:rsidR="00696E7C" w:rsidRDefault="00696E7C" w:rsidP="001B1EAA">
      <w:pPr>
        <w:pStyle w:val="NormalWeb"/>
        <w:spacing w:line="360" w:lineRule="auto"/>
        <w:rPr>
          <w:rFonts w:ascii="Arial" w:hAnsi="Arial" w:cs="Arial"/>
          <w:color w:val="252525"/>
          <w:sz w:val="22"/>
          <w:szCs w:val="22"/>
        </w:rPr>
      </w:pPr>
    </w:p>
    <w:p w14:paraId="1ADC1E0F" w14:textId="77777777" w:rsidR="00696E7C" w:rsidRDefault="00696E7C" w:rsidP="001B1EAA">
      <w:pPr>
        <w:pStyle w:val="NormalWeb"/>
        <w:spacing w:line="360" w:lineRule="auto"/>
        <w:rPr>
          <w:rFonts w:ascii="Arial" w:hAnsi="Arial" w:cs="Arial"/>
          <w:color w:val="252525"/>
          <w:sz w:val="22"/>
          <w:szCs w:val="22"/>
        </w:rPr>
      </w:pPr>
    </w:p>
    <w:p w14:paraId="22EE28FD" w14:textId="77777777" w:rsidR="00696E7C" w:rsidRDefault="00696E7C" w:rsidP="001B1EAA">
      <w:pPr>
        <w:pStyle w:val="NormalWeb"/>
        <w:spacing w:line="360" w:lineRule="auto"/>
        <w:rPr>
          <w:rFonts w:ascii="Arial" w:hAnsi="Arial" w:cs="Arial"/>
          <w:color w:val="252525"/>
          <w:sz w:val="22"/>
          <w:szCs w:val="22"/>
        </w:rPr>
      </w:pPr>
    </w:p>
    <w:p w14:paraId="186637BC" w14:textId="77777777" w:rsidR="00696E7C" w:rsidRDefault="00696E7C" w:rsidP="001B1EAA">
      <w:pPr>
        <w:pStyle w:val="NormalWeb"/>
        <w:spacing w:line="360" w:lineRule="auto"/>
        <w:rPr>
          <w:rFonts w:ascii="Arial" w:hAnsi="Arial" w:cs="Arial"/>
          <w:color w:val="252525"/>
          <w:sz w:val="22"/>
          <w:szCs w:val="22"/>
        </w:rPr>
      </w:pPr>
    </w:p>
    <w:p w14:paraId="33557FF4" w14:textId="77777777" w:rsidR="00696E7C" w:rsidRDefault="00696E7C" w:rsidP="001B1EAA">
      <w:pPr>
        <w:pStyle w:val="NormalWeb"/>
        <w:spacing w:line="360" w:lineRule="auto"/>
        <w:rPr>
          <w:rFonts w:ascii="Arial" w:hAnsi="Arial" w:cs="Arial"/>
          <w:color w:val="252525"/>
          <w:sz w:val="22"/>
          <w:szCs w:val="22"/>
        </w:rPr>
      </w:pPr>
    </w:p>
    <w:p w14:paraId="7FA41A00" w14:textId="77777777" w:rsidR="00696E7C" w:rsidRDefault="00696E7C" w:rsidP="001B1EAA">
      <w:pPr>
        <w:pStyle w:val="NormalWeb"/>
        <w:spacing w:line="360" w:lineRule="auto"/>
        <w:rPr>
          <w:rFonts w:ascii="Arial" w:hAnsi="Arial" w:cs="Arial"/>
          <w:color w:val="252525"/>
          <w:sz w:val="22"/>
          <w:szCs w:val="22"/>
        </w:rPr>
      </w:pPr>
    </w:p>
    <w:p w14:paraId="1F2065F0" w14:textId="77777777" w:rsidR="00696E7C" w:rsidRDefault="00696E7C" w:rsidP="001B1EAA">
      <w:pPr>
        <w:pStyle w:val="NormalWeb"/>
        <w:spacing w:line="360" w:lineRule="auto"/>
        <w:rPr>
          <w:rFonts w:ascii="Arial" w:hAnsi="Arial" w:cs="Arial"/>
          <w:color w:val="252525"/>
          <w:sz w:val="22"/>
          <w:szCs w:val="22"/>
        </w:rPr>
      </w:pPr>
    </w:p>
    <w:p w14:paraId="6C04AF6F" w14:textId="77777777" w:rsidR="00696E7C" w:rsidRDefault="00696E7C" w:rsidP="001B1EAA">
      <w:pPr>
        <w:pStyle w:val="NormalWeb"/>
        <w:spacing w:line="360" w:lineRule="auto"/>
        <w:rPr>
          <w:rFonts w:ascii="Arial" w:hAnsi="Arial" w:cs="Arial"/>
          <w:color w:val="252525"/>
          <w:sz w:val="22"/>
          <w:szCs w:val="22"/>
        </w:rPr>
      </w:pPr>
    </w:p>
    <w:p w14:paraId="2FFF774F" w14:textId="77777777" w:rsidR="00696E7C" w:rsidRDefault="00696E7C" w:rsidP="001B1EAA">
      <w:pPr>
        <w:pStyle w:val="NormalWeb"/>
        <w:spacing w:line="360" w:lineRule="auto"/>
        <w:rPr>
          <w:rFonts w:ascii="Arial" w:hAnsi="Arial" w:cs="Arial"/>
          <w:color w:val="252525"/>
          <w:sz w:val="22"/>
          <w:szCs w:val="22"/>
        </w:rPr>
      </w:pPr>
    </w:p>
    <w:p w14:paraId="2C05B438" w14:textId="77777777" w:rsidR="00696E7C" w:rsidRDefault="00696E7C" w:rsidP="001B1EAA">
      <w:pPr>
        <w:pStyle w:val="NormalWeb"/>
        <w:spacing w:line="360" w:lineRule="auto"/>
        <w:rPr>
          <w:rFonts w:ascii="Arial" w:hAnsi="Arial" w:cs="Arial"/>
          <w:color w:val="252525"/>
          <w:sz w:val="22"/>
          <w:szCs w:val="22"/>
        </w:rPr>
      </w:pPr>
    </w:p>
    <w:p w14:paraId="27A9216D" w14:textId="77777777" w:rsidR="00696E7C" w:rsidRDefault="00696E7C" w:rsidP="001B1EAA">
      <w:pPr>
        <w:pStyle w:val="NormalWeb"/>
        <w:spacing w:line="360" w:lineRule="auto"/>
        <w:rPr>
          <w:rFonts w:ascii="Arial" w:hAnsi="Arial" w:cs="Arial"/>
          <w:color w:val="252525"/>
          <w:sz w:val="22"/>
          <w:szCs w:val="22"/>
        </w:rPr>
      </w:pPr>
    </w:p>
    <w:p w14:paraId="669DBB9A" w14:textId="77777777" w:rsidR="00696E7C" w:rsidRDefault="00696E7C" w:rsidP="001B1EAA">
      <w:pPr>
        <w:pStyle w:val="NormalWeb"/>
        <w:spacing w:line="360" w:lineRule="auto"/>
        <w:rPr>
          <w:rFonts w:ascii="Arial" w:hAnsi="Arial" w:cs="Arial"/>
          <w:color w:val="252525"/>
          <w:sz w:val="22"/>
          <w:szCs w:val="22"/>
        </w:rPr>
      </w:pPr>
    </w:p>
    <w:p w14:paraId="7316EF84" w14:textId="77777777" w:rsidR="00F526B4" w:rsidRPr="00F526B4" w:rsidRDefault="00F526B4" w:rsidP="00F526B4">
      <w:pPr>
        <w:spacing w:after="240" w:line="360" w:lineRule="auto"/>
        <w:outlineLvl w:val="0"/>
        <w:rPr>
          <w:rFonts w:ascii="Arial" w:eastAsia="Times New Roman" w:hAnsi="Arial" w:cs="Arial"/>
          <w:b/>
          <w:bCs/>
          <w:kern w:val="36"/>
          <w:sz w:val="36"/>
          <w:szCs w:val="36"/>
          <w:lang w:eastAsia="en-GB"/>
          <w14:ligatures w14:val="none"/>
        </w:rPr>
      </w:pPr>
      <w:r w:rsidRPr="00F526B4">
        <w:rPr>
          <w:rFonts w:ascii="Arial" w:eastAsia="Times New Roman" w:hAnsi="Arial" w:cs="Arial"/>
          <w:b/>
          <w:bCs/>
          <w:kern w:val="36"/>
          <w:sz w:val="36"/>
          <w:szCs w:val="36"/>
          <w:lang w:eastAsia="en-GB"/>
          <w14:ligatures w14:val="none"/>
        </w:rPr>
        <w:t>Reference list</w:t>
      </w:r>
    </w:p>
    <w:p w14:paraId="51EF8833"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Altman, D.G. (1991). </w:t>
      </w:r>
      <w:r w:rsidRPr="00F526B4">
        <w:rPr>
          <w:rFonts w:ascii="Arial" w:eastAsia="Times New Roman" w:hAnsi="Arial" w:cs="Arial"/>
          <w:i/>
          <w:iCs/>
          <w:kern w:val="0"/>
          <w:sz w:val="24"/>
          <w:szCs w:val="24"/>
          <w:lang w:eastAsia="en-GB"/>
          <w14:ligatures w14:val="none"/>
        </w:rPr>
        <w:t>Practical statistics for medical research</w:t>
      </w:r>
      <w:r w:rsidRPr="00F526B4">
        <w:rPr>
          <w:rFonts w:ascii="Arial" w:eastAsia="Times New Roman" w:hAnsi="Arial" w:cs="Arial"/>
          <w:kern w:val="0"/>
          <w:sz w:val="24"/>
          <w:szCs w:val="24"/>
          <w:lang w:eastAsia="en-GB"/>
          <w14:ligatures w14:val="none"/>
        </w:rPr>
        <w:t>. London: Chapman &amp; Hall.</w:t>
      </w:r>
    </w:p>
    <w:p w14:paraId="6D48E01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Bagnoli, A. and Clark, A. (2010). Focus groups with young people: a participatory approach to research planning. </w:t>
      </w:r>
      <w:r w:rsidRPr="00F526B4">
        <w:rPr>
          <w:rFonts w:ascii="Arial" w:eastAsia="Times New Roman" w:hAnsi="Arial" w:cs="Arial"/>
          <w:i/>
          <w:iCs/>
          <w:kern w:val="0"/>
          <w:sz w:val="24"/>
          <w:szCs w:val="24"/>
          <w:lang w:eastAsia="en-GB"/>
          <w14:ligatures w14:val="none"/>
        </w:rPr>
        <w:t>Journal of Youth Studies</w:t>
      </w:r>
      <w:r w:rsidRPr="00F526B4">
        <w:rPr>
          <w:rFonts w:ascii="Arial" w:eastAsia="Times New Roman" w:hAnsi="Arial" w:cs="Arial"/>
          <w:kern w:val="0"/>
          <w:sz w:val="24"/>
          <w:szCs w:val="24"/>
          <w:lang w:eastAsia="en-GB"/>
          <w14:ligatures w14:val="none"/>
        </w:rPr>
        <w:t xml:space="preserve">, 13(1), pp.101–119.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://doi.org/10.1080/13676260903173504.</w:t>
      </w:r>
    </w:p>
    <w:p w14:paraId="1FC900B0" w14:textId="36A31A1E"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BERA (2018). </w:t>
      </w:r>
      <w:r w:rsidRPr="00F526B4">
        <w:rPr>
          <w:rFonts w:ascii="Arial" w:eastAsia="Times New Roman" w:hAnsi="Arial" w:cs="Arial"/>
          <w:i/>
          <w:iCs/>
          <w:kern w:val="0"/>
          <w:sz w:val="24"/>
          <w:szCs w:val="24"/>
          <w:lang w:eastAsia="en-GB"/>
          <w14:ligatures w14:val="none"/>
        </w:rPr>
        <w:t>Ethical Guidelines for Educational Research, Fourth Edition (2018)</w:t>
      </w:r>
      <w:r w:rsidRPr="00F526B4">
        <w:rPr>
          <w:rFonts w:ascii="Arial" w:eastAsia="Times New Roman" w:hAnsi="Arial" w:cs="Arial"/>
          <w:kern w:val="0"/>
          <w:sz w:val="24"/>
          <w:szCs w:val="24"/>
          <w:lang w:eastAsia="en-GB"/>
          <w14:ligatures w14:val="none"/>
        </w:rPr>
        <w:t xml:space="preserve">. [online] Bera.ac.uk. Available at: </w:t>
      </w:r>
      <w:hyperlink r:id="rId11" w:history="1">
        <w:r w:rsidR="00A24476" w:rsidRPr="00F526B4">
          <w:rPr>
            <w:rStyle w:val="Hyperlink"/>
            <w:rFonts w:ascii="Arial" w:eastAsia="Times New Roman" w:hAnsi="Arial" w:cs="Arial"/>
            <w:kern w:val="0"/>
            <w:sz w:val="24"/>
            <w:szCs w:val="24"/>
            <w:lang w:eastAsia="en-GB"/>
            <w14:ligatures w14:val="none"/>
          </w:rPr>
          <w:t>https://www.bera.ac.uk/publication/ethical-guidelines-for-educational-research-2018-onlin</w:t>
        </w:r>
        <w:r w:rsidR="00A24476" w:rsidRPr="00FF32CE">
          <w:rPr>
            <w:rStyle w:val="Hyperlink"/>
            <w:rFonts w:ascii="Arial" w:eastAsia="Times New Roman" w:hAnsi="Arial" w:cs="Arial"/>
            <w:kern w:val="0"/>
            <w:sz w:val="24"/>
            <w:szCs w:val="24"/>
            <w:lang w:eastAsia="en-GB"/>
            <w14:ligatures w14:val="none"/>
          </w:rPr>
          <w:t>e</w:t>
        </w:r>
      </w:hyperlink>
      <w:r w:rsidR="00A24476">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 xml:space="preserve"> [Accessed 2 Dec. 2023].</w:t>
      </w:r>
    </w:p>
    <w:p w14:paraId="7D2C140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Boyatzis, R.E. (1998). </w:t>
      </w:r>
      <w:r w:rsidRPr="00F526B4">
        <w:rPr>
          <w:rFonts w:ascii="Arial" w:eastAsia="Times New Roman" w:hAnsi="Arial" w:cs="Arial"/>
          <w:i/>
          <w:iCs/>
          <w:kern w:val="0"/>
          <w:sz w:val="24"/>
          <w:szCs w:val="24"/>
          <w:lang w:eastAsia="en-GB"/>
          <w14:ligatures w14:val="none"/>
        </w:rPr>
        <w:t>Transforming Qualitative Information: Thematic Analysis and Code Development</w:t>
      </w:r>
      <w:r w:rsidRPr="00F526B4">
        <w:rPr>
          <w:rFonts w:ascii="Arial" w:eastAsia="Times New Roman" w:hAnsi="Arial" w:cs="Arial"/>
          <w:kern w:val="0"/>
          <w:sz w:val="24"/>
          <w:szCs w:val="24"/>
          <w:lang w:eastAsia="en-GB"/>
          <w14:ligatures w14:val="none"/>
        </w:rPr>
        <w:t>. Thousand Oaks (Ca.): Sage Publications, p.12.</w:t>
      </w:r>
    </w:p>
    <w:p w14:paraId="1F089A26"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Braun, V. and Clarke, V. (2006). Using Thematic Analysis in Psychology. </w:t>
      </w:r>
      <w:r w:rsidRPr="00F526B4">
        <w:rPr>
          <w:rFonts w:ascii="Arial" w:eastAsia="Times New Roman" w:hAnsi="Arial" w:cs="Arial"/>
          <w:i/>
          <w:iCs/>
          <w:kern w:val="0"/>
          <w:sz w:val="24"/>
          <w:szCs w:val="24"/>
          <w:lang w:eastAsia="en-GB"/>
          <w14:ligatures w14:val="none"/>
        </w:rPr>
        <w:t>Qualitative Research in Psychology</w:t>
      </w:r>
      <w:r w:rsidRPr="00F526B4">
        <w:rPr>
          <w:rFonts w:ascii="Arial" w:eastAsia="Times New Roman" w:hAnsi="Arial" w:cs="Arial"/>
          <w:kern w:val="0"/>
          <w:sz w:val="24"/>
          <w:szCs w:val="24"/>
          <w:lang w:eastAsia="en-GB"/>
          <w14:ligatures w14:val="none"/>
        </w:rPr>
        <w:t>, 3(2), p.77.</w:t>
      </w:r>
    </w:p>
    <w:p w14:paraId="280E5C61" w14:textId="579D1C18"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Butters, H. (2018). </w:t>
      </w:r>
      <w:r w:rsidRPr="00F526B4">
        <w:rPr>
          <w:rFonts w:ascii="Arial" w:eastAsia="Times New Roman" w:hAnsi="Arial" w:cs="Arial"/>
          <w:i/>
          <w:iCs/>
          <w:kern w:val="0"/>
          <w:sz w:val="24"/>
          <w:szCs w:val="24"/>
          <w:lang w:eastAsia="en-GB"/>
          <w14:ligatures w14:val="none"/>
        </w:rPr>
        <w:t>Improving Reading Outcomes for Economically Disadvantaged Students</w:t>
      </w:r>
      <w:r w:rsidRPr="00F526B4">
        <w:rPr>
          <w:rFonts w:ascii="Arial" w:eastAsia="Times New Roman" w:hAnsi="Arial" w:cs="Arial"/>
          <w:kern w:val="0"/>
          <w:sz w:val="24"/>
          <w:szCs w:val="24"/>
          <w:lang w:eastAsia="en-GB"/>
          <w14:ligatures w14:val="none"/>
        </w:rPr>
        <w:t xml:space="preserve">. [online] Edutopia. Available at: </w:t>
      </w:r>
      <w:hyperlink r:id="rId12" w:history="1">
        <w:r w:rsidR="00A24476" w:rsidRPr="00F526B4">
          <w:rPr>
            <w:rStyle w:val="Hyperlink"/>
            <w:rFonts w:ascii="Arial" w:eastAsia="Times New Roman" w:hAnsi="Arial" w:cs="Arial"/>
            <w:kern w:val="0"/>
            <w:sz w:val="24"/>
            <w:szCs w:val="24"/>
            <w:lang w:eastAsia="en-GB"/>
            <w14:ligatures w14:val="none"/>
          </w:rPr>
          <w:t>https://www.edutopia.org/article/improving-reading-outcomes-economically-disadvantaged-students</w:t>
        </w:r>
      </w:hyperlink>
      <w:r w:rsidR="00A24476">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13 Nov. 2023].</w:t>
      </w:r>
    </w:p>
    <w:p w14:paraId="49FAAE09"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Cassel, C., Symon, G. and King, N. (2004). </w:t>
      </w:r>
      <w:r w:rsidRPr="00F526B4">
        <w:rPr>
          <w:rFonts w:ascii="Arial" w:eastAsia="Times New Roman" w:hAnsi="Arial" w:cs="Arial"/>
          <w:i/>
          <w:iCs/>
          <w:kern w:val="0"/>
          <w:sz w:val="24"/>
          <w:szCs w:val="24"/>
          <w:lang w:eastAsia="en-GB"/>
          <w14:ligatures w14:val="none"/>
        </w:rPr>
        <w:t>Essential Guide to Qualitative Methods in Organizational Research</w:t>
      </w:r>
      <w:r w:rsidRPr="00F526B4">
        <w:rPr>
          <w:rFonts w:ascii="Arial" w:eastAsia="Times New Roman" w:hAnsi="Arial" w:cs="Arial"/>
          <w:kern w:val="0"/>
          <w:sz w:val="24"/>
          <w:szCs w:val="24"/>
          <w:lang w:eastAsia="en-GB"/>
          <w14:ligatures w14:val="none"/>
        </w:rPr>
        <w:t>. Los Angeles: Sage, p.277.</w:t>
      </w:r>
    </w:p>
    <w:p w14:paraId="30F35CF9"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Cekiso, M. (2017). Teachers’ perceptions of reading instruction in selected primary schools in the Eastern Cape. </w:t>
      </w:r>
      <w:r w:rsidRPr="00F526B4">
        <w:rPr>
          <w:rFonts w:ascii="Arial" w:eastAsia="Times New Roman" w:hAnsi="Arial" w:cs="Arial"/>
          <w:i/>
          <w:iCs/>
          <w:kern w:val="0"/>
          <w:sz w:val="24"/>
          <w:szCs w:val="24"/>
          <w:lang w:eastAsia="en-GB"/>
          <w14:ligatures w14:val="none"/>
        </w:rPr>
        <w:t>Reading &amp; Writing</w:t>
      </w:r>
      <w:r w:rsidRPr="00F526B4">
        <w:rPr>
          <w:rFonts w:ascii="Arial" w:eastAsia="Times New Roman" w:hAnsi="Arial" w:cs="Arial"/>
          <w:kern w:val="0"/>
          <w:sz w:val="24"/>
          <w:szCs w:val="24"/>
          <w:lang w:eastAsia="en-GB"/>
          <w14:ligatures w14:val="none"/>
        </w:rPr>
        <w:t xml:space="preserve">, 8(1), p.1.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://doi.org/10.4102/rw.v8i1.158.</w:t>
      </w:r>
    </w:p>
    <w:p w14:paraId="03427DCC"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Clark, A. (2011a). </w:t>
      </w:r>
      <w:r w:rsidRPr="00F526B4">
        <w:rPr>
          <w:rFonts w:ascii="Arial" w:eastAsia="Times New Roman" w:hAnsi="Arial" w:cs="Arial"/>
          <w:i/>
          <w:iCs/>
          <w:kern w:val="0"/>
          <w:sz w:val="24"/>
          <w:szCs w:val="24"/>
          <w:lang w:eastAsia="en-GB"/>
          <w14:ligatures w14:val="none"/>
        </w:rPr>
        <w:t>Transforming children’s spaces children’s and adults’ participation in designing learning environments</w:t>
      </w:r>
      <w:r w:rsidRPr="00F526B4">
        <w:rPr>
          <w:rFonts w:ascii="Arial" w:eastAsia="Times New Roman" w:hAnsi="Arial" w:cs="Arial"/>
          <w:kern w:val="0"/>
          <w:sz w:val="24"/>
          <w:szCs w:val="24"/>
          <w:lang w:eastAsia="en-GB"/>
          <w14:ligatures w14:val="none"/>
        </w:rPr>
        <w:t>. London New York Routledge, p.13.</w:t>
      </w:r>
    </w:p>
    <w:p w14:paraId="28E0BD93" w14:textId="2DF03E2C"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Clark, C. (2011b). </w:t>
      </w:r>
      <w:r w:rsidRPr="00F526B4">
        <w:rPr>
          <w:rFonts w:ascii="Arial" w:eastAsia="Times New Roman" w:hAnsi="Arial" w:cs="Arial"/>
          <w:i/>
          <w:iCs/>
          <w:kern w:val="0"/>
          <w:sz w:val="24"/>
          <w:szCs w:val="24"/>
          <w:lang w:eastAsia="en-GB"/>
          <w14:ligatures w14:val="none"/>
        </w:rPr>
        <w:t>Setting the Baseline</w:t>
      </w:r>
      <w:r w:rsidRPr="00F526B4">
        <w:rPr>
          <w:rFonts w:ascii="Arial" w:eastAsia="Times New Roman" w:hAnsi="Arial" w:cs="Arial"/>
          <w:kern w:val="0"/>
          <w:sz w:val="24"/>
          <w:szCs w:val="24"/>
          <w:lang w:eastAsia="en-GB"/>
          <w14:ligatures w14:val="none"/>
        </w:rPr>
        <w:t xml:space="preserve">. [online] </w:t>
      </w:r>
      <w:r w:rsidRPr="00F526B4">
        <w:rPr>
          <w:rFonts w:ascii="Arial" w:eastAsia="Times New Roman" w:hAnsi="Arial" w:cs="Arial"/>
          <w:i/>
          <w:iCs/>
          <w:kern w:val="0"/>
          <w:sz w:val="24"/>
          <w:szCs w:val="24"/>
          <w:lang w:eastAsia="en-GB"/>
          <w14:ligatures w14:val="none"/>
        </w:rPr>
        <w:t>National Literacy Trust</w:t>
      </w:r>
      <w:r w:rsidRPr="00F526B4">
        <w:rPr>
          <w:rFonts w:ascii="Arial" w:eastAsia="Times New Roman" w:hAnsi="Arial" w:cs="Arial"/>
          <w:kern w:val="0"/>
          <w:sz w:val="24"/>
          <w:szCs w:val="24"/>
          <w:lang w:eastAsia="en-GB"/>
          <w14:ligatures w14:val="none"/>
        </w:rPr>
        <w:t xml:space="preserve">, National Literacy Trust, p.2. Available at: </w:t>
      </w:r>
      <w:hyperlink r:id="rId13" w:history="1">
        <w:r w:rsidR="00A24476" w:rsidRPr="00F526B4">
          <w:rPr>
            <w:rStyle w:val="Hyperlink"/>
            <w:rFonts w:ascii="Arial" w:eastAsia="Times New Roman" w:hAnsi="Arial" w:cs="Arial"/>
            <w:kern w:val="0"/>
            <w:sz w:val="24"/>
            <w:szCs w:val="24"/>
            <w:lang w:eastAsia="en-GB"/>
            <w14:ligatures w14:val="none"/>
          </w:rPr>
          <w:t>https://files.eric.ed.gov/fulltext/ED541400.pdf</w:t>
        </w:r>
      </w:hyperlink>
      <w:r w:rsidR="00A24476">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5 Dec. 2023].</w:t>
      </w:r>
    </w:p>
    <w:p w14:paraId="50D5684D"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lastRenderedPageBreak/>
        <w:t xml:space="preserve">Cole, A., Brown, A., Clark, C. and </w:t>
      </w:r>
      <w:proofErr w:type="spellStart"/>
      <w:r w:rsidRPr="00F526B4">
        <w:rPr>
          <w:rFonts w:ascii="Arial" w:eastAsia="Times New Roman" w:hAnsi="Arial" w:cs="Arial"/>
          <w:kern w:val="0"/>
          <w:sz w:val="24"/>
          <w:szCs w:val="24"/>
          <w:lang w:eastAsia="en-GB"/>
          <w14:ligatures w14:val="none"/>
        </w:rPr>
        <w:t>Picton</w:t>
      </w:r>
      <w:proofErr w:type="spellEnd"/>
      <w:r w:rsidRPr="00F526B4">
        <w:rPr>
          <w:rFonts w:ascii="Arial" w:eastAsia="Times New Roman" w:hAnsi="Arial" w:cs="Arial"/>
          <w:kern w:val="0"/>
          <w:sz w:val="24"/>
          <w:szCs w:val="24"/>
          <w:lang w:eastAsia="en-GB"/>
          <w14:ligatures w14:val="none"/>
        </w:rPr>
        <w:t xml:space="preserve">, I. (2022). </w:t>
      </w:r>
      <w:r w:rsidRPr="00F526B4">
        <w:rPr>
          <w:rFonts w:ascii="Arial" w:eastAsia="Times New Roman" w:hAnsi="Arial" w:cs="Arial"/>
          <w:i/>
          <w:iCs/>
          <w:kern w:val="0"/>
          <w:sz w:val="24"/>
          <w:szCs w:val="24"/>
          <w:lang w:eastAsia="en-GB"/>
          <w14:ligatures w14:val="none"/>
        </w:rPr>
        <w:t>Children and young people’s reading engagement in 2022</w:t>
      </w:r>
      <w:r w:rsidRPr="00F526B4">
        <w:rPr>
          <w:rFonts w:ascii="Arial" w:eastAsia="Times New Roman" w:hAnsi="Arial" w:cs="Arial"/>
          <w:kern w:val="0"/>
          <w:sz w:val="24"/>
          <w:szCs w:val="24"/>
          <w:lang w:eastAsia="en-GB"/>
          <w14:ligatures w14:val="none"/>
        </w:rPr>
        <w:t xml:space="preserve">. </w:t>
      </w:r>
      <w:r w:rsidRPr="00F526B4">
        <w:rPr>
          <w:rFonts w:ascii="Arial" w:eastAsia="Times New Roman" w:hAnsi="Arial" w:cs="Arial"/>
          <w:i/>
          <w:iCs/>
          <w:kern w:val="0"/>
          <w:sz w:val="24"/>
          <w:szCs w:val="24"/>
          <w:lang w:eastAsia="en-GB"/>
          <w14:ligatures w14:val="none"/>
        </w:rPr>
        <w:t>National Literacy Trust</w:t>
      </w:r>
      <w:r w:rsidRPr="00F526B4">
        <w:rPr>
          <w:rFonts w:ascii="Arial" w:eastAsia="Times New Roman" w:hAnsi="Arial" w:cs="Arial"/>
          <w:kern w:val="0"/>
          <w:sz w:val="24"/>
          <w:szCs w:val="24"/>
          <w:lang w:eastAsia="en-GB"/>
          <w14:ligatures w14:val="none"/>
        </w:rPr>
        <w:t>, p.8.</w:t>
      </w:r>
    </w:p>
    <w:p w14:paraId="260F2FC9"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Cole, A., Clark, C. and </w:t>
      </w:r>
      <w:proofErr w:type="spellStart"/>
      <w:r w:rsidRPr="00F526B4">
        <w:rPr>
          <w:rFonts w:ascii="Arial" w:eastAsia="Times New Roman" w:hAnsi="Arial" w:cs="Arial"/>
          <w:kern w:val="0"/>
          <w:sz w:val="24"/>
          <w:szCs w:val="24"/>
          <w:lang w:eastAsia="en-GB"/>
          <w14:ligatures w14:val="none"/>
        </w:rPr>
        <w:t>Picton</w:t>
      </w:r>
      <w:proofErr w:type="spellEnd"/>
      <w:r w:rsidRPr="00F526B4">
        <w:rPr>
          <w:rFonts w:ascii="Arial" w:eastAsia="Times New Roman" w:hAnsi="Arial" w:cs="Arial"/>
          <w:kern w:val="0"/>
          <w:sz w:val="24"/>
          <w:szCs w:val="24"/>
          <w:lang w:eastAsia="en-GB"/>
          <w14:ligatures w14:val="none"/>
        </w:rPr>
        <w:t xml:space="preserve">, I. (2022). </w:t>
      </w:r>
      <w:r w:rsidRPr="00F526B4">
        <w:rPr>
          <w:rFonts w:ascii="Arial" w:eastAsia="Times New Roman" w:hAnsi="Arial" w:cs="Arial"/>
          <w:i/>
          <w:iCs/>
          <w:kern w:val="0"/>
          <w:sz w:val="24"/>
          <w:szCs w:val="24"/>
          <w:lang w:eastAsia="en-GB"/>
          <w14:ligatures w14:val="none"/>
        </w:rPr>
        <w:t>Children and young people’s book ownership and access to books at home in 2022</w:t>
      </w:r>
      <w:r w:rsidRPr="00F526B4">
        <w:rPr>
          <w:rFonts w:ascii="Arial" w:eastAsia="Times New Roman" w:hAnsi="Arial" w:cs="Arial"/>
          <w:kern w:val="0"/>
          <w:sz w:val="24"/>
          <w:szCs w:val="24"/>
          <w:lang w:eastAsia="en-GB"/>
          <w14:ligatures w14:val="none"/>
        </w:rPr>
        <w:t xml:space="preserve">. </w:t>
      </w:r>
      <w:r w:rsidRPr="00F526B4">
        <w:rPr>
          <w:rFonts w:ascii="Arial" w:eastAsia="Times New Roman" w:hAnsi="Arial" w:cs="Arial"/>
          <w:i/>
          <w:iCs/>
          <w:kern w:val="0"/>
          <w:sz w:val="24"/>
          <w:szCs w:val="24"/>
          <w:lang w:eastAsia="en-GB"/>
          <w14:ligatures w14:val="none"/>
        </w:rPr>
        <w:t>National Literacy Trust</w:t>
      </w:r>
      <w:r w:rsidRPr="00F526B4">
        <w:rPr>
          <w:rFonts w:ascii="Arial" w:eastAsia="Times New Roman" w:hAnsi="Arial" w:cs="Arial"/>
          <w:kern w:val="0"/>
          <w:sz w:val="24"/>
          <w:szCs w:val="24"/>
          <w:lang w:eastAsia="en-GB"/>
          <w14:ligatures w14:val="none"/>
        </w:rPr>
        <w:t>, p.1.</w:t>
      </w:r>
    </w:p>
    <w:p w14:paraId="2FA8F56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Demetriou, C., Ozer, B.U. and Essau, C.A. (2015). Self-Report Questionnaires. </w:t>
      </w:r>
      <w:r w:rsidRPr="00F526B4">
        <w:rPr>
          <w:rFonts w:ascii="Arial" w:eastAsia="Times New Roman" w:hAnsi="Arial" w:cs="Arial"/>
          <w:i/>
          <w:iCs/>
          <w:kern w:val="0"/>
          <w:sz w:val="24"/>
          <w:szCs w:val="24"/>
          <w:lang w:eastAsia="en-GB"/>
          <w14:ligatures w14:val="none"/>
        </w:rPr>
        <w:t xml:space="preserve">The </w:t>
      </w:r>
      <w:proofErr w:type="spellStart"/>
      <w:r w:rsidRPr="00F526B4">
        <w:rPr>
          <w:rFonts w:ascii="Arial" w:eastAsia="Times New Roman" w:hAnsi="Arial" w:cs="Arial"/>
          <w:i/>
          <w:iCs/>
          <w:kern w:val="0"/>
          <w:sz w:val="24"/>
          <w:szCs w:val="24"/>
          <w:lang w:eastAsia="en-GB"/>
          <w14:ligatures w14:val="none"/>
        </w:rPr>
        <w:t>Encyclopedia</w:t>
      </w:r>
      <w:proofErr w:type="spellEnd"/>
      <w:r w:rsidRPr="00F526B4">
        <w:rPr>
          <w:rFonts w:ascii="Arial" w:eastAsia="Times New Roman" w:hAnsi="Arial" w:cs="Arial"/>
          <w:i/>
          <w:iCs/>
          <w:kern w:val="0"/>
          <w:sz w:val="24"/>
          <w:szCs w:val="24"/>
          <w:lang w:eastAsia="en-GB"/>
          <w14:ligatures w14:val="none"/>
        </w:rPr>
        <w:t xml:space="preserve"> of Clinical Psychology</w:t>
      </w:r>
      <w:r w:rsidRPr="00F526B4">
        <w:rPr>
          <w:rFonts w:ascii="Arial" w:eastAsia="Times New Roman" w:hAnsi="Arial" w:cs="Arial"/>
          <w:kern w:val="0"/>
          <w:sz w:val="24"/>
          <w:szCs w:val="24"/>
          <w:lang w:eastAsia="en-GB"/>
          <w14:ligatures w14:val="none"/>
        </w:rPr>
        <w:t xml:space="preserve">, p.1.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://doi.org/10.1002/9781118625392.wbecp507.</w:t>
      </w:r>
    </w:p>
    <w:p w14:paraId="7FDA6F63"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Divecha, C., </w:t>
      </w:r>
      <w:proofErr w:type="spellStart"/>
      <w:r w:rsidRPr="00F526B4">
        <w:rPr>
          <w:rFonts w:ascii="Arial" w:eastAsia="Times New Roman" w:hAnsi="Arial" w:cs="Arial"/>
          <w:kern w:val="0"/>
          <w:sz w:val="24"/>
          <w:szCs w:val="24"/>
          <w:lang w:eastAsia="en-GB"/>
          <w14:ligatures w14:val="none"/>
        </w:rPr>
        <w:t>Tullu</w:t>
      </w:r>
      <w:proofErr w:type="spellEnd"/>
      <w:r w:rsidRPr="00F526B4">
        <w:rPr>
          <w:rFonts w:ascii="Arial" w:eastAsia="Times New Roman" w:hAnsi="Arial" w:cs="Arial"/>
          <w:kern w:val="0"/>
          <w:sz w:val="24"/>
          <w:szCs w:val="24"/>
          <w:lang w:eastAsia="en-GB"/>
          <w14:ligatures w14:val="none"/>
        </w:rPr>
        <w:t xml:space="preserve">, M. and </w:t>
      </w:r>
      <w:proofErr w:type="spellStart"/>
      <w:r w:rsidRPr="00F526B4">
        <w:rPr>
          <w:rFonts w:ascii="Arial" w:eastAsia="Times New Roman" w:hAnsi="Arial" w:cs="Arial"/>
          <w:kern w:val="0"/>
          <w:sz w:val="24"/>
          <w:szCs w:val="24"/>
          <w:lang w:eastAsia="en-GB"/>
          <w14:ligatures w14:val="none"/>
        </w:rPr>
        <w:t>Karande</w:t>
      </w:r>
      <w:proofErr w:type="spellEnd"/>
      <w:r w:rsidRPr="00F526B4">
        <w:rPr>
          <w:rFonts w:ascii="Arial" w:eastAsia="Times New Roman" w:hAnsi="Arial" w:cs="Arial"/>
          <w:kern w:val="0"/>
          <w:sz w:val="24"/>
          <w:szCs w:val="24"/>
          <w:lang w:eastAsia="en-GB"/>
          <w14:ligatures w14:val="none"/>
        </w:rPr>
        <w:t xml:space="preserve">, S. (2023). Utilizing tables, figures, charts and graphs to enhance the readability of a research paper. </w:t>
      </w:r>
      <w:r w:rsidRPr="00F526B4">
        <w:rPr>
          <w:rFonts w:ascii="Arial" w:eastAsia="Times New Roman" w:hAnsi="Arial" w:cs="Arial"/>
          <w:i/>
          <w:iCs/>
          <w:kern w:val="0"/>
          <w:sz w:val="24"/>
          <w:szCs w:val="24"/>
          <w:lang w:eastAsia="en-GB"/>
          <w14:ligatures w14:val="none"/>
        </w:rPr>
        <w:t>Journal of Postgraduate Medicine</w:t>
      </w:r>
      <w:r w:rsidRPr="00F526B4">
        <w:rPr>
          <w:rFonts w:ascii="Arial" w:eastAsia="Times New Roman" w:hAnsi="Arial" w:cs="Arial"/>
          <w:kern w:val="0"/>
          <w:sz w:val="24"/>
          <w:szCs w:val="24"/>
          <w:lang w:eastAsia="en-GB"/>
          <w14:ligatures w14:val="none"/>
        </w:rPr>
        <w:t xml:space="preserve">, [online] 69(3), p.127.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://doi.org/10.4103/jpgm.jpgm_387_23.</w:t>
      </w:r>
    </w:p>
    <w:p w14:paraId="79F03168" w14:textId="6B28479C"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Drew (PhD), C. (2023). </w:t>
      </w:r>
      <w:r w:rsidRPr="00F526B4">
        <w:rPr>
          <w:rFonts w:ascii="Arial" w:eastAsia="Times New Roman" w:hAnsi="Arial" w:cs="Arial"/>
          <w:i/>
          <w:iCs/>
          <w:kern w:val="0"/>
          <w:sz w:val="24"/>
          <w:szCs w:val="24"/>
          <w:lang w:eastAsia="en-GB"/>
          <w14:ligatures w14:val="none"/>
        </w:rPr>
        <w:t>10 Case Study Advantages and Disadvantages (2023)</w:t>
      </w:r>
      <w:r w:rsidRPr="00F526B4">
        <w:rPr>
          <w:rFonts w:ascii="Arial" w:eastAsia="Times New Roman" w:hAnsi="Arial" w:cs="Arial"/>
          <w:kern w:val="0"/>
          <w:sz w:val="24"/>
          <w:szCs w:val="24"/>
          <w:lang w:eastAsia="en-GB"/>
          <w14:ligatures w14:val="none"/>
        </w:rPr>
        <w:t xml:space="preserve">. [online] helpfulprofessor.com. Available at: </w:t>
      </w:r>
      <w:hyperlink r:id="rId14" w:history="1">
        <w:r w:rsidR="00A24476" w:rsidRPr="00F526B4">
          <w:rPr>
            <w:rStyle w:val="Hyperlink"/>
            <w:rFonts w:ascii="Arial" w:eastAsia="Times New Roman" w:hAnsi="Arial" w:cs="Arial"/>
            <w:kern w:val="0"/>
            <w:sz w:val="24"/>
            <w:szCs w:val="24"/>
            <w:lang w:eastAsia="en-GB"/>
            <w14:ligatures w14:val="none"/>
          </w:rPr>
          <w:t>https://helpfulprofessor.com/case-study-advantages-and-disadvantages/</w:t>
        </w:r>
      </w:hyperlink>
      <w:r w:rsidR="00A24476">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30 Nov. 2023].</w:t>
      </w:r>
    </w:p>
    <w:p w14:paraId="0EA45A25"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Emmel, N. (2013). </w:t>
      </w:r>
      <w:r w:rsidRPr="00F526B4">
        <w:rPr>
          <w:rFonts w:ascii="Arial" w:eastAsia="Times New Roman" w:hAnsi="Arial" w:cs="Arial"/>
          <w:i/>
          <w:iCs/>
          <w:kern w:val="0"/>
          <w:sz w:val="24"/>
          <w:szCs w:val="24"/>
          <w:lang w:eastAsia="en-GB"/>
          <w14:ligatures w14:val="none"/>
        </w:rPr>
        <w:t>Sampling and Choosing Cases in Qualitative Research</w:t>
      </w:r>
      <w:r w:rsidRPr="00F526B4">
        <w:rPr>
          <w:rFonts w:ascii="Arial" w:eastAsia="Times New Roman" w:hAnsi="Arial" w:cs="Arial"/>
          <w:kern w:val="0"/>
          <w:sz w:val="24"/>
          <w:szCs w:val="24"/>
          <w:lang w:eastAsia="en-GB"/>
          <w14:ligatures w14:val="none"/>
        </w:rPr>
        <w:t>. SAGE, p.141.</w:t>
      </w:r>
    </w:p>
    <w:p w14:paraId="5222FE8E" w14:textId="18DA2C96"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Estyn (2016). </w:t>
      </w:r>
      <w:r w:rsidRPr="00F526B4">
        <w:rPr>
          <w:rFonts w:ascii="Arial" w:eastAsia="Times New Roman" w:hAnsi="Arial" w:cs="Arial"/>
          <w:i/>
          <w:iCs/>
          <w:kern w:val="0"/>
          <w:sz w:val="24"/>
          <w:szCs w:val="24"/>
          <w:lang w:eastAsia="en-GB"/>
          <w14:ligatures w14:val="none"/>
        </w:rPr>
        <w:t xml:space="preserve">A report on </w:t>
      </w:r>
      <w:proofErr w:type="spellStart"/>
      <w:r w:rsidRPr="00F526B4">
        <w:rPr>
          <w:rFonts w:ascii="Arial" w:eastAsia="Times New Roman" w:hAnsi="Arial" w:cs="Arial"/>
          <w:i/>
          <w:iCs/>
          <w:kern w:val="0"/>
          <w:sz w:val="24"/>
          <w:szCs w:val="24"/>
          <w:highlight w:val="black"/>
          <w:lang w:eastAsia="en-GB"/>
          <w14:ligatures w14:val="none"/>
        </w:rPr>
        <w:t>Stebonheath</w:t>
      </w:r>
      <w:proofErr w:type="spellEnd"/>
      <w:r w:rsidRPr="00F526B4">
        <w:rPr>
          <w:rFonts w:ascii="Arial" w:eastAsia="Times New Roman" w:hAnsi="Arial" w:cs="Arial"/>
          <w:i/>
          <w:iCs/>
          <w:kern w:val="0"/>
          <w:sz w:val="24"/>
          <w:szCs w:val="24"/>
          <w:highlight w:val="black"/>
          <w:lang w:eastAsia="en-GB"/>
          <w14:ligatures w14:val="none"/>
        </w:rPr>
        <w:t xml:space="preserve"> C.P. School Marble Hall Road Llanelli Carmarthenshire </w:t>
      </w:r>
      <w:proofErr w:type="spellStart"/>
      <w:r w:rsidRPr="00F526B4">
        <w:rPr>
          <w:rFonts w:ascii="Arial" w:eastAsia="Times New Roman" w:hAnsi="Arial" w:cs="Arial"/>
          <w:i/>
          <w:iCs/>
          <w:kern w:val="0"/>
          <w:sz w:val="24"/>
          <w:szCs w:val="24"/>
          <w:highlight w:val="black"/>
          <w:lang w:eastAsia="en-GB"/>
          <w14:ligatures w14:val="none"/>
        </w:rPr>
        <w:t>Carmarthenshire</w:t>
      </w:r>
      <w:proofErr w:type="spellEnd"/>
      <w:r w:rsidRPr="00F526B4">
        <w:rPr>
          <w:rFonts w:ascii="Arial" w:eastAsia="Times New Roman" w:hAnsi="Arial" w:cs="Arial"/>
          <w:i/>
          <w:iCs/>
          <w:kern w:val="0"/>
          <w:sz w:val="24"/>
          <w:szCs w:val="24"/>
          <w:highlight w:val="black"/>
          <w:lang w:eastAsia="en-GB"/>
          <w14:ligatures w14:val="none"/>
        </w:rPr>
        <w:t xml:space="preserve"> County Council SA15 1NB</w:t>
      </w:r>
      <w:r w:rsidRPr="00F526B4">
        <w:rPr>
          <w:rFonts w:ascii="Arial" w:eastAsia="Times New Roman" w:hAnsi="Arial" w:cs="Arial"/>
          <w:i/>
          <w:iCs/>
          <w:kern w:val="0"/>
          <w:sz w:val="24"/>
          <w:szCs w:val="24"/>
          <w:lang w:eastAsia="en-GB"/>
          <w14:ligatures w14:val="none"/>
        </w:rPr>
        <w:t xml:space="preserve"> Date of inspection: November 2016 by Estyn, Her Majesty’s Inspectorate for Education and Training in Wales</w:t>
      </w:r>
      <w:r w:rsidRPr="00F526B4">
        <w:rPr>
          <w:rFonts w:ascii="Arial" w:eastAsia="Times New Roman" w:hAnsi="Arial" w:cs="Arial"/>
          <w:kern w:val="0"/>
          <w:sz w:val="24"/>
          <w:szCs w:val="24"/>
          <w:lang w:eastAsia="en-GB"/>
          <w14:ligatures w14:val="none"/>
        </w:rPr>
        <w:t xml:space="preserve">. [online] Available at: </w:t>
      </w:r>
      <w:hyperlink r:id="rId15" w:history="1">
        <w:r w:rsidR="00A24476" w:rsidRPr="00F526B4">
          <w:rPr>
            <w:rStyle w:val="Hyperlink"/>
            <w:rFonts w:ascii="Arial" w:eastAsia="Times New Roman" w:hAnsi="Arial" w:cs="Arial"/>
            <w:kern w:val="0"/>
            <w:sz w:val="24"/>
            <w:szCs w:val="24"/>
            <w:lang w:eastAsia="en-GB"/>
            <w14:ligatures w14:val="none"/>
          </w:rPr>
          <w:t>https://primarysite-prod-sorted.s3.amazonaws.com/</w:t>
        </w:r>
        <w:r w:rsidR="00A24476" w:rsidRPr="00F526B4">
          <w:rPr>
            <w:rStyle w:val="Hyperlink"/>
            <w:rFonts w:ascii="Arial" w:eastAsia="Times New Roman" w:hAnsi="Arial" w:cs="Arial"/>
            <w:color w:val="auto"/>
            <w:kern w:val="0"/>
            <w:sz w:val="24"/>
            <w:szCs w:val="24"/>
            <w:highlight w:val="black"/>
            <w:lang w:eastAsia="en-GB"/>
            <w14:ligatures w14:val="none"/>
          </w:rPr>
          <w:t>stebonheath-primary</w:t>
        </w:r>
        <w:r w:rsidR="00A24476" w:rsidRPr="00F526B4">
          <w:rPr>
            <w:rStyle w:val="Hyperlink"/>
            <w:rFonts w:ascii="Arial" w:eastAsia="Times New Roman" w:hAnsi="Arial" w:cs="Arial"/>
            <w:kern w:val="0"/>
            <w:sz w:val="24"/>
            <w:szCs w:val="24"/>
            <w:lang w:eastAsia="en-GB"/>
            <w14:ligatures w14:val="none"/>
          </w:rPr>
          <w:t>/UploadedDocument/b13a41ecfcc14cca9991ce3a4aed38d3/stebonheath-c.p.school.pdf</w:t>
        </w:r>
      </w:hyperlink>
      <w:r w:rsidR="00A24476">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13 Nov. 2023].</w:t>
      </w:r>
    </w:p>
    <w:p w14:paraId="238C618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Fargas-Malet, M., McSherry, D., Larkin, E. and Robinson, C. (2010). research with children: methodological issues and innovative techniques. </w:t>
      </w:r>
      <w:r w:rsidRPr="00F526B4">
        <w:rPr>
          <w:rFonts w:ascii="Arial" w:eastAsia="Times New Roman" w:hAnsi="Arial" w:cs="Arial"/>
          <w:i/>
          <w:iCs/>
          <w:kern w:val="0"/>
          <w:sz w:val="24"/>
          <w:szCs w:val="24"/>
          <w:lang w:eastAsia="en-GB"/>
          <w14:ligatures w14:val="none"/>
        </w:rPr>
        <w:t>Journal of Early Childhood Research</w:t>
      </w:r>
      <w:r w:rsidRPr="00F526B4">
        <w:rPr>
          <w:rFonts w:ascii="Arial" w:eastAsia="Times New Roman" w:hAnsi="Arial" w:cs="Arial"/>
          <w:kern w:val="0"/>
          <w:sz w:val="24"/>
          <w:szCs w:val="24"/>
          <w:lang w:eastAsia="en-GB"/>
          <w14:ligatures w14:val="none"/>
        </w:rPr>
        <w:t xml:space="preserve">, 8(2), p.180.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://doi.org/10.1177/1476718x09345412.</w:t>
      </w:r>
    </w:p>
    <w:p w14:paraId="5B857C7C" w14:textId="3AA92CE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General Medical Council (n.d.). </w:t>
      </w:r>
      <w:r w:rsidRPr="00F526B4">
        <w:rPr>
          <w:rFonts w:ascii="Arial" w:eastAsia="Times New Roman" w:hAnsi="Arial" w:cs="Arial"/>
          <w:i/>
          <w:iCs/>
          <w:kern w:val="0"/>
          <w:sz w:val="24"/>
          <w:szCs w:val="24"/>
          <w:lang w:eastAsia="en-GB"/>
          <w14:ligatures w14:val="none"/>
        </w:rPr>
        <w:t>Consent</w:t>
      </w:r>
      <w:r w:rsidRPr="00F526B4">
        <w:rPr>
          <w:rFonts w:ascii="Arial" w:eastAsia="Times New Roman" w:hAnsi="Arial" w:cs="Arial"/>
          <w:kern w:val="0"/>
          <w:sz w:val="24"/>
          <w:szCs w:val="24"/>
          <w:lang w:eastAsia="en-GB"/>
          <w14:ligatures w14:val="none"/>
        </w:rPr>
        <w:t xml:space="preserve">. [online] General Medical Council. Available at: </w:t>
      </w:r>
      <w:hyperlink r:id="rId16" w:history="1">
        <w:r w:rsidR="00621A5B" w:rsidRPr="00F526B4">
          <w:rPr>
            <w:rStyle w:val="Hyperlink"/>
            <w:rFonts w:ascii="Arial" w:eastAsia="Times New Roman" w:hAnsi="Arial" w:cs="Arial"/>
            <w:kern w:val="0"/>
            <w:sz w:val="24"/>
            <w:szCs w:val="24"/>
            <w:lang w:eastAsia="en-GB"/>
            <w14:ligatures w14:val="none"/>
          </w:rPr>
          <w:t>https://www.gmc-uk.org/professional-standards/professional-standards-for-doctors/consent-to-research/consent-to-research#:~:text=Before%20involving%20a%20child%20or%20young%20person%2</w:t>
        </w:r>
        <w:r w:rsidR="00621A5B" w:rsidRPr="00F526B4">
          <w:rPr>
            <w:rStyle w:val="Hyperlink"/>
            <w:rFonts w:ascii="Arial" w:eastAsia="Times New Roman" w:hAnsi="Arial" w:cs="Arial"/>
            <w:kern w:val="0"/>
            <w:sz w:val="24"/>
            <w:szCs w:val="24"/>
            <w:lang w:eastAsia="en-GB"/>
            <w14:ligatures w14:val="none"/>
          </w:rPr>
          <w:lastRenderedPageBreak/>
          <w:t>0in,more%20than%20low%20or%20minimal%20risk%20of%20harm</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7 Dec. 2023].</w:t>
      </w:r>
    </w:p>
    <w:p w14:paraId="2B058D18"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Grech, V. (2019). Write a Scientific Paper (WASP): Effective graphs and tables. </w:t>
      </w:r>
      <w:r w:rsidRPr="00F526B4">
        <w:rPr>
          <w:rFonts w:ascii="Arial" w:eastAsia="Times New Roman" w:hAnsi="Arial" w:cs="Arial"/>
          <w:i/>
          <w:iCs/>
          <w:kern w:val="0"/>
          <w:sz w:val="24"/>
          <w:szCs w:val="24"/>
          <w:lang w:eastAsia="en-GB"/>
          <w14:ligatures w14:val="none"/>
        </w:rPr>
        <w:t>Early Human Development</w:t>
      </w:r>
      <w:r w:rsidRPr="00F526B4">
        <w:rPr>
          <w:rFonts w:ascii="Arial" w:eastAsia="Times New Roman" w:hAnsi="Arial" w:cs="Arial"/>
          <w:kern w:val="0"/>
          <w:sz w:val="24"/>
          <w:szCs w:val="24"/>
          <w:lang w:eastAsia="en-GB"/>
          <w14:ligatures w14:val="none"/>
        </w:rPr>
        <w:t xml:space="preserve">, 134, p.54.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://doi.org/10.1016/j.earlhumdev.2019.05.013.</w:t>
      </w:r>
    </w:p>
    <w:p w14:paraId="0F02A8B7"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Hardy, B. and Ford, L.R. (2014). It’s Not Me, It’s You. </w:t>
      </w:r>
      <w:r w:rsidRPr="00F526B4">
        <w:rPr>
          <w:rFonts w:ascii="Arial" w:eastAsia="Times New Roman" w:hAnsi="Arial" w:cs="Arial"/>
          <w:i/>
          <w:iCs/>
          <w:kern w:val="0"/>
          <w:sz w:val="24"/>
          <w:szCs w:val="24"/>
          <w:lang w:eastAsia="en-GB"/>
          <w14:ligatures w14:val="none"/>
        </w:rPr>
        <w:t>Organizational Research Methods</w:t>
      </w:r>
      <w:r w:rsidRPr="00F526B4">
        <w:rPr>
          <w:rFonts w:ascii="Arial" w:eastAsia="Times New Roman" w:hAnsi="Arial" w:cs="Arial"/>
          <w:kern w:val="0"/>
          <w:sz w:val="24"/>
          <w:szCs w:val="24"/>
          <w:lang w:eastAsia="en-GB"/>
          <w14:ligatures w14:val="none"/>
        </w:rPr>
        <w:t xml:space="preserve">, 17(2), p.146.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://doi.org/10.1177/1094428113520185.</w:t>
      </w:r>
    </w:p>
    <w:p w14:paraId="740F2388" w14:textId="62938A28"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Hassan, M. (2022). </w:t>
      </w:r>
      <w:r w:rsidRPr="00F526B4">
        <w:rPr>
          <w:rFonts w:ascii="Arial" w:eastAsia="Times New Roman" w:hAnsi="Arial" w:cs="Arial"/>
          <w:i/>
          <w:iCs/>
          <w:kern w:val="0"/>
          <w:sz w:val="24"/>
          <w:szCs w:val="24"/>
          <w:lang w:eastAsia="en-GB"/>
          <w14:ligatures w14:val="none"/>
        </w:rPr>
        <w:t>Case Study - Methods, Examples and Guide</w:t>
      </w:r>
      <w:r w:rsidRPr="00F526B4">
        <w:rPr>
          <w:rFonts w:ascii="Arial" w:eastAsia="Times New Roman" w:hAnsi="Arial" w:cs="Arial"/>
          <w:kern w:val="0"/>
          <w:sz w:val="24"/>
          <w:szCs w:val="24"/>
          <w:lang w:eastAsia="en-GB"/>
          <w14:ligatures w14:val="none"/>
        </w:rPr>
        <w:t xml:space="preserve">. [online] Research Method. Available at: </w:t>
      </w:r>
      <w:hyperlink r:id="rId17" w:history="1">
        <w:r w:rsidR="00621A5B" w:rsidRPr="00F526B4">
          <w:rPr>
            <w:rStyle w:val="Hyperlink"/>
            <w:rFonts w:ascii="Arial" w:eastAsia="Times New Roman" w:hAnsi="Arial" w:cs="Arial"/>
            <w:kern w:val="0"/>
            <w:sz w:val="24"/>
            <w:szCs w:val="24"/>
            <w:lang w:eastAsia="en-GB"/>
            <w14:ligatures w14:val="none"/>
          </w:rPr>
          <w:t>https://researchmethod.net/case-study-research/#:~:text=A%20case%20study%20is%20a%20research%20method%20that</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28 Nov. 2023].</w:t>
      </w:r>
    </w:p>
    <w:p w14:paraId="03D31B4F" w14:textId="179E4663"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Hiter, S. (2021). What is Quantitative Data? | </w:t>
      </w:r>
      <w:proofErr w:type="spellStart"/>
      <w:r w:rsidRPr="00F526B4">
        <w:rPr>
          <w:rFonts w:ascii="Arial" w:eastAsia="Times New Roman" w:hAnsi="Arial" w:cs="Arial"/>
          <w:kern w:val="0"/>
          <w:sz w:val="24"/>
          <w:szCs w:val="24"/>
          <w:lang w:eastAsia="en-GB"/>
          <w14:ligatures w14:val="none"/>
        </w:rPr>
        <w:t>Datamation</w:t>
      </w:r>
      <w:proofErr w:type="spellEnd"/>
      <w:r w:rsidRPr="00F526B4">
        <w:rPr>
          <w:rFonts w:ascii="Arial" w:eastAsia="Times New Roman" w:hAnsi="Arial" w:cs="Arial"/>
          <w:kern w:val="0"/>
          <w:sz w:val="24"/>
          <w:szCs w:val="24"/>
          <w:lang w:eastAsia="en-GB"/>
          <w14:ligatures w14:val="none"/>
        </w:rPr>
        <w:t xml:space="preserve"> | Big Data. </w:t>
      </w:r>
      <w:proofErr w:type="spellStart"/>
      <w:r w:rsidRPr="00F526B4">
        <w:rPr>
          <w:rFonts w:ascii="Arial" w:eastAsia="Times New Roman" w:hAnsi="Arial" w:cs="Arial"/>
          <w:i/>
          <w:iCs/>
          <w:kern w:val="0"/>
          <w:sz w:val="24"/>
          <w:szCs w:val="24"/>
          <w:lang w:eastAsia="en-GB"/>
          <w14:ligatures w14:val="none"/>
        </w:rPr>
        <w:t>Datamation</w:t>
      </w:r>
      <w:proofErr w:type="spellEnd"/>
      <w:r w:rsidRPr="00F526B4">
        <w:rPr>
          <w:rFonts w:ascii="Arial" w:eastAsia="Times New Roman" w:hAnsi="Arial" w:cs="Arial"/>
          <w:kern w:val="0"/>
          <w:sz w:val="24"/>
          <w:szCs w:val="24"/>
          <w:lang w:eastAsia="en-GB"/>
          <w14:ligatures w14:val="none"/>
        </w:rPr>
        <w:t xml:space="preserve">. [online] 7 Apr. Available at: </w:t>
      </w:r>
      <w:hyperlink r:id="rId18" w:history="1">
        <w:r w:rsidR="00621A5B" w:rsidRPr="00F526B4">
          <w:rPr>
            <w:rStyle w:val="Hyperlink"/>
            <w:rFonts w:ascii="Arial" w:eastAsia="Times New Roman" w:hAnsi="Arial" w:cs="Arial"/>
            <w:kern w:val="0"/>
            <w:sz w:val="24"/>
            <w:szCs w:val="24"/>
            <w:lang w:eastAsia="en-GB"/>
            <w14:ligatures w14:val="none"/>
          </w:rPr>
          <w:t>https://www.datamation.com/big-data/what-is-quantitative-data/</w:t>
        </w:r>
      </w:hyperlink>
      <w:r w:rsidRPr="00F526B4">
        <w:rPr>
          <w:rFonts w:ascii="Arial" w:eastAsia="Times New Roman" w:hAnsi="Arial" w:cs="Arial"/>
          <w:kern w:val="0"/>
          <w:sz w:val="24"/>
          <w:szCs w:val="24"/>
          <w:lang w:eastAsia="en-GB"/>
          <w14:ligatures w14:val="none"/>
        </w:rPr>
        <w:t>.</w:t>
      </w:r>
      <w:r w:rsidR="00621A5B">
        <w:rPr>
          <w:rFonts w:ascii="Arial" w:eastAsia="Times New Roman" w:hAnsi="Arial" w:cs="Arial"/>
          <w:kern w:val="0"/>
          <w:sz w:val="24"/>
          <w:szCs w:val="24"/>
          <w:lang w:eastAsia="en-GB"/>
          <w14:ligatures w14:val="none"/>
        </w:rPr>
        <w:t xml:space="preserve"> [Accessed 5</w:t>
      </w:r>
      <w:r w:rsidR="00621A5B" w:rsidRPr="00621A5B">
        <w:rPr>
          <w:rFonts w:ascii="Arial" w:eastAsia="Times New Roman" w:hAnsi="Arial" w:cs="Arial"/>
          <w:kern w:val="0"/>
          <w:sz w:val="24"/>
          <w:szCs w:val="24"/>
          <w:vertAlign w:val="superscript"/>
          <w:lang w:eastAsia="en-GB"/>
          <w14:ligatures w14:val="none"/>
        </w:rPr>
        <w:t>th</w:t>
      </w:r>
      <w:r w:rsidR="00621A5B">
        <w:rPr>
          <w:rFonts w:ascii="Arial" w:eastAsia="Times New Roman" w:hAnsi="Arial" w:cs="Arial"/>
          <w:kern w:val="0"/>
          <w:sz w:val="24"/>
          <w:szCs w:val="24"/>
          <w:lang w:eastAsia="en-GB"/>
          <w14:ligatures w14:val="none"/>
        </w:rPr>
        <w:t xml:space="preserve"> January 2024].</w:t>
      </w:r>
    </w:p>
    <w:p w14:paraId="54CB65C3"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Jim (2019). </w:t>
      </w:r>
      <w:r w:rsidRPr="00F526B4">
        <w:rPr>
          <w:rFonts w:ascii="Arial" w:eastAsia="Times New Roman" w:hAnsi="Arial" w:cs="Arial"/>
          <w:i/>
          <w:iCs/>
          <w:kern w:val="0"/>
          <w:sz w:val="24"/>
          <w:szCs w:val="24"/>
          <w:lang w:eastAsia="en-GB"/>
          <w14:ligatures w14:val="none"/>
        </w:rPr>
        <w:t>Readability - Average Reading Age in UK</w:t>
      </w:r>
      <w:r w:rsidRPr="00F526B4">
        <w:rPr>
          <w:rFonts w:ascii="Arial" w:eastAsia="Times New Roman" w:hAnsi="Arial" w:cs="Arial"/>
          <w:kern w:val="0"/>
          <w:sz w:val="24"/>
          <w:szCs w:val="24"/>
          <w:lang w:eastAsia="en-GB"/>
          <w14:ligatures w14:val="none"/>
        </w:rPr>
        <w:t>. [online] See a Voice. Available at: https://www.see-a-voice.org/marketing-ad/effective-communication/readability/.</w:t>
      </w:r>
    </w:p>
    <w:p w14:paraId="1A0BCF4C"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KRUEGER, R.A. and CASEY, M.A. (2014). </w:t>
      </w:r>
      <w:r w:rsidRPr="00F526B4">
        <w:rPr>
          <w:rFonts w:ascii="Arial" w:eastAsia="Times New Roman" w:hAnsi="Arial" w:cs="Arial"/>
          <w:i/>
          <w:iCs/>
          <w:kern w:val="0"/>
          <w:sz w:val="24"/>
          <w:szCs w:val="24"/>
          <w:lang w:eastAsia="en-GB"/>
          <w14:ligatures w14:val="none"/>
        </w:rPr>
        <w:t>Focus groups: a Practical Guide for Applied Research</w:t>
      </w:r>
      <w:r w:rsidRPr="00F526B4">
        <w:rPr>
          <w:rFonts w:ascii="Arial" w:eastAsia="Times New Roman" w:hAnsi="Arial" w:cs="Arial"/>
          <w:kern w:val="0"/>
          <w:sz w:val="24"/>
          <w:szCs w:val="24"/>
          <w:lang w:eastAsia="en-GB"/>
          <w14:ligatures w14:val="none"/>
        </w:rPr>
        <w:t>. 5th ed. Thousand Oaks, California: Sage, p.2.</w:t>
      </w:r>
    </w:p>
    <w:p w14:paraId="521C47D6" w14:textId="21389F93"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Lefever, S., Dal, M. and Matthíasdóttir, Á. (2007). Online Data Collection in Academic research: Advantages and Limitations. </w:t>
      </w:r>
      <w:r w:rsidRPr="00F526B4">
        <w:rPr>
          <w:rFonts w:ascii="Arial" w:eastAsia="Times New Roman" w:hAnsi="Arial" w:cs="Arial"/>
          <w:i/>
          <w:iCs/>
          <w:kern w:val="0"/>
          <w:sz w:val="24"/>
          <w:szCs w:val="24"/>
          <w:lang w:eastAsia="en-GB"/>
          <w14:ligatures w14:val="none"/>
        </w:rPr>
        <w:t>British Journal of Educational Technology</w:t>
      </w:r>
      <w:r w:rsidRPr="00F526B4">
        <w:rPr>
          <w:rFonts w:ascii="Arial" w:eastAsia="Times New Roman" w:hAnsi="Arial" w:cs="Arial"/>
          <w:kern w:val="0"/>
          <w:sz w:val="24"/>
          <w:szCs w:val="24"/>
          <w:lang w:eastAsia="en-GB"/>
          <w14:ligatures w14:val="none"/>
        </w:rPr>
        <w:t xml:space="preserve">, [online] 38(4), p.578. Available at: </w:t>
      </w:r>
      <w:hyperlink r:id="rId19" w:history="1">
        <w:r w:rsidR="00621A5B" w:rsidRPr="00F526B4">
          <w:rPr>
            <w:rStyle w:val="Hyperlink"/>
            <w:rFonts w:ascii="Arial" w:eastAsia="Times New Roman" w:hAnsi="Arial" w:cs="Arial"/>
            <w:kern w:val="0"/>
            <w:sz w:val="24"/>
            <w:szCs w:val="24"/>
            <w:lang w:eastAsia="en-GB"/>
            <w14:ligatures w14:val="none"/>
          </w:rPr>
          <w:t>https://bera-journals.onlinelibrary.wiley.com/doi/full/10.1111/j.1467-8535.2006.00638.x?saml_referrer</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6 Dec. 2023].</w:t>
      </w:r>
    </w:p>
    <w:p w14:paraId="21FCC38C" w14:textId="48BA8AEA"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Mahmutovic, J. (2021). </w:t>
      </w:r>
      <w:r w:rsidRPr="00F526B4">
        <w:rPr>
          <w:rFonts w:ascii="Arial" w:eastAsia="Times New Roman" w:hAnsi="Arial" w:cs="Arial"/>
          <w:i/>
          <w:iCs/>
          <w:kern w:val="0"/>
          <w:sz w:val="24"/>
          <w:szCs w:val="24"/>
          <w:lang w:eastAsia="en-GB"/>
          <w14:ligatures w14:val="none"/>
        </w:rPr>
        <w:t>7 Advantages of Online Surveys (and 3 Disadvantages)</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SurveyLegend</w:t>
      </w:r>
      <w:proofErr w:type="spellEnd"/>
      <w:r w:rsidRPr="00F526B4">
        <w:rPr>
          <w:rFonts w:ascii="Arial" w:eastAsia="Times New Roman" w:hAnsi="Arial" w:cs="Arial"/>
          <w:kern w:val="0"/>
          <w:sz w:val="24"/>
          <w:szCs w:val="24"/>
          <w:lang w:eastAsia="en-GB"/>
          <w14:ligatures w14:val="none"/>
        </w:rPr>
        <w:t xml:space="preserve">. Available at: </w:t>
      </w:r>
      <w:hyperlink r:id="rId20" w:history="1">
        <w:r w:rsidR="00621A5B" w:rsidRPr="00F526B4">
          <w:rPr>
            <w:rStyle w:val="Hyperlink"/>
            <w:rFonts w:ascii="Arial" w:eastAsia="Times New Roman" w:hAnsi="Arial" w:cs="Arial"/>
            <w:kern w:val="0"/>
            <w:sz w:val="24"/>
            <w:szCs w:val="24"/>
            <w:lang w:eastAsia="en-GB"/>
            <w14:ligatures w14:val="none"/>
          </w:rPr>
          <w:t>https://www.surveylegend.com/online-survey/advantages-of-online-surveys/</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2 Dec. 2023].</w:t>
      </w:r>
    </w:p>
    <w:p w14:paraId="78E68D6D" w14:textId="7CF31CBE"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lastRenderedPageBreak/>
        <w:t>McCombes</w:t>
      </w:r>
      <w:proofErr w:type="spellEnd"/>
      <w:r w:rsidRPr="00F526B4">
        <w:rPr>
          <w:rFonts w:ascii="Arial" w:eastAsia="Times New Roman" w:hAnsi="Arial" w:cs="Arial"/>
          <w:kern w:val="0"/>
          <w:sz w:val="24"/>
          <w:szCs w:val="24"/>
          <w:lang w:eastAsia="en-GB"/>
          <w14:ligatures w14:val="none"/>
        </w:rPr>
        <w:t xml:space="preserve">, S. (2019). </w:t>
      </w:r>
      <w:r w:rsidRPr="00F526B4">
        <w:rPr>
          <w:rFonts w:ascii="Arial" w:eastAsia="Times New Roman" w:hAnsi="Arial" w:cs="Arial"/>
          <w:i/>
          <w:iCs/>
          <w:kern w:val="0"/>
          <w:sz w:val="24"/>
          <w:szCs w:val="24"/>
          <w:lang w:eastAsia="en-GB"/>
          <w14:ligatures w14:val="none"/>
        </w:rPr>
        <w:t>How to Do a Case Study</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Scribbr</w:t>
      </w:r>
      <w:proofErr w:type="spellEnd"/>
      <w:r w:rsidRPr="00F526B4">
        <w:rPr>
          <w:rFonts w:ascii="Arial" w:eastAsia="Times New Roman" w:hAnsi="Arial" w:cs="Arial"/>
          <w:kern w:val="0"/>
          <w:sz w:val="24"/>
          <w:szCs w:val="24"/>
          <w:lang w:eastAsia="en-GB"/>
          <w14:ligatures w14:val="none"/>
        </w:rPr>
        <w:t xml:space="preserve">. Available at: </w:t>
      </w:r>
      <w:hyperlink r:id="rId21" w:history="1">
        <w:r w:rsidR="00621A5B" w:rsidRPr="00F526B4">
          <w:rPr>
            <w:rStyle w:val="Hyperlink"/>
            <w:rFonts w:ascii="Arial" w:eastAsia="Times New Roman" w:hAnsi="Arial" w:cs="Arial"/>
            <w:kern w:val="0"/>
            <w:sz w:val="24"/>
            <w:szCs w:val="24"/>
            <w:lang w:eastAsia="en-GB"/>
            <w14:ligatures w14:val="none"/>
          </w:rPr>
          <w:t>https://www.scribbr.com/methodology/case-study/</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22 Nov. 2023].</w:t>
      </w:r>
    </w:p>
    <w:p w14:paraId="3FCC77F2" w14:textId="17922D12"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McLeod, S. (2022). </w:t>
      </w:r>
      <w:r w:rsidRPr="00F526B4">
        <w:rPr>
          <w:rFonts w:ascii="Arial" w:eastAsia="Times New Roman" w:hAnsi="Arial" w:cs="Arial"/>
          <w:i/>
          <w:iCs/>
          <w:kern w:val="0"/>
          <w:sz w:val="24"/>
          <w:szCs w:val="24"/>
          <w:lang w:eastAsia="en-GB"/>
          <w14:ligatures w14:val="none"/>
        </w:rPr>
        <w:t>Case Study Research Method in Psychology</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SimplyPshychology</w:t>
      </w:r>
      <w:proofErr w:type="spellEnd"/>
      <w:r w:rsidRPr="00F526B4">
        <w:rPr>
          <w:rFonts w:ascii="Arial" w:eastAsia="Times New Roman" w:hAnsi="Arial" w:cs="Arial"/>
          <w:kern w:val="0"/>
          <w:sz w:val="24"/>
          <w:szCs w:val="24"/>
          <w:lang w:eastAsia="en-GB"/>
          <w14:ligatures w14:val="none"/>
        </w:rPr>
        <w:t xml:space="preserve">. Available at: </w:t>
      </w:r>
      <w:hyperlink r:id="rId22" w:history="1">
        <w:r w:rsidR="00621A5B" w:rsidRPr="00F526B4">
          <w:rPr>
            <w:rStyle w:val="Hyperlink"/>
            <w:rFonts w:ascii="Arial" w:eastAsia="Times New Roman" w:hAnsi="Arial" w:cs="Arial"/>
            <w:kern w:val="0"/>
            <w:sz w:val="24"/>
            <w:szCs w:val="24"/>
            <w:lang w:eastAsia="en-GB"/>
            <w14:ligatures w14:val="none"/>
          </w:rPr>
          <w:t>https://www.simplypsychology.org/case-study.html#Limitations</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30 Nov. 2023].</w:t>
      </w:r>
    </w:p>
    <w:p w14:paraId="222267BE" w14:textId="2F6A21A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McLeod, S. (2023). </w:t>
      </w:r>
      <w:r w:rsidRPr="00F526B4">
        <w:rPr>
          <w:rFonts w:ascii="Arial" w:eastAsia="Times New Roman" w:hAnsi="Arial" w:cs="Arial"/>
          <w:i/>
          <w:iCs/>
          <w:kern w:val="0"/>
          <w:sz w:val="24"/>
          <w:szCs w:val="24"/>
          <w:lang w:eastAsia="en-GB"/>
          <w14:ligatures w14:val="none"/>
        </w:rPr>
        <w:t>Qualitative Vs Quantitative Research Methods &amp; Data Analysis</w:t>
      </w:r>
      <w:r w:rsidRPr="00F526B4">
        <w:rPr>
          <w:rFonts w:ascii="Arial" w:eastAsia="Times New Roman" w:hAnsi="Arial" w:cs="Arial"/>
          <w:kern w:val="0"/>
          <w:sz w:val="24"/>
          <w:szCs w:val="24"/>
          <w:lang w:eastAsia="en-GB"/>
          <w14:ligatures w14:val="none"/>
        </w:rPr>
        <w:t xml:space="preserve">. [online] Simply Psychology. Available at: </w:t>
      </w:r>
      <w:hyperlink r:id="rId23" w:history="1">
        <w:r w:rsidR="00621A5B" w:rsidRPr="00F526B4">
          <w:rPr>
            <w:rStyle w:val="Hyperlink"/>
            <w:rFonts w:ascii="Arial" w:eastAsia="Times New Roman" w:hAnsi="Arial" w:cs="Arial"/>
            <w:kern w:val="0"/>
            <w:sz w:val="24"/>
            <w:szCs w:val="24"/>
            <w:lang w:eastAsia="en-GB"/>
            <w14:ligatures w14:val="none"/>
          </w:rPr>
          <w:t>https://www.simplypsychology.org/qualitative-quantitative.html</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23 Nov. 2023].</w:t>
      </w:r>
    </w:p>
    <w:p w14:paraId="1CF29BEC" w14:textId="429601DB"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Mcleod</w:t>
      </w:r>
      <w:proofErr w:type="spellEnd"/>
      <w:r w:rsidRPr="00F526B4">
        <w:rPr>
          <w:rFonts w:ascii="Arial" w:eastAsia="Times New Roman" w:hAnsi="Arial" w:cs="Arial"/>
          <w:kern w:val="0"/>
          <w:sz w:val="24"/>
          <w:szCs w:val="24"/>
          <w:lang w:eastAsia="en-GB"/>
          <w14:ligatures w14:val="none"/>
        </w:rPr>
        <w:t xml:space="preserve">, S. (2022). </w:t>
      </w:r>
      <w:r w:rsidRPr="00F526B4">
        <w:rPr>
          <w:rFonts w:ascii="Arial" w:eastAsia="Times New Roman" w:hAnsi="Arial" w:cs="Arial"/>
          <w:i/>
          <w:iCs/>
          <w:kern w:val="0"/>
          <w:sz w:val="24"/>
          <w:szCs w:val="24"/>
          <w:lang w:eastAsia="en-GB"/>
          <w14:ligatures w14:val="none"/>
        </w:rPr>
        <w:t>Interview Method in Psychology: Structured vs Unstructured</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SimplyPschyology</w:t>
      </w:r>
      <w:proofErr w:type="spellEnd"/>
      <w:r w:rsidRPr="00F526B4">
        <w:rPr>
          <w:rFonts w:ascii="Arial" w:eastAsia="Times New Roman" w:hAnsi="Arial" w:cs="Arial"/>
          <w:kern w:val="0"/>
          <w:sz w:val="24"/>
          <w:szCs w:val="24"/>
          <w:lang w:eastAsia="en-GB"/>
          <w14:ligatures w14:val="none"/>
        </w:rPr>
        <w:t xml:space="preserve">. Available at: </w:t>
      </w:r>
      <w:hyperlink r:id="rId24" w:history="1">
        <w:r w:rsidR="00621A5B" w:rsidRPr="00F526B4">
          <w:rPr>
            <w:rStyle w:val="Hyperlink"/>
            <w:rFonts w:ascii="Arial" w:eastAsia="Times New Roman" w:hAnsi="Arial" w:cs="Arial"/>
            <w:kern w:val="0"/>
            <w:sz w:val="24"/>
            <w:szCs w:val="24"/>
            <w:lang w:eastAsia="en-GB"/>
            <w14:ligatures w14:val="none"/>
          </w:rPr>
          <w:t>https://www.simplypsychology.org/interviews.html#Focus-Group-Interview</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1 Dec. 2023].</w:t>
      </w:r>
    </w:p>
    <w:p w14:paraId="2254738B" w14:textId="36B75E1D"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Mcleod</w:t>
      </w:r>
      <w:proofErr w:type="spellEnd"/>
      <w:r w:rsidRPr="00F526B4">
        <w:rPr>
          <w:rFonts w:ascii="Arial" w:eastAsia="Times New Roman" w:hAnsi="Arial" w:cs="Arial"/>
          <w:kern w:val="0"/>
          <w:sz w:val="24"/>
          <w:szCs w:val="24"/>
          <w:lang w:eastAsia="en-GB"/>
          <w14:ligatures w14:val="none"/>
        </w:rPr>
        <w:t xml:space="preserve">, S. (2023). </w:t>
      </w:r>
      <w:r w:rsidRPr="00F526B4">
        <w:rPr>
          <w:rFonts w:ascii="Arial" w:eastAsia="Times New Roman" w:hAnsi="Arial" w:cs="Arial"/>
          <w:i/>
          <w:iCs/>
          <w:kern w:val="0"/>
          <w:sz w:val="24"/>
          <w:szCs w:val="24"/>
          <w:lang w:eastAsia="en-GB"/>
          <w14:ligatures w14:val="none"/>
        </w:rPr>
        <w:t>Questionnaire: Definition, examples, design and types</w:t>
      </w:r>
      <w:r w:rsidRPr="00F526B4">
        <w:rPr>
          <w:rFonts w:ascii="Arial" w:eastAsia="Times New Roman" w:hAnsi="Arial" w:cs="Arial"/>
          <w:kern w:val="0"/>
          <w:sz w:val="24"/>
          <w:szCs w:val="24"/>
          <w:lang w:eastAsia="en-GB"/>
          <w14:ligatures w14:val="none"/>
        </w:rPr>
        <w:t xml:space="preserve">. [online] Simply Psychology. Available at: </w:t>
      </w:r>
      <w:hyperlink r:id="rId25" w:history="1">
        <w:r w:rsidR="00621A5B" w:rsidRPr="00F526B4">
          <w:rPr>
            <w:rStyle w:val="Hyperlink"/>
            <w:rFonts w:ascii="Arial" w:eastAsia="Times New Roman" w:hAnsi="Arial" w:cs="Arial"/>
            <w:kern w:val="0"/>
            <w:sz w:val="24"/>
            <w:szCs w:val="24"/>
            <w:lang w:eastAsia="en-GB"/>
            <w14:ligatures w14:val="none"/>
          </w:rPr>
          <w:t>https://www.simplypsychology.org/questionnaires.html</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2 Dec. 2023].</w:t>
      </w:r>
    </w:p>
    <w:p w14:paraId="1CE167ED"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Merga</w:t>
      </w:r>
      <w:proofErr w:type="spellEnd"/>
      <w:r w:rsidRPr="00F526B4">
        <w:rPr>
          <w:rFonts w:ascii="Arial" w:eastAsia="Times New Roman" w:hAnsi="Arial" w:cs="Arial"/>
          <w:kern w:val="0"/>
          <w:sz w:val="24"/>
          <w:szCs w:val="24"/>
          <w:lang w:eastAsia="en-GB"/>
          <w14:ligatures w14:val="none"/>
        </w:rPr>
        <w:t xml:space="preserve">, M.K. (2017). </w:t>
      </w:r>
      <w:r w:rsidRPr="00F526B4">
        <w:rPr>
          <w:rFonts w:ascii="Arial" w:eastAsia="Times New Roman" w:hAnsi="Arial" w:cs="Arial"/>
          <w:i/>
          <w:iCs/>
          <w:kern w:val="0"/>
          <w:sz w:val="24"/>
          <w:szCs w:val="24"/>
          <w:lang w:eastAsia="en-GB"/>
          <w14:ligatures w14:val="none"/>
        </w:rPr>
        <w:t>Research shows the importance of parents reading with children – even after children can read</w:t>
      </w:r>
      <w:r w:rsidRPr="00F526B4">
        <w:rPr>
          <w:rFonts w:ascii="Arial" w:eastAsia="Times New Roman" w:hAnsi="Arial" w:cs="Arial"/>
          <w:kern w:val="0"/>
          <w:sz w:val="24"/>
          <w:szCs w:val="24"/>
          <w:lang w:eastAsia="en-GB"/>
          <w14:ligatures w14:val="none"/>
        </w:rPr>
        <w:t>. [online] The Conversation. Available at: https://theconversation.com/research-shows-the-importance-of-parents-reading-with-children-even-after-children-can-read-82756.</w:t>
      </w:r>
    </w:p>
    <w:p w14:paraId="0E5CAD11" w14:textId="2DC4DDED"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MWAIKUSA, A. (2018). </w:t>
      </w:r>
      <w:r w:rsidRPr="00F526B4">
        <w:rPr>
          <w:rFonts w:ascii="Arial" w:eastAsia="Times New Roman" w:hAnsi="Arial" w:cs="Arial"/>
          <w:i/>
          <w:iCs/>
          <w:kern w:val="0"/>
          <w:sz w:val="24"/>
          <w:szCs w:val="24"/>
          <w:lang w:eastAsia="en-GB"/>
          <w14:ligatures w14:val="none"/>
        </w:rPr>
        <w:t>8 ADVANTAGES AND 9 DISADVANTAGES OF THE PIE CHART</w:t>
      </w:r>
      <w:r w:rsidRPr="00F526B4">
        <w:rPr>
          <w:rFonts w:ascii="Arial" w:eastAsia="Times New Roman" w:hAnsi="Arial" w:cs="Arial"/>
          <w:kern w:val="0"/>
          <w:sz w:val="24"/>
          <w:szCs w:val="24"/>
          <w:lang w:eastAsia="en-GB"/>
          <w14:ligatures w14:val="none"/>
        </w:rPr>
        <w:t xml:space="preserve">. [online] GEOGRAPHY POINT - YOUR GATEWAY TO GLOBAL GEOGRAPHY. Available at: </w:t>
      </w:r>
      <w:hyperlink r:id="rId26" w:history="1">
        <w:r w:rsidR="00621A5B" w:rsidRPr="00F526B4">
          <w:rPr>
            <w:rStyle w:val="Hyperlink"/>
            <w:rFonts w:ascii="Arial" w:eastAsia="Times New Roman" w:hAnsi="Arial" w:cs="Arial"/>
            <w:kern w:val="0"/>
            <w:sz w:val="24"/>
            <w:szCs w:val="24"/>
            <w:lang w:eastAsia="en-GB"/>
            <w14:ligatures w14:val="none"/>
          </w:rPr>
          <w:t>https://geographypoint.com/2018/10/advantages-and-disadvantages-of-pie-charts/#google_vignette</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29 Dec. 2023].</w:t>
      </w:r>
    </w:p>
    <w:p w14:paraId="146820F9" w14:textId="1FF79DDF"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National Literacy Trust (2023a). </w:t>
      </w:r>
      <w:r w:rsidRPr="00F526B4">
        <w:rPr>
          <w:rFonts w:ascii="Arial" w:eastAsia="Times New Roman" w:hAnsi="Arial" w:cs="Arial"/>
          <w:i/>
          <w:iCs/>
          <w:kern w:val="0"/>
          <w:sz w:val="24"/>
          <w:szCs w:val="24"/>
          <w:lang w:eastAsia="en-GB"/>
          <w14:ligatures w14:val="none"/>
        </w:rPr>
        <w:t>Children and Young people’s Reading in 2023</w:t>
      </w:r>
      <w:r w:rsidRPr="00F526B4">
        <w:rPr>
          <w:rFonts w:ascii="Arial" w:eastAsia="Times New Roman" w:hAnsi="Arial" w:cs="Arial"/>
          <w:kern w:val="0"/>
          <w:sz w:val="24"/>
          <w:szCs w:val="24"/>
          <w:lang w:eastAsia="en-GB"/>
          <w14:ligatures w14:val="none"/>
        </w:rPr>
        <w:t xml:space="preserve">. [online] National Literacy Trust. Available at: </w:t>
      </w:r>
      <w:hyperlink r:id="rId27" w:history="1">
        <w:r w:rsidR="00621A5B" w:rsidRPr="00F526B4">
          <w:rPr>
            <w:rStyle w:val="Hyperlink"/>
            <w:rFonts w:ascii="Arial" w:eastAsia="Times New Roman" w:hAnsi="Arial" w:cs="Arial"/>
            <w:kern w:val="0"/>
            <w:sz w:val="24"/>
            <w:szCs w:val="24"/>
            <w:lang w:eastAsia="en-GB"/>
            <w14:ligatures w14:val="none"/>
          </w:rPr>
          <w:t>https://literacytrust.org.uk/research-services/research-reports/children-and-young-peoples-reading-in-2023/</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14 Nov. 2023].</w:t>
      </w:r>
    </w:p>
    <w:p w14:paraId="79C5A1FB" w14:textId="7CEA9DBD"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lastRenderedPageBreak/>
        <w:t xml:space="preserve">National Literacy Trust. (2023b). </w:t>
      </w:r>
      <w:r w:rsidRPr="00F526B4">
        <w:rPr>
          <w:rFonts w:ascii="Arial" w:eastAsia="Times New Roman" w:hAnsi="Arial" w:cs="Arial"/>
          <w:i/>
          <w:iCs/>
          <w:kern w:val="0"/>
          <w:sz w:val="24"/>
          <w:szCs w:val="24"/>
          <w:lang w:eastAsia="en-GB"/>
          <w14:ligatures w14:val="none"/>
        </w:rPr>
        <w:t>Reading</w:t>
      </w:r>
      <w:r w:rsidRPr="00F526B4">
        <w:rPr>
          <w:rFonts w:ascii="Arial" w:eastAsia="Times New Roman" w:hAnsi="Arial" w:cs="Arial"/>
          <w:kern w:val="0"/>
          <w:sz w:val="24"/>
          <w:szCs w:val="24"/>
          <w:lang w:eastAsia="en-GB"/>
          <w14:ligatures w14:val="none"/>
        </w:rPr>
        <w:t xml:space="preserve">. [online] Available at: </w:t>
      </w:r>
      <w:hyperlink r:id="rId28" w:history="1">
        <w:r w:rsidR="00621A5B" w:rsidRPr="00F526B4">
          <w:rPr>
            <w:rStyle w:val="Hyperlink"/>
            <w:rFonts w:ascii="Arial" w:eastAsia="Times New Roman" w:hAnsi="Arial" w:cs="Arial"/>
            <w:kern w:val="0"/>
            <w:sz w:val="24"/>
            <w:szCs w:val="24"/>
            <w:lang w:eastAsia="en-GB"/>
            <w14:ligatures w14:val="none"/>
          </w:rPr>
          <w:t>https://literacytrust.org.uk/research-services/research-themes/reading/</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31 Dec. 2023].</w:t>
      </w:r>
    </w:p>
    <w:p w14:paraId="2DE41CDC" w14:textId="0229A66F"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NHS (2019). </w:t>
      </w:r>
      <w:r w:rsidRPr="00F526B4">
        <w:rPr>
          <w:rFonts w:ascii="Arial" w:eastAsia="Times New Roman" w:hAnsi="Arial" w:cs="Arial"/>
          <w:i/>
          <w:iCs/>
          <w:kern w:val="0"/>
          <w:sz w:val="24"/>
          <w:szCs w:val="24"/>
          <w:lang w:eastAsia="en-GB"/>
          <w14:ligatures w14:val="none"/>
        </w:rPr>
        <w:t>Symptoms - Dyslexia</w:t>
      </w:r>
      <w:r w:rsidRPr="00F526B4">
        <w:rPr>
          <w:rFonts w:ascii="Arial" w:eastAsia="Times New Roman" w:hAnsi="Arial" w:cs="Arial"/>
          <w:kern w:val="0"/>
          <w:sz w:val="24"/>
          <w:szCs w:val="24"/>
          <w:lang w:eastAsia="en-GB"/>
          <w14:ligatures w14:val="none"/>
        </w:rPr>
        <w:t xml:space="preserve">. [online] NHS. Available at: </w:t>
      </w:r>
      <w:hyperlink r:id="rId29" w:history="1">
        <w:r w:rsidR="00621A5B" w:rsidRPr="00F526B4">
          <w:rPr>
            <w:rStyle w:val="Hyperlink"/>
            <w:rFonts w:ascii="Arial" w:eastAsia="Times New Roman" w:hAnsi="Arial" w:cs="Arial"/>
            <w:kern w:val="0"/>
            <w:sz w:val="24"/>
            <w:szCs w:val="24"/>
            <w:lang w:eastAsia="en-GB"/>
            <w14:ligatures w14:val="none"/>
          </w:rPr>
          <w:t>https://www.nhs.uk/conditions/dyslexia/symptoms</w:t>
        </w:r>
        <w:r w:rsidR="00621A5B" w:rsidRPr="00FF32CE">
          <w:rPr>
            <w:rStyle w:val="Hyperlink"/>
            <w:rFonts w:ascii="Arial" w:eastAsia="Times New Roman" w:hAnsi="Arial" w:cs="Arial"/>
            <w:kern w:val="0"/>
            <w:sz w:val="24"/>
            <w:szCs w:val="24"/>
            <w:lang w:eastAsia="en-GB"/>
            <w14:ligatures w14:val="none"/>
          </w:rPr>
          <w:t>/</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 xml:space="preserve"> [Accessed 5 Dec. 2023].</w:t>
      </w:r>
    </w:p>
    <w:p w14:paraId="2333F55F" w14:textId="771BC7F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Ni, S., Lu, S. and Lu, K. (2021). </w:t>
      </w:r>
      <w:r w:rsidRPr="00F526B4">
        <w:rPr>
          <w:rFonts w:ascii="Arial" w:eastAsia="Times New Roman" w:hAnsi="Arial" w:cs="Arial"/>
          <w:i/>
          <w:iCs/>
          <w:kern w:val="0"/>
          <w:sz w:val="24"/>
          <w:szCs w:val="24"/>
          <w:lang w:eastAsia="en-GB"/>
          <w14:ligatures w14:val="none"/>
        </w:rPr>
        <w:t>Children and Youth Services in Review</w:t>
      </w:r>
      <w:r w:rsidRPr="00F526B4">
        <w:rPr>
          <w:rFonts w:ascii="Arial" w:eastAsia="Times New Roman" w:hAnsi="Arial" w:cs="Arial"/>
          <w:kern w:val="0"/>
          <w:sz w:val="24"/>
          <w:szCs w:val="24"/>
          <w:lang w:eastAsia="en-GB"/>
          <w14:ligatures w14:val="none"/>
        </w:rPr>
        <w:t xml:space="preserve">. Available at: </w:t>
      </w:r>
      <w:hyperlink r:id="rId30" w:history="1">
        <w:r w:rsidR="00621A5B" w:rsidRPr="00F526B4">
          <w:rPr>
            <w:rStyle w:val="Hyperlink"/>
            <w:rFonts w:ascii="Arial" w:eastAsia="Times New Roman" w:hAnsi="Arial" w:cs="Arial"/>
            <w:kern w:val="0"/>
            <w:sz w:val="24"/>
            <w:szCs w:val="24"/>
            <w:lang w:eastAsia="en-GB"/>
            <w14:ligatures w14:val="none"/>
          </w:rPr>
          <w:t>https://www.sciencedirect.com/science/article/abs/pii/S0190740921000207?via%3Dihub</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13 Nov. 2023].</w:t>
      </w:r>
    </w:p>
    <w:p w14:paraId="1B590200" w14:textId="358DA168"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NSPCC (2023). </w:t>
      </w:r>
      <w:r w:rsidRPr="00F526B4">
        <w:rPr>
          <w:rFonts w:ascii="Arial" w:eastAsia="Times New Roman" w:hAnsi="Arial" w:cs="Arial"/>
          <w:i/>
          <w:iCs/>
          <w:kern w:val="0"/>
          <w:sz w:val="24"/>
          <w:szCs w:val="24"/>
          <w:lang w:eastAsia="en-GB"/>
          <w14:ligatures w14:val="none"/>
        </w:rPr>
        <w:t>Research with Children: Ethics, Safety and Promoting Inclusion</w:t>
      </w:r>
      <w:r w:rsidRPr="00F526B4">
        <w:rPr>
          <w:rFonts w:ascii="Arial" w:eastAsia="Times New Roman" w:hAnsi="Arial" w:cs="Arial"/>
          <w:kern w:val="0"/>
          <w:sz w:val="24"/>
          <w:szCs w:val="24"/>
          <w:lang w:eastAsia="en-GB"/>
          <w14:ligatures w14:val="none"/>
        </w:rPr>
        <w:t xml:space="preserve">. [online] NSPCC Learning. Available at: </w:t>
      </w:r>
      <w:hyperlink r:id="rId31" w:history="1">
        <w:r w:rsidR="00621A5B" w:rsidRPr="00F526B4">
          <w:rPr>
            <w:rStyle w:val="Hyperlink"/>
            <w:rFonts w:ascii="Arial" w:eastAsia="Times New Roman" w:hAnsi="Arial" w:cs="Arial"/>
            <w:kern w:val="0"/>
            <w:sz w:val="24"/>
            <w:szCs w:val="24"/>
            <w:lang w:eastAsia="en-GB"/>
            <w14:ligatures w14:val="none"/>
          </w:rPr>
          <w:t>https://learning.nspcc.org.uk/research-resources/briefings/research-with-children-ethics-safety-promoting-inclusion</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7 Dec. 2023].</w:t>
      </w:r>
    </w:p>
    <w:p w14:paraId="40AE6E3A" w14:textId="7113DA29"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Office for Health Improvement and Disparities (2020). </w:t>
      </w:r>
      <w:r w:rsidRPr="00F526B4">
        <w:rPr>
          <w:rFonts w:ascii="Arial" w:eastAsia="Times New Roman" w:hAnsi="Arial" w:cs="Arial"/>
          <w:i/>
          <w:iCs/>
          <w:kern w:val="0"/>
          <w:sz w:val="24"/>
          <w:szCs w:val="24"/>
          <w:lang w:eastAsia="en-GB"/>
          <w14:ligatures w14:val="none"/>
        </w:rPr>
        <w:t>Focus Group study: Qualitative Studies</w:t>
      </w:r>
      <w:r w:rsidRPr="00F526B4">
        <w:rPr>
          <w:rFonts w:ascii="Arial" w:eastAsia="Times New Roman" w:hAnsi="Arial" w:cs="Arial"/>
          <w:kern w:val="0"/>
          <w:sz w:val="24"/>
          <w:szCs w:val="24"/>
          <w:lang w:eastAsia="en-GB"/>
          <w14:ligatures w14:val="none"/>
        </w:rPr>
        <w:t xml:space="preserve">. [online] GOV.UK. Available at: </w:t>
      </w:r>
      <w:hyperlink r:id="rId32" w:history="1">
        <w:r w:rsidR="00621A5B" w:rsidRPr="00F526B4">
          <w:rPr>
            <w:rStyle w:val="Hyperlink"/>
            <w:rFonts w:ascii="Arial" w:eastAsia="Times New Roman" w:hAnsi="Arial" w:cs="Arial"/>
            <w:kern w:val="0"/>
            <w:sz w:val="24"/>
            <w:szCs w:val="24"/>
            <w:lang w:eastAsia="en-GB"/>
            <w14:ligatures w14:val="none"/>
          </w:rPr>
          <w:t>https://www.gov.uk/guidance/focus-group-study-qualitative-studies</w:t>
        </w:r>
      </w:hyperlink>
      <w:r w:rsidRPr="00F526B4">
        <w:rPr>
          <w:rFonts w:ascii="Arial" w:eastAsia="Times New Roman" w:hAnsi="Arial" w:cs="Arial"/>
          <w:kern w:val="0"/>
          <w:sz w:val="24"/>
          <w:szCs w:val="24"/>
          <w:lang w:eastAsia="en-GB"/>
          <w14:ligatures w14:val="none"/>
        </w:rPr>
        <w:t>.</w:t>
      </w:r>
      <w:r w:rsidR="00621A5B">
        <w:rPr>
          <w:rFonts w:ascii="Arial" w:eastAsia="Times New Roman" w:hAnsi="Arial" w:cs="Arial"/>
          <w:kern w:val="0"/>
          <w:sz w:val="24"/>
          <w:szCs w:val="24"/>
          <w:lang w:eastAsia="en-GB"/>
          <w14:ligatures w14:val="none"/>
        </w:rPr>
        <w:t xml:space="preserve"> [Accessed 5</w:t>
      </w:r>
      <w:r w:rsidR="00621A5B" w:rsidRPr="00621A5B">
        <w:rPr>
          <w:rFonts w:ascii="Arial" w:eastAsia="Times New Roman" w:hAnsi="Arial" w:cs="Arial"/>
          <w:kern w:val="0"/>
          <w:sz w:val="24"/>
          <w:szCs w:val="24"/>
          <w:vertAlign w:val="superscript"/>
          <w:lang w:eastAsia="en-GB"/>
          <w14:ligatures w14:val="none"/>
        </w:rPr>
        <w:t>th</w:t>
      </w:r>
      <w:r w:rsidR="00621A5B">
        <w:rPr>
          <w:rFonts w:ascii="Arial" w:eastAsia="Times New Roman" w:hAnsi="Arial" w:cs="Arial"/>
          <w:kern w:val="0"/>
          <w:sz w:val="24"/>
          <w:szCs w:val="24"/>
          <w:lang w:eastAsia="en-GB"/>
          <w14:ligatures w14:val="none"/>
        </w:rPr>
        <w:t xml:space="preserve"> January 2024]. </w:t>
      </w:r>
    </w:p>
    <w:p w14:paraId="7EC771B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Palardy, G.J. (2008). Differential school effects among low, middle, and high social class composition schools: a multiple group, multilevel latent growth curve analysis. </w:t>
      </w:r>
      <w:r w:rsidRPr="00F526B4">
        <w:rPr>
          <w:rFonts w:ascii="Arial" w:eastAsia="Times New Roman" w:hAnsi="Arial" w:cs="Arial"/>
          <w:i/>
          <w:iCs/>
          <w:kern w:val="0"/>
          <w:sz w:val="24"/>
          <w:szCs w:val="24"/>
          <w:lang w:eastAsia="en-GB"/>
          <w14:ligatures w14:val="none"/>
        </w:rPr>
        <w:t>School Effectiveness and School Improvement</w:t>
      </w:r>
      <w:r w:rsidRPr="00F526B4">
        <w:rPr>
          <w:rFonts w:ascii="Arial" w:eastAsia="Times New Roman" w:hAnsi="Arial" w:cs="Arial"/>
          <w:kern w:val="0"/>
          <w:sz w:val="24"/>
          <w:szCs w:val="24"/>
          <w:lang w:eastAsia="en-GB"/>
          <w14:ligatures w14:val="none"/>
        </w:rPr>
        <w:t xml:space="preserve">, 19(1), pp.21–49.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://doi.org/10.1080/09243450801936845.</w:t>
      </w:r>
    </w:p>
    <w:p w14:paraId="4461B69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Perry, L.B. and Mcconney, A. (2010). Does the SES of the School Matter? An Examination of Socioeconomic Status and Student Achievement Using PISA 2003. </w:t>
      </w:r>
      <w:r w:rsidRPr="00F526B4">
        <w:rPr>
          <w:rFonts w:ascii="Arial" w:eastAsia="Times New Roman" w:hAnsi="Arial" w:cs="Arial"/>
          <w:i/>
          <w:iCs/>
          <w:kern w:val="0"/>
          <w:sz w:val="24"/>
          <w:szCs w:val="24"/>
          <w:lang w:eastAsia="en-GB"/>
          <w14:ligatures w14:val="none"/>
        </w:rPr>
        <w:t>Teachers College Record: The Voice of Scholarship in Education</w:t>
      </w:r>
      <w:r w:rsidRPr="00F526B4">
        <w:rPr>
          <w:rFonts w:ascii="Arial" w:eastAsia="Times New Roman" w:hAnsi="Arial" w:cs="Arial"/>
          <w:kern w:val="0"/>
          <w:sz w:val="24"/>
          <w:szCs w:val="24"/>
          <w:lang w:eastAsia="en-GB"/>
          <w14:ligatures w14:val="none"/>
        </w:rPr>
        <w:t xml:space="preserve">, 112(4), pp.1137–1162.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://doi.org/10.1177/016146811011200401.</w:t>
      </w:r>
    </w:p>
    <w:p w14:paraId="73A5D115"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Polit, D.F. and Beck, C.T. (2021). </w:t>
      </w:r>
      <w:r w:rsidRPr="00F526B4">
        <w:rPr>
          <w:rFonts w:ascii="Arial" w:eastAsia="Times New Roman" w:hAnsi="Arial" w:cs="Arial"/>
          <w:i/>
          <w:iCs/>
          <w:kern w:val="0"/>
          <w:sz w:val="24"/>
          <w:szCs w:val="24"/>
          <w:lang w:eastAsia="en-GB"/>
          <w14:ligatures w14:val="none"/>
        </w:rPr>
        <w:t>Study guide for Essentials of nursing research : appraising evidence for nursing practice</w:t>
      </w:r>
      <w:r w:rsidRPr="00F526B4">
        <w:rPr>
          <w:rFonts w:ascii="Arial" w:eastAsia="Times New Roman" w:hAnsi="Arial" w:cs="Arial"/>
          <w:kern w:val="0"/>
          <w:sz w:val="24"/>
          <w:szCs w:val="24"/>
          <w:lang w:eastAsia="en-GB"/>
          <w14:ligatures w14:val="none"/>
        </w:rPr>
        <w:t>. 10th ed. Philadelphia: Wolters Kluwer, pp.16–17.</w:t>
      </w:r>
    </w:p>
    <w:p w14:paraId="3B530EDC" w14:textId="18747C65"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lastRenderedPageBreak/>
        <w:t xml:space="preserve">Reading Mate (2020). </w:t>
      </w:r>
      <w:r w:rsidRPr="00F526B4">
        <w:rPr>
          <w:rFonts w:ascii="Arial" w:eastAsia="Times New Roman" w:hAnsi="Arial" w:cs="Arial"/>
          <w:i/>
          <w:iCs/>
          <w:kern w:val="0"/>
          <w:sz w:val="24"/>
          <w:szCs w:val="24"/>
          <w:lang w:eastAsia="en-GB"/>
          <w14:ligatures w14:val="none"/>
        </w:rPr>
        <w:t>Why aren’t our Children Reading at Home?</w:t>
      </w:r>
      <w:r w:rsidRPr="00F526B4">
        <w:rPr>
          <w:rFonts w:ascii="Arial" w:eastAsia="Times New Roman" w:hAnsi="Arial" w:cs="Arial"/>
          <w:kern w:val="0"/>
          <w:sz w:val="24"/>
          <w:szCs w:val="24"/>
          <w:lang w:eastAsia="en-GB"/>
          <w14:ligatures w14:val="none"/>
        </w:rPr>
        <w:t xml:space="preserve"> [online] Reading Mate. Available at: </w:t>
      </w:r>
      <w:hyperlink r:id="rId33" w:history="1">
        <w:r w:rsidR="00621A5B" w:rsidRPr="00F526B4">
          <w:rPr>
            <w:rStyle w:val="Hyperlink"/>
            <w:rFonts w:ascii="Arial" w:eastAsia="Times New Roman" w:hAnsi="Arial" w:cs="Arial"/>
            <w:kern w:val="0"/>
            <w:sz w:val="24"/>
            <w:szCs w:val="24"/>
            <w:lang w:eastAsia="en-GB"/>
            <w14:ligatures w14:val="none"/>
          </w:rPr>
          <w:t>https://readingmate.co.uk/why-arent-our-children-reading-at-home/</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5 Dec. 2023].</w:t>
      </w:r>
    </w:p>
    <w:p w14:paraId="7C6DEE0D" w14:textId="3A669BCF"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Rebolj, A.B. (2013). </w:t>
      </w:r>
      <w:r w:rsidRPr="00F526B4">
        <w:rPr>
          <w:rFonts w:ascii="Arial" w:eastAsia="Times New Roman" w:hAnsi="Arial" w:cs="Arial"/>
          <w:i/>
          <w:iCs/>
          <w:kern w:val="0"/>
          <w:sz w:val="24"/>
          <w:szCs w:val="24"/>
          <w:lang w:eastAsia="en-GB"/>
          <w14:ligatures w14:val="none"/>
        </w:rPr>
        <w:t>The Case Study as a Type of Qualitative Research</w:t>
      </w:r>
      <w:r w:rsidRPr="00F526B4">
        <w:rPr>
          <w:rFonts w:ascii="Arial" w:eastAsia="Times New Roman" w:hAnsi="Arial" w:cs="Arial"/>
          <w:kern w:val="0"/>
          <w:sz w:val="24"/>
          <w:szCs w:val="24"/>
          <w:lang w:eastAsia="en-GB"/>
          <w14:ligatures w14:val="none"/>
        </w:rPr>
        <w:t xml:space="preserve">. [online] ResearchGate. Available at: </w:t>
      </w:r>
      <w:hyperlink r:id="rId34" w:history="1">
        <w:r w:rsidR="00621A5B" w:rsidRPr="00F526B4">
          <w:rPr>
            <w:rStyle w:val="Hyperlink"/>
            <w:rFonts w:ascii="Arial" w:eastAsia="Times New Roman" w:hAnsi="Arial" w:cs="Arial"/>
            <w:kern w:val="0"/>
            <w:sz w:val="24"/>
            <w:szCs w:val="24"/>
            <w:lang w:eastAsia="en-GB"/>
            <w14:ligatures w14:val="none"/>
          </w:rPr>
          <w:t>https://www.researchgate.net/publication/265682891_The_case_study_as_a_type_of_qualitative_research</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5 Dec. 2023].</w:t>
      </w:r>
    </w:p>
    <w:p w14:paraId="20526AA7"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Roller, M.R. and </w:t>
      </w:r>
      <w:proofErr w:type="spellStart"/>
      <w:r w:rsidRPr="00F526B4">
        <w:rPr>
          <w:rFonts w:ascii="Arial" w:eastAsia="Times New Roman" w:hAnsi="Arial" w:cs="Arial"/>
          <w:kern w:val="0"/>
          <w:sz w:val="24"/>
          <w:szCs w:val="24"/>
          <w:lang w:eastAsia="en-GB"/>
          <w14:ligatures w14:val="none"/>
        </w:rPr>
        <w:t>Lavrakas</w:t>
      </w:r>
      <w:proofErr w:type="spellEnd"/>
      <w:r w:rsidRPr="00F526B4">
        <w:rPr>
          <w:rFonts w:ascii="Arial" w:eastAsia="Times New Roman" w:hAnsi="Arial" w:cs="Arial"/>
          <w:kern w:val="0"/>
          <w:sz w:val="24"/>
          <w:szCs w:val="24"/>
          <w:lang w:eastAsia="en-GB"/>
          <w14:ligatures w14:val="none"/>
        </w:rPr>
        <w:t xml:space="preserve">, P.J. (2015). </w:t>
      </w:r>
      <w:r w:rsidRPr="00F526B4">
        <w:rPr>
          <w:rFonts w:ascii="Arial" w:eastAsia="Times New Roman" w:hAnsi="Arial" w:cs="Arial"/>
          <w:i/>
          <w:iCs/>
          <w:kern w:val="0"/>
          <w:sz w:val="24"/>
          <w:szCs w:val="24"/>
          <w:lang w:eastAsia="en-GB"/>
          <w14:ligatures w14:val="none"/>
        </w:rPr>
        <w:t>Applied Qualitative Research Design</w:t>
      </w:r>
      <w:r w:rsidRPr="00F526B4">
        <w:rPr>
          <w:rFonts w:ascii="Arial" w:eastAsia="Times New Roman" w:hAnsi="Arial" w:cs="Arial"/>
          <w:kern w:val="0"/>
          <w:sz w:val="24"/>
          <w:szCs w:val="24"/>
          <w:lang w:eastAsia="en-GB"/>
          <w14:ligatures w14:val="none"/>
        </w:rPr>
        <w:t>. Guilford Publications, p.112.</w:t>
      </w:r>
    </w:p>
    <w:p w14:paraId="14D23AF3" w14:textId="283AD2A0"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Scribbr</w:t>
      </w:r>
      <w:proofErr w:type="spellEnd"/>
      <w:r w:rsidRPr="00F526B4">
        <w:rPr>
          <w:rFonts w:ascii="Arial" w:eastAsia="Times New Roman" w:hAnsi="Arial" w:cs="Arial"/>
          <w:kern w:val="0"/>
          <w:sz w:val="24"/>
          <w:szCs w:val="24"/>
          <w:lang w:eastAsia="en-GB"/>
          <w14:ligatures w14:val="none"/>
        </w:rPr>
        <w:t xml:space="preserve"> (2022a). </w:t>
      </w:r>
      <w:r w:rsidRPr="00F526B4">
        <w:rPr>
          <w:rFonts w:ascii="Arial" w:eastAsia="Times New Roman" w:hAnsi="Arial" w:cs="Arial"/>
          <w:i/>
          <w:iCs/>
          <w:kern w:val="0"/>
          <w:sz w:val="24"/>
          <w:szCs w:val="24"/>
          <w:lang w:eastAsia="en-GB"/>
          <w14:ligatures w14:val="none"/>
        </w:rPr>
        <w:t>Types of Bias in Research</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Scribbr</w:t>
      </w:r>
      <w:proofErr w:type="spellEnd"/>
      <w:r w:rsidRPr="00F526B4">
        <w:rPr>
          <w:rFonts w:ascii="Arial" w:eastAsia="Times New Roman" w:hAnsi="Arial" w:cs="Arial"/>
          <w:kern w:val="0"/>
          <w:sz w:val="24"/>
          <w:szCs w:val="24"/>
          <w:lang w:eastAsia="en-GB"/>
          <w14:ligatures w14:val="none"/>
        </w:rPr>
        <w:t xml:space="preserve">. Available at: </w:t>
      </w:r>
      <w:hyperlink r:id="rId35" w:history="1">
        <w:r w:rsidR="00621A5B" w:rsidRPr="00F526B4">
          <w:rPr>
            <w:rStyle w:val="Hyperlink"/>
            <w:rFonts w:ascii="Arial" w:eastAsia="Times New Roman" w:hAnsi="Arial" w:cs="Arial"/>
            <w:kern w:val="0"/>
            <w:sz w:val="24"/>
            <w:szCs w:val="24"/>
            <w:lang w:eastAsia="en-GB"/>
            <w14:ligatures w14:val="none"/>
          </w:rPr>
          <w:t>https://www.scribbr.com/category/research-bias/</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30 Nov. 2023].</w:t>
      </w:r>
    </w:p>
    <w:p w14:paraId="602C2B2E" w14:textId="20ED4743"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Scribbr</w:t>
      </w:r>
      <w:proofErr w:type="spellEnd"/>
      <w:r w:rsidRPr="00F526B4">
        <w:rPr>
          <w:rFonts w:ascii="Arial" w:eastAsia="Times New Roman" w:hAnsi="Arial" w:cs="Arial"/>
          <w:kern w:val="0"/>
          <w:sz w:val="24"/>
          <w:szCs w:val="24"/>
          <w:lang w:eastAsia="en-GB"/>
          <w14:ligatures w14:val="none"/>
        </w:rPr>
        <w:t xml:space="preserve"> (2022b). </w:t>
      </w:r>
      <w:r w:rsidRPr="00F526B4">
        <w:rPr>
          <w:rFonts w:ascii="Arial" w:eastAsia="Times New Roman" w:hAnsi="Arial" w:cs="Arial"/>
          <w:i/>
          <w:iCs/>
          <w:kern w:val="0"/>
          <w:sz w:val="24"/>
          <w:szCs w:val="24"/>
          <w:lang w:eastAsia="en-GB"/>
          <w14:ligatures w14:val="none"/>
        </w:rPr>
        <w:t>What is the definition of a focus group?</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Scribbr</w:t>
      </w:r>
      <w:proofErr w:type="spellEnd"/>
      <w:r w:rsidRPr="00F526B4">
        <w:rPr>
          <w:rFonts w:ascii="Arial" w:eastAsia="Times New Roman" w:hAnsi="Arial" w:cs="Arial"/>
          <w:kern w:val="0"/>
          <w:sz w:val="24"/>
          <w:szCs w:val="24"/>
          <w:lang w:eastAsia="en-GB"/>
          <w14:ligatures w14:val="none"/>
        </w:rPr>
        <w:t xml:space="preserve">. Available at: </w:t>
      </w:r>
      <w:hyperlink r:id="rId36" w:history="1">
        <w:r w:rsidR="00621A5B" w:rsidRPr="00F526B4">
          <w:rPr>
            <w:rStyle w:val="Hyperlink"/>
            <w:rFonts w:ascii="Arial" w:eastAsia="Times New Roman" w:hAnsi="Arial" w:cs="Arial"/>
            <w:kern w:val="0"/>
            <w:sz w:val="24"/>
            <w:szCs w:val="24"/>
            <w:lang w:eastAsia="en-GB"/>
            <w14:ligatures w14:val="none"/>
          </w:rPr>
          <w:t>https://www.scribbr.co.uk/faqs/what-is-the-definition-of-a-focus-group/</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30 Nov. 2023].</w:t>
      </w:r>
    </w:p>
    <w:p w14:paraId="198178AD" w14:textId="058DC9BD"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Shaffi, S. (2023). Cost-of-living crisis: one in five parents spend less on books for their children. </w:t>
      </w:r>
      <w:r w:rsidRPr="00F526B4">
        <w:rPr>
          <w:rFonts w:ascii="Arial" w:eastAsia="Times New Roman" w:hAnsi="Arial" w:cs="Arial"/>
          <w:i/>
          <w:iCs/>
          <w:kern w:val="0"/>
          <w:sz w:val="24"/>
          <w:szCs w:val="24"/>
          <w:lang w:eastAsia="en-GB"/>
          <w14:ligatures w14:val="none"/>
        </w:rPr>
        <w:t>The Guardian</w:t>
      </w:r>
      <w:r w:rsidRPr="00F526B4">
        <w:rPr>
          <w:rFonts w:ascii="Arial" w:eastAsia="Times New Roman" w:hAnsi="Arial" w:cs="Arial"/>
          <w:kern w:val="0"/>
          <w:sz w:val="24"/>
          <w:szCs w:val="24"/>
          <w:lang w:eastAsia="en-GB"/>
          <w14:ligatures w14:val="none"/>
        </w:rPr>
        <w:t xml:space="preserve">. [online] 27 Feb. Available at: </w:t>
      </w:r>
      <w:hyperlink r:id="rId37" w:history="1">
        <w:r w:rsidR="00621A5B" w:rsidRPr="00F526B4">
          <w:rPr>
            <w:rStyle w:val="Hyperlink"/>
            <w:rFonts w:ascii="Arial" w:eastAsia="Times New Roman" w:hAnsi="Arial" w:cs="Arial"/>
            <w:kern w:val="0"/>
            <w:sz w:val="24"/>
            <w:szCs w:val="24"/>
            <w:lang w:eastAsia="en-GB"/>
            <w14:ligatures w14:val="none"/>
          </w:rPr>
          <w:t>https://www.theguardian.com/books/2023/feb/27/cost-of-living-crisis-one-in-five-parents-spend-less-on-books-for-their-children</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5 Dec. 2023].</w:t>
      </w:r>
    </w:p>
    <w:p w14:paraId="16FF4D15"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Shaw, C.A., Brady, L.-M. and Davey, C. (2011). Guidelines for research with children and young people. </w:t>
      </w:r>
      <w:r w:rsidRPr="00F526B4">
        <w:rPr>
          <w:rFonts w:ascii="Arial" w:eastAsia="Times New Roman" w:hAnsi="Arial" w:cs="Arial"/>
          <w:i/>
          <w:iCs/>
          <w:kern w:val="0"/>
          <w:sz w:val="24"/>
          <w:szCs w:val="24"/>
          <w:lang w:eastAsia="en-GB"/>
          <w14:ligatures w14:val="none"/>
        </w:rPr>
        <w:t>Guidelines for Research with Children and Young People</w:t>
      </w:r>
      <w:r w:rsidRPr="00F526B4">
        <w:rPr>
          <w:rFonts w:ascii="Arial" w:eastAsia="Times New Roman" w:hAnsi="Arial" w:cs="Arial"/>
          <w:kern w:val="0"/>
          <w:sz w:val="24"/>
          <w:szCs w:val="24"/>
          <w:lang w:eastAsia="en-GB"/>
          <w14:ligatures w14:val="none"/>
        </w:rPr>
        <w:t>.</w:t>
      </w:r>
    </w:p>
    <w:p w14:paraId="5B3CD600"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Sim, J., Waterfield, J 2019. Focus group methodology: some ethical challenges. </w:t>
      </w:r>
      <w:r w:rsidRPr="00F526B4">
        <w:rPr>
          <w:rFonts w:ascii="Arial" w:eastAsia="Times New Roman" w:hAnsi="Arial" w:cs="Arial"/>
          <w:i/>
          <w:iCs/>
          <w:kern w:val="0"/>
          <w:sz w:val="24"/>
          <w:szCs w:val="24"/>
          <w:lang w:eastAsia="en-GB"/>
          <w14:ligatures w14:val="none"/>
        </w:rPr>
        <w:t>Qual Quant</w:t>
      </w:r>
      <w:r w:rsidRPr="00F526B4">
        <w:rPr>
          <w:rFonts w:ascii="Arial" w:eastAsia="Times New Roman" w:hAnsi="Arial" w:cs="Arial"/>
          <w:kern w:val="0"/>
          <w:sz w:val="24"/>
          <w:szCs w:val="24"/>
          <w:lang w:eastAsia="en-GB"/>
          <w14:ligatures w14:val="none"/>
        </w:rPr>
        <w:t xml:space="preserve"> 53, 3003–3022 (2019). https://doi.org/10.1007/s11135-019-00914-5 </w:t>
      </w:r>
    </w:p>
    <w:p w14:paraId="47EAA0C1"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Šimundić</w:t>
      </w:r>
      <w:proofErr w:type="spellEnd"/>
      <w:r w:rsidRPr="00F526B4">
        <w:rPr>
          <w:rFonts w:ascii="Arial" w:eastAsia="Times New Roman" w:hAnsi="Arial" w:cs="Arial"/>
          <w:kern w:val="0"/>
          <w:sz w:val="24"/>
          <w:szCs w:val="24"/>
          <w:lang w:eastAsia="en-GB"/>
          <w14:ligatures w14:val="none"/>
        </w:rPr>
        <w:t xml:space="preserve">, A.-M. (2013). Bias in Research. </w:t>
      </w:r>
      <w:proofErr w:type="spellStart"/>
      <w:r w:rsidRPr="00F526B4">
        <w:rPr>
          <w:rFonts w:ascii="Arial" w:eastAsia="Times New Roman" w:hAnsi="Arial" w:cs="Arial"/>
          <w:i/>
          <w:iCs/>
          <w:kern w:val="0"/>
          <w:sz w:val="24"/>
          <w:szCs w:val="24"/>
          <w:lang w:eastAsia="en-GB"/>
          <w14:ligatures w14:val="none"/>
        </w:rPr>
        <w:t>Biochemia</w:t>
      </w:r>
      <w:proofErr w:type="spellEnd"/>
      <w:r w:rsidRPr="00F526B4">
        <w:rPr>
          <w:rFonts w:ascii="Arial" w:eastAsia="Times New Roman" w:hAnsi="Arial" w:cs="Arial"/>
          <w:i/>
          <w:iCs/>
          <w:kern w:val="0"/>
          <w:sz w:val="24"/>
          <w:szCs w:val="24"/>
          <w:lang w:eastAsia="en-GB"/>
          <w14:ligatures w14:val="none"/>
        </w:rPr>
        <w:t xml:space="preserve"> Medica</w:t>
      </w:r>
      <w:r w:rsidRPr="00F526B4">
        <w:rPr>
          <w:rFonts w:ascii="Arial" w:eastAsia="Times New Roman" w:hAnsi="Arial" w:cs="Arial"/>
          <w:kern w:val="0"/>
          <w:sz w:val="24"/>
          <w:szCs w:val="24"/>
          <w:lang w:eastAsia="en-GB"/>
          <w14:ligatures w14:val="none"/>
        </w:rPr>
        <w:t>, [online] 23(1), pp.12–15. Available at: https://www.ncbi.nlm.nih.gov/pmc/articles/PMC3900086/.</w:t>
      </w:r>
    </w:p>
    <w:p w14:paraId="0F25F564"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Slutsky, D. (2014). The Effective Use of Graphs. </w:t>
      </w:r>
      <w:r w:rsidRPr="00F526B4">
        <w:rPr>
          <w:rFonts w:ascii="Arial" w:eastAsia="Times New Roman" w:hAnsi="Arial" w:cs="Arial"/>
          <w:i/>
          <w:iCs/>
          <w:kern w:val="0"/>
          <w:sz w:val="24"/>
          <w:szCs w:val="24"/>
          <w:lang w:eastAsia="en-GB"/>
          <w14:ligatures w14:val="none"/>
        </w:rPr>
        <w:t>Journal of Wrist Surgery</w:t>
      </w:r>
      <w:r w:rsidRPr="00F526B4">
        <w:rPr>
          <w:rFonts w:ascii="Arial" w:eastAsia="Times New Roman" w:hAnsi="Arial" w:cs="Arial"/>
          <w:kern w:val="0"/>
          <w:sz w:val="24"/>
          <w:szCs w:val="24"/>
          <w:lang w:eastAsia="en-GB"/>
          <w14:ligatures w14:val="none"/>
        </w:rPr>
        <w:t xml:space="preserve">, [online] 03(02), p.67.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://doi.org/10.1055/s-0034-1375704.</w:t>
      </w:r>
    </w:p>
    <w:p w14:paraId="3E43B8AC"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lastRenderedPageBreak/>
        <w:t xml:space="preserve">Tay-Lim, J. and Lim, S. (2013). Privileging Younger Children’s Voices in Research: Use of Drawings and a Co-Construction Process. </w:t>
      </w:r>
      <w:r w:rsidRPr="00F526B4">
        <w:rPr>
          <w:rFonts w:ascii="Arial" w:eastAsia="Times New Roman" w:hAnsi="Arial" w:cs="Arial"/>
          <w:i/>
          <w:iCs/>
          <w:kern w:val="0"/>
          <w:sz w:val="24"/>
          <w:szCs w:val="24"/>
          <w:lang w:eastAsia="en-GB"/>
          <w14:ligatures w14:val="none"/>
        </w:rPr>
        <w:t>International Journal of Qualitative Methods</w:t>
      </w:r>
      <w:r w:rsidRPr="00F526B4">
        <w:rPr>
          <w:rFonts w:ascii="Arial" w:eastAsia="Times New Roman" w:hAnsi="Arial" w:cs="Arial"/>
          <w:kern w:val="0"/>
          <w:sz w:val="24"/>
          <w:szCs w:val="24"/>
          <w:lang w:eastAsia="en-GB"/>
          <w14:ligatures w14:val="none"/>
        </w:rPr>
        <w:t xml:space="preserve">, 12(1), p.72.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://doi.org/10.1177/160940691301200135.</w:t>
      </w:r>
    </w:p>
    <w:p w14:paraId="471072EE"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Tetnowski</w:t>
      </w:r>
      <w:proofErr w:type="spellEnd"/>
      <w:r w:rsidRPr="00F526B4">
        <w:rPr>
          <w:rFonts w:ascii="Arial" w:eastAsia="Times New Roman" w:hAnsi="Arial" w:cs="Arial"/>
          <w:kern w:val="0"/>
          <w:sz w:val="24"/>
          <w:szCs w:val="24"/>
          <w:lang w:eastAsia="en-GB"/>
          <w14:ligatures w14:val="none"/>
        </w:rPr>
        <w:t xml:space="preserve">, J. (2015). Qualitative Case Study Research Design. </w:t>
      </w:r>
      <w:r w:rsidRPr="00F526B4">
        <w:rPr>
          <w:rFonts w:ascii="Arial" w:eastAsia="Times New Roman" w:hAnsi="Arial" w:cs="Arial"/>
          <w:i/>
          <w:iCs/>
          <w:kern w:val="0"/>
          <w:sz w:val="24"/>
          <w:szCs w:val="24"/>
          <w:lang w:eastAsia="en-GB"/>
          <w14:ligatures w14:val="none"/>
        </w:rPr>
        <w:t>Perspectives on Fluency and Fluency Disorders</w:t>
      </w:r>
      <w:r w:rsidRPr="00F526B4">
        <w:rPr>
          <w:rFonts w:ascii="Arial" w:eastAsia="Times New Roman" w:hAnsi="Arial" w:cs="Arial"/>
          <w:kern w:val="0"/>
          <w:sz w:val="24"/>
          <w:szCs w:val="24"/>
          <w:lang w:eastAsia="en-GB"/>
          <w14:ligatures w14:val="none"/>
        </w:rPr>
        <w:t xml:space="preserve">, [online] 25(1), p.39.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://doi.org/10.1044/ffd25.1.39.</w:t>
      </w:r>
    </w:p>
    <w:p w14:paraId="5D15E322"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tutor2u (2020). </w:t>
      </w:r>
      <w:r w:rsidRPr="00F526B4">
        <w:rPr>
          <w:rFonts w:ascii="Arial" w:eastAsia="Times New Roman" w:hAnsi="Arial" w:cs="Arial"/>
          <w:i/>
          <w:iCs/>
          <w:kern w:val="0"/>
          <w:sz w:val="24"/>
          <w:szCs w:val="24"/>
          <w:lang w:eastAsia="en-GB"/>
          <w14:ligatures w14:val="none"/>
        </w:rPr>
        <w:t>Case Studies</w:t>
      </w:r>
      <w:r w:rsidRPr="00F526B4">
        <w:rPr>
          <w:rFonts w:ascii="Arial" w:eastAsia="Times New Roman" w:hAnsi="Arial" w:cs="Arial"/>
          <w:kern w:val="0"/>
          <w:sz w:val="24"/>
          <w:szCs w:val="24"/>
          <w:lang w:eastAsia="en-GB"/>
          <w14:ligatures w14:val="none"/>
        </w:rPr>
        <w:t>. [online] tutor2u. Available at: https://www.tutor2u.net/psychology/reference/case-studies [Accessed 30 Nov. 2023].</w:t>
      </w:r>
    </w:p>
    <w:p w14:paraId="2BB784EA" w14:textId="18EB49FA" w:rsidR="00F526B4" w:rsidRPr="00F526B4" w:rsidRDefault="00F526B4" w:rsidP="00F526B4">
      <w:pPr>
        <w:spacing w:after="240" w:line="360" w:lineRule="auto"/>
        <w:rPr>
          <w:rFonts w:ascii="Arial" w:eastAsia="Times New Roman" w:hAnsi="Arial" w:cs="Arial"/>
          <w:kern w:val="0"/>
          <w:sz w:val="24"/>
          <w:szCs w:val="24"/>
          <w:lang w:eastAsia="en-GB"/>
          <w14:ligatures w14:val="none"/>
        </w:rPr>
      </w:pPr>
      <w:proofErr w:type="spellStart"/>
      <w:r w:rsidRPr="00F526B4">
        <w:rPr>
          <w:rFonts w:ascii="Arial" w:eastAsia="Times New Roman" w:hAnsi="Arial" w:cs="Arial"/>
          <w:kern w:val="0"/>
          <w:sz w:val="24"/>
          <w:szCs w:val="24"/>
          <w:lang w:eastAsia="en-GB"/>
          <w14:ligatures w14:val="none"/>
        </w:rPr>
        <w:t>VerywellMind</w:t>
      </w:r>
      <w:proofErr w:type="spellEnd"/>
      <w:r w:rsidRPr="00F526B4">
        <w:rPr>
          <w:rFonts w:ascii="Arial" w:eastAsia="Times New Roman" w:hAnsi="Arial" w:cs="Arial"/>
          <w:kern w:val="0"/>
          <w:sz w:val="24"/>
          <w:szCs w:val="24"/>
          <w:lang w:eastAsia="en-GB"/>
          <w14:ligatures w14:val="none"/>
        </w:rPr>
        <w:t xml:space="preserve"> (2023). </w:t>
      </w:r>
      <w:r w:rsidRPr="00F526B4">
        <w:rPr>
          <w:rFonts w:ascii="Arial" w:eastAsia="Times New Roman" w:hAnsi="Arial" w:cs="Arial"/>
          <w:i/>
          <w:iCs/>
          <w:kern w:val="0"/>
          <w:sz w:val="24"/>
          <w:szCs w:val="24"/>
          <w:lang w:eastAsia="en-GB"/>
          <w14:ligatures w14:val="none"/>
        </w:rPr>
        <w:t>What Is a Case Study in Psychology?</w:t>
      </w:r>
      <w:r w:rsidRPr="00F526B4">
        <w:rPr>
          <w:rFonts w:ascii="Arial" w:eastAsia="Times New Roman" w:hAnsi="Arial" w:cs="Arial"/>
          <w:kern w:val="0"/>
          <w:sz w:val="24"/>
          <w:szCs w:val="24"/>
          <w:lang w:eastAsia="en-GB"/>
          <w14:ligatures w14:val="none"/>
        </w:rPr>
        <w:t xml:space="preserve"> [online] </w:t>
      </w:r>
      <w:proofErr w:type="spellStart"/>
      <w:r w:rsidRPr="00F526B4">
        <w:rPr>
          <w:rFonts w:ascii="Arial" w:eastAsia="Times New Roman" w:hAnsi="Arial" w:cs="Arial"/>
          <w:kern w:val="0"/>
          <w:sz w:val="24"/>
          <w:szCs w:val="24"/>
          <w:lang w:eastAsia="en-GB"/>
          <w14:ligatures w14:val="none"/>
        </w:rPr>
        <w:t>Verywell</w:t>
      </w:r>
      <w:proofErr w:type="spellEnd"/>
      <w:r w:rsidRPr="00F526B4">
        <w:rPr>
          <w:rFonts w:ascii="Arial" w:eastAsia="Times New Roman" w:hAnsi="Arial" w:cs="Arial"/>
          <w:kern w:val="0"/>
          <w:sz w:val="24"/>
          <w:szCs w:val="24"/>
          <w:lang w:eastAsia="en-GB"/>
          <w14:ligatures w14:val="none"/>
        </w:rPr>
        <w:t xml:space="preserve"> Mind. Available at: </w:t>
      </w:r>
      <w:hyperlink r:id="rId38" w:history="1">
        <w:r w:rsidR="00621A5B" w:rsidRPr="00F526B4">
          <w:rPr>
            <w:rStyle w:val="Hyperlink"/>
            <w:rFonts w:ascii="Arial" w:eastAsia="Times New Roman" w:hAnsi="Arial" w:cs="Arial"/>
            <w:kern w:val="0"/>
            <w:sz w:val="24"/>
            <w:szCs w:val="24"/>
            <w:lang w:eastAsia="en-GB"/>
            <w14:ligatures w14:val="none"/>
          </w:rPr>
          <w:t>https://www.verywellmind.com/how-to-write-a-psychology-case-study-2795722#toc-benefits-and-limitations</w:t>
        </w:r>
      </w:hyperlink>
      <w:r w:rsidRPr="00F526B4">
        <w:rPr>
          <w:rFonts w:ascii="Arial" w:eastAsia="Times New Roman" w:hAnsi="Arial" w:cs="Arial"/>
          <w:kern w:val="0"/>
          <w:sz w:val="24"/>
          <w:szCs w:val="24"/>
          <w:lang w:eastAsia="en-GB"/>
          <w14:ligatures w14:val="none"/>
        </w:rPr>
        <w:t>.</w:t>
      </w:r>
      <w:r w:rsidR="00621A5B">
        <w:rPr>
          <w:rFonts w:ascii="Arial" w:eastAsia="Times New Roman" w:hAnsi="Arial" w:cs="Arial"/>
          <w:kern w:val="0"/>
          <w:sz w:val="24"/>
          <w:szCs w:val="24"/>
          <w:lang w:eastAsia="en-GB"/>
          <w14:ligatures w14:val="none"/>
        </w:rPr>
        <w:t xml:space="preserve"> [Accessed 5</w:t>
      </w:r>
      <w:r w:rsidR="00621A5B" w:rsidRPr="00621A5B">
        <w:rPr>
          <w:rFonts w:ascii="Arial" w:eastAsia="Times New Roman" w:hAnsi="Arial" w:cs="Arial"/>
          <w:kern w:val="0"/>
          <w:sz w:val="24"/>
          <w:szCs w:val="24"/>
          <w:vertAlign w:val="superscript"/>
          <w:lang w:eastAsia="en-GB"/>
          <w14:ligatures w14:val="none"/>
        </w:rPr>
        <w:t>th</w:t>
      </w:r>
      <w:r w:rsidR="00621A5B">
        <w:rPr>
          <w:rFonts w:ascii="Arial" w:eastAsia="Times New Roman" w:hAnsi="Arial" w:cs="Arial"/>
          <w:kern w:val="0"/>
          <w:sz w:val="24"/>
          <w:szCs w:val="24"/>
          <w:lang w:eastAsia="en-GB"/>
          <w14:ligatures w14:val="none"/>
        </w:rPr>
        <w:t xml:space="preserve"> January 2024]. </w:t>
      </w:r>
    </w:p>
    <w:p w14:paraId="3A72DE9F" w14:textId="77777777"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Wellings, K., Branigan, P. and Mitchell, K. (2000). Discomfort, discord and discontinuity as data: Using focus groups to research sensitive topics. </w:t>
      </w:r>
      <w:r w:rsidRPr="00F526B4">
        <w:rPr>
          <w:rFonts w:ascii="Arial" w:eastAsia="Times New Roman" w:hAnsi="Arial" w:cs="Arial"/>
          <w:i/>
          <w:iCs/>
          <w:kern w:val="0"/>
          <w:sz w:val="24"/>
          <w:szCs w:val="24"/>
          <w:lang w:eastAsia="en-GB"/>
          <w14:ligatures w14:val="none"/>
        </w:rPr>
        <w:t>Culture, Health &amp; Sexuality</w:t>
      </w:r>
      <w:r w:rsidRPr="00F526B4">
        <w:rPr>
          <w:rFonts w:ascii="Arial" w:eastAsia="Times New Roman" w:hAnsi="Arial" w:cs="Arial"/>
          <w:kern w:val="0"/>
          <w:sz w:val="24"/>
          <w:szCs w:val="24"/>
          <w:lang w:eastAsia="en-GB"/>
          <w14:ligatures w14:val="none"/>
        </w:rPr>
        <w:t xml:space="preserve">, 2(3), p.255. </w:t>
      </w:r>
      <w:proofErr w:type="spellStart"/>
      <w:r w:rsidRPr="00F526B4">
        <w:rPr>
          <w:rFonts w:ascii="Arial" w:eastAsia="Times New Roman" w:hAnsi="Arial" w:cs="Arial"/>
          <w:kern w:val="0"/>
          <w:sz w:val="24"/>
          <w:szCs w:val="24"/>
          <w:lang w:eastAsia="en-GB"/>
          <w14:ligatures w14:val="none"/>
        </w:rPr>
        <w:t>doi:https</w:t>
      </w:r>
      <w:proofErr w:type="spellEnd"/>
      <w:r w:rsidRPr="00F526B4">
        <w:rPr>
          <w:rFonts w:ascii="Arial" w:eastAsia="Times New Roman" w:hAnsi="Arial" w:cs="Arial"/>
          <w:kern w:val="0"/>
          <w:sz w:val="24"/>
          <w:szCs w:val="24"/>
          <w:lang w:eastAsia="en-GB"/>
          <w14:ligatures w14:val="none"/>
        </w:rPr>
        <w:t>://doi.org/10.1080/136910500422241.</w:t>
      </w:r>
    </w:p>
    <w:p w14:paraId="63D35CE4" w14:textId="0F19A6C6" w:rsidR="00F526B4" w:rsidRPr="00F526B4" w:rsidRDefault="00F526B4" w:rsidP="00F526B4">
      <w:pPr>
        <w:spacing w:after="240" w:line="360" w:lineRule="auto"/>
        <w:rPr>
          <w:rFonts w:ascii="Arial" w:eastAsia="Times New Roman" w:hAnsi="Arial" w:cs="Arial"/>
          <w:kern w:val="0"/>
          <w:sz w:val="24"/>
          <w:szCs w:val="24"/>
          <w:lang w:eastAsia="en-GB"/>
          <w14:ligatures w14:val="none"/>
        </w:rPr>
      </w:pPr>
      <w:r w:rsidRPr="00F526B4">
        <w:rPr>
          <w:rFonts w:ascii="Arial" w:eastAsia="Times New Roman" w:hAnsi="Arial" w:cs="Arial"/>
          <w:kern w:val="0"/>
          <w:sz w:val="24"/>
          <w:szCs w:val="24"/>
          <w:lang w:eastAsia="en-GB"/>
          <w14:ligatures w14:val="none"/>
        </w:rPr>
        <w:t xml:space="preserve">Welsh Government (2019). </w:t>
      </w:r>
      <w:r w:rsidRPr="00F526B4">
        <w:rPr>
          <w:rFonts w:ascii="Arial" w:eastAsia="Times New Roman" w:hAnsi="Arial" w:cs="Arial"/>
          <w:i/>
          <w:iCs/>
          <w:kern w:val="0"/>
          <w:sz w:val="24"/>
          <w:szCs w:val="24"/>
          <w:lang w:eastAsia="en-GB"/>
          <w14:ligatures w14:val="none"/>
        </w:rPr>
        <w:t>Professional Standards for Teaching and Leadership</w:t>
      </w:r>
      <w:r w:rsidRPr="00F526B4">
        <w:rPr>
          <w:rFonts w:ascii="Arial" w:eastAsia="Times New Roman" w:hAnsi="Arial" w:cs="Arial"/>
          <w:kern w:val="0"/>
          <w:sz w:val="24"/>
          <w:szCs w:val="24"/>
          <w:lang w:eastAsia="en-GB"/>
          <w14:ligatures w14:val="none"/>
        </w:rPr>
        <w:t xml:space="preserve">. [online] p.48. Available at: </w:t>
      </w:r>
      <w:hyperlink r:id="rId39" w:history="1">
        <w:r w:rsidR="00621A5B" w:rsidRPr="00F526B4">
          <w:rPr>
            <w:rStyle w:val="Hyperlink"/>
            <w:rFonts w:ascii="Arial" w:eastAsia="Times New Roman" w:hAnsi="Arial" w:cs="Arial"/>
            <w:kern w:val="0"/>
            <w:sz w:val="24"/>
            <w:szCs w:val="24"/>
            <w:lang w:eastAsia="en-GB"/>
            <w14:ligatures w14:val="none"/>
          </w:rPr>
          <w:t>https://hwb.gov.wales/api/storage/19bc948b-8a3f-41e0-944a-7bf2cadf7d18/professional-standards-for-teaching-and-leadership-interactive-pdf-for-pc.pdf</w:t>
        </w:r>
      </w:hyperlink>
      <w:r w:rsidR="00621A5B">
        <w:rPr>
          <w:rFonts w:ascii="Arial" w:eastAsia="Times New Roman" w:hAnsi="Arial" w:cs="Arial"/>
          <w:kern w:val="0"/>
          <w:sz w:val="24"/>
          <w:szCs w:val="24"/>
          <w:lang w:eastAsia="en-GB"/>
          <w14:ligatures w14:val="none"/>
        </w:rPr>
        <w:t xml:space="preserve"> </w:t>
      </w:r>
      <w:r w:rsidRPr="00F526B4">
        <w:rPr>
          <w:rFonts w:ascii="Arial" w:eastAsia="Times New Roman" w:hAnsi="Arial" w:cs="Arial"/>
          <w:kern w:val="0"/>
          <w:sz w:val="24"/>
          <w:szCs w:val="24"/>
          <w:lang w:eastAsia="en-GB"/>
          <w14:ligatures w14:val="none"/>
        </w:rPr>
        <w:t>[Accessed 31 Dec. 2023].</w:t>
      </w:r>
    </w:p>
    <w:p w14:paraId="5B9F5F64" w14:textId="698BD8BD" w:rsidR="00696E7C" w:rsidRPr="001B1EAA" w:rsidRDefault="00696E7C" w:rsidP="001B1EAA">
      <w:pPr>
        <w:pStyle w:val="NormalWeb"/>
        <w:spacing w:line="360" w:lineRule="auto"/>
        <w:rPr>
          <w:rFonts w:ascii="Arial" w:hAnsi="Arial" w:cs="Arial"/>
          <w:color w:val="252525"/>
          <w:sz w:val="22"/>
          <w:szCs w:val="22"/>
        </w:rPr>
      </w:pPr>
    </w:p>
    <w:p w14:paraId="17F700B6" w14:textId="4E93F84B" w:rsidR="009345A3" w:rsidRPr="009345A3" w:rsidRDefault="009345A3" w:rsidP="1FEE78F0">
      <w:pPr>
        <w:spacing w:line="360" w:lineRule="auto"/>
        <w:rPr>
          <w:rFonts w:ascii="Arial" w:hAnsi="Arial" w:cs="Arial"/>
          <w:u w:val="single"/>
        </w:rPr>
      </w:pPr>
    </w:p>
    <w:p w14:paraId="38AC8729" w14:textId="77777777" w:rsidR="00D676AB" w:rsidRDefault="00D676AB" w:rsidP="1FEE78F0">
      <w:pPr>
        <w:spacing w:line="360" w:lineRule="auto"/>
        <w:rPr>
          <w:rFonts w:ascii="Arial" w:hAnsi="Arial" w:cs="Arial"/>
        </w:rPr>
      </w:pPr>
    </w:p>
    <w:p w14:paraId="5D555959" w14:textId="41634D9B" w:rsidR="1FEE78F0" w:rsidRPr="00155632" w:rsidRDefault="1FEE78F0" w:rsidP="00155632">
      <w:pPr>
        <w:spacing w:line="360" w:lineRule="auto"/>
        <w:rPr>
          <w:rFonts w:ascii="Arial" w:hAnsi="Arial" w:cs="Arial"/>
        </w:rPr>
      </w:pPr>
    </w:p>
    <w:sectPr w:rsidR="1FEE78F0" w:rsidRPr="00155632">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DC8A7" w14:textId="77777777" w:rsidR="00F82172" w:rsidRDefault="00F82172" w:rsidP="00A81A9E">
      <w:pPr>
        <w:spacing w:after="0" w:line="240" w:lineRule="auto"/>
      </w:pPr>
      <w:r>
        <w:separator/>
      </w:r>
    </w:p>
  </w:endnote>
  <w:endnote w:type="continuationSeparator" w:id="0">
    <w:p w14:paraId="5EDDC45C" w14:textId="77777777" w:rsidR="00F82172" w:rsidRDefault="00F82172" w:rsidP="00A81A9E">
      <w:pPr>
        <w:spacing w:after="0" w:line="240" w:lineRule="auto"/>
      </w:pPr>
      <w:r>
        <w:continuationSeparator/>
      </w:r>
    </w:p>
  </w:endnote>
  <w:endnote w:type="continuationNotice" w:id="1">
    <w:p w14:paraId="5C2A5B98" w14:textId="77777777" w:rsidR="00F82172" w:rsidRDefault="00F821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EEC1" w14:textId="77777777" w:rsidR="00A81A9E" w:rsidRPr="00A81A9E" w:rsidRDefault="00A81A9E">
    <w:pPr>
      <w:pStyle w:val="Footer"/>
      <w:jc w:val="center"/>
      <w:rPr>
        <w:rFonts w:ascii="Arial" w:hAnsi="Arial" w:cs="Arial"/>
        <w:caps/>
        <w:noProof/>
      </w:rPr>
    </w:pPr>
    <w:r w:rsidRPr="00A81A9E">
      <w:rPr>
        <w:rFonts w:ascii="Arial" w:hAnsi="Arial" w:cs="Arial"/>
        <w:caps/>
      </w:rPr>
      <w:fldChar w:fldCharType="begin"/>
    </w:r>
    <w:r w:rsidRPr="00A81A9E">
      <w:rPr>
        <w:rFonts w:ascii="Arial" w:hAnsi="Arial" w:cs="Arial"/>
        <w:caps/>
      </w:rPr>
      <w:instrText xml:space="preserve"> PAGE   \* MERGEFORMAT </w:instrText>
    </w:r>
    <w:r w:rsidRPr="00A81A9E">
      <w:rPr>
        <w:rFonts w:ascii="Arial" w:hAnsi="Arial" w:cs="Arial"/>
        <w:caps/>
      </w:rPr>
      <w:fldChar w:fldCharType="separate"/>
    </w:r>
    <w:r w:rsidRPr="00A81A9E">
      <w:rPr>
        <w:rFonts w:ascii="Arial" w:hAnsi="Arial" w:cs="Arial"/>
        <w:caps/>
        <w:noProof/>
      </w:rPr>
      <w:t>2</w:t>
    </w:r>
    <w:r w:rsidRPr="00A81A9E">
      <w:rPr>
        <w:rFonts w:ascii="Arial" w:hAnsi="Arial" w:cs="Arial"/>
        <w:caps/>
        <w:noProof/>
      </w:rPr>
      <w:fldChar w:fldCharType="end"/>
    </w:r>
  </w:p>
  <w:p w14:paraId="7B5FA905" w14:textId="77777777" w:rsidR="00A81A9E" w:rsidRDefault="00A81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B8FA0" w14:textId="77777777" w:rsidR="00F82172" w:rsidRDefault="00F82172" w:rsidP="00A81A9E">
      <w:pPr>
        <w:spacing w:after="0" w:line="240" w:lineRule="auto"/>
      </w:pPr>
      <w:r>
        <w:separator/>
      </w:r>
    </w:p>
  </w:footnote>
  <w:footnote w:type="continuationSeparator" w:id="0">
    <w:p w14:paraId="0BF65DD8" w14:textId="77777777" w:rsidR="00F82172" w:rsidRDefault="00F82172" w:rsidP="00A81A9E">
      <w:pPr>
        <w:spacing w:after="0" w:line="240" w:lineRule="auto"/>
      </w:pPr>
      <w:r>
        <w:continuationSeparator/>
      </w:r>
    </w:p>
  </w:footnote>
  <w:footnote w:type="continuationNotice" w:id="1">
    <w:p w14:paraId="574D8F24" w14:textId="77777777" w:rsidR="00F82172" w:rsidRDefault="00F821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925C9" w14:textId="3B8040CA" w:rsidR="00A81A9E" w:rsidRDefault="00A81A9E">
    <w:pPr>
      <w:pStyle w:val="Header"/>
    </w:pPr>
    <w:r w:rsidRPr="00A81A9E">
      <w:rPr>
        <w:rFonts w:ascii="Arial" w:hAnsi="Arial" w:cs="Arial"/>
      </w:rPr>
      <w:t>Meg Ward</w:t>
    </w:r>
    <w:r w:rsidRPr="00A81A9E">
      <w:rPr>
        <w:rFonts w:ascii="Arial" w:hAnsi="Arial" w:cs="Arial"/>
      </w:rPr>
      <w:ptab w:relativeTo="margin" w:alignment="center" w:leader="none"/>
    </w:r>
    <w:r w:rsidRPr="00A81A9E">
      <w:rPr>
        <w:rFonts w:ascii="Arial" w:hAnsi="Arial" w:cs="Arial"/>
      </w:rPr>
      <w:t>ECAD6010</w:t>
    </w:r>
    <w:r w:rsidRPr="00A81A9E">
      <w:rPr>
        <w:rFonts w:ascii="Arial" w:hAnsi="Arial" w:cs="Arial"/>
      </w:rPr>
      <w:ptab w:relativeTo="margin" w:alignment="right" w:leader="none"/>
    </w:r>
    <w:r w:rsidRPr="00A81A9E">
      <w:rPr>
        <w:rFonts w:ascii="Arial" w:hAnsi="Arial" w:cs="Arial"/>
      </w:rPr>
      <w:t>Student Number: 2004861</w:t>
    </w:r>
  </w:p>
</w:hdr>
</file>

<file path=word/intelligence2.xml><?xml version="1.0" encoding="utf-8"?>
<int2:intelligence xmlns:int2="http://schemas.microsoft.com/office/intelligence/2020/intelligence" xmlns:oel="http://schemas.microsoft.com/office/2019/extlst">
  <int2:observations>
    <int2:textHash int2:hashCode="RY2PSKR7+SifCj" int2:id="5cHMOqYf">
      <int2:state int2:value="Rejected" int2:type="AugLoop_Text_Critique"/>
    </int2:textHash>
    <int2:textHash int2:hashCode="QSrlqS80j7p9EE" int2:id="ZDxGHE5Z">
      <int2:state int2:value="Rejected" int2:type="AugLoop_Text_Critique"/>
    </int2:textHash>
    <int2:textHash int2:hashCode="Jlubcrbd7KYVNY" int2:id="xsNffwoT">
      <int2:state int2:value="Rejected" int2:type="AugLoop_Text_Critique"/>
    </int2:textHash>
    <int2:textHash int2:hashCode="krmrVfwh1Fbb39" int2:id="y8dzNZzW">
      <int2:state int2:value="Rejected" int2:type="AugLoop_Text_Critique"/>
    </int2:textHash>
    <int2:textHash int2:hashCode="RkekJF7GLVitAC" int2:id="djSa187N">
      <int2:state int2:value="Rejected" int2:type="AugLoop_Text_Critique"/>
    </int2:textHash>
    <int2:textHash int2:hashCode="7fwVlk9FRrLPVO" int2:id="QKkDTaud">
      <int2:state int2:value="Rejected" int2:type="AugLoop_Text_Critique"/>
    </int2:textHash>
    <int2:textHash int2:hashCode="7lQnIipmreFe40" int2:id="khaPWIO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293D4"/>
    <w:multiLevelType w:val="hybridMultilevel"/>
    <w:tmpl w:val="F41447FC"/>
    <w:lvl w:ilvl="0" w:tplc="1B5CEEC0">
      <w:start w:val="1"/>
      <w:numFmt w:val="bullet"/>
      <w:lvlText w:val="-"/>
      <w:lvlJc w:val="left"/>
      <w:pPr>
        <w:ind w:left="720" w:hanging="360"/>
      </w:pPr>
      <w:rPr>
        <w:rFonts w:ascii="Calibri" w:hAnsi="Calibri" w:hint="default"/>
      </w:rPr>
    </w:lvl>
    <w:lvl w:ilvl="1" w:tplc="C39CEDBA">
      <w:start w:val="1"/>
      <w:numFmt w:val="bullet"/>
      <w:lvlText w:val="o"/>
      <w:lvlJc w:val="left"/>
      <w:pPr>
        <w:ind w:left="1440" w:hanging="360"/>
      </w:pPr>
      <w:rPr>
        <w:rFonts w:ascii="Courier New" w:hAnsi="Courier New" w:hint="default"/>
      </w:rPr>
    </w:lvl>
    <w:lvl w:ilvl="2" w:tplc="7712675E">
      <w:start w:val="1"/>
      <w:numFmt w:val="bullet"/>
      <w:lvlText w:val=""/>
      <w:lvlJc w:val="left"/>
      <w:pPr>
        <w:ind w:left="2160" w:hanging="360"/>
      </w:pPr>
      <w:rPr>
        <w:rFonts w:ascii="Wingdings" w:hAnsi="Wingdings" w:hint="default"/>
      </w:rPr>
    </w:lvl>
    <w:lvl w:ilvl="3" w:tplc="10AC154C">
      <w:start w:val="1"/>
      <w:numFmt w:val="bullet"/>
      <w:lvlText w:val=""/>
      <w:lvlJc w:val="left"/>
      <w:pPr>
        <w:ind w:left="2880" w:hanging="360"/>
      </w:pPr>
      <w:rPr>
        <w:rFonts w:ascii="Symbol" w:hAnsi="Symbol" w:hint="default"/>
      </w:rPr>
    </w:lvl>
    <w:lvl w:ilvl="4" w:tplc="7CAA0BB4">
      <w:start w:val="1"/>
      <w:numFmt w:val="bullet"/>
      <w:lvlText w:val="o"/>
      <w:lvlJc w:val="left"/>
      <w:pPr>
        <w:ind w:left="3600" w:hanging="360"/>
      </w:pPr>
      <w:rPr>
        <w:rFonts w:ascii="Courier New" w:hAnsi="Courier New" w:hint="default"/>
      </w:rPr>
    </w:lvl>
    <w:lvl w:ilvl="5" w:tplc="488467AA">
      <w:start w:val="1"/>
      <w:numFmt w:val="bullet"/>
      <w:lvlText w:val=""/>
      <w:lvlJc w:val="left"/>
      <w:pPr>
        <w:ind w:left="4320" w:hanging="360"/>
      </w:pPr>
      <w:rPr>
        <w:rFonts w:ascii="Wingdings" w:hAnsi="Wingdings" w:hint="default"/>
      </w:rPr>
    </w:lvl>
    <w:lvl w:ilvl="6" w:tplc="6562F8B8">
      <w:start w:val="1"/>
      <w:numFmt w:val="bullet"/>
      <w:lvlText w:val=""/>
      <w:lvlJc w:val="left"/>
      <w:pPr>
        <w:ind w:left="5040" w:hanging="360"/>
      </w:pPr>
      <w:rPr>
        <w:rFonts w:ascii="Symbol" w:hAnsi="Symbol" w:hint="default"/>
      </w:rPr>
    </w:lvl>
    <w:lvl w:ilvl="7" w:tplc="2EB40DE0">
      <w:start w:val="1"/>
      <w:numFmt w:val="bullet"/>
      <w:lvlText w:val="o"/>
      <w:lvlJc w:val="left"/>
      <w:pPr>
        <w:ind w:left="5760" w:hanging="360"/>
      </w:pPr>
      <w:rPr>
        <w:rFonts w:ascii="Courier New" w:hAnsi="Courier New" w:hint="default"/>
      </w:rPr>
    </w:lvl>
    <w:lvl w:ilvl="8" w:tplc="A6B8905C">
      <w:start w:val="1"/>
      <w:numFmt w:val="bullet"/>
      <w:lvlText w:val=""/>
      <w:lvlJc w:val="left"/>
      <w:pPr>
        <w:ind w:left="6480" w:hanging="360"/>
      </w:pPr>
      <w:rPr>
        <w:rFonts w:ascii="Wingdings" w:hAnsi="Wingdings" w:hint="default"/>
      </w:rPr>
    </w:lvl>
  </w:abstractNum>
  <w:abstractNum w:abstractNumId="1" w15:restartNumberingAfterBreak="0">
    <w:nsid w:val="412D1F2F"/>
    <w:multiLevelType w:val="hybridMultilevel"/>
    <w:tmpl w:val="EF8EC0C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 w15:restartNumberingAfterBreak="0">
    <w:nsid w:val="51FB88F1"/>
    <w:multiLevelType w:val="hybridMultilevel"/>
    <w:tmpl w:val="6BA89DF8"/>
    <w:lvl w:ilvl="0" w:tplc="A90CA8C8">
      <w:start w:val="1"/>
      <w:numFmt w:val="bullet"/>
      <w:lvlText w:val="-"/>
      <w:lvlJc w:val="left"/>
      <w:pPr>
        <w:ind w:left="720" w:hanging="360"/>
      </w:pPr>
      <w:rPr>
        <w:rFonts w:ascii="Calibri" w:hAnsi="Calibri" w:hint="default"/>
      </w:rPr>
    </w:lvl>
    <w:lvl w:ilvl="1" w:tplc="804C8600">
      <w:start w:val="1"/>
      <w:numFmt w:val="bullet"/>
      <w:lvlText w:val="o"/>
      <w:lvlJc w:val="left"/>
      <w:pPr>
        <w:ind w:left="1440" w:hanging="360"/>
      </w:pPr>
      <w:rPr>
        <w:rFonts w:ascii="Courier New" w:hAnsi="Courier New" w:hint="default"/>
      </w:rPr>
    </w:lvl>
    <w:lvl w:ilvl="2" w:tplc="57C6DC20">
      <w:start w:val="1"/>
      <w:numFmt w:val="bullet"/>
      <w:lvlText w:val=""/>
      <w:lvlJc w:val="left"/>
      <w:pPr>
        <w:ind w:left="2160" w:hanging="360"/>
      </w:pPr>
      <w:rPr>
        <w:rFonts w:ascii="Wingdings" w:hAnsi="Wingdings" w:hint="default"/>
      </w:rPr>
    </w:lvl>
    <w:lvl w:ilvl="3" w:tplc="4E8A69CC">
      <w:start w:val="1"/>
      <w:numFmt w:val="bullet"/>
      <w:lvlText w:val=""/>
      <w:lvlJc w:val="left"/>
      <w:pPr>
        <w:ind w:left="2880" w:hanging="360"/>
      </w:pPr>
      <w:rPr>
        <w:rFonts w:ascii="Symbol" w:hAnsi="Symbol" w:hint="default"/>
      </w:rPr>
    </w:lvl>
    <w:lvl w:ilvl="4" w:tplc="1DE4F610">
      <w:start w:val="1"/>
      <w:numFmt w:val="bullet"/>
      <w:lvlText w:val="o"/>
      <w:lvlJc w:val="left"/>
      <w:pPr>
        <w:ind w:left="3600" w:hanging="360"/>
      </w:pPr>
      <w:rPr>
        <w:rFonts w:ascii="Courier New" w:hAnsi="Courier New" w:hint="default"/>
      </w:rPr>
    </w:lvl>
    <w:lvl w:ilvl="5" w:tplc="83143098">
      <w:start w:val="1"/>
      <w:numFmt w:val="bullet"/>
      <w:lvlText w:val=""/>
      <w:lvlJc w:val="left"/>
      <w:pPr>
        <w:ind w:left="4320" w:hanging="360"/>
      </w:pPr>
      <w:rPr>
        <w:rFonts w:ascii="Wingdings" w:hAnsi="Wingdings" w:hint="default"/>
      </w:rPr>
    </w:lvl>
    <w:lvl w:ilvl="6" w:tplc="B4EC5486">
      <w:start w:val="1"/>
      <w:numFmt w:val="bullet"/>
      <w:lvlText w:val=""/>
      <w:lvlJc w:val="left"/>
      <w:pPr>
        <w:ind w:left="5040" w:hanging="360"/>
      </w:pPr>
      <w:rPr>
        <w:rFonts w:ascii="Symbol" w:hAnsi="Symbol" w:hint="default"/>
      </w:rPr>
    </w:lvl>
    <w:lvl w:ilvl="7" w:tplc="EDE6363A">
      <w:start w:val="1"/>
      <w:numFmt w:val="bullet"/>
      <w:lvlText w:val="o"/>
      <w:lvlJc w:val="left"/>
      <w:pPr>
        <w:ind w:left="5760" w:hanging="360"/>
      </w:pPr>
      <w:rPr>
        <w:rFonts w:ascii="Courier New" w:hAnsi="Courier New" w:hint="default"/>
      </w:rPr>
    </w:lvl>
    <w:lvl w:ilvl="8" w:tplc="C5807A14">
      <w:start w:val="1"/>
      <w:numFmt w:val="bullet"/>
      <w:lvlText w:val=""/>
      <w:lvlJc w:val="left"/>
      <w:pPr>
        <w:ind w:left="6480" w:hanging="360"/>
      </w:pPr>
      <w:rPr>
        <w:rFonts w:ascii="Wingdings" w:hAnsi="Wingdings" w:hint="default"/>
      </w:rPr>
    </w:lvl>
  </w:abstractNum>
  <w:abstractNum w:abstractNumId="3" w15:restartNumberingAfterBreak="0">
    <w:nsid w:val="69412FB9"/>
    <w:multiLevelType w:val="multilevel"/>
    <w:tmpl w:val="1222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5132652">
    <w:abstractNumId w:val="2"/>
  </w:num>
  <w:num w:numId="2" w16cid:durableId="2103716033">
    <w:abstractNumId w:val="0"/>
  </w:num>
  <w:num w:numId="3" w16cid:durableId="2124493698">
    <w:abstractNumId w:val="3"/>
  </w:num>
  <w:num w:numId="4" w16cid:durableId="50987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6BC"/>
    <w:rsid w:val="00020880"/>
    <w:rsid w:val="000339C1"/>
    <w:rsid w:val="000412DA"/>
    <w:rsid w:val="00046D48"/>
    <w:rsid w:val="0005378A"/>
    <w:rsid w:val="00053B93"/>
    <w:rsid w:val="00056CC8"/>
    <w:rsid w:val="0006013E"/>
    <w:rsid w:val="000619EC"/>
    <w:rsid w:val="00062A80"/>
    <w:rsid w:val="00081F7F"/>
    <w:rsid w:val="000C47A0"/>
    <w:rsid w:val="000C7C9A"/>
    <w:rsid w:val="000E2D21"/>
    <w:rsid w:val="000F6F64"/>
    <w:rsid w:val="00100B01"/>
    <w:rsid w:val="001026FA"/>
    <w:rsid w:val="0012001E"/>
    <w:rsid w:val="00131D90"/>
    <w:rsid w:val="00135F0D"/>
    <w:rsid w:val="00147264"/>
    <w:rsid w:val="00151E77"/>
    <w:rsid w:val="00155632"/>
    <w:rsid w:val="00157C4B"/>
    <w:rsid w:val="0018115F"/>
    <w:rsid w:val="00187000"/>
    <w:rsid w:val="001A1D0D"/>
    <w:rsid w:val="001B0C9B"/>
    <w:rsid w:val="001B1EAA"/>
    <w:rsid w:val="001E23B2"/>
    <w:rsid w:val="001F6D4E"/>
    <w:rsid w:val="001F6D99"/>
    <w:rsid w:val="00200553"/>
    <w:rsid w:val="0020665D"/>
    <w:rsid w:val="00206C09"/>
    <w:rsid w:val="00211AAE"/>
    <w:rsid w:val="00221A96"/>
    <w:rsid w:val="00224218"/>
    <w:rsid w:val="002463C1"/>
    <w:rsid w:val="00262794"/>
    <w:rsid w:val="002978DB"/>
    <w:rsid w:val="002A5229"/>
    <w:rsid w:val="002A5BA5"/>
    <w:rsid w:val="002A5D8C"/>
    <w:rsid w:val="002B1A27"/>
    <w:rsid w:val="002D26D8"/>
    <w:rsid w:val="00313312"/>
    <w:rsid w:val="003201C3"/>
    <w:rsid w:val="00326059"/>
    <w:rsid w:val="00342E46"/>
    <w:rsid w:val="0038064C"/>
    <w:rsid w:val="003A0163"/>
    <w:rsid w:val="003A7E45"/>
    <w:rsid w:val="003D2925"/>
    <w:rsid w:val="003E1674"/>
    <w:rsid w:val="003F0127"/>
    <w:rsid w:val="003F12BD"/>
    <w:rsid w:val="003F52DA"/>
    <w:rsid w:val="00411C3A"/>
    <w:rsid w:val="00413267"/>
    <w:rsid w:val="00421F23"/>
    <w:rsid w:val="00433279"/>
    <w:rsid w:val="00434D15"/>
    <w:rsid w:val="004442BE"/>
    <w:rsid w:val="0046223E"/>
    <w:rsid w:val="0046520D"/>
    <w:rsid w:val="00475942"/>
    <w:rsid w:val="004774A6"/>
    <w:rsid w:val="00480F92"/>
    <w:rsid w:val="0048310E"/>
    <w:rsid w:val="0049183A"/>
    <w:rsid w:val="00495E1C"/>
    <w:rsid w:val="004A127B"/>
    <w:rsid w:val="004C1DAE"/>
    <w:rsid w:val="004C4D6A"/>
    <w:rsid w:val="004D1EE1"/>
    <w:rsid w:val="004D3C25"/>
    <w:rsid w:val="004D5A7F"/>
    <w:rsid w:val="004E3E8A"/>
    <w:rsid w:val="004F15E5"/>
    <w:rsid w:val="004F2225"/>
    <w:rsid w:val="004F4A0D"/>
    <w:rsid w:val="00500AC9"/>
    <w:rsid w:val="00503BFE"/>
    <w:rsid w:val="00511A4C"/>
    <w:rsid w:val="0053001B"/>
    <w:rsid w:val="00541CD9"/>
    <w:rsid w:val="0055151F"/>
    <w:rsid w:val="00557618"/>
    <w:rsid w:val="005610A8"/>
    <w:rsid w:val="005705C1"/>
    <w:rsid w:val="00580088"/>
    <w:rsid w:val="005B7E97"/>
    <w:rsid w:val="005C1A96"/>
    <w:rsid w:val="005D2977"/>
    <w:rsid w:val="005E416A"/>
    <w:rsid w:val="005E67A7"/>
    <w:rsid w:val="005F300E"/>
    <w:rsid w:val="005F376C"/>
    <w:rsid w:val="006068F3"/>
    <w:rsid w:val="00607C3C"/>
    <w:rsid w:val="00621A5B"/>
    <w:rsid w:val="006273A7"/>
    <w:rsid w:val="00627674"/>
    <w:rsid w:val="00630D75"/>
    <w:rsid w:val="00636A04"/>
    <w:rsid w:val="00653F79"/>
    <w:rsid w:val="00660789"/>
    <w:rsid w:val="00665FBF"/>
    <w:rsid w:val="006813EF"/>
    <w:rsid w:val="00681C95"/>
    <w:rsid w:val="00685194"/>
    <w:rsid w:val="00692D20"/>
    <w:rsid w:val="00696E7C"/>
    <w:rsid w:val="006976FA"/>
    <w:rsid w:val="006A0811"/>
    <w:rsid w:val="006B4706"/>
    <w:rsid w:val="006C46FC"/>
    <w:rsid w:val="006D420B"/>
    <w:rsid w:val="006E6305"/>
    <w:rsid w:val="0070439F"/>
    <w:rsid w:val="007146D3"/>
    <w:rsid w:val="007218E6"/>
    <w:rsid w:val="0072684B"/>
    <w:rsid w:val="00732C2B"/>
    <w:rsid w:val="007330ED"/>
    <w:rsid w:val="00734FDD"/>
    <w:rsid w:val="00744A3E"/>
    <w:rsid w:val="00747CE7"/>
    <w:rsid w:val="00751D59"/>
    <w:rsid w:val="00762614"/>
    <w:rsid w:val="00770905"/>
    <w:rsid w:val="00773B64"/>
    <w:rsid w:val="00774796"/>
    <w:rsid w:val="00792642"/>
    <w:rsid w:val="007959A9"/>
    <w:rsid w:val="007A3B3F"/>
    <w:rsid w:val="007A507F"/>
    <w:rsid w:val="007A5ACF"/>
    <w:rsid w:val="007A651F"/>
    <w:rsid w:val="007B22FC"/>
    <w:rsid w:val="007B596D"/>
    <w:rsid w:val="007D2C9D"/>
    <w:rsid w:val="007D46A8"/>
    <w:rsid w:val="007D6146"/>
    <w:rsid w:val="007E2CE2"/>
    <w:rsid w:val="007E461F"/>
    <w:rsid w:val="007E55B6"/>
    <w:rsid w:val="007E6C40"/>
    <w:rsid w:val="007E749F"/>
    <w:rsid w:val="007F0940"/>
    <w:rsid w:val="007F4F8C"/>
    <w:rsid w:val="008202A2"/>
    <w:rsid w:val="00826EE1"/>
    <w:rsid w:val="0085457A"/>
    <w:rsid w:val="00863A72"/>
    <w:rsid w:val="0087736E"/>
    <w:rsid w:val="008852B0"/>
    <w:rsid w:val="00887883"/>
    <w:rsid w:val="008935D2"/>
    <w:rsid w:val="008B1F8B"/>
    <w:rsid w:val="008F0156"/>
    <w:rsid w:val="008F046F"/>
    <w:rsid w:val="008F0F6B"/>
    <w:rsid w:val="008F5453"/>
    <w:rsid w:val="008F5A60"/>
    <w:rsid w:val="008F7821"/>
    <w:rsid w:val="008F7E91"/>
    <w:rsid w:val="00922446"/>
    <w:rsid w:val="00924DC2"/>
    <w:rsid w:val="009309EF"/>
    <w:rsid w:val="009338DE"/>
    <w:rsid w:val="009345A3"/>
    <w:rsid w:val="00946D40"/>
    <w:rsid w:val="00984C51"/>
    <w:rsid w:val="009862EF"/>
    <w:rsid w:val="009A00ED"/>
    <w:rsid w:val="009B1933"/>
    <w:rsid w:val="009B27FE"/>
    <w:rsid w:val="009B409D"/>
    <w:rsid w:val="009B7343"/>
    <w:rsid w:val="009B7EA3"/>
    <w:rsid w:val="009C2808"/>
    <w:rsid w:val="009C7D3C"/>
    <w:rsid w:val="009D4280"/>
    <w:rsid w:val="009E470F"/>
    <w:rsid w:val="009F1DA0"/>
    <w:rsid w:val="009F3FFF"/>
    <w:rsid w:val="00A21F2A"/>
    <w:rsid w:val="00A22E2A"/>
    <w:rsid w:val="00A24476"/>
    <w:rsid w:val="00A277B0"/>
    <w:rsid w:val="00A36619"/>
    <w:rsid w:val="00A477B2"/>
    <w:rsid w:val="00A50C98"/>
    <w:rsid w:val="00A676E2"/>
    <w:rsid w:val="00A710D3"/>
    <w:rsid w:val="00A81A9E"/>
    <w:rsid w:val="00AB09EE"/>
    <w:rsid w:val="00AB303B"/>
    <w:rsid w:val="00AC7656"/>
    <w:rsid w:val="00AD01A1"/>
    <w:rsid w:val="00B01E6B"/>
    <w:rsid w:val="00B14714"/>
    <w:rsid w:val="00B173A7"/>
    <w:rsid w:val="00B17B16"/>
    <w:rsid w:val="00B266BC"/>
    <w:rsid w:val="00B523FA"/>
    <w:rsid w:val="00B61A79"/>
    <w:rsid w:val="00B721D8"/>
    <w:rsid w:val="00B73B99"/>
    <w:rsid w:val="00B74292"/>
    <w:rsid w:val="00B94962"/>
    <w:rsid w:val="00BA4744"/>
    <w:rsid w:val="00BA76F9"/>
    <w:rsid w:val="00BC0C4D"/>
    <w:rsid w:val="00BC1B86"/>
    <w:rsid w:val="00BC76A5"/>
    <w:rsid w:val="00BE24DE"/>
    <w:rsid w:val="00BF1930"/>
    <w:rsid w:val="00BF4996"/>
    <w:rsid w:val="00BF6B3C"/>
    <w:rsid w:val="00BF77ED"/>
    <w:rsid w:val="00C01346"/>
    <w:rsid w:val="00C04830"/>
    <w:rsid w:val="00C05EDD"/>
    <w:rsid w:val="00C06E68"/>
    <w:rsid w:val="00C1158F"/>
    <w:rsid w:val="00C15080"/>
    <w:rsid w:val="00C16DF7"/>
    <w:rsid w:val="00C22EB5"/>
    <w:rsid w:val="00C23CA1"/>
    <w:rsid w:val="00C263A6"/>
    <w:rsid w:val="00C3212C"/>
    <w:rsid w:val="00C332E9"/>
    <w:rsid w:val="00C40EFA"/>
    <w:rsid w:val="00C44B14"/>
    <w:rsid w:val="00C51774"/>
    <w:rsid w:val="00C51926"/>
    <w:rsid w:val="00C54FB1"/>
    <w:rsid w:val="00C55433"/>
    <w:rsid w:val="00C574FF"/>
    <w:rsid w:val="00C83372"/>
    <w:rsid w:val="00CA6BBA"/>
    <w:rsid w:val="00CB393B"/>
    <w:rsid w:val="00CB3EAA"/>
    <w:rsid w:val="00CC0CD5"/>
    <w:rsid w:val="00CC2D2E"/>
    <w:rsid w:val="00CD1230"/>
    <w:rsid w:val="00CD5245"/>
    <w:rsid w:val="00CE471C"/>
    <w:rsid w:val="00CF2972"/>
    <w:rsid w:val="00CF5A59"/>
    <w:rsid w:val="00D10EEF"/>
    <w:rsid w:val="00D230A0"/>
    <w:rsid w:val="00D42702"/>
    <w:rsid w:val="00D46A19"/>
    <w:rsid w:val="00D676AB"/>
    <w:rsid w:val="00D97AD2"/>
    <w:rsid w:val="00DC202B"/>
    <w:rsid w:val="00DD6496"/>
    <w:rsid w:val="00DD7F32"/>
    <w:rsid w:val="00DE51D1"/>
    <w:rsid w:val="00DF00EC"/>
    <w:rsid w:val="00DF0D5E"/>
    <w:rsid w:val="00E01317"/>
    <w:rsid w:val="00E02D4B"/>
    <w:rsid w:val="00E123DA"/>
    <w:rsid w:val="00E25F72"/>
    <w:rsid w:val="00E34C83"/>
    <w:rsid w:val="00E36010"/>
    <w:rsid w:val="00E75F2F"/>
    <w:rsid w:val="00EB349C"/>
    <w:rsid w:val="00EB4214"/>
    <w:rsid w:val="00EE13F4"/>
    <w:rsid w:val="00EE4690"/>
    <w:rsid w:val="00EE601F"/>
    <w:rsid w:val="00F00B07"/>
    <w:rsid w:val="00F0286A"/>
    <w:rsid w:val="00F24378"/>
    <w:rsid w:val="00F26A0C"/>
    <w:rsid w:val="00F447D5"/>
    <w:rsid w:val="00F526B4"/>
    <w:rsid w:val="00F53DD2"/>
    <w:rsid w:val="00F60DCF"/>
    <w:rsid w:val="00F620F9"/>
    <w:rsid w:val="00F63D3B"/>
    <w:rsid w:val="00F64A52"/>
    <w:rsid w:val="00F669FF"/>
    <w:rsid w:val="00F76CEA"/>
    <w:rsid w:val="00F82172"/>
    <w:rsid w:val="00F917AF"/>
    <w:rsid w:val="00FD406E"/>
    <w:rsid w:val="00FD6A4B"/>
    <w:rsid w:val="00FE1E9A"/>
    <w:rsid w:val="00FE2587"/>
    <w:rsid w:val="00FF3E6B"/>
    <w:rsid w:val="00FF6FDF"/>
    <w:rsid w:val="02E32645"/>
    <w:rsid w:val="0569FA32"/>
    <w:rsid w:val="08FB79F2"/>
    <w:rsid w:val="0A4E8CB3"/>
    <w:rsid w:val="0C4FA7A7"/>
    <w:rsid w:val="0DCFC08E"/>
    <w:rsid w:val="0F7230FD"/>
    <w:rsid w:val="172AC497"/>
    <w:rsid w:val="1A5A31AF"/>
    <w:rsid w:val="1FEE78F0"/>
    <w:rsid w:val="232619B2"/>
    <w:rsid w:val="31678E24"/>
    <w:rsid w:val="32ADF941"/>
    <w:rsid w:val="40E940AA"/>
    <w:rsid w:val="41A9E3A0"/>
    <w:rsid w:val="4F779C09"/>
    <w:rsid w:val="52AF3CCB"/>
    <w:rsid w:val="55346C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AC9D1"/>
  <w15:chartTrackingRefBased/>
  <w15:docId w15:val="{D18A2447-1D1F-4DA0-8961-C9028666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7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A9E"/>
  </w:style>
  <w:style w:type="paragraph" w:styleId="Footer">
    <w:name w:val="footer"/>
    <w:basedOn w:val="Normal"/>
    <w:link w:val="FooterChar"/>
    <w:uiPriority w:val="99"/>
    <w:unhideWhenUsed/>
    <w:rsid w:val="00A81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A9E"/>
  </w:style>
  <w:style w:type="character" w:customStyle="1" w:styleId="Heading1Char">
    <w:name w:val="Heading 1 Char"/>
    <w:basedOn w:val="DefaultParagraphFont"/>
    <w:link w:val="Heading1"/>
    <w:uiPriority w:val="9"/>
    <w:rsid w:val="00F447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7D5"/>
    <w:pPr>
      <w:outlineLvl w:val="9"/>
    </w:pPr>
    <w:rPr>
      <w:kern w:val="0"/>
      <w:lang w:val="en-US"/>
      <w14:ligatures w14:val="none"/>
    </w:rPr>
  </w:style>
  <w:style w:type="table" w:styleId="TableGrid">
    <w:name w:val="Table Grid"/>
    <w:basedOn w:val="TableNormal"/>
    <w:uiPriority w:val="39"/>
    <w:rsid w:val="00F447D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4F15E5"/>
    <w:rPr>
      <w:sz w:val="16"/>
      <w:szCs w:val="16"/>
    </w:rPr>
  </w:style>
  <w:style w:type="paragraph" w:styleId="CommentText">
    <w:name w:val="annotation text"/>
    <w:basedOn w:val="Normal"/>
    <w:link w:val="CommentTextChar"/>
    <w:uiPriority w:val="99"/>
    <w:unhideWhenUsed/>
    <w:rsid w:val="004F15E5"/>
    <w:pPr>
      <w:spacing w:line="240" w:lineRule="auto"/>
    </w:pPr>
    <w:rPr>
      <w:sz w:val="20"/>
      <w:szCs w:val="20"/>
    </w:rPr>
  </w:style>
  <w:style w:type="character" w:customStyle="1" w:styleId="CommentTextChar">
    <w:name w:val="Comment Text Char"/>
    <w:basedOn w:val="DefaultParagraphFont"/>
    <w:link w:val="CommentText"/>
    <w:uiPriority w:val="99"/>
    <w:rsid w:val="004F15E5"/>
    <w:rPr>
      <w:sz w:val="20"/>
      <w:szCs w:val="20"/>
    </w:rPr>
  </w:style>
  <w:style w:type="paragraph" w:styleId="CommentSubject">
    <w:name w:val="annotation subject"/>
    <w:basedOn w:val="CommentText"/>
    <w:next w:val="CommentText"/>
    <w:link w:val="CommentSubjectChar"/>
    <w:uiPriority w:val="99"/>
    <w:semiHidden/>
    <w:unhideWhenUsed/>
    <w:rsid w:val="004F15E5"/>
    <w:rPr>
      <w:b/>
      <w:bCs/>
    </w:rPr>
  </w:style>
  <w:style w:type="character" w:customStyle="1" w:styleId="CommentSubjectChar">
    <w:name w:val="Comment Subject Char"/>
    <w:basedOn w:val="CommentTextChar"/>
    <w:link w:val="CommentSubject"/>
    <w:uiPriority w:val="99"/>
    <w:semiHidden/>
    <w:rsid w:val="004F15E5"/>
    <w:rPr>
      <w:b/>
      <w:bCs/>
      <w:sz w:val="20"/>
      <w:szCs w:val="20"/>
    </w:rPr>
  </w:style>
  <w:style w:type="paragraph" w:styleId="NormalWeb">
    <w:name w:val="Normal (Web)"/>
    <w:basedOn w:val="Normal"/>
    <w:uiPriority w:val="99"/>
    <w:semiHidden/>
    <w:unhideWhenUsed/>
    <w:rsid w:val="00495E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526B4"/>
    <w:rPr>
      <w:color w:val="0563C1" w:themeColor="hyperlink"/>
      <w:u w:val="single"/>
    </w:rPr>
  </w:style>
  <w:style w:type="character" w:styleId="UnresolvedMention">
    <w:name w:val="Unresolved Mention"/>
    <w:basedOn w:val="DefaultParagraphFont"/>
    <w:uiPriority w:val="99"/>
    <w:semiHidden/>
    <w:unhideWhenUsed/>
    <w:rsid w:val="00F52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08954">
      <w:bodyDiv w:val="1"/>
      <w:marLeft w:val="0"/>
      <w:marRight w:val="0"/>
      <w:marTop w:val="0"/>
      <w:marBottom w:val="0"/>
      <w:divBdr>
        <w:top w:val="none" w:sz="0" w:space="0" w:color="auto"/>
        <w:left w:val="none" w:sz="0" w:space="0" w:color="auto"/>
        <w:bottom w:val="none" w:sz="0" w:space="0" w:color="auto"/>
        <w:right w:val="none" w:sz="0" w:space="0" w:color="auto"/>
      </w:divBdr>
      <w:divsChild>
        <w:div w:id="542450771">
          <w:marLeft w:val="0"/>
          <w:marRight w:val="0"/>
          <w:marTop w:val="0"/>
          <w:marBottom w:val="0"/>
          <w:divBdr>
            <w:top w:val="none" w:sz="0" w:space="0" w:color="auto"/>
            <w:left w:val="none" w:sz="0" w:space="0" w:color="auto"/>
            <w:bottom w:val="none" w:sz="0" w:space="0" w:color="auto"/>
            <w:right w:val="none" w:sz="0" w:space="0" w:color="auto"/>
          </w:divBdr>
        </w:div>
      </w:divsChild>
    </w:div>
    <w:div w:id="566190170">
      <w:bodyDiv w:val="1"/>
      <w:marLeft w:val="0"/>
      <w:marRight w:val="0"/>
      <w:marTop w:val="0"/>
      <w:marBottom w:val="0"/>
      <w:divBdr>
        <w:top w:val="none" w:sz="0" w:space="0" w:color="auto"/>
        <w:left w:val="none" w:sz="0" w:space="0" w:color="auto"/>
        <w:bottom w:val="none" w:sz="0" w:space="0" w:color="auto"/>
        <w:right w:val="none" w:sz="0" w:space="0" w:color="auto"/>
      </w:divBdr>
    </w:div>
    <w:div w:id="610599109">
      <w:bodyDiv w:val="1"/>
      <w:marLeft w:val="0"/>
      <w:marRight w:val="0"/>
      <w:marTop w:val="0"/>
      <w:marBottom w:val="0"/>
      <w:divBdr>
        <w:top w:val="none" w:sz="0" w:space="0" w:color="auto"/>
        <w:left w:val="none" w:sz="0" w:space="0" w:color="auto"/>
        <w:bottom w:val="none" w:sz="0" w:space="0" w:color="auto"/>
        <w:right w:val="none" w:sz="0" w:space="0" w:color="auto"/>
      </w:divBdr>
    </w:div>
    <w:div w:id="966817409">
      <w:bodyDiv w:val="1"/>
      <w:marLeft w:val="0"/>
      <w:marRight w:val="0"/>
      <w:marTop w:val="0"/>
      <w:marBottom w:val="0"/>
      <w:divBdr>
        <w:top w:val="none" w:sz="0" w:space="0" w:color="auto"/>
        <w:left w:val="none" w:sz="0" w:space="0" w:color="auto"/>
        <w:bottom w:val="none" w:sz="0" w:space="0" w:color="auto"/>
        <w:right w:val="none" w:sz="0" w:space="0" w:color="auto"/>
      </w:divBdr>
    </w:div>
    <w:div w:id="118162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eric.ed.gov/fulltext/ED541400.pdf" TargetMode="External"/><Relationship Id="rId18" Type="http://schemas.openxmlformats.org/officeDocument/2006/relationships/hyperlink" Target="https://www.datamation.com/big-data/what-is-quantitative-data/" TargetMode="External"/><Relationship Id="rId26" Type="http://schemas.openxmlformats.org/officeDocument/2006/relationships/hyperlink" Target="https://geographypoint.com/2018/10/advantages-and-disadvantages-of-pie-charts/#google_vignette" TargetMode="External"/><Relationship Id="rId39" Type="http://schemas.openxmlformats.org/officeDocument/2006/relationships/hyperlink" Target="https://hwb.gov.wales/api/storage/19bc948b-8a3f-41e0-944a-7bf2cadf7d18/professional-standards-for-teaching-and-leadership-interactive-pdf-for-pc.pdf" TargetMode="External"/><Relationship Id="rId21" Type="http://schemas.openxmlformats.org/officeDocument/2006/relationships/hyperlink" Target="https://www.scribbr.com/methodology/case-study/" TargetMode="External"/><Relationship Id="rId34" Type="http://schemas.openxmlformats.org/officeDocument/2006/relationships/hyperlink" Target="https://www.researchgate.net/publication/265682891_The_case_study_as_a_type_of_qualitative_research"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mc-uk.org/professional-standards/professional-standards-for-doctors/consent-to-research/consent-to-research#:~:text=Before%20involving%20a%20child%20or%20young%20person%20in,more%20than%20low%20or%20minimal%20risk%20of%20harm" TargetMode="External"/><Relationship Id="rId20" Type="http://schemas.openxmlformats.org/officeDocument/2006/relationships/hyperlink" Target="https://www.surveylegend.com/online-survey/advantages-of-online-surveys/" TargetMode="External"/><Relationship Id="rId29" Type="http://schemas.openxmlformats.org/officeDocument/2006/relationships/hyperlink" Target="https://www.nhs.uk/conditions/dyslexia/symptom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simplypsychology.org/interviews.html#Focus-Group-Interview" TargetMode="External"/><Relationship Id="rId32" Type="http://schemas.openxmlformats.org/officeDocument/2006/relationships/hyperlink" Target="https://www.gov.uk/guidance/focus-group-study-qualitative-studies" TargetMode="External"/><Relationship Id="rId37" Type="http://schemas.openxmlformats.org/officeDocument/2006/relationships/hyperlink" Target="https://www.theguardian.com/books/2023/feb/27/cost-of-living-crisis-one-in-five-parents-spend-less-on-books-for-their-children"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rimarysite-prod-sorted.s3.amazonaws.com/stebonheath-primary/UploadedDocument/b13a41ecfcc14cca9991ce3a4aed38d3/stebonheath-c.p.school.pdf" TargetMode="External"/><Relationship Id="rId23" Type="http://schemas.openxmlformats.org/officeDocument/2006/relationships/hyperlink" Target="https://www.simplypsychology.org/qualitative-quantitative.html" TargetMode="External"/><Relationship Id="rId28" Type="http://schemas.openxmlformats.org/officeDocument/2006/relationships/hyperlink" Target="https://literacytrust.org.uk/research-services/research-themes/reading/" TargetMode="External"/><Relationship Id="rId36" Type="http://schemas.openxmlformats.org/officeDocument/2006/relationships/hyperlink" Target="https://www.scribbr.co.uk/faqs/what-is-the-definition-of-a-focus-group/" TargetMode="External"/><Relationship Id="rId10" Type="http://schemas.openxmlformats.org/officeDocument/2006/relationships/endnotes" Target="endnotes.xml"/><Relationship Id="rId19" Type="http://schemas.openxmlformats.org/officeDocument/2006/relationships/hyperlink" Target="https://bera-journals.onlinelibrary.wiley.com/doi/full/10.1111/j.1467-8535.2006.00638.x?saml_referrer" TargetMode="External"/><Relationship Id="rId31" Type="http://schemas.openxmlformats.org/officeDocument/2006/relationships/hyperlink" Target="https://learning.nspcc.org.uk/research-resources/briefings/research-with-children-ethics-safety-promoting-inclusion"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elpfulprofessor.com/case-study-advantages-and-disadvantages/" TargetMode="External"/><Relationship Id="rId22" Type="http://schemas.openxmlformats.org/officeDocument/2006/relationships/hyperlink" Target="https://www.simplypsychology.org/case-study.html#Limitations" TargetMode="External"/><Relationship Id="rId27" Type="http://schemas.openxmlformats.org/officeDocument/2006/relationships/hyperlink" Target="https://literacytrust.org.uk/research-services/research-reports/children-and-young-peoples-reading-in-2023/" TargetMode="External"/><Relationship Id="rId30" Type="http://schemas.openxmlformats.org/officeDocument/2006/relationships/hyperlink" Target="https://www.sciencedirect.com/science/article/abs/pii/S0190740921000207?via%3Dihub" TargetMode="External"/><Relationship Id="rId35" Type="http://schemas.openxmlformats.org/officeDocument/2006/relationships/hyperlink" Target="https://www.scribbr.com/category/research-bia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dutopia.org/article/improving-reading-outcomes-economically-disadvantaged-students" TargetMode="External"/><Relationship Id="rId17" Type="http://schemas.openxmlformats.org/officeDocument/2006/relationships/hyperlink" Target="https://researchmethod.net/case-study-research/#:~:text=A%20case%20study%20is%20a%20research%20method%20that" TargetMode="External"/><Relationship Id="rId25" Type="http://schemas.openxmlformats.org/officeDocument/2006/relationships/hyperlink" Target="https://www.simplypsychology.org/questionnaires.html" TargetMode="External"/><Relationship Id="rId33" Type="http://schemas.openxmlformats.org/officeDocument/2006/relationships/hyperlink" Target="https://readingmate.co.uk/why-arent-our-children-reading-at-home/" TargetMode="External"/><Relationship Id="rId38" Type="http://schemas.openxmlformats.org/officeDocument/2006/relationships/hyperlink" Target="https://www.verywellmind.com/how-to-write-a-psychology-case-study-2795722#toc-benefits-and-limi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440222b8a470680fac754ee3fc81500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c9e9924c5d0eb1c8509c74e8be52c1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5EEDE452-EE95-4230-9382-0228D8314A96}">
  <ds:schemaRefs>
    <ds:schemaRef ds:uri="http://schemas.openxmlformats.org/officeDocument/2006/bibliography"/>
  </ds:schemaRefs>
</ds:datastoreItem>
</file>

<file path=customXml/itemProps2.xml><?xml version="1.0" encoding="utf-8"?>
<ds:datastoreItem xmlns:ds="http://schemas.openxmlformats.org/officeDocument/2006/customXml" ds:itemID="{4338379F-B142-4B15-A6F3-E26CD4078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1DA4DC-1182-4D40-97B8-40DFF7EE6D67}">
  <ds:schemaRefs>
    <ds:schemaRef ds:uri="http://schemas.microsoft.com/sharepoint/v3/contenttype/forms"/>
  </ds:schemaRefs>
</ds:datastoreItem>
</file>

<file path=customXml/itemProps4.xml><?xml version="1.0" encoding="utf-8"?>
<ds:datastoreItem xmlns:ds="http://schemas.openxmlformats.org/officeDocument/2006/customXml" ds:itemID="{FE45BEF8-CBFE-4DF4-AA86-75C5204A9EBD}">
  <ds:schemaRefs>
    <ds:schemaRef ds:uri="http://purl.org/dc/terms/"/>
    <ds:schemaRef ds:uri="7b23fa32-4003-4364-bee1-595462966394"/>
    <ds:schemaRef ds:uri="f54e4810-f1f5-4bce-aa8e-e4722dc561be"/>
    <ds:schemaRef ds:uri="http://purl.org/dc/elements/1.1/"/>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7384</Words>
  <Characters>42092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 (2000871)</dc:creator>
  <cp:keywords/>
  <dc:description/>
  <cp:lastModifiedBy>Meg Ward (2004861)</cp:lastModifiedBy>
  <cp:revision>2</cp:revision>
  <dcterms:created xsi:type="dcterms:W3CDTF">2024-01-05T20:56:00Z</dcterms:created>
  <dcterms:modified xsi:type="dcterms:W3CDTF">2024-01-05T20:56:00Z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cd6cd38b2f5d0bea468f71ba56f7da3559ecd9374a4bb75e3ee8c01876278eec</vt:lpwstr>
  </property>
  <property fmtid="{D5CDD505-2E9C-101B-9397-08002B2CF9AE}" pid="3" name="ContentTypeId">
    <vt:lpwstr>0x0101000033FA223336B44AB78A5EBBE6527CC3</vt:lpwstr>
  </property>
</Properties>
</file>