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Plan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topic I explore is the relationship between the growth mindset and mathematics achievement of Chinese junior high school students. There are several reasons for studying this topic. First of all, mathematics achievement is one of the important indicators to evaluate students’ learning achievement, which is not only related to students’ academic development, but also affects their future career choice and life path. Therefore, understanding the factors that affect mathematics achievement, especially those that can be interfered with and cultivated such as growth mindset, is of great significance for improving the quality of education. Secondly, growth mindset reflects students’ attitude towards their learning ability and facing challenges, which directly affects their learning motivation, persistence and coping strategies. In math, a discipline that requires logical thinking and constant practice, growth mindset is especially important. Students with growth mindset are more likely to view math challenges as an opportunity to improve rather than a threat, which helps them stay positive and keep working hard when they encounter difficult problems. Finally, by studying the relationship between growth mindset and math achievement, educators can guide students more effectively, help them build positive learning attitudes, and overcome learning disabilities. In addition, this research can provide a scientific basis for education policy formulation, and promote the continuous improvement of the education system to better cultivate the growth mentality of students, therefore improving the overall quality of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i w:val="0"/>
          <w:iCs w:val="0"/>
          <w:sz w:val="24"/>
          <w:szCs w:val="24"/>
          <w:lang w:val="en-US" w:eastAsia="zh-CN"/>
        </w:rPr>
      </w:pPr>
      <w:r>
        <w:rPr>
          <w:rFonts w:hint="default" w:ascii="Times New Roman Regular" w:hAnsi="Times New Roman Regular" w:cs="Times New Roman Regular"/>
          <w:sz w:val="24"/>
          <w:szCs w:val="24"/>
          <w:lang w:val="en-US" w:eastAsia="zh-CN"/>
        </w:rPr>
        <w:t>To study the relationship between students’ growth mindset and mathematics achievement, I need to consult the literature on psychology, education, and math education. First of all, regarding psychology, I refer to Dweck’s literature on the study of mentality. Dweck was the first to suggest that there are types of mindsets divided into fixed mindsets and growth mindsets, so the literature on this must be mentioned.</w:t>
      </w:r>
      <w:r>
        <w:rPr>
          <w:rFonts w:hint="eastAsia" w:ascii="Times New Roman Regular" w:hAnsi="Times New Roman Regular" w:cs="Times New Roman Regular"/>
          <w:sz w:val="24"/>
          <w:szCs w:val="24"/>
          <w:lang w:val="en-US" w:eastAsia="zh-CN"/>
        </w:rPr>
        <w:t xml:space="preserve"> This includes Dewck</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 xml:space="preserve">s 2016 paper on </w:t>
      </w:r>
      <w:r>
        <w:rPr>
          <w:rFonts w:hint="default" w:ascii="Times New Roman Italic" w:hAnsi="Times New Roman Italic" w:cs="Times New Roman Italic"/>
          <w:i/>
          <w:iCs/>
          <w:sz w:val="24"/>
          <w:szCs w:val="24"/>
          <w:lang w:val="en-US" w:eastAsia="zh-CN"/>
        </w:rPr>
        <w:t xml:space="preserve">What having a "growth mindset" actually means </w:t>
      </w:r>
      <w:r>
        <w:rPr>
          <w:rFonts w:hint="default" w:ascii="Times New Roman" w:hAnsi="Times New Roman" w:cs="Times New Roman"/>
          <w:i w:val="0"/>
          <w:iCs w:val="0"/>
          <w:sz w:val="24"/>
          <w:szCs w:val="24"/>
          <w:lang w:val="en-US" w:eastAsia="zh-CN"/>
        </w:rPr>
        <w:t xml:space="preserve">and his 2015 paper on </w:t>
      </w:r>
      <w:r>
        <w:rPr>
          <w:rFonts w:hint="default" w:ascii="Times New Roman Italic" w:hAnsi="Times New Roman Italic" w:cs="Times New Roman Italic"/>
          <w:i/>
          <w:iCs/>
          <w:sz w:val="24"/>
          <w:szCs w:val="24"/>
          <w:lang w:val="en-US" w:eastAsia="zh-CN"/>
        </w:rPr>
        <w:t>Carol Dweck revisits the growth mindset</w:t>
      </w:r>
      <w:r>
        <w:rPr>
          <w:rFonts w:hint="default" w:ascii="Times New Roman" w:hAnsi="Times New Roman" w:cs="Times New Roman"/>
          <w:i w:val="0"/>
          <w:iCs w:val="0"/>
          <w:sz w:val="24"/>
          <w:szCs w:val="24"/>
          <w:lang w:val="en-US" w:eastAsia="zh-CN"/>
        </w:rPr>
        <w:t>. In both articles, he elaborates specifically on what a growth mindset is and what it affects.</w:t>
      </w:r>
      <w:r>
        <w:rPr>
          <w:rFonts w:hint="eastAsia" w:ascii="Times New Roman" w:hAnsi="Times New Roman" w:cs="Times New Roman"/>
          <w:i w:val="0"/>
          <w:iCs w:val="0"/>
          <w:sz w:val="24"/>
          <w:szCs w:val="24"/>
          <w:lang w:val="en-US" w:eastAsia="zh-CN"/>
        </w:rPr>
        <w:t xml:space="preserve"> In addition, I also need to refer to the literature on pedagogy, especially focusing on the various influencing factors of students' academic performance, including learning attitude, motivation and learning strategy. In this way I can find research on the relationship between math achievement and different educational interventions. Moreover, these researches should be related to the </w:t>
      </w:r>
      <w:r>
        <w:rPr>
          <w:rFonts w:hint="default" w:ascii="Times New Roman" w:hAnsi="Times New Roman" w:cs="Times New Roman"/>
          <w:i w:val="0"/>
          <w:iCs w:val="0"/>
          <w:sz w:val="24"/>
          <w:szCs w:val="24"/>
          <w:lang w:val="en-US" w:eastAsia="zh-CN"/>
        </w:rPr>
        <w:t>g</w:t>
      </w:r>
      <w:r>
        <w:rPr>
          <w:rFonts w:hint="eastAsia" w:ascii="Times New Roman" w:hAnsi="Times New Roman" w:cs="Times New Roman"/>
          <w:i w:val="0"/>
          <w:iCs w:val="0"/>
          <w:sz w:val="24"/>
          <w:szCs w:val="24"/>
          <w:lang w:val="en-US" w:eastAsia="zh-CN"/>
        </w:rPr>
        <w:t>rowth mindset mentioned in the theme, for example, Bedford</w:t>
      </w:r>
      <w:r>
        <w:rPr>
          <w:rFonts w:hint="default" w:ascii="Times New Roman" w:hAnsi="Times New Roman" w:cs="Times New Roman"/>
          <w:i w:val="0"/>
          <w:iCs w:val="0"/>
          <w:sz w:val="24"/>
          <w:szCs w:val="24"/>
          <w:lang w:val="en-US" w:eastAsia="zh-CN"/>
        </w:rPr>
        <w:t>’</w:t>
      </w:r>
      <w:r>
        <w:rPr>
          <w:rFonts w:hint="eastAsia" w:ascii="Times New Roman" w:hAnsi="Times New Roman" w:cs="Times New Roman"/>
          <w:i w:val="0"/>
          <w:iCs w:val="0"/>
          <w:sz w:val="24"/>
          <w:szCs w:val="24"/>
          <w:lang w:val="en-US" w:eastAsia="zh-CN"/>
        </w:rPr>
        <w:t xml:space="preserve">s </w:t>
      </w:r>
      <w:r>
        <w:rPr>
          <w:rFonts w:hint="default" w:ascii="Times New Roman Italic" w:hAnsi="Times New Roman Italic" w:cs="Times New Roman Italic"/>
          <w:i/>
          <w:iCs/>
          <w:sz w:val="24"/>
          <w:szCs w:val="24"/>
          <w:lang w:val="en-US" w:eastAsia="zh-CN"/>
        </w:rPr>
        <w:t>growth mindset and motivation: A study into secondary school science learning</w:t>
      </w:r>
      <w:r>
        <w:rPr>
          <w:rFonts w:hint="eastAsia" w:ascii="Times New Roman" w:hAnsi="Times New Roman" w:cs="Times New Roman"/>
          <w:i w:val="0"/>
          <w:iCs w:val="0"/>
          <w:sz w:val="24"/>
          <w:szCs w:val="24"/>
          <w:lang w:val="en-US" w:eastAsia="zh-CN"/>
        </w:rPr>
        <w:t>. Finally, the literature on mathematics education will be used, which will specifically focus on student achievement issues in the field of mathematics education, including the relationship between mathematics teaching methods, student learning disabilities, mathematics anxiety, and mathematics achievement. And some literature may directly discuss the impact of growth mindset on mathematics achievement.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In addition, there are some criteria for the selection of literature review. First, the literature selected should directly or indirectly explore the relationship between growth mindset and math achievement. They can focus on the impact of a growth mindset on aspects such as student learning attitudes, motivation, learning strategies, or math anxiety, and how these factors further affect math achievement. Secondly, select literature from authoritative academic journals, well-known university press or professional research institutions. The literature is usually rigorously peer-reviewed and of high academic quality. Finally, the most recent or recent literature is selected to ensure that the research reflects current educational practices and research trends.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Bold" w:hAnsi="Times New Roman Bold" w:cs="Times New Roman Bold"/>
          <w:b/>
          <w:bCs/>
          <w:i w:val="0"/>
          <w:iCs w:val="0"/>
          <w:sz w:val="24"/>
          <w:szCs w:val="24"/>
          <w:lang w:val="en-US" w:eastAsia="zh-CN"/>
        </w:rPr>
      </w:pPr>
      <w:r>
        <w:rPr>
          <w:rFonts w:hint="default" w:ascii="Times New Roman Bold" w:hAnsi="Times New Roman Bold" w:cs="Times New Roman Bold"/>
          <w:b/>
          <w:bCs/>
          <w:i w:val="0"/>
          <w:iCs w:val="0"/>
          <w:sz w:val="24"/>
          <w:szCs w:val="24"/>
          <w:lang w:val="en-US" w:eastAsia="zh-CN"/>
        </w:rPr>
        <w:t>Justify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My research question is: What is the impact of growth mindset on students’ math achievement? First of all, Dweck (2015) proposed that mindset is divided into growth mindset and fixed mindset. Growth mindset means that learners believe that their intelligence can be changed through efforts during the learning process, while people with fixed mindset believe that intelligence cannot be changed.</w:t>
      </w:r>
      <w:r>
        <w:rPr>
          <w:rFonts w:hint="eastAsia" w:ascii="Times New Roman" w:hAnsi="Times New Roman" w:cs="Times New Roman"/>
          <w:i w:val="0"/>
          <w:iCs w:val="0"/>
          <w:sz w:val="24"/>
          <w:szCs w:val="24"/>
          <w:lang w:val="en-US" w:eastAsia="zh-CN"/>
        </w:rPr>
        <w:t xml:space="preserve"> Dweck (2016) also mentioned that people with a growth mindset are more likely to succeed in learning. Indeed, after Dweck proposed the growth mindset, more and more researchers applied it to studying language and math learning. Dong, Jia and Fei (2023) pointed out that a study in China found that growth mindset did not directly predict math achievement, but affected math achievement in a way that indirectly affected intrinsic motivation. Here is the link between growth mindset and learning motivation. Here is the link between growth mindset and learning motivation. It also highlights how a growth mindset can affect math performance, albeit indirectly. However, Baker (2017) pointed out that students</w:t>
      </w:r>
      <w:r>
        <w:rPr>
          <w:rFonts w:hint="default" w:ascii="Times New Roman" w:hAnsi="Times New Roman" w:cs="Times New Roman"/>
          <w:i w:val="0"/>
          <w:iCs w:val="0"/>
          <w:sz w:val="24"/>
          <w:szCs w:val="24"/>
          <w:lang w:val="en-US" w:eastAsia="zh-CN"/>
        </w:rPr>
        <w:t>’</w:t>
      </w:r>
      <w:r>
        <w:rPr>
          <w:rFonts w:hint="eastAsia" w:ascii="Times New Roman" w:hAnsi="Times New Roman" w:cs="Times New Roman"/>
          <w:i w:val="0"/>
          <w:iCs w:val="0"/>
          <w:sz w:val="24"/>
          <w:szCs w:val="24"/>
          <w:lang w:val="en-US" w:eastAsia="zh-CN"/>
        </w:rPr>
        <w:t xml:space="preserve"> math performance did not improve after receiving the training of growth mindset. This may have something to do with the length of training. But it</w:t>
      </w:r>
      <w:r>
        <w:rPr>
          <w:rFonts w:hint="default" w:ascii="Times New Roman" w:hAnsi="Times New Roman" w:cs="Times New Roman"/>
          <w:i w:val="0"/>
          <w:iCs w:val="0"/>
          <w:sz w:val="24"/>
          <w:szCs w:val="24"/>
          <w:lang w:val="en-US" w:eastAsia="zh-CN"/>
        </w:rPr>
        <w:t>’</w:t>
      </w:r>
      <w:r>
        <w:rPr>
          <w:rFonts w:hint="eastAsia" w:ascii="Times New Roman" w:hAnsi="Times New Roman" w:cs="Times New Roman"/>
          <w:i w:val="0"/>
          <w:iCs w:val="0"/>
          <w:sz w:val="24"/>
          <w:szCs w:val="24"/>
          <w:lang w:val="en-US" w:eastAsia="zh-CN"/>
        </w:rPr>
        <w:t>s hard to say with certainty that a growth mindset has nothing to do with math performance.</w:t>
      </w:r>
      <w:r>
        <w:rPr>
          <w:rFonts w:hint="default" w:ascii="Times New Roman" w:hAnsi="Times New Roman" w:cs="Times New Roman"/>
          <w:i w:val="0"/>
          <w:iCs w:val="0"/>
          <w:sz w:val="24"/>
          <w:szCs w:val="24"/>
          <w:lang w:val="en-US" w:eastAsia="zh-CN"/>
        </w:rPr>
        <w:t xml:space="preserve"> Villamizar, Araujo and Trujillo (2020) mentioned that math anxiety has a great impact on math scores and is negatively correlated, the greater the math anxiety, the lower the math scores. Peterman and Ewing (2019) proposed that growth mindset training can help alleviate students’ anxiety in mathematics.</w:t>
      </w:r>
      <w:r>
        <w:rPr>
          <w:rFonts w:hint="eastAsia" w:ascii="Times New Roman" w:hAnsi="Times New Roman" w:cs="Times New Roman"/>
          <w:i w:val="0"/>
          <w:iCs w:val="0"/>
          <w:sz w:val="24"/>
          <w:szCs w:val="24"/>
          <w:lang w:val="en-US" w:eastAsia="zh-CN"/>
        </w:rPr>
        <w:t xml:space="preserve"> However, there is still little research on the specific relationship between growth mindset, math anxiety, and math achievement, and how they affect each other. So it</w:t>
      </w:r>
      <w:r>
        <w:rPr>
          <w:rFonts w:hint="default" w:ascii="Times New Roman" w:hAnsi="Times New Roman" w:cs="Times New Roman"/>
          <w:i w:val="0"/>
          <w:iCs w:val="0"/>
          <w:sz w:val="24"/>
          <w:szCs w:val="24"/>
          <w:lang w:val="en-US" w:eastAsia="zh-CN"/>
        </w:rPr>
        <w:t>’</w:t>
      </w:r>
      <w:r>
        <w:rPr>
          <w:rFonts w:hint="eastAsia" w:ascii="Times New Roman" w:hAnsi="Times New Roman" w:cs="Times New Roman"/>
          <w:i w:val="0"/>
          <w:iCs w:val="0"/>
          <w:sz w:val="24"/>
          <w:szCs w:val="24"/>
          <w:lang w:val="en-US" w:eastAsia="zh-CN"/>
        </w:rPr>
        <w:t>s worth exploring in some detail.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i w:val="0"/>
          <w:iCs w:val="0"/>
          <w:sz w:val="24"/>
          <w:szCs w:val="24"/>
          <w:lang w:val="en-US" w:eastAsia="zh-CN"/>
        </w:rPr>
        <w:sectPr>
          <w:pgSz w:w="11906" w:h="16838"/>
          <w:pgMar w:top="1440" w:right="1800" w:bottom="1440" w:left="1800" w:header="851" w:footer="992" w:gutter="0"/>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Bold" w:hAnsi="Times New Roman Bold" w:cs="Times New Roman Bold"/>
          <w:b/>
          <w:bCs/>
          <w:i w:val="0"/>
          <w:iCs w:val="0"/>
          <w:sz w:val="24"/>
          <w:szCs w:val="24"/>
          <w:lang w:val="en-US" w:eastAsia="zh-CN"/>
        </w:rPr>
      </w:pPr>
      <w:r>
        <w:rPr>
          <w:rFonts w:hint="default" w:ascii="Times New Roman Bold" w:hAnsi="Times New Roman Bold" w:cs="Times New Roman Bold"/>
          <w:b/>
          <w:bCs/>
          <w:i w:val="0"/>
          <w:iCs w:val="0"/>
          <w:sz w:val="24"/>
          <w:szCs w:val="24"/>
          <w:lang w:val="en-US" w:eastAsia="zh-CN"/>
        </w:rPr>
        <w:t>Reference</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rPr>
          <w:rFonts w:hint="default" w:ascii="Times New Roman" w:hAnsi="Times New Roman" w:eastAsia="宋体" w:cs="Times New Roman"/>
          <w:i w:val="0"/>
          <w:iCs/>
          <w:caps w:val="0"/>
          <w:color w:val="222222"/>
          <w:spacing w:val="0"/>
          <w:kern w:val="0"/>
          <w:sz w:val="24"/>
          <w:szCs w:val="24"/>
          <w:shd w:val="clear" w:fill="FFFFFF"/>
          <w:lang w:val="en-US" w:eastAsia="zh-CN" w:bidi="ar"/>
        </w:rPr>
      </w:pPr>
      <w:r>
        <w:rPr>
          <w:rFonts w:hint="default" w:ascii="Times New Roman" w:hAnsi="Times New Roman" w:eastAsia="宋体" w:cs="Times New Roman"/>
          <w:i w:val="0"/>
          <w:iCs/>
          <w:caps w:val="0"/>
          <w:color w:val="222222"/>
          <w:spacing w:val="0"/>
          <w:kern w:val="0"/>
          <w:sz w:val="24"/>
          <w:szCs w:val="24"/>
          <w:shd w:val="clear" w:fill="FFFFFF"/>
          <w:lang w:val="en-US" w:eastAsia="zh-CN" w:bidi="ar"/>
        </w:rPr>
        <w:t xml:space="preserve">[1] Baker, J. L. (2017) ‘Growth mindset and its effect on math achievement’, </w:t>
      </w:r>
      <w:r>
        <w:rPr>
          <w:rFonts w:hint="default" w:ascii="Times New Roman Italic" w:hAnsi="Times New Roman Italic" w:eastAsia="宋体" w:cs="Times New Roman Italic"/>
          <w:i/>
          <w:iCs w:val="0"/>
          <w:caps w:val="0"/>
          <w:color w:val="222222"/>
          <w:spacing w:val="0"/>
          <w:kern w:val="0"/>
          <w:sz w:val="24"/>
          <w:szCs w:val="24"/>
          <w:shd w:val="clear" w:fill="FFFFFF"/>
          <w:lang w:val="en-US" w:eastAsia="zh-CN" w:bidi="ar"/>
        </w:rPr>
        <w:t>Capstone Projects and Master's Theses.</w:t>
      </w:r>
    </w:p>
    <w:tbl>
      <w:tblPr>
        <w:tblW w:w="876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0" w:type="dxa"/>
          <w:bottom w:w="0" w:type="dxa"/>
          <w:right w:w="0" w:type="dxa"/>
        </w:tblCellMar>
      </w:tblPr>
      <w:tblGrid>
        <w:gridCol w:w="876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PrEx>
        <w:tc>
          <w:tcPr>
            <w:tcW w:w="0" w:type="auto"/>
            <w:shd w:val="clear"/>
            <w:tcMar>
              <w:top w:w="160" w:type="dxa"/>
              <w:bottom w:w="160" w:type="dxa"/>
            </w:tcMar>
            <w:vAlign w:val="top"/>
          </w:tcPr>
          <w:p>
            <w:pPr>
              <w:keepNext w:val="0"/>
              <w:keepLines w:val="0"/>
              <w:pageBreakBefore w:val="0"/>
              <w:widowControl/>
              <w:suppressLineNumbers w:val="0"/>
              <w:kinsoku/>
              <w:wordWrap/>
              <w:overflowPunct/>
              <w:topLinePunct w:val="0"/>
              <w:autoSpaceDE/>
              <w:autoSpaceDN/>
              <w:bidi w:val="0"/>
              <w:adjustRightInd/>
              <w:snapToGrid/>
              <w:spacing w:line="360" w:lineRule="auto"/>
              <w:jc w:val="both"/>
              <w:rPr>
                <w:rFonts w:hint="default" w:ascii="Times New Roman" w:hAnsi="Times New Roman" w:eastAsia="宋体" w:cs="Times New Roman"/>
                <w:i w:val="0"/>
                <w:iCs/>
                <w:caps w:val="0"/>
                <w:color w:val="222222"/>
                <w:spacing w:val="0"/>
                <w:kern w:val="0"/>
                <w:sz w:val="24"/>
                <w:szCs w:val="24"/>
                <w:shd w:val="clear" w:fill="FFFFFF"/>
                <w:lang w:val="en-US" w:eastAsia="zh-CN" w:bidi="ar"/>
              </w:rPr>
            </w:pPr>
            <w:r>
              <w:rPr>
                <w:rFonts w:hint="default" w:ascii="Times New Roman" w:hAnsi="Times New Roman" w:eastAsia="宋体" w:cs="Times New Roman"/>
                <w:i w:val="0"/>
                <w:iCs/>
                <w:caps w:val="0"/>
                <w:color w:val="222222"/>
                <w:spacing w:val="0"/>
                <w:kern w:val="0"/>
                <w:sz w:val="24"/>
                <w:szCs w:val="24"/>
                <w:shd w:val="clear" w:fill="FFFFFF"/>
                <w:lang w:val="en-US" w:eastAsia="zh-CN" w:bidi="ar"/>
              </w:rPr>
              <w:t>[2] Bedford, S. (2017) ‘Growth mindset and motivation: A study into secondary school science learning’, </w:t>
            </w:r>
            <w:r>
              <w:rPr>
                <w:rFonts w:hint="default" w:ascii="Times New Roman Italic" w:hAnsi="Times New Roman Italic" w:eastAsia="宋体" w:cs="Times New Roman Italic"/>
                <w:i/>
                <w:iCs w:val="0"/>
                <w:caps w:val="0"/>
                <w:color w:val="222222"/>
                <w:spacing w:val="0"/>
                <w:kern w:val="0"/>
                <w:sz w:val="24"/>
                <w:szCs w:val="24"/>
                <w:shd w:val="clear" w:fill="FFFFFF"/>
                <w:lang w:val="en-US" w:eastAsia="zh-CN" w:bidi="ar"/>
              </w:rPr>
              <w:t>Research papers in education</w:t>
            </w:r>
            <w:r>
              <w:rPr>
                <w:rFonts w:hint="default" w:ascii="Times New Roman" w:hAnsi="Times New Roman" w:eastAsia="宋体" w:cs="Times New Roman"/>
                <w:i w:val="0"/>
                <w:iCs/>
                <w:caps w:val="0"/>
                <w:color w:val="222222"/>
                <w:spacing w:val="0"/>
                <w:kern w:val="0"/>
                <w:sz w:val="24"/>
                <w:szCs w:val="24"/>
                <w:shd w:val="clear" w:fill="FFFFFF"/>
                <w:lang w:val="en-US" w:eastAsia="zh-CN" w:bidi="ar"/>
              </w:rPr>
              <w:t>, 32(4), 424-443.</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rPr>
                <w:rFonts w:hint="default" w:ascii="Times New Roman" w:hAnsi="Times New Roman" w:eastAsia="宋体" w:cs="Times New Roman"/>
                <w:i w:val="0"/>
                <w:iCs/>
                <w:caps w:val="0"/>
                <w:color w:val="222222"/>
                <w:spacing w:val="0"/>
                <w:kern w:val="0"/>
                <w:sz w:val="24"/>
                <w:szCs w:val="24"/>
                <w:shd w:val="clear" w:fill="FFFFFF"/>
                <w:lang w:val="en-US" w:eastAsia="zh-CN" w:bidi="ar"/>
              </w:rPr>
            </w:pPr>
            <w:r>
              <w:rPr>
                <w:rFonts w:hint="default" w:ascii="Times New Roman" w:hAnsi="Times New Roman" w:eastAsia="宋体" w:cs="Times New Roman"/>
                <w:i w:val="0"/>
                <w:iCs/>
                <w:kern w:val="0"/>
                <w:sz w:val="24"/>
                <w:szCs w:val="24"/>
                <w:lang w:val="en-US" w:eastAsia="zh-CN" w:bidi="ar"/>
              </w:rPr>
              <w:t>[3] Dong, L., Jia, X., and Fei, Y. (2023) ‘How growth mindset influences mathematics achievements: A study of Chinese middle school students’, </w:t>
            </w:r>
            <w:r>
              <w:rPr>
                <w:rFonts w:hint="default" w:ascii="Times New Roman Italic" w:hAnsi="Times New Roman Italic" w:eastAsia="宋体" w:cs="Times New Roman Italic"/>
                <w:i/>
                <w:iCs w:val="0"/>
                <w:kern w:val="0"/>
                <w:sz w:val="24"/>
                <w:szCs w:val="24"/>
                <w:lang w:val="en-US" w:eastAsia="zh-CN" w:bidi="ar"/>
              </w:rPr>
              <w:t>Frontiers in psychology</w:t>
            </w:r>
            <w:r>
              <w:rPr>
                <w:rFonts w:hint="default" w:ascii="Times New Roman" w:hAnsi="Times New Roman" w:eastAsia="宋体" w:cs="Times New Roman"/>
                <w:i w:val="0"/>
                <w:iCs/>
                <w:kern w:val="0"/>
                <w:sz w:val="24"/>
                <w:szCs w:val="24"/>
                <w:lang w:val="en-US" w:eastAsia="zh-CN" w:bidi="ar"/>
              </w:rPr>
              <w:t>, 14, 1148754.</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both"/>
              <w:textAlignment w:val="top"/>
              <w:rPr>
                <w:rFonts w:hint="default" w:ascii="Times New Roman" w:hAnsi="Times New Roman" w:cs="Times New Roman"/>
                <w:i w:val="0"/>
                <w:iCs/>
                <w:sz w:val="24"/>
                <w:szCs w:val="24"/>
              </w:rPr>
            </w:pPr>
            <w:r>
              <w:rPr>
                <w:rFonts w:hint="default" w:ascii="Times New Roman" w:hAnsi="Times New Roman" w:eastAsia="宋体" w:cs="Times New Roman"/>
                <w:i w:val="0"/>
                <w:iCs/>
                <w:kern w:val="0"/>
                <w:sz w:val="24"/>
                <w:szCs w:val="24"/>
                <w:bdr w:val="none" w:color="auto" w:sz="0" w:space="0"/>
                <w:lang w:val="en-US" w:eastAsia="zh-CN" w:bidi="ar"/>
              </w:rPr>
              <w:t>[4] Dweck, C. (2016) ‘What having a “growth mindset” actually means’, </w:t>
            </w:r>
            <w:r>
              <w:rPr>
                <w:rFonts w:hint="default" w:ascii="Times New Roman Italic" w:hAnsi="Times New Roman Italic" w:eastAsia="宋体" w:cs="Times New Roman Italic"/>
                <w:i/>
                <w:iCs w:val="0"/>
                <w:kern w:val="0"/>
                <w:sz w:val="24"/>
                <w:szCs w:val="24"/>
                <w:bdr w:val="none" w:color="auto" w:sz="0" w:space="0"/>
                <w:lang w:val="en-US" w:eastAsia="zh-CN" w:bidi="ar"/>
              </w:rPr>
              <w:t>Harvard business review</w:t>
            </w:r>
            <w:r>
              <w:rPr>
                <w:rFonts w:hint="default" w:ascii="Times New Roman" w:hAnsi="Times New Roman" w:eastAsia="宋体" w:cs="Times New Roman"/>
                <w:i w:val="0"/>
                <w:iCs/>
                <w:kern w:val="0"/>
                <w:sz w:val="24"/>
                <w:szCs w:val="24"/>
                <w:bdr w:val="none" w:color="auto" w:sz="0" w:space="0"/>
                <w:lang w:val="en-US" w:eastAsia="zh-CN" w:bidi="ar"/>
              </w:rPr>
              <w:t>, 13(2), 2-5.</w:t>
            </w:r>
          </w:p>
        </w:tc>
      </w:tr>
    </w:tbl>
    <w:p>
      <w:pPr>
        <w:keepNext w:val="0"/>
        <w:keepLines w:val="0"/>
        <w:pageBreakBefore w:val="0"/>
        <w:widowControl/>
        <w:suppressLineNumbers w:val="0"/>
        <w:kinsoku/>
        <w:wordWrap/>
        <w:overflowPunct/>
        <w:topLinePunct w:val="0"/>
        <w:autoSpaceDE/>
        <w:autoSpaceDN/>
        <w:bidi w:val="0"/>
        <w:adjustRightInd/>
        <w:snapToGrid/>
        <w:spacing w:line="360" w:lineRule="auto"/>
        <w:jc w:val="both"/>
        <w:rPr>
          <w:rFonts w:hint="default" w:ascii="Times New Roman" w:hAnsi="Times New Roman" w:cs="Times New Roman"/>
          <w:i w:val="0"/>
          <w:iCs/>
          <w:sz w:val="24"/>
          <w:szCs w:val="24"/>
        </w:rPr>
      </w:pPr>
      <w:r>
        <w:rPr>
          <w:rFonts w:hint="default" w:ascii="Times New Roman" w:hAnsi="Times New Roman" w:eastAsia="宋体" w:cs="Times New Roman"/>
          <w:i w:val="0"/>
          <w:iCs/>
          <w:caps w:val="0"/>
          <w:color w:val="222222"/>
          <w:spacing w:val="0"/>
          <w:kern w:val="0"/>
          <w:sz w:val="24"/>
          <w:szCs w:val="24"/>
          <w:shd w:val="clear" w:fill="FFFFFF"/>
          <w:lang w:val="en-US" w:eastAsia="zh-CN" w:bidi="ar"/>
        </w:rPr>
        <w:t>[5] Dweck, C. (2015) ‘Carol Dweck revisits the growth mindset’, </w:t>
      </w:r>
      <w:r>
        <w:rPr>
          <w:rFonts w:hint="default" w:ascii="Times New Roman Italic" w:hAnsi="Times New Roman Italic" w:eastAsia="宋体" w:cs="Times New Roman Italic"/>
          <w:i/>
          <w:iCs w:val="0"/>
          <w:caps w:val="0"/>
          <w:color w:val="222222"/>
          <w:spacing w:val="0"/>
          <w:kern w:val="0"/>
          <w:sz w:val="24"/>
          <w:szCs w:val="24"/>
          <w:shd w:val="clear" w:fill="FFFFFF"/>
          <w:lang w:val="en-US" w:eastAsia="zh-CN" w:bidi="ar"/>
        </w:rPr>
        <w:t>Education week</w:t>
      </w:r>
      <w:r>
        <w:rPr>
          <w:rFonts w:hint="default" w:ascii="Times New Roman" w:hAnsi="Times New Roman" w:eastAsia="宋体" w:cs="Times New Roman"/>
          <w:i w:val="0"/>
          <w:iCs/>
          <w:caps w:val="0"/>
          <w:color w:val="222222"/>
          <w:spacing w:val="0"/>
          <w:kern w:val="0"/>
          <w:sz w:val="24"/>
          <w:szCs w:val="24"/>
          <w:shd w:val="clear" w:fill="FFFFFF"/>
          <w:lang w:val="en-US" w:eastAsia="zh-CN" w:bidi="ar"/>
        </w:rPr>
        <w:t>, 35(5), 20-24.</w:t>
      </w:r>
    </w:p>
    <w:tbl>
      <w:tblPr>
        <w:tblW w:w="876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0" w:type="dxa"/>
          <w:bottom w:w="0" w:type="dxa"/>
          <w:right w:w="0" w:type="dxa"/>
        </w:tblCellMar>
      </w:tblPr>
      <w:tblGrid>
        <w:gridCol w:w="876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PrEx>
        <w:tc>
          <w:tcPr>
            <w:tcW w:w="0" w:type="auto"/>
            <w:shd w:val="clear"/>
            <w:tcMar>
              <w:top w:w="160" w:type="dxa"/>
              <w:bottom w:w="160" w:type="dxa"/>
            </w:tcMar>
            <w:vAlign w:val="top"/>
          </w:tcPr>
          <w:p>
            <w:pPr>
              <w:keepNext w:val="0"/>
              <w:keepLines w:val="0"/>
              <w:pageBreakBefore w:val="0"/>
              <w:widowControl/>
              <w:suppressLineNumbers w:val="0"/>
              <w:kinsoku/>
              <w:wordWrap/>
              <w:overflowPunct/>
              <w:topLinePunct w:val="0"/>
              <w:autoSpaceDE/>
              <w:autoSpaceDN/>
              <w:bidi w:val="0"/>
              <w:adjustRightInd/>
              <w:snapToGrid/>
              <w:spacing w:line="360" w:lineRule="auto"/>
              <w:jc w:val="both"/>
              <w:rPr>
                <w:rFonts w:hint="default" w:ascii="Times New Roman" w:hAnsi="Times New Roman" w:cs="Times New Roman"/>
                <w:i w:val="0"/>
                <w:iCs/>
                <w:sz w:val="24"/>
                <w:szCs w:val="24"/>
              </w:rPr>
            </w:pPr>
            <w:r>
              <w:rPr>
                <w:rFonts w:hint="default" w:ascii="Times New Roman" w:hAnsi="Times New Roman" w:eastAsia="宋体" w:cs="Times New Roman"/>
                <w:i w:val="0"/>
                <w:iCs/>
                <w:caps w:val="0"/>
                <w:color w:val="222222"/>
                <w:spacing w:val="0"/>
                <w:kern w:val="0"/>
                <w:sz w:val="24"/>
                <w:szCs w:val="24"/>
                <w:shd w:val="clear" w:fill="FFFFFF"/>
                <w:lang w:val="en-US" w:eastAsia="zh-CN" w:bidi="ar"/>
              </w:rPr>
              <w:t>[6] Peterman, C. J. amd Ewing, J. (2019) ‘Effects of movement, growth mindset and math talks on math anxiety’, </w:t>
            </w:r>
            <w:r>
              <w:rPr>
                <w:rFonts w:hint="default" w:ascii="Times New Roman Italic" w:hAnsi="Times New Roman Italic" w:eastAsia="宋体" w:cs="Times New Roman Italic"/>
                <w:i/>
                <w:iCs w:val="0"/>
                <w:caps w:val="0"/>
                <w:color w:val="222222"/>
                <w:spacing w:val="0"/>
                <w:kern w:val="0"/>
                <w:sz w:val="24"/>
                <w:szCs w:val="24"/>
                <w:shd w:val="clear" w:fill="FFFFFF"/>
                <w:lang w:val="en-US" w:eastAsia="zh-CN" w:bidi="ar"/>
              </w:rPr>
              <w:t>Journal of Multicultural Affairs</w:t>
            </w:r>
            <w:r>
              <w:rPr>
                <w:rFonts w:hint="default" w:ascii="Times New Roman" w:hAnsi="Times New Roman" w:eastAsia="宋体" w:cs="Times New Roman"/>
                <w:i w:val="0"/>
                <w:iCs/>
                <w:caps w:val="0"/>
                <w:color w:val="222222"/>
                <w:spacing w:val="0"/>
                <w:kern w:val="0"/>
                <w:sz w:val="24"/>
                <w:szCs w:val="24"/>
                <w:shd w:val="clear" w:fill="FFFFFF"/>
                <w:lang w:val="en-US" w:eastAsia="zh-CN" w:bidi="ar"/>
              </w:rPr>
              <w:t>, 4(1), 1.</w:t>
            </w:r>
          </w:p>
        </w:tc>
      </w:tr>
    </w:tbl>
    <w:p>
      <w:pPr>
        <w:keepNext w:val="0"/>
        <w:keepLines w:val="0"/>
        <w:pageBreakBefore w:val="0"/>
        <w:widowControl/>
        <w:suppressLineNumbers w:val="0"/>
        <w:kinsoku/>
        <w:wordWrap/>
        <w:overflowPunct/>
        <w:topLinePunct w:val="0"/>
        <w:autoSpaceDE/>
        <w:autoSpaceDN/>
        <w:bidi w:val="0"/>
        <w:adjustRightInd/>
        <w:snapToGrid/>
        <w:spacing w:line="360" w:lineRule="auto"/>
        <w:jc w:val="both"/>
        <w:rPr>
          <w:rFonts w:hint="default" w:ascii="Times New Roman" w:hAnsi="Times New Roman" w:cs="Times New Roman"/>
          <w:i w:val="0"/>
          <w:iCs/>
          <w:sz w:val="24"/>
          <w:szCs w:val="24"/>
        </w:rPr>
      </w:pPr>
      <w:r>
        <w:rPr>
          <w:rFonts w:hint="default" w:ascii="Times New Roman" w:hAnsi="Times New Roman" w:eastAsia="宋体" w:cs="Times New Roman"/>
          <w:i w:val="0"/>
          <w:iCs/>
          <w:caps w:val="0"/>
          <w:color w:val="222222"/>
          <w:spacing w:val="0"/>
          <w:kern w:val="0"/>
          <w:sz w:val="24"/>
          <w:szCs w:val="24"/>
          <w:shd w:val="clear" w:fill="FFFFFF"/>
          <w:lang w:val="en-US" w:eastAsia="zh-CN" w:bidi="ar"/>
        </w:rPr>
        <w:t>[7] Villamizar Acevedo, G., Araujo Arenas, T. Y., &amp; Trujillo Calderón, W. J. (2020) ‘Relationship between mathematical anxiety and academic performance in mathematics in high school students’, </w:t>
      </w:r>
      <w:r>
        <w:rPr>
          <w:rFonts w:hint="default" w:ascii="Times New Roman Italic" w:hAnsi="Times New Roman Italic" w:eastAsia="宋体" w:cs="Times New Roman Italic"/>
          <w:i/>
          <w:iCs w:val="0"/>
          <w:caps w:val="0"/>
          <w:color w:val="222222"/>
          <w:spacing w:val="0"/>
          <w:kern w:val="0"/>
          <w:sz w:val="24"/>
          <w:szCs w:val="24"/>
          <w:shd w:val="clear" w:fill="FFFFFF"/>
          <w:lang w:val="en-US" w:eastAsia="zh-CN" w:bidi="ar"/>
        </w:rPr>
        <w:t>Ciencias Psicológicas</w:t>
      </w:r>
      <w:r>
        <w:rPr>
          <w:rFonts w:hint="default" w:ascii="Times New Roman" w:hAnsi="Times New Roman" w:eastAsia="宋体" w:cs="Times New Roman"/>
          <w:i w:val="0"/>
          <w:iCs/>
          <w:caps w:val="0"/>
          <w:color w:val="222222"/>
          <w:spacing w:val="0"/>
          <w:kern w:val="0"/>
          <w:sz w:val="24"/>
          <w:szCs w:val="24"/>
          <w:shd w:val="clear" w:fill="FFFFFF"/>
          <w:lang w:val="en-US" w:eastAsia="zh-CN" w:bidi="ar"/>
        </w:rPr>
        <w:t>, 14(1).</w:t>
      </w:r>
      <w:bookmarkStart w:id="0" w:name="_GoBack"/>
      <w:bookmarkEnd w:id="0"/>
    </w:p>
    <w:p>
      <w:pPr>
        <w:keepNext w:val="0"/>
        <w:keepLines w:val="0"/>
        <w:pageBreakBefore w:val="0"/>
        <w:widowControl/>
        <w:suppressLineNumbers w:val="0"/>
        <w:kinsoku/>
        <w:wordWrap/>
        <w:overflowPunct/>
        <w:topLinePunct w:val="0"/>
        <w:autoSpaceDE/>
        <w:autoSpaceDN/>
        <w:bidi w:val="0"/>
        <w:adjustRightInd/>
        <w:snapToGrid/>
        <w:spacing w:line="360" w:lineRule="auto"/>
        <w:jc w:val="both"/>
        <w:rPr>
          <w:rFonts w:hint="default" w:ascii="Times New Roman Italic" w:hAnsi="Times New Roman Italic" w:eastAsia="宋体" w:cs="Times New Roman Italic"/>
          <w:i/>
          <w:iCs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rPr>
          <w:rFonts w:hint="default" w:ascii="Times New Roman Italic" w:hAnsi="Times New Roman Italic" w:eastAsia="宋体" w:cs="Times New Roman Italic"/>
          <w:i/>
          <w:iCs w:val="0"/>
          <w:caps w:val="0"/>
          <w:color w:val="222222"/>
          <w:spacing w:val="0"/>
          <w:kern w:val="0"/>
          <w:sz w:val="24"/>
          <w:szCs w:val="24"/>
          <w:shd w:val="clear" w:fill="FFFFFF"/>
          <w:lang w:val="en-US" w:eastAsia="zh-CN" w:bidi="ar"/>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603050405020304"/>
    <w:charset w:val="00"/>
    <w:family w:val="auto"/>
    <w:pitch w:val="default"/>
    <w:sig w:usb0="E0002AEF" w:usb1="C0007841" w:usb2="00000009" w:usb3="00000000" w:csb0="400001FF" w:csb1="FFFF0000"/>
  </w:font>
  <w:font w:name="Times New Roman Italic">
    <w:panose1 w:val="02020603050405020304"/>
    <w:charset w:val="00"/>
    <w:family w:val="auto"/>
    <w:pitch w:val="default"/>
    <w:sig w:usb0="E0002AEF" w:usb1="C0007841" w:usb2="00000009" w:usb3="00000000" w:csb0="400001FF" w:csb1="FFFF0000"/>
  </w:font>
  <w:font w:name="Arial">
    <w:panose1 w:val="020B0604020202090204"/>
    <w:charset w:val="00"/>
    <w:family w:val="auto"/>
    <w:pitch w:val="default"/>
    <w:sig w:usb0="E0000AFF" w:usb1="00007843" w:usb2="00000001" w:usb3="00000000" w:csb0="400001BF" w:csb1="DFF70000"/>
  </w:font>
  <w:font w:name="Times New Roman Bold">
    <w:panose1 w:val="02020603050405020304"/>
    <w:charset w:val="00"/>
    <w:family w:val="auto"/>
    <w:pitch w:val="default"/>
    <w:sig w:usb0="E0002AEF" w:usb1="C0007841" w:usb2="00000009" w:usb3="00000000" w:csb0="400001FF" w:csb1="FFFF0000"/>
  </w:font>
  <w:font w:name="Arial Regular">
    <w:panose1 w:val="020B0604020202090204"/>
    <w:charset w:val="00"/>
    <w:family w:val="auto"/>
    <w:pitch w:val="default"/>
    <w:sig w:usb0="E0000AFF" w:usb1="00007843" w:usb2="00000001" w:usb3="00000000" w:csb0="400001BF" w:csb1="DFF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DF8B3EA"/>
    <w:rsid w:val="FDF8B3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36</TotalTime>
  <ScaleCrop>false</ScaleCrop>
  <LinksUpToDate>false</LinksUpToDate>
  <CharactersWithSpaces>0</CharactersWithSpaces>
  <Application>WPS Office_6.5.1.8687_F1E327BC-269C-435d-A152-05C5408002CA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2025-01-28T13:20:00Z</dcterms:created>
  <dc:creator>黄梦莹</dc:creator>
  <cp:lastModifiedBy>黄梦莹</cp:lastModifiedBy>
  <dcterms:modified xsi:type="dcterms:W3CDTF">2025-01-28T15:52:09Z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2052-6.5.1.8687</vt:lpwstr>
  </property>
  <property fmtid="{D5CDD505-2E9C-101B-9397-08002B2CF9AE}" pid="3" name="ICV">
    <vt:lpwstr>AC6FBCFC70A52CA9AFD99867009C5A8C_41</vt:lpwstr>
  </property>
</Properties>
</file>