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C59C6" w14:textId="77777777" w:rsidR="00E413B1" w:rsidRPr="00E413B1" w:rsidRDefault="00E413B1" w:rsidP="00E413B1">
      <w:pPr>
        <w:rPr>
          <w:rFonts w:ascii="Arial" w:hAnsi="Arial" w:cs="Arial"/>
          <w:b/>
          <w:bCs/>
          <w:sz w:val="24"/>
          <w:szCs w:val="24"/>
        </w:rPr>
      </w:pPr>
      <w:r w:rsidRPr="00E413B1">
        <w:rPr>
          <w:rFonts w:ascii="Arial" w:hAnsi="Arial" w:cs="Arial"/>
          <w:b/>
          <w:bCs/>
          <w:sz w:val="24"/>
          <w:szCs w:val="24"/>
        </w:rPr>
        <w:t>Written Explanation of the Cash Conversion Cycle (CCC) for Marriott International (2019-2023)</w:t>
      </w:r>
    </w:p>
    <w:p w14:paraId="0FACCF15" w14:textId="77777777" w:rsidR="00E413B1" w:rsidRPr="00E413B1" w:rsidRDefault="00E413B1" w:rsidP="00E413B1">
      <w:pPr>
        <w:rPr>
          <w:rFonts w:ascii="Arial" w:hAnsi="Arial" w:cs="Arial"/>
          <w:b/>
          <w:bCs/>
          <w:sz w:val="24"/>
          <w:szCs w:val="24"/>
        </w:rPr>
      </w:pPr>
      <w:r w:rsidRPr="00E413B1">
        <w:rPr>
          <w:rFonts w:ascii="Arial" w:hAnsi="Arial" w:cs="Arial"/>
          <w:b/>
          <w:bCs/>
          <w:sz w:val="24"/>
          <w:szCs w:val="24"/>
        </w:rPr>
        <w:t>1. Introduction and Methodology</w:t>
      </w:r>
    </w:p>
    <w:p w14:paraId="73911D69" w14:textId="77777777" w:rsidR="00E413B1" w:rsidRPr="00E413B1" w:rsidRDefault="00E413B1" w:rsidP="00E413B1">
      <w:pPr>
        <w:rPr>
          <w:rFonts w:ascii="Arial" w:hAnsi="Arial" w:cs="Arial"/>
          <w:sz w:val="24"/>
          <w:szCs w:val="24"/>
        </w:rPr>
      </w:pPr>
      <w:r w:rsidRPr="00E413B1">
        <w:rPr>
          <w:rFonts w:ascii="Arial" w:hAnsi="Arial" w:cs="Arial"/>
          <w:sz w:val="24"/>
          <w:szCs w:val="24"/>
        </w:rPr>
        <w:t>The Cash Conversion Cycle (CCC) is a key financial metric that measures the time (in days) it takes for a company to convert its investments in inventory and other resources into cash flows from sales. It reflects the efficiency of a company's working capital management. The formula for the CCC is:</w:t>
      </w:r>
    </w:p>
    <w:p w14:paraId="21223B9C" w14:textId="77777777" w:rsidR="00E413B1" w:rsidRPr="00E413B1" w:rsidRDefault="00E413B1" w:rsidP="00E413B1">
      <w:pPr>
        <w:rPr>
          <w:rFonts w:ascii="Arial" w:hAnsi="Arial" w:cs="Arial"/>
          <w:sz w:val="24"/>
          <w:szCs w:val="24"/>
        </w:rPr>
      </w:pPr>
      <w:r w:rsidRPr="00E413B1">
        <w:rPr>
          <w:rFonts w:ascii="Arial" w:hAnsi="Arial" w:cs="Arial"/>
          <w:b/>
          <w:bCs/>
          <w:sz w:val="24"/>
          <w:szCs w:val="24"/>
        </w:rPr>
        <w:t>CCC = Days Inventory Outstanding (DIO) + Days Sales Outstanding (DSO) – Days Payables Outstanding (DPO)</w:t>
      </w:r>
    </w:p>
    <w:p w14:paraId="395589E4" w14:textId="77777777" w:rsidR="00E413B1" w:rsidRPr="00E413B1" w:rsidRDefault="00E413B1" w:rsidP="00E413B1">
      <w:pPr>
        <w:numPr>
          <w:ilvl w:val="0"/>
          <w:numId w:val="1"/>
        </w:numPr>
        <w:rPr>
          <w:rFonts w:ascii="Arial" w:hAnsi="Arial" w:cs="Arial"/>
          <w:sz w:val="24"/>
          <w:szCs w:val="24"/>
        </w:rPr>
      </w:pPr>
      <w:r w:rsidRPr="00E413B1">
        <w:rPr>
          <w:rFonts w:ascii="Arial" w:hAnsi="Arial" w:cs="Arial"/>
          <w:b/>
          <w:bCs/>
          <w:sz w:val="24"/>
          <w:szCs w:val="24"/>
        </w:rPr>
        <w:t>DIO (Days Inventory Outstanding):</w:t>
      </w:r>
      <w:r w:rsidRPr="00E413B1">
        <w:rPr>
          <w:rFonts w:ascii="Arial" w:hAnsi="Arial" w:cs="Arial"/>
          <w:sz w:val="24"/>
          <w:szCs w:val="24"/>
        </w:rPr>
        <w:t> Measures the average number of days a company holds its inventory before selling it.</w:t>
      </w:r>
    </w:p>
    <w:p w14:paraId="2197CED7" w14:textId="77777777" w:rsidR="00E413B1" w:rsidRPr="00E413B1" w:rsidRDefault="00E413B1" w:rsidP="00E413B1">
      <w:pPr>
        <w:numPr>
          <w:ilvl w:val="0"/>
          <w:numId w:val="1"/>
        </w:numPr>
        <w:rPr>
          <w:rFonts w:ascii="Arial" w:hAnsi="Arial" w:cs="Arial"/>
          <w:sz w:val="24"/>
          <w:szCs w:val="24"/>
        </w:rPr>
      </w:pPr>
      <w:r w:rsidRPr="00E413B1">
        <w:rPr>
          <w:rFonts w:ascii="Arial" w:hAnsi="Arial" w:cs="Arial"/>
          <w:b/>
          <w:bCs/>
          <w:sz w:val="24"/>
          <w:szCs w:val="24"/>
        </w:rPr>
        <w:t>DSO (Days Sales Outstanding):</w:t>
      </w:r>
      <w:r w:rsidRPr="00E413B1">
        <w:rPr>
          <w:rFonts w:ascii="Arial" w:hAnsi="Arial" w:cs="Arial"/>
          <w:sz w:val="24"/>
          <w:szCs w:val="24"/>
        </w:rPr>
        <w:t> Measures the average number of days it takes a company to collect payment after a sale.</w:t>
      </w:r>
    </w:p>
    <w:p w14:paraId="57E6CDDE" w14:textId="77777777" w:rsidR="00E413B1" w:rsidRPr="00E413B1" w:rsidRDefault="00E413B1" w:rsidP="00E413B1">
      <w:pPr>
        <w:numPr>
          <w:ilvl w:val="0"/>
          <w:numId w:val="1"/>
        </w:numPr>
        <w:rPr>
          <w:rFonts w:ascii="Arial" w:hAnsi="Arial" w:cs="Arial"/>
          <w:sz w:val="24"/>
          <w:szCs w:val="24"/>
        </w:rPr>
      </w:pPr>
      <w:r w:rsidRPr="00E413B1">
        <w:rPr>
          <w:rFonts w:ascii="Arial" w:hAnsi="Arial" w:cs="Arial"/>
          <w:b/>
          <w:bCs/>
          <w:sz w:val="24"/>
          <w:szCs w:val="24"/>
        </w:rPr>
        <w:t>DPO (Days Payables Outstanding):</w:t>
      </w:r>
      <w:r w:rsidRPr="00E413B1">
        <w:rPr>
          <w:rFonts w:ascii="Arial" w:hAnsi="Arial" w:cs="Arial"/>
          <w:sz w:val="24"/>
          <w:szCs w:val="24"/>
        </w:rPr>
        <w:t> Measures the average number of days a company takes to pay its suppliers.</w:t>
      </w:r>
    </w:p>
    <w:p w14:paraId="4C74AD97" w14:textId="77777777" w:rsidR="00E413B1" w:rsidRPr="00E413B1" w:rsidRDefault="00E413B1" w:rsidP="00E413B1">
      <w:pPr>
        <w:rPr>
          <w:rFonts w:ascii="Arial" w:hAnsi="Arial" w:cs="Arial"/>
          <w:sz w:val="24"/>
          <w:szCs w:val="24"/>
        </w:rPr>
      </w:pPr>
      <w:r w:rsidRPr="00E413B1">
        <w:rPr>
          <w:rFonts w:ascii="Arial" w:hAnsi="Arial" w:cs="Arial"/>
          <w:b/>
          <w:bCs/>
          <w:sz w:val="24"/>
          <w:szCs w:val="24"/>
        </w:rPr>
        <w:t>Marriott International's Business Model:</w:t>
      </w:r>
      <w:r w:rsidRPr="00E413B1">
        <w:rPr>
          <w:rFonts w:ascii="Arial" w:hAnsi="Arial" w:cs="Arial"/>
          <w:sz w:val="24"/>
          <w:szCs w:val="24"/>
        </w:rPr>
        <w:br/>
        <w:t>Marriott International operates on an "asset-light" business model, where it primarily manages and franchises hotels, rather than owning them. Its core revenues are derived from management and franchise fees, not from selling physical goods. Therefore, </w:t>
      </w:r>
      <w:r w:rsidRPr="00E413B1">
        <w:rPr>
          <w:rFonts w:ascii="Arial" w:hAnsi="Arial" w:cs="Arial"/>
          <w:b/>
          <w:bCs/>
          <w:sz w:val="24"/>
          <w:szCs w:val="24"/>
        </w:rPr>
        <w:t>Marriott has no significant inventory of goods for sale</w:t>
      </w:r>
      <w:r w:rsidRPr="00E413B1">
        <w:rPr>
          <w:rFonts w:ascii="Arial" w:hAnsi="Arial" w:cs="Arial"/>
          <w:sz w:val="24"/>
          <w:szCs w:val="24"/>
        </w:rPr>
        <w:t xml:space="preserve">, resulting in a DIO of zero for all periods </w:t>
      </w:r>
      <w:proofErr w:type="spellStart"/>
      <w:r w:rsidRPr="00E413B1">
        <w:rPr>
          <w:rFonts w:ascii="Arial" w:hAnsi="Arial" w:cs="Arial"/>
          <w:sz w:val="24"/>
          <w:szCs w:val="24"/>
        </w:rPr>
        <w:t>analyzed</w:t>
      </w:r>
      <w:proofErr w:type="spellEnd"/>
      <w:r w:rsidRPr="00E413B1">
        <w:rPr>
          <w:rFonts w:ascii="Arial" w:hAnsi="Arial" w:cs="Arial"/>
          <w:sz w:val="24"/>
          <w:szCs w:val="24"/>
        </w:rPr>
        <w:t>.</w:t>
      </w:r>
    </w:p>
    <w:p w14:paraId="333461EF" w14:textId="77777777" w:rsidR="00E413B1" w:rsidRPr="00E413B1" w:rsidRDefault="00E413B1" w:rsidP="00E413B1">
      <w:pPr>
        <w:rPr>
          <w:rFonts w:ascii="Arial" w:hAnsi="Arial" w:cs="Arial"/>
          <w:sz w:val="24"/>
          <w:szCs w:val="24"/>
        </w:rPr>
      </w:pPr>
      <w:r w:rsidRPr="00E413B1">
        <w:rPr>
          <w:rFonts w:ascii="Arial" w:hAnsi="Arial" w:cs="Arial"/>
          <w:sz w:val="24"/>
          <w:szCs w:val="24"/>
        </w:rPr>
        <w:t xml:space="preserve">To calculate a meaningful CCC for a fee-based company like Marriott, it is necessary to adapt the traditional approach. The most relevant operating expense for this purpose is "Reimbursed expenses," which represents the costs Marriott incurs on behalf of its hotel owners (e.g., payroll, marketing, centralized loyalty program costs). The company pays for these services and is subsequently reimbursed by the owners. This creates a working capital cycle </w:t>
      </w:r>
      <w:proofErr w:type="spellStart"/>
      <w:r w:rsidRPr="00E413B1">
        <w:rPr>
          <w:rFonts w:ascii="Arial" w:hAnsi="Arial" w:cs="Arial"/>
          <w:sz w:val="24"/>
          <w:szCs w:val="24"/>
        </w:rPr>
        <w:t>centered</w:t>
      </w:r>
      <w:proofErr w:type="spellEnd"/>
      <w:r w:rsidRPr="00E413B1">
        <w:rPr>
          <w:rFonts w:ascii="Arial" w:hAnsi="Arial" w:cs="Arial"/>
          <w:sz w:val="24"/>
          <w:szCs w:val="24"/>
        </w:rPr>
        <w:t xml:space="preserve"> on the payment and collection of these reimbursable costs.</w:t>
      </w:r>
    </w:p>
    <w:p w14:paraId="7B9DCCC3" w14:textId="77777777" w:rsidR="00E413B1" w:rsidRPr="00E413B1" w:rsidRDefault="00E413B1" w:rsidP="00E413B1">
      <w:pPr>
        <w:rPr>
          <w:rFonts w:ascii="Arial" w:hAnsi="Arial" w:cs="Arial"/>
          <w:sz w:val="24"/>
          <w:szCs w:val="24"/>
        </w:rPr>
      </w:pPr>
      <w:r w:rsidRPr="00E413B1">
        <w:rPr>
          <w:rFonts w:ascii="Arial" w:hAnsi="Arial" w:cs="Arial"/>
          <w:b/>
          <w:bCs/>
          <w:sz w:val="24"/>
          <w:szCs w:val="24"/>
        </w:rPr>
        <w:t>Key Assumptions for this Analysis:</w:t>
      </w:r>
    </w:p>
    <w:p w14:paraId="6FC544DB" w14:textId="77777777" w:rsidR="00E413B1" w:rsidRPr="00E413B1" w:rsidRDefault="00E413B1" w:rsidP="00E413B1">
      <w:pPr>
        <w:numPr>
          <w:ilvl w:val="0"/>
          <w:numId w:val="2"/>
        </w:numPr>
        <w:rPr>
          <w:rFonts w:ascii="Arial" w:hAnsi="Arial" w:cs="Arial"/>
          <w:sz w:val="24"/>
          <w:szCs w:val="24"/>
        </w:rPr>
      </w:pPr>
      <w:r w:rsidRPr="00E413B1">
        <w:rPr>
          <w:rFonts w:ascii="Arial" w:hAnsi="Arial" w:cs="Arial"/>
          <w:b/>
          <w:bCs/>
          <w:sz w:val="24"/>
          <w:szCs w:val="24"/>
        </w:rPr>
        <w:t>Inventory:</w:t>
      </w:r>
      <w:r w:rsidRPr="00E413B1">
        <w:rPr>
          <w:rFonts w:ascii="Arial" w:hAnsi="Arial" w:cs="Arial"/>
          <w:sz w:val="24"/>
          <w:szCs w:val="24"/>
        </w:rPr>
        <w:t> $0, therefore DIO = 0 days for all years.</w:t>
      </w:r>
    </w:p>
    <w:p w14:paraId="7DEF74AC" w14:textId="77777777" w:rsidR="00E413B1" w:rsidRPr="00E413B1" w:rsidRDefault="00E413B1" w:rsidP="00E413B1">
      <w:pPr>
        <w:numPr>
          <w:ilvl w:val="0"/>
          <w:numId w:val="2"/>
        </w:numPr>
        <w:rPr>
          <w:rFonts w:ascii="Arial" w:hAnsi="Arial" w:cs="Arial"/>
          <w:sz w:val="24"/>
          <w:szCs w:val="24"/>
        </w:rPr>
      </w:pPr>
      <w:r w:rsidRPr="00E413B1">
        <w:rPr>
          <w:rFonts w:ascii="Arial" w:hAnsi="Arial" w:cs="Arial"/>
          <w:b/>
          <w:bCs/>
          <w:sz w:val="24"/>
          <w:szCs w:val="24"/>
        </w:rPr>
        <w:t>Cost of Goods Sold (COGS) Proxy:</w:t>
      </w:r>
      <w:r w:rsidRPr="00E413B1">
        <w:rPr>
          <w:rFonts w:ascii="Arial" w:hAnsi="Arial" w:cs="Arial"/>
          <w:sz w:val="24"/>
          <w:szCs w:val="24"/>
        </w:rPr>
        <w:t> "Reimbursed expenses" is used as a proxy for COGS, as it represents the primary operating costs that create a cash conversion cycle for the company.</w:t>
      </w:r>
    </w:p>
    <w:p w14:paraId="665BF912" w14:textId="77777777" w:rsidR="00E413B1" w:rsidRPr="00E413B1" w:rsidRDefault="00E413B1" w:rsidP="00E413B1">
      <w:pPr>
        <w:numPr>
          <w:ilvl w:val="0"/>
          <w:numId w:val="2"/>
        </w:numPr>
        <w:rPr>
          <w:rFonts w:ascii="Arial" w:hAnsi="Arial" w:cs="Arial"/>
          <w:sz w:val="24"/>
          <w:szCs w:val="24"/>
        </w:rPr>
      </w:pPr>
      <w:r w:rsidRPr="00E413B1">
        <w:rPr>
          <w:rFonts w:ascii="Arial" w:hAnsi="Arial" w:cs="Arial"/>
          <w:b/>
          <w:bCs/>
          <w:sz w:val="24"/>
          <w:szCs w:val="24"/>
        </w:rPr>
        <w:t>Accounts Receivable:</w:t>
      </w:r>
      <w:r w:rsidRPr="00E413B1">
        <w:rPr>
          <w:rFonts w:ascii="Arial" w:hAnsi="Arial" w:cs="Arial"/>
          <w:sz w:val="24"/>
          <w:szCs w:val="24"/>
        </w:rPr>
        <w:t> Standard "Accounts and notes receivable, net."</w:t>
      </w:r>
    </w:p>
    <w:p w14:paraId="716F1ADA" w14:textId="77777777" w:rsidR="00E413B1" w:rsidRPr="00E413B1" w:rsidRDefault="00E413B1" w:rsidP="00E413B1">
      <w:pPr>
        <w:numPr>
          <w:ilvl w:val="0"/>
          <w:numId w:val="2"/>
        </w:numPr>
        <w:rPr>
          <w:rFonts w:ascii="Arial" w:hAnsi="Arial" w:cs="Arial"/>
          <w:sz w:val="24"/>
          <w:szCs w:val="24"/>
        </w:rPr>
      </w:pPr>
      <w:r w:rsidRPr="00E413B1">
        <w:rPr>
          <w:rFonts w:ascii="Arial" w:hAnsi="Arial" w:cs="Arial"/>
          <w:b/>
          <w:bCs/>
          <w:sz w:val="24"/>
          <w:szCs w:val="24"/>
        </w:rPr>
        <w:t>Accounts Payable:</w:t>
      </w:r>
      <w:r w:rsidRPr="00E413B1">
        <w:rPr>
          <w:rFonts w:ascii="Arial" w:hAnsi="Arial" w:cs="Arial"/>
          <w:sz w:val="24"/>
          <w:szCs w:val="24"/>
        </w:rPr>
        <w:t> Standard "Accounts payable."</w:t>
      </w:r>
    </w:p>
    <w:p w14:paraId="4E660BF0" w14:textId="77777777" w:rsidR="00E413B1" w:rsidRPr="00E413B1" w:rsidRDefault="00E413B1" w:rsidP="00E413B1">
      <w:pPr>
        <w:rPr>
          <w:rFonts w:ascii="Arial" w:hAnsi="Arial" w:cs="Arial"/>
          <w:b/>
          <w:bCs/>
          <w:sz w:val="24"/>
          <w:szCs w:val="24"/>
        </w:rPr>
      </w:pPr>
      <w:r w:rsidRPr="00E413B1">
        <w:rPr>
          <w:rFonts w:ascii="Arial" w:hAnsi="Arial" w:cs="Arial"/>
          <w:b/>
          <w:bCs/>
          <w:sz w:val="24"/>
          <w:szCs w:val="24"/>
        </w:rPr>
        <w:t>2. Summary of Findings</w:t>
      </w:r>
    </w:p>
    <w:tbl>
      <w:tblPr>
        <w:tblW w:w="0" w:type="auto"/>
        <w:tblCellMar>
          <w:top w:w="15" w:type="dxa"/>
          <w:left w:w="15" w:type="dxa"/>
          <w:bottom w:w="15" w:type="dxa"/>
          <w:right w:w="15" w:type="dxa"/>
        </w:tblCellMar>
        <w:tblLook w:val="04A0" w:firstRow="1" w:lastRow="0" w:firstColumn="1" w:lastColumn="0" w:noHBand="0" w:noVBand="1"/>
      </w:tblPr>
      <w:tblGrid>
        <w:gridCol w:w="774"/>
        <w:gridCol w:w="1980"/>
        <w:gridCol w:w="2059"/>
        <w:gridCol w:w="2113"/>
        <w:gridCol w:w="2100"/>
      </w:tblGrid>
      <w:tr w:rsidR="00E413B1" w:rsidRPr="00E413B1" w14:paraId="64966907" w14:textId="77777777">
        <w:trPr>
          <w:tblHeader/>
        </w:trPr>
        <w:tc>
          <w:tcPr>
            <w:tcW w:w="0" w:type="auto"/>
            <w:tcBorders>
              <w:top w:val="nil"/>
            </w:tcBorders>
            <w:tcMar>
              <w:top w:w="150" w:type="dxa"/>
              <w:left w:w="0" w:type="dxa"/>
              <w:bottom w:w="150" w:type="dxa"/>
              <w:right w:w="240" w:type="dxa"/>
            </w:tcMar>
            <w:vAlign w:val="center"/>
            <w:hideMark/>
          </w:tcPr>
          <w:p w14:paraId="3BE4E203" w14:textId="77777777" w:rsidR="00E413B1" w:rsidRPr="00E413B1" w:rsidRDefault="00E413B1" w:rsidP="00E413B1">
            <w:pPr>
              <w:rPr>
                <w:rFonts w:ascii="Arial" w:hAnsi="Arial" w:cs="Arial"/>
                <w:sz w:val="24"/>
                <w:szCs w:val="24"/>
              </w:rPr>
            </w:pPr>
            <w:r w:rsidRPr="00E413B1">
              <w:rPr>
                <w:rFonts w:ascii="Arial" w:hAnsi="Arial" w:cs="Arial"/>
                <w:sz w:val="24"/>
                <w:szCs w:val="24"/>
              </w:rPr>
              <w:lastRenderedPageBreak/>
              <w:t>Year</w:t>
            </w:r>
          </w:p>
        </w:tc>
        <w:tc>
          <w:tcPr>
            <w:tcW w:w="0" w:type="auto"/>
            <w:tcBorders>
              <w:top w:val="nil"/>
            </w:tcBorders>
            <w:tcMar>
              <w:top w:w="150" w:type="dxa"/>
              <w:left w:w="240" w:type="dxa"/>
              <w:bottom w:w="150" w:type="dxa"/>
              <w:right w:w="240" w:type="dxa"/>
            </w:tcMar>
            <w:vAlign w:val="center"/>
            <w:hideMark/>
          </w:tcPr>
          <w:p w14:paraId="56BF4F2D" w14:textId="77777777" w:rsidR="00E413B1" w:rsidRPr="00E413B1" w:rsidRDefault="00E413B1" w:rsidP="00E413B1">
            <w:pPr>
              <w:rPr>
                <w:rFonts w:ascii="Arial" w:hAnsi="Arial" w:cs="Arial"/>
                <w:sz w:val="24"/>
                <w:szCs w:val="24"/>
              </w:rPr>
            </w:pPr>
            <w:r w:rsidRPr="00E413B1">
              <w:rPr>
                <w:rFonts w:ascii="Arial" w:hAnsi="Arial" w:cs="Arial"/>
                <w:sz w:val="24"/>
                <w:szCs w:val="24"/>
              </w:rPr>
              <w:t>Cash Conversion Cycle (CCC)</w:t>
            </w:r>
          </w:p>
        </w:tc>
        <w:tc>
          <w:tcPr>
            <w:tcW w:w="0" w:type="auto"/>
            <w:tcBorders>
              <w:top w:val="nil"/>
            </w:tcBorders>
            <w:tcMar>
              <w:top w:w="150" w:type="dxa"/>
              <w:left w:w="240" w:type="dxa"/>
              <w:bottom w:w="150" w:type="dxa"/>
              <w:right w:w="240" w:type="dxa"/>
            </w:tcMar>
            <w:vAlign w:val="center"/>
            <w:hideMark/>
          </w:tcPr>
          <w:p w14:paraId="044D5322" w14:textId="77777777" w:rsidR="00E413B1" w:rsidRPr="00E413B1" w:rsidRDefault="00E413B1" w:rsidP="00E413B1">
            <w:pPr>
              <w:rPr>
                <w:rFonts w:ascii="Arial" w:hAnsi="Arial" w:cs="Arial"/>
                <w:sz w:val="24"/>
                <w:szCs w:val="24"/>
              </w:rPr>
            </w:pPr>
            <w:r w:rsidRPr="00E413B1">
              <w:rPr>
                <w:rFonts w:ascii="Arial" w:hAnsi="Arial" w:cs="Arial"/>
                <w:sz w:val="24"/>
                <w:szCs w:val="24"/>
              </w:rPr>
              <w:t>Days Sales Outstanding (DSO)</w:t>
            </w:r>
          </w:p>
        </w:tc>
        <w:tc>
          <w:tcPr>
            <w:tcW w:w="0" w:type="auto"/>
            <w:tcBorders>
              <w:top w:val="nil"/>
            </w:tcBorders>
            <w:tcMar>
              <w:top w:w="150" w:type="dxa"/>
              <w:left w:w="240" w:type="dxa"/>
              <w:bottom w:w="150" w:type="dxa"/>
              <w:right w:w="240" w:type="dxa"/>
            </w:tcMar>
            <w:vAlign w:val="center"/>
            <w:hideMark/>
          </w:tcPr>
          <w:p w14:paraId="257AF467" w14:textId="77777777" w:rsidR="00E413B1" w:rsidRPr="00E413B1" w:rsidRDefault="00E413B1" w:rsidP="00E413B1">
            <w:pPr>
              <w:rPr>
                <w:rFonts w:ascii="Arial" w:hAnsi="Arial" w:cs="Arial"/>
                <w:sz w:val="24"/>
                <w:szCs w:val="24"/>
              </w:rPr>
            </w:pPr>
            <w:r w:rsidRPr="00E413B1">
              <w:rPr>
                <w:rFonts w:ascii="Arial" w:hAnsi="Arial" w:cs="Arial"/>
                <w:sz w:val="24"/>
                <w:szCs w:val="24"/>
              </w:rPr>
              <w:t>Days Payables Outstanding (DPO)</w:t>
            </w:r>
          </w:p>
        </w:tc>
        <w:tc>
          <w:tcPr>
            <w:tcW w:w="0" w:type="auto"/>
            <w:tcBorders>
              <w:top w:val="nil"/>
            </w:tcBorders>
            <w:tcMar>
              <w:top w:w="150" w:type="dxa"/>
              <w:left w:w="240" w:type="dxa"/>
              <w:bottom w:w="150" w:type="dxa"/>
              <w:right w:w="240" w:type="dxa"/>
            </w:tcMar>
            <w:vAlign w:val="center"/>
            <w:hideMark/>
          </w:tcPr>
          <w:p w14:paraId="78FEDDF8" w14:textId="77777777" w:rsidR="00E413B1" w:rsidRPr="00E413B1" w:rsidRDefault="00E413B1" w:rsidP="00E413B1">
            <w:pPr>
              <w:rPr>
                <w:rFonts w:ascii="Arial" w:hAnsi="Arial" w:cs="Arial"/>
                <w:sz w:val="24"/>
                <w:szCs w:val="24"/>
              </w:rPr>
            </w:pPr>
            <w:r w:rsidRPr="00E413B1">
              <w:rPr>
                <w:rFonts w:ascii="Arial" w:hAnsi="Arial" w:cs="Arial"/>
                <w:sz w:val="24"/>
                <w:szCs w:val="24"/>
              </w:rPr>
              <w:t>Days Inventory Outstanding (DIO)</w:t>
            </w:r>
          </w:p>
        </w:tc>
      </w:tr>
      <w:tr w:rsidR="00E413B1" w:rsidRPr="00E413B1" w14:paraId="6BF85BCC" w14:textId="77777777">
        <w:tc>
          <w:tcPr>
            <w:tcW w:w="0" w:type="auto"/>
            <w:tcMar>
              <w:top w:w="150" w:type="dxa"/>
              <w:left w:w="0" w:type="dxa"/>
              <w:bottom w:w="150" w:type="dxa"/>
              <w:right w:w="240" w:type="dxa"/>
            </w:tcMar>
            <w:vAlign w:val="center"/>
            <w:hideMark/>
          </w:tcPr>
          <w:p w14:paraId="79482E25" w14:textId="77777777" w:rsidR="00E413B1" w:rsidRPr="00E413B1" w:rsidRDefault="00E413B1" w:rsidP="00E413B1">
            <w:pPr>
              <w:rPr>
                <w:rFonts w:ascii="Arial" w:hAnsi="Arial" w:cs="Arial"/>
                <w:sz w:val="24"/>
                <w:szCs w:val="24"/>
              </w:rPr>
            </w:pPr>
            <w:r w:rsidRPr="00E413B1">
              <w:rPr>
                <w:rFonts w:ascii="Arial" w:hAnsi="Arial" w:cs="Arial"/>
                <w:b/>
                <w:bCs/>
                <w:sz w:val="24"/>
                <w:szCs w:val="24"/>
              </w:rPr>
              <w:t>2019</w:t>
            </w:r>
          </w:p>
        </w:tc>
        <w:tc>
          <w:tcPr>
            <w:tcW w:w="0" w:type="auto"/>
            <w:tcMar>
              <w:top w:w="150" w:type="dxa"/>
              <w:left w:w="240" w:type="dxa"/>
              <w:bottom w:w="150" w:type="dxa"/>
              <w:right w:w="240" w:type="dxa"/>
            </w:tcMar>
            <w:vAlign w:val="center"/>
            <w:hideMark/>
          </w:tcPr>
          <w:p w14:paraId="611F4444" w14:textId="77777777" w:rsidR="00E413B1" w:rsidRPr="00E413B1" w:rsidRDefault="00E413B1" w:rsidP="00E413B1">
            <w:pPr>
              <w:rPr>
                <w:rFonts w:ascii="Arial" w:hAnsi="Arial" w:cs="Arial"/>
                <w:sz w:val="24"/>
                <w:szCs w:val="24"/>
              </w:rPr>
            </w:pPr>
            <w:r w:rsidRPr="00E413B1">
              <w:rPr>
                <w:rFonts w:ascii="Arial" w:hAnsi="Arial" w:cs="Arial"/>
                <w:sz w:val="24"/>
                <w:szCs w:val="24"/>
              </w:rPr>
              <w:t>N/A</w:t>
            </w:r>
          </w:p>
        </w:tc>
        <w:tc>
          <w:tcPr>
            <w:tcW w:w="0" w:type="auto"/>
            <w:tcMar>
              <w:top w:w="150" w:type="dxa"/>
              <w:left w:w="240" w:type="dxa"/>
              <w:bottom w:w="150" w:type="dxa"/>
              <w:right w:w="240" w:type="dxa"/>
            </w:tcMar>
            <w:vAlign w:val="center"/>
            <w:hideMark/>
          </w:tcPr>
          <w:p w14:paraId="078AC43E" w14:textId="77777777" w:rsidR="00E413B1" w:rsidRPr="00E413B1" w:rsidRDefault="00E413B1" w:rsidP="00E413B1">
            <w:pPr>
              <w:rPr>
                <w:rFonts w:ascii="Arial" w:hAnsi="Arial" w:cs="Arial"/>
                <w:sz w:val="24"/>
                <w:szCs w:val="24"/>
              </w:rPr>
            </w:pPr>
            <w:r w:rsidRPr="00E413B1">
              <w:rPr>
                <w:rFonts w:ascii="Arial" w:hAnsi="Arial" w:cs="Arial"/>
                <w:sz w:val="24"/>
                <w:szCs w:val="24"/>
              </w:rPr>
              <w:t>N/A</w:t>
            </w:r>
          </w:p>
        </w:tc>
        <w:tc>
          <w:tcPr>
            <w:tcW w:w="0" w:type="auto"/>
            <w:tcMar>
              <w:top w:w="150" w:type="dxa"/>
              <w:left w:w="240" w:type="dxa"/>
              <w:bottom w:w="150" w:type="dxa"/>
              <w:right w:w="240" w:type="dxa"/>
            </w:tcMar>
            <w:vAlign w:val="center"/>
            <w:hideMark/>
          </w:tcPr>
          <w:p w14:paraId="71972256" w14:textId="77777777" w:rsidR="00E413B1" w:rsidRPr="00E413B1" w:rsidRDefault="00E413B1" w:rsidP="00E413B1">
            <w:pPr>
              <w:rPr>
                <w:rFonts w:ascii="Arial" w:hAnsi="Arial" w:cs="Arial"/>
                <w:sz w:val="24"/>
                <w:szCs w:val="24"/>
              </w:rPr>
            </w:pPr>
            <w:r w:rsidRPr="00E413B1">
              <w:rPr>
                <w:rFonts w:ascii="Arial" w:hAnsi="Arial" w:cs="Arial"/>
                <w:sz w:val="24"/>
                <w:szCs w:val="24"/>
              </w:rPr>
              <w:t>N/A</w:t>
            </w:r>
          </w:p>
        </w:tc>
        <w:tc>
          <w:tcPr>
            <w:tcW w:w="0" w:type="auto"/>
            <w:tcMar>
              <w:top w:w="150" w:type="dxa"/>
              <w:left w:w="240" w:type="dxa"/>
              <w:bottom w:w="150" w:type="dxa"/>
              <w:right w:w="0" w:type="dxa"/>
            </w:tcMar>
            <w:vAlign w:val="center"/>
            <w:hideMark/>
          </w:tcPr>
          <w:p w14:paraId="4E0D36B3" w14:textId="77777777" w:rsidR="00E413B1" w:rsidRPr="00E413B1" w:rsidRDefault="00E413B1" w:rsidP="00E413B1">
            <w:pPr>
              <w:rPr>
                <w:rFonts w:ascii="Arial" w:hAnsi="Arial" w:cs="Arial"/>
                <w:sz w:val="24"/>
                <w:szCs w:val="24"/>
              </w:rPr>
            </w:pPr>
            <w:r w:rsidRPr="00E413B1">
              <w:rPr>
                <w:rFonts w:ascii="Arial" w:hAnsi="Arial" w:cs="Arial"/>
                <w:sz w:val="24"/>
                <w:szCs w:val="24"/>
              </w:rPr>
              <w:t>0</w:t>
            </w:r>
          </w:p>
        </w:tc>
      </w:tr>
      <w:tr w:rsidR="00E413B1" w:rsidRPr="00E413B1" w14:paraId="461E0E7C" w14:textId="77777777">
        <w:tc>
          <w:tcPr>
            <w:tcW w:w="0" w:type="auto"/>
            <w:tcMar>
              <w:top w:w="150" w:type="dxa"/>
              <w:left w:w="0" w:type="dxa"/>
              <w:bottom w:w="150" w:type="dxa"/>
              <w:right w:w="240" w:type="dxa"/>
            </w:tcMar>
            <w:vAlign w:val="center"/>
            <w:hideMark/>
          </w:tcPr>
          <w:p w14:paraId="31E69B18" w14:textId="77777777" w:rsidR="00E413B1" w:rsidRPr="00E413B1" w:rsidRDefault="00E413B1" w:rsidP="00E413B1">
            <w:pPr>
              <w:rPr>
                <w:rFonts w:ascii="Arial" w:hAnsi="Arial" w:cs="Arial"/>
                <w:sz w:val="24"/>
                <w:szCs w:val="24"/>
              </w:rPr>
            </w:pPr>
            <w:r w:rsidRPr="00E413B1">
              <w:rPr>
                <w:rFonts w:ascii="Arial" w:hAnsi="Arial" w:cs="Arial"/>
                <w:b/>
                <w:bCs/>
                <w:sz w:val="24"/>
                <w:szCs w:val="24"/>
              </w:rPr>
              <w:t>2020</w:t>
            </w:r>
          </w:p>
        </w:tc>
        <w:tc>
          <w:tcPr>
            <w:tcW w:w="0" w:type="auto"/>
            <w:tcMar>
              <w:top w:w="150" w:type="dxa"/>
              <w:left w:w="240" w:type="dxa"/>
              <w:bottom w:w="150" w:type="dxa"/>
              <w:right w:w="240" w:type="dxa"/>
            </w:tcMar>
            <w:vAlign w:val="center"/>
            <w:hideMark/>
          </w:tcPr>
          <w:p w14:paraId="76D8B677" w14:textId="77777777" w:rsidR="00E413B1" w:rsidRPr="00E413B1" w:rsidRDefault="00E413B1" w:rsidP="00E413B1">
            <w:pPr>
              <w:rPr>
                <w:rFonts w:ascii="Arial" w:hAnsi="Arial" w:cs="Arial"/>
                <w:sz w:val="24"/>
                <w:szCs w:val="24"/>
              </w:rPr>
            </w:pPr>
            <w:r w:rsidRPr="00E413B1">
              <w:rPr>
                <w:rFonts w:ascii="Arial" w:hAnsi="Arial" w:cs="Arial"/>
                <w:sz w:val="24"/>
                <w:szCs w:val="24"/>
              </w:rPr>
              <w:t>42.8 days</w:t>
            </w:r>
          </w:p>
        </w:tc>
        <w:tc>
          <w:tcPr>
            <w:tcW w:w="0" w:type="auto"/>
            <w:tcMar>
              <w:top w:w="150" w:type="dxa"/>
              <w:left w:w="240" w:type="dxa"/>
              <w:bottom w:w="150" w:type="dxa"/>
              <w:right w:w="240" w:type="dxa"/>
            </w:tcMar>
            <w:vAlign w:val="center"/>
            <w:hideMark/>
          </w:tcPr>
          <w:p w14:paraId="72DCEFC2" w14:textId="77777777" w:rsidR="00E413B1" w:rsidRPr="00E413B1" w:rsidRDefault="00E413B1" w:rsidP="00E413B1">
            <w:pPr>
              <w:rPr>
                <w:rFonts w:ascii="Arial" w:hAnsi="Arial" w:cs="Arial"/>
                <w:sz w:val="24"/>
                <w:szCs w:val="24"/>
              </w:rPr>
            </w:pPr>
            <w:r w:rsidRPr="00E413B1">
              <w:rPr>
                <w:rFonts w:ascii="Arial" w:hAnsi="Arial" w:cs="Arial"/>
                <w:sz w:val="24"/>
                <w:szCs w:val="24"/>
              </w:rPr>
              <w:t>61.1 days</w:t>
            </w:r>
          </w:p>
        </w:tc>
        <w:tc>
          <w:tcPr>
            <w:tcW w:w="0" w:type="auto"/>
            <w:tcMar>
              <w:top w:w="150" w:type="dxa"/>
              <w:left w:w="240" w:type="dxa"/>
              <w:bottom w:w="150" w:type="dxa"/>
              <w:right w:w="240" w:type="dxa"/>
            </w:tcMar>
            <w:vAlign w:val="center"/>
            <w:hideMark/>
          </w:tcPr>
          <w:p w14:paraId="20E6E17C" w14:textId="77777777" w:rsidR="00E413B1" w:rsidRPr="00E413B1" w:rsidRDefault="00E413B1" w:rsidP="00E413B1">
            <w:pPr>
              <w:rPr>
                <w:rFonts w:ascii="Arial" w:hAnsi="Arial" w:cs="Arial"/>
                <w:sz w:val="24"/>
                <w:szCs w:val="24"/>
              </w:rPr>
            </w:pPr>
            <w:r w:rsidRPr="00E413B1">
              <w:rPr>
                <w:rFonts w:ascii="Arial" w:hAnsi="Arial" w:cs="Arial"/>
                <w:sz w:val="24"/>
                <w:szCs w:val="24"/>
              </w:rPr>
              <w:t>18.3 days</w:t>
            </w:r>
          </w:p>
        </w:tc>
        <w:tc>
          <w:tcPr>
            <w:tcW w:w="0" w:type="auto"/>
            <w:tcMar>
              <w:top w:w="150" w:type="dxa"/>
              <w:left w:w="240" w:type="dxa"/>
              <w:bottom w:w="150" w:type="dxa"/>
              <w:right w:w="0" w:type="dxa"/>
            </w:tcMar>
            <w:vAlign w:val="center"/>
            <w:hideMark/>
          </w:tcPr>
          <w:p w14:paraId="54651D33" w14:textId="77777777" w:rsidR="00E413B1" w:rsidRPr="00E413B1" w:rsidRDefault="00E413B1" w:rsidP="00E413B1">
            <w:pPr>
              <w:rPr>
                <w:rFonts w:ascii="Arial" w:hAnsi="Arial" w:cs="Arial"/>
                <w:sz w:val="24"/>
                <w:szCs w:val="24"/>
              </w:rPr>
            </w:pPr>
            <w:r w:rsidRPr="00E413B1">
              <w:rPr>
                <w:rFonts w:ascii="Arial" w:hAnsi="Arial" w:cs="Arial"/>
                <w:sz w:val="24"/>
                <w:szCs w:val="24"/>
              </w:rPr>
              <w:t>0</w:t>
            </w:r>
          </w:p>
        </w:tc>
      </w:tr>
      <w:tr w:rsidR="00E413B1" w:rsidRPr="00E413B1" w14:paraId="53476F19" w14:textId="77777777">
        <w:tc>
          <w:tcPr>
            <w:tcW w:w="0" w:type="auto"/>
            <w:tcMar>
              <w:top w:w="150" w:type="dxa"/>
              <w:left w:w="0" w:type="dxa"/>
              <w:bottom w:w="150" w:type="dxa"/>
              <w:right w:w="240" w:type="dxa"/>
            </w:tcMar>
            <w:vAlign w:val="center"/>
            <w:hideMark/>
          </w:tcPr>
          <w:p w14:paraId="0A1E868A" w14:textId="77777777" w:rsidR="00E413B1" w:rsidRPr="00E413B1" w:rsidRDefault="00E413B1" w:rsidP="00E413B1">
            <w:pPr>
              <w:rPr>
                <w:rFonts w:ascii="Arial" w:hAnsi="Arial" w:cs="Arial"/>
                <w:sz w:val="24"/>
                <w:szCs w:val="24"/>
              </w:rPr>
            </w:pPr>
            <w:r w:rsidRPr="00E413B1">
              <w:rPr>
                <w:rFonts w:ascii="Arial" w:hAnsi="Arial" w:cs="Arial"/>
                <w:b/>
                <w:bCs/>
                <w:sz w:val="24"/>
                <w:szCs w:val="24"/>
              </w:rPr>
              <w:t>2021</w:t>
            </w:r>
          </w:p>
        </w:tc>
        <w:tc>
          <w:tcPr>
            <w:tcW w:w="0" w:type="auto"/>
            <w:tcMar>
              <w:top w:w="150" w:type="dxa"/>
              <w:left w:w="240" w:type="dxa"/>
              <w:bottom w:w="150" w:type="dxa"/>
              <w:right w:w="240" w:type="dxa"/>
            </w:tcMar>
            <w:vAlign w:val="center"/>
            <w:hideMark/>
          </w:tcPr>
          <w:p w14:paraId="501C074A" w14:textId="77777777" w:rsidR="00E413B1" w:rsidRPr="00E413B1" w:rsidRDefault="00E413B1" w:rsidP="00E413B1">
            <w:pPr>
              <w:rPr>
                <w:rFonts w:ascii="Arial" w:hAnsi="Arial" w:cs="Arial"/>
                <w:sz w:val="24"/>
                <w:szCs w:val="24"/>
              </w:rPr>
            </w:pPr>
            <w:r w:rsidRPr="00E413B1">
              <w:rPr>
                <w:rFonts w:ascii="Arial" w:hAnsi="Arial" w:cs="Arial"/>
                <w:b/>
                <w:bCs/>
                <w:sz w:val="24"/>
                <w:szCs w:val="24"/>
              </w:rPr>
              <w:t>48.5 days</w:t>
            </w:r>
          </w:p>
        </w:tc>
        <w:tc>
          <w:tcPr>
            <w:tcW w:w="0" w:type="auto"/>
            <w:tcMar>
              <w:top w:w="150" w:type="dxa"/>
              <w:left w:w="240" w:type="dxa"/>
              <w:bottom w:w="150" w:type="dxa"/>
              <w:right w:w="240" w:type="dxa"/>
            </w:tcMar>
            <w:vAlign w:val="center"/>
            <w:hideMark/>
          </w:tcPr>
          <w:p w14:paraId="5E5093B3" w14:textId="77777777" w:rsidR="00E413B1" w:rsidRPr="00E413B1" w:rsidRDefault="00E413B1" w:rsidP="00E413B1">
            <w:pPr>
              <w:rPr>
                <w:rFonts w:ascii="Arial" w:hAnsi="Arial" w:cs="Arial"/>
                <w:sz w:val="24"/>
                <w:szCs w:val="24"/>
              </w:rPr>
            </w:pPr>
            <w:r w:rsidRPr="00E413B1">
              <w:rPr>
                <w:rFonts w:ascii="Arial" w:hAnsi="Arial" w:cs="Arial"/>
                <w:b/>
                <w:bCs/>
                <w:sz w:val="24"/>
                <w:szCs w:val="24"/>
              </w:rPr>
              <w:t>72.9 days</w:t>
            </w:r>
          </w:p>
        </w:tc>
        <w:tc>
          <w:tcPr>
            <w:tcW w:w="0" w:type="auto"/>
            <w:tcMar>
              <w:top w:w="150" w:type="dxa"/>
              <w:left w:w="240" w:type="dxa"/>
              <w:bottom w:w="150" w:type="dxa"/>
              <w:right w:w="240" w:type="dxa"/>
            </w:tcMar>
            <w:vAlign w:val="center"/>
            <w:hideMark/>
          </w:tcPr>
          <w:p w14:paraId="543F107E" w14:textId="77777777" w:rsidR="00E413B1" w:rsidRPr="00E413B1" w:rsidRDefault="00E413B1" w:rsidP="00E413B1">
            <w:pPr>
              <w:rPr>
                <w:rFonts w:ascii="Arial" w:hAnsi="Arial" w:cs="Arial"/>
                <w:sz w:val="24"/>
                <w:szCs w:val="24"/>
              </w:rPr>
            </w:pPr>
            <w:r w:rsidRPr="00E413B1">
              <w:rPr>
                <w:rFonts w:ascii="Arial" w:hAnsi="Arial" w:cs="Arial"/>
                <w:sz w:val="24"/>
                <w:szCs w:val="24"/>
              </w:rPr>
              <w:t>24.4 days</w:t>
            </w:r>
          </w:p>
        </w:tc>
        <w:tc>
          <w:tcPr>
            <w:tcW w:w="0" w:type="auto"/>
            <w:tcMar>
              <w:top w:w="150" w:type="dxa"/>
              <w:left w:w="240" w:type="dxa"/>
              <w:bottom w:w="150" w:type="dxa"/>
              <w:right w:w="0" w:type="dxa"/>
            </w:tcMar>
            <w:vAlign w:val="center"/>
            <w:hideMark/>
          </w:tcPr>
          <w:p w14:paraId="1268A325" w14:textId="77777777" w:rsidR="00E413B1" w:rsidRPr="00E413B1" w:rsidRDefault="00E413B1" w:rsidP="00E413B1">
            <w:pPr>
              <w:rPr>
                <w:rFonts w:ascii="Arial" w:hAnsi="Arial" w:cs="Arial"/>
                <w:sz w:val="24"/>
                <w:szCs w:val="24"/>
              </w:rPr>
            </w:pPr>
            <w:r w:rsidRPr="00E413B1">
              <w:rPr>
                <w:rFonts w:ascii="Arial" w:hAnsi="Arial" w:cs="Arial"/>
                <w:sz w:val="24"/>
                <w:szCs w:val="24"/>
              </w:rPr>
              <w:t>0</w:t>
            </w:r>
          </w:p>
        </w:tc>
      </w:tr>
      <w:tr w:rsidR="00E413B1" w:rsidRPr="00E413B1" w14:paraId="2AEBCE8C" w14:textId="77777777">
        <w:tc>
          <w:tcPr>
            <w:tcW w:w="0" w:type="auto"/>
            <w:tcMar>
              <w:top w:w="150" w:type="dxa"/>
              <w:left w:w="0" w:type="dxa"/>
              <w:bottom w:w="150" w:type="dxa"/>
              <w:right w:w="240" w:type="dxa"/>
            </w:tcMar>
            <w:vAlign w:val="center"/>
            <w:hideMark/>
          </w:tcPr>
          <w:p w14:paraId="767DF5CF" w14:textId="77777777" w:rsidR="00E413B1" w:rsidRPr="00E413B1" w:rsidRDefault="00E413B1" w:rsidP="00E413B1">
            <w:pPr>
              <w:rPr>
                <w:rFonts w:ascii="Arial" w:hAnsi="Arial" w:cs="Arial"/>
                <w:sz w:val="24"/>
                <w:szCs w:val="24"/>
              </w:rPr>
            </w:pPr>
            <w:r w:rsidRPr="00E413B1">
              <w:rPr>
                <w:rFonts w:ascii="Arial" w:hAnsi="Arial" w:cs="Arial"/>
                <w:b/>
                <w:bCs/>
                <w:sz w:val="24"/>
                <w:szCs w:val="24"/>
              </w:rPr>
              <w:t>2022</w:t>
            </w:r>
          </w:p>
        </w:tc>
        <w:tc>
          <w:tcPr>
            <w:tcW w:w="0" w:type="auto"/>
            <w:tcMar>
              <w:top w:w="150" w:type="dxa"/>
              <w:left w:w="240" w:type="dxa"/>
              <w:bottom w:w="150" w:type="dxa"/>
              <w:right w:w="240" w:type="dxa"/>
            </w:tcMar>
            <w:vAlign w:val="center"/>
            <w:hideMark/>
          </w:tcPr>
          <w:p w14:paraId="594BFD56" w14:textId="77777777" w:rsidR="00E413B1" w:rsidRPr="00E413B1" w:rsidRDefault="00E413B1" w:rsidP="00E413B1">
            <w:pPr>
              <w:rPr>
                <w:rFonts w:ascii="Arial" w:hAnsi="Arial" w:cs="Arial"/>
                <w:sz w:val="24"/>
                <w:szCs w:val="24"/>
              </w:rPr>
            </w:pPr>
            <w:r w:rsidRPr="00E413B1">
              <w:rPr>
                <w:rFonts w:ascii="Arial" w:hAnsi="Arial" w:cs="Arial"/>
                <w:b/>
                <w:bCs/>
                <w:sz w:val="24"/>
                <w:szCs w:val="24"/>
              </w:rPr>
              <w:t>44.2 days</w:t>
            </w:r>
          </w:p>
        </w:tc>
        <w:tc>
          <w:tcPr>
            <w:tcW w:w="0" w:type="auto"/>
            <w:tcMar>
              <w:top w:w="150" w:type="dxa"/>
              <w:left w:w="240" w:type="dxa"/>
              <w:bottom w:w="150" w:type="dxa"/>
              <w:right w:w="240" w:type="dxa"/>
            </w:tcMar>
            <w:vAlign w:val="center"/>
            <w:hideMark/>
          </w:tcPr>
          <w:p w14:paraId="53429EE3" w14:textId="77777777" w:rsidR="00E413B1" w:rsidRPr="00E413B1" w:rsidRDefault="00E413B1" w:rsidP="00E413B1">
            <w:pPr>
              <w:rPr>
                <w:rFonts w:ascii="Arial" w:hAnsi="Arial" w:cs="Arial"/>
                <w:sz w:val="24"/>
                <w:szCs w:val="24"/>
              </w:rPr>
            </w:pPr>
            <w:r w:rsidRPr="00E413B1">
              <w:rPr>
                <w:rFonts w:ascii="Arial" w:hAnsi="Arial" w:cs="Arial"/>
                <w:sz w:val="24"/>
                <w:szCs w:val="24"/>
              </w:rPr>
              <w:t>65.3 days</w:t>
            </w:r>
          </w:p>
        </w:tc>
        <w:tc>
          <w:tcPr>
            <w:tcW w:w="0" w:type="auto"/>
            <w:tcMar>
              <w:top w:w="150" w:type="dxa"/>
              <w:left w:w="240" w:type="dxa"/>
              <w:bottom w:w="150" w:type="dxa"/>
              <w:right w:w="240" w:type="dxa"/>
            </w:tcMar>
            <w:vAlign w:val="center"/>
            <w:hideMark/>
          </w:tcPr>
          <w:p w14:paraId="3DD651B7" w14:textId="77777777" w:rsidR="00E413B1" w:rsidRPr="00E413B1" w:rsidRDefault="00E413B1" w:rsidP="00E413B1">
            <w:pPr>
              <w:rPr>
                <w:rFonts w:ascii="Arial" w:hAnsi="Arial" w:cs="Arial"/>
                <w:sz w:val="24"/>
                <w:szCs w:val="24"/>
              </w:rPr>
            </w:pPr>
            <w:r w:rsidRPr="00E413B1">
              <w:rPr>
                <w:rFonts w:ascii="Arial" w:hAnsi="Arial" w:cs="Arial"/>
                <w:sz w:val="24"/>
                <w:szCs w:val="24"/>
              </w:rPr>
              <w:t>21.1 days</w:t>
            </w:r>
          </w:p>
        </w:tc>
        <w:tc>
          <w:tcPr>
            <w:tcW w:w="0" w:type="auto"/>
            <w:tcMar>
              <w:top w:w="150" w:type="dxa"/>
              <w:left w:w="240" w:type="dxa"/>
              <w:bottom w:w="150" w:type="dxa"/>
              <w:right w:w="0" w:type="dxa"/>
            </w:tcMar>
            <w:vAlign w:val="center"/>
            <w:hideMark/>
          </w:tcPr>
          <w:p w14:paraId="6209BEDB" w14:textId="77777777" w:rsidR="00E413B1" w:rsidRPr="00E413B1" w:rsidRDefault="00E413B1" w:rsidP="00E413B1">
            <w:pPr>
              <w:rPr>
                <w:rFonts w:ascii="Arial" w:hAnsi="Arial" w:cs="Arial"/>
                <w:sz w:val="24"/>
                <w:szCs w:val="24"/>
              </w:rPr>
            </w:pPr>
            <w:r w:rsidRPr="00E413B1">
              <w:rPr>
                <w:rFonts w:ascii="Arial" w:hAnsi="Arial" w:cs="Arial"/>
                <w:sz w:val="24"/>
                <w:szCs w:val="24"/>
              </w:rPr>
              <w:t>0</w:t>
            </w:r>
          </w:p>
        </w:tc>
      </w:tr>
      <w:tr w:rsidR="00E413B1" w:rsidRPr="00E413B1" w14:paraId="43C6A12F" w14:textId="77777777">
        <w:tc>
          <w:tcPr>
            <w:tcW w:w="0" w:type="auto"/>
            <w:tcMar>
              <w:top w:w="150" w:type="dxa"/>
              <w:left w:w="0" w:type="dxa"/>
              <w:bottom w:w="150" w:type="dxa"/>
              <w:right w:w="240" w:type="dxa"/>
            </w:tcMar>
            <w:vAlign w:val="center"/>
            <w:hideMark/>
          </w:tcPr>
          <w:p w14:paraId="335F956B" w14:textId="77777777" w:rsidR="00E413B1" w:rsidRPr="00E413B1" w:rsidRDefault="00E413B1" w:rsidP="00E413B1">
            <w:pPr>
              <w:rPr>
                <w:rFonts w:ascii="Arial" w:hAnsi="Arial" w:cs="Arial"/>
                <w:sz w:val="24"/>
                <w:szCs w:val="24"/>
              </w:rPr>
            </w:pPr>
            <w:r w:rsidRPr="00E413B1">
              <w:rPr>
                <w:rFonts w:ascii="Arial" w:hAnsi="Arial" w:cs="Arial"/>
                <w:b/>
                <w:bCs/>
                <w:sz w:val="24"/>
                <w:szCs w:val="24"/>
              </w:rPr>
              <w:t>2023</w:t>
            </w:r>
          </w:p>
        </w:tc>
        <w:tc>
          <w:tcPr>
            <w:tcW w:w="0" w:type="auto"/>
            <w:tcMar>
              <w:top w:w="150" w:type="dxa"/>
              <w:left w:w="240" w:type="dxa"/>
              <w:bottom w:w="150" w:type="dxa"/>
              <w:right w:w="240" w:type="dxa"/>
            </w:tcMar>
            <w:vAlign w:val="center"/>
            <w:hideMark/>
          </w:tcPr>
          <w:p w14:paraId="74F40B6D" w14:textId="77777777" w:rsidR="00E413B1" w:rsidRPr="00E413B1" w:rsidRDefault="00E413B1" w:rsidP="00E413B1">
            <w:pPr>
              <w:rPr>
                <w:rFonts w:ascii="Arial" w:hAnsi="Arial" w:cs="Arial"/>
                <w:sz w:val="24"/>
                <w:szCs w:val="24"/>
              </w:rPr>
            </w:pPr>
            <w:r w:rsidRPr="00E413B1">
              <w:rPr>
                <w:rFonts w:ascii="Arial" w:hAnsi="Arial" w:cs="Arial"/>
                <w:b/>
                <w:bCs/>
                <w:sz w:val="24"/>
                <w:szCs w:val="24"/>
              </w:rPr>
              <w:t>42.6 days</w:t>
            </w:r>
          </w:p>
        </w:tc>
        <w:tc>
          <w:tcPr>
            <w:tcW w:w="0" w:type="auto"/>
            <w:tcMar>
              <w:top w:w="150" w:type="dxa"/>
              <w:left w:w="240" w:type="dxa"/>
              <w:bottom w:w="150" w:type="dxa"/>
              <w:right w:w="240" w:type="dxa"/>
            </w:tcMar>
            <w:vAlign w:val="center"/>
            <w:hideMark/>
          </w:tcPr>
          <w:p w14:paraId="51674178" w14:textId="77777777" w:rsidR="00E413B1" w:rsidRPr="00E413B1" w:rsidRDefault="00E413B1" w:rsidP="00E413B1">
            <w:pPr>
              <w:rPr>
                <w:rFonts w:ascii="Arial" w:hAnsi="Arial" w:cs="Arial"/>
                <w:sz w:val="24"/>
                <w:szCs w:val="24"/>
              </w:rPr>
            </w:pPr>
            <w:r w:rsidRPr="00E413B1">
              <w:rPr>
                <w:rFonts w:ascii="Arial" w:hAnsi="Arial" w:cs="Arial"/>
                <w:sz w:val="24"/>
                <w:szCs w:val="24"/>
              </w:rPr>
              <w:t>59.2 days</w:t>
            </w:r>
          </w:p>
        </w:tc>
        <w:tc>
          <w:tcPr>
            <w:tcW w:w="0" w:type="auto"/>
            <w:tcMar>
              <w:top w:w="150" w:type="dxa"/>
              <w:left w:w="240" w:type="dxa"/>
              <w:bottom w:w="150" w:type="dxa"/>
              <w:right w:w="240" w:type="dxa"/>
            </w:tcMar>
            <w:vAlign w:val="center"/>
            <w:hideMark/>
          </w:tcPr>
          <w:p w14:paraId="01476F97" w14:textId="77777777" w:rsidR="00E413B1" w:rsidRPr="00E413B1" w:rsidRDefault="00E413B1" w:rsidP="00E413B1">
            <w:pPr>
              <w:rPr>
                <w:rFonts w:ascii="Arial" w:hAnsi="Arial" w:cs="Arial"/>
                <w:sz w:val="24"/>
                <w:szCs w:val="24"/>
              </w:rPr>
            </w:pPr>
            <w:r w:rsidRPr="00E413B1">
              <w:rPr>
                <w:rFonts w:ascii="Arial" w:hAnsi="Arial" w:cs="Arial"/>
                <w:sz w:val="24"/>
                <w:szCs w:val="24"/>
              </w:rPr>
              <w:t>16.6 days</w:t>
            </w:r>
          </w:p>
        </w:tc>
        <w:tc>
          <w:tcPr>
            <w:tcW w:w="0" w:type="auto"/>
            <w:tcMar>
              <w:top w:w="150" w:type="dxa"/>
              <w:left w:w="240" w:type="dxa"/>
              <w:bottom w:w="150" w:type="dxa"/>
              <w:right w:w="0" w:type="dxa"/>
            </w:tcMar>
            <w:vAlign w:val="center"/>
            <w:hideMark/>
          </w:tcPr>
          <w:p w14:paraId="2C90A2E9" w14:textId="77777777" w:rsidR="00E413B1" w:rsidRPr="00E413B1" w:rsidRDefault="00E413B1" w:rsidP="00E413B1">
            <w:pPr>
              <w:rPr>
                <w:rFonts w:ascii="Arial" w:hAnsi="Arial" w:cs="Arial"/>
                <w:sz w:val="24"/>
                <w:szCs w:val="24"/>
              </w:rPr>
            </w:pPr>
            <w:r w:rsidRPr="00E413B1">
              <w:rPr>
                <w:rFonts w:ascii="Arial" w:hAnsi="Arial" w:cs="Arial"/>
                <w:sz w:val="24"/>
                <w:szCs w:val="24"/>
              </w:rPr>
              <w:t>0</w:t>
            </w:r>
          </w:p>
        </w:tc>
      </w:tr>
    </w:tbl>
    <w:p w14:paraId="36225391" w14:textId="77777777" w:rsidR="00E413B1" w:rsidRPr="00E413B1" w:rsidRDefault="00E413B1" w:rsidP="00E413B1">
      <w:pPr>
        <w:rPr>
          <w:rFonts w:ascii="Arial" w:hAnsi="Arial" w:cs="Arial"/>
          <w:sz w:val="24"/>
          <w:szCs w:val="24"/>
        </w:rPr>
      </w:pPr>
      <w:r w:rsidRPr="00E413B1">
        <w:rPr>
          <w:rFonts w:ascii="Arial" w:hAnsi="Arial" w:cs="Arial"/>
          <w:i/>
          <w:iCs/>
          <w:sz w:val="24"/>
          <w:szCs w:val="24"/>
        </w:rPr>
        <w:t>Note: The CCC for 2019 could not be calculated as the metric relies on average balances, which require prior-year data.</w:t>
      </w:r>
    </w:p>
    <w:p w14:paraId="5DECA868" w14:textId="77777777" w:rsidR="00E413B1" w:rsidRPr="00E413B1" w:rsidRDefault="00E413B1" w:rsidP="00E413B1">
      <w:pPr>
        <w:rPr>
          <w:rFonts w:ascii="Arial" w:hAnsi="Arial" w:cs="Arial"/>
          <w:sz w:val="24"/>
          <w:szCs w:val="24"/>
        </w:rPr>
      </w:pPr>
      <w:r w:rsidRPr="00E413B1">
        <w:rPr>
          <w:rFonts w:ascii="Arial" w:hAnsi="Arial" w:cs="Arial"/>
          <w:sz w:val="24"/>
          <w:szCs w:val="24"/>
        </w:rPr>
        <w:t>Overall, Marriott's CCC demonstrates efficient working capital management, with the cycle ranging from approximately 43 to 49 days over the five-year period. The cycle is entirely driven by the relationship between collecting receivables (DSO) and paying expenses (DPO). A lower CCC is generally preferable, as it indicates that a company is more quickly converting its working capital into cash.</w:t>
      </w:r>
    </w:p>
    <w:p w14:paraId="5B05899A" w14:textId="77777777" w:rsidR="00E413B1" w:rsidRPr="00E413B1" w:rsidRDefault="00E413B1" w:rsidP="00E413B1">
      <w:pPr>
        <w:rPr>
          <w:rFonts w:ascii="Arial" w:hAnsi="Arial" w:cs="Arial"/>
          <w:b/>
          <w:bCs/>
          <w:sz w:val="24"/>
          <w:szCs w:val="24"/>
        </w:rPr>
      </w:pPr>
      <w:r w:rsidRPr="00E413B1">
        <w:rPr>
          <w:rFonts w:ascii="Arial" w:hAnsi="Arial" w:cs="Arial"/>
          <w:b/>
          <w:bCs/>
          <w:sz w:val="24"/>
          <w:szCs w:val="24"/>
        </w:rPr>
        <w:t>3. Year-on-Year Analysis of Significant Changes</w:t>
      </w:r>
    </w:p>
    <w:p w14:paraId="7E7CC164" w14:textId="77777777" w:rsidR="00E413B1" w:rsidRPr="00E413B1" w:rsidRDefault="00E413B1" w:rsidP="00E413B1">
      <w:pPr>
        <w:rPr>
          <w:rFonts w:ascii="Arial" w:hAnsi="Arial" w:cs="Arial"/>
          <w:sz w:val="24"/>
          <w:szCs w:val="24"/>
        </w:rPr>
      </w:pPr>
      <w:r w:rsidRPr="00E413B1">
        <w:rPr>
          <w:rFonts w:ascii="Arial" w:hAnsi="Arial" w:cs="Arial"/>
          <w:b/>
          <w:bCs/>
          <w:sz w:val="24"/>
          <w:szCs w:val="24"/>
        </w:rPr>
        <w:t>2020 (CCC: 42.8 days, Base Year):</w:t>
      </w:r>
      <w:r w:rsidRPr="00E413B1">
        <w:rPr>
          <w:rFonts w:ascii="Arial" w:hAnsi="Arial" w:cs="Arial"/>
          <w:sz w:val="24"/>
          <w:szCs w:val="24"/>
        </w:rPr>
        <w:br/>
        <w:t>The COVID-19 pandemic created an extremely volatile and unprecedented year for the travel industry. The CCC calculation starts from this disrupted baseline. Reimbursed expenses (our COGS proxy) plummeted as hotel demand and operations dropped dramatically, making this year an anomaly. The resulting ratios, while calculated, represent a temporary position rather than a stable operating trend.</w:t>
      </w:r>
    </w:p>
    <w:p w14:paraId="1314217A" w14:textId="77777777" w:rsidR="00E413B1" w:rsidRPr="00E413B1" w:rsidRDefault="00E413B1" w:rsidP="00E413B1">
      <w:pPr>
        <w:rPr>
          <w:rFonts w:ascii="Arial" w:hAnsi="Arial" w:cs="Arial"/>
          <w:sz w:val="24"/>
          <w:szCs w:val="24"/>
        </w:rPr>
      </w:pPr>
      <w:r w:rsidRPr="00E413B1">
        <w:rPr>
          <w:rFonts w:ascii="Arial" w:hAnsi="Arial" w:cs="Arial"/>
          <w:b/>
          <w:bCs/>
          <w:sz w:val="24"/>
          <w:szCs w:val="24"/>
        </w:rPr>
        <w:t xml:space="preserve">2021 (CCC: 48.5 days, </w:t>
      </w:r>
      <w:proofErr w:type="gramStart"/>
      <w:r w:rsidRPr="00E413B1">
        <w:rPr>
          <w:rFonts w:ascii="Arial" w:hAnsi="Arial" w:cs="Arial"/>
          <w:b/>
          <w:bCs/>
          <w:sz w:val="24"/>
          <w:szCs w:val="24"/>
        </w:rPr>
        <w:t>Increase</w:t>
      </w:r>
      <w:proofErr w:type="gramEnd"/>
      <w:r w:rsidRPr="00E413B1">
        <w:rPr>
          <w:rFonts w:ascii="Arial" w:hAnsi="Arial" w:cs="Arial"/>
          <w:b/>
          <w:bCs/>
          <w:sz w:val="24"/>
          <w:szCs w:val="24"/>
        </w:rPr>
        <w:t xml:space="preserve"> of +5.7 days from 2020):</w:t>
      </w:r>
      <w:r w:rsidRPr="00E413B1">
        <w:rPr>
          <w:rFonts w:ascii="Arial" w:hAnsi="Arial" w:cs="Arial"/>
          <w:sz w:val="24"/>
          <w:szCs w:val="24"/>
        </w:rPr>
        <w:br/>
        <w:t>This year marked the initial period of recovery from the pandemic. The primary driver of the significant increase in CCC was a sharp rise in </w:t>
      </w:r>
      <w:r w:rsidRPr="00E413B1">
        <w:rPr>
          <w:rFonts w:ascii="Arial" w:hAnsi="Arial" w:cs="Arial"/>
          <w:b/>
          <w:bCs/>
          <w:sz w:val="24"/>
          <w:szCs w:val="24"/>
        </w:rPr>
        <w:t>Days Sales Outstanding (DSO), which increased by 11.8 days to 72.9 days.</w:t>
      </w:r>
      <w:r w:rsidRPr="00E413B1">
        <w:rPr>
          <w:rFonts w:ascii="Arial" w:hAnsi="Arial" w:cs="Arial"/>
          <w:sz w:val="24"/>
          <w:szCs w:val="24"/>
        </w:rPr>
        <w:t> As business began to recover and demand for hotel rooms increased, revenues grew. However, it took time for Marriott to collect its receivables from hotel owners who were themselves struggling to recover from the previous year's losses. This suggests a temporary delay in cash collections. While Days Payable Outstanding (DPO) also increased (by 6.1 days) as the company preserved cash, the rise in DSO was the dominant factor, leading to a longer cash conversion cycle.</w:t>
      </w:r>
    </w:p>
    <w:p w14:paraId="0654FA73" w14:textId="77777777" w:rsidR="00E413B1" w:rsidRPr="00E413B1" w:rsidRDefault="00E413B1" w:rsidP="00E413B1">
      <w:pPr>
        <w:rPr>
          <w:rFonts w:ascii="Arial" w:hAnsi="Arial" w:cs="Arial"/>
          <w:sz w:val="24"/>
          <w:szCs w:val="24"/>
        </w:rPr>
      </w:pPr>
      <w:r w:rsidRPr="00E413B1">
        <w:rPr>
          <w:rFonts w:ascii="Arial" w:hAnsi="Arial" w:cs="Arial"/>
          <w:b/>
          <w:bCs/>
          <w:sz w:val="24"/>
          <w:szCs w:val="24"/>
        </w:rPr>
        <w:t xml:space="preserve">2022 (CCC: 44.2 days, </w:t>
      </w:r>
      <w:proofErr w:type="gramStart"/>
      <w:r w:rsidRPr="00E413B1">
        <w:rPr>
          <w:rFonts w:ascii="Arial" w:hAnsi="Arial" w:cs="Arial"/>
          <w:b/>
          <w:bCs/>
          <w:sz w:val="24"/>
          <w:szCs w:val="24"/>
        </w:rPr>
        <w:t>Decrease</w:t>
      </w:r>
      <w:proofErr w:type="gramEnd"/>
      <w:r w:rsidRPr="00E413B1">
        <w:rPr>
          <w:rFonts w:ascii="Arial" w:hAnsi="Arial" w:cs="Arial"/>
          <w:b/>
          <w:bCs/>
          <w:sz w:val="24"/>
          <w:szCs w:val="24"/>
        </w:rPr>
        <w:t xml:space="preserve"> of -4.3 days from 2021):</w:t>
      </w:r>
      <w:r w:rsidRPr="00E413B1">
        <w:rPr>
          <w:rFonts w:ascii="Arial" w:hAnsi="Arial" w:cs="Arial"/>
          <w:sz w:val="24"/>
          <w:szCs w:val="24"/>
        </w:rPr>
        <w:br/>
        <w:t xml:space="preserve">A significant return to a more normalized operating environment occurred in 2022. </w:t>
      </w:r>
      <w:r w:rsidRPr="00E413B1">
        <w:rPr>
          <w:rFonts w:ascii="Arial" w:hAnsi="Arial" w:cs="Arial"/>
          <w:sz w:val="24"/>
          <w:szCs w:val="24"/>
        </w:rPr>
        <w:lastRenderedPageBreak/>
        <w:t>The most notable change was the improvement in </w:t>
      </w:r>
      <w:r w:rsidRPr="00E413B1">
        <w:rPr>
          <w:rFonts w:ascii="Arial" w:hAnsi="Arial" w:cs="Arial"/>
          <w:b/>
          <w:bCs/>
          <w:sz w:val="24"/>
          <w:szCs w:val="24"/>
        </w:rPr>
        <w:t>DSO, which decreased by 7.6 days to 65.3 days.</w:t>
      </w:r>
      <w:r w:rsidRPr="00E413B1">
        <w:rPr>
          <w:rFonts w:ascii="Arial" w:hAnsi="Arial" w:cs="Arial"/>
          <w:sz w:val="24"/>
          <w:szCs w:val="24"/>
        </w:rPr>
        <w:t xml:space="preserve"> As the global economic and travel recovery accelerated, Marriott was able to collect its receivables more efficiently. DPO also fell slightly by 3.3 days, </w:t>
      </w:r>
      <w:proofErr w:type="spellStart"/>
      <w:r w:rsidRPr="00E413B1">
        <w:rPr>
          <w:rFonts w:ascii="Arial" w:hAnsi="Arial" w:cs="Arial"/>
          <w:sz w:val="24"/>
          <w:szCs w:val="24"/>
        </w:rPr>
        <w:t>signaling</w:t>
      </w:r>
      <w:proofErr w:type="spellEnd"/>
      <w:r w:rsidRPr="00E413B1">
        <w:rPr>
          <w:rFonts w:ascii="Arial" w:hAnsi="Arial" w:cs="Arial"/>
          <w:sz w:val="24"/>
          <w:szCs w:val="24"/>
        </w:rPr>
        <w:t xml:space="preserve"> a return to more standard payment schedules. This resulted in a more efficient cash conversion cycle, moving closer to the pre-pandemic level.</w:t>
      </w:r>
    </w:p>
    <w:p w14:paraId="0518B8F1" w14:textId="77777777" w:rsidR="00E413B1" w:rsidRPr="00E413B1" w:rsidRDefault="00E413B1" w:rsidP="00E413B1">
      <w:pPr>
        <w:rPr>
          <w:rFonts w:ascii="Arial" w:hAnsi="Arial" w:cs="Arial"/>
          <w:sz w:val="24"/>
          <w:szCs w:val="24"/>
        </w:rPr>
      </w:pPr>
      <w:r w:rsidRPr="00E413B1">
        <w:rPr>
          <w:rFonts w:ascii="Arial" w:hAnsi="Arial" w:cs="Arial"/>
          <w:b/>
          <w:bCs/>
          <w:sz w:val="24"/>
          <w:szCs w:val="24"/>
        </w:rPr>
        <w:t xml:space="preserve">2023 (CCC: 42.6 days, </w:t>
      </w:r>
      <w:proofErr w:type="gramStart"/>
      <w:r w:rsidRPr="00E413B1">
        <w:rPr>
          <w:rFonts w:ascii="Arial" w:hAnsi="Arial" w:cs="Arial"/>
          <w:b/>
          <w:bCs/>
          <w:sz w:val="24"/>
          <w:szCs w:val="24"/>
        </w:rPr>
        <w:t>Decrease</w:t>
      </w:r>
      <w:proofErr w:type="gramEnd"/>
      <w:r w:rsidRPr="00E413B1">
        <w:rPr>
          <w:rFonts w:ascii="Arial" w:hAnsi="Arial" w:cs="Arial"/>
          <w:b/>
          <w:bCs/>
          <w:sz w:val="24"/>
          <w:szCs w:val="24"/>
        </w:rPr>
        <w:t xml:space="preserve"> of -1.6 days from 2022):</w:t>
      </w:r>
      <w:r w:rsidRPr="00E413B1">
        <w:rPr>
          <w:rFonts w:ascii="Arial" w:hAnsi="Arial" w:cs="Arial"/>
          <w:sz w:val="24"/>
          <w:szCs w:val="24"/>
        </w:rPr>
        <w:br/>
        <w:t>The operating environment continued to improve, and the company demonstrated a very efficient working capital cycle, reaching its lowest CCC of 42.6 days. This was driven by a further reduction in </w:t>
      </w:r>
      <w:r w:rsidRPr="00E413B1">
        <w:rPr>
          <w:rFonts w:ascii="Arial" w:hAnsi="Arial" w:cs="Arial"/>
          <w:b/>
          <w:bCs/>
          <w:sz w:val="24"/>
          <w:szCs w:val="24"/>
        </w:rPr>
        <w:t>DSO to 59.2 days (a decrease of 6.1 days)</w:t>
      </w:r>
      <w:r w:rsidRPr="00E413B1">
        <w:rPr>
          <w:rFonts w:ascii="Arial" w:hAnsi="Arial" w:cs="Arial"/>
          <w:sz w:val="24"/>
          <w:szCs w:val="24"/>
        </w:rPr>
        <w:t>, indicating strong cash collection efficiency. The most significant change, however, was a sharp decrease in </w:t>
      </w:r>
      <w:r w:rsidRPr="00E413B1">
        <w:rPr>
          <w:rFonts w:ascii="Arial" w:hAnsi="Arial" w:cs="Arial"/>
          <w:b/>
          <w:bCs/>
          <w:sz w:val="24"/>
          <w:szCs w:val="24"/>
        </w:rPr>
        <w:t>DPO, which fell by 4.5 days to 16.6 days.</w:t>
      </w:r>
      <w:r w:rsidRPr="00E413B1">
        <w:rPr>
          <w:rFonts w:ascii="Arial" w:hAnsi="Arial" w:cs="Arial"/>
          <w:sz w:val="24"/>
          <w:szCs w:val="24"/>
        </w:rPr>
        <w:t> This strategic decision to pay suppliers more quickly likely reflects a strong cash position, a desire to take advantage of early payment discounts, or a focus on strengthening supplier relationships. This decrease in DPO was more than offset by the decrease in DSO, resulting in a net improvement in the overall cash cycle, which implies that cash was converted more quickly than in the prior year.</w:t>
      </w:r>
    </w:p>
    <w:p w14:paraId="207B9AA4" w14:textId="77777777" w:rsidR="00E413B1" w:rsidRPr="00E413B1" w:rsidRDefault="00E413B1" w:rsidP="00E413B1">
      <w:pPr>
        <w:rPr>
          <w:rFonts w:ascii="Arial" w:hAnsi="Arial" w:cs="Arial"/>
          <w:b/>
          <w:bCs/>
          <w:sz w:val="24"/>
          <w:szCs w:val="24"/>
        </w:rPr>
      </w:pPr>
      <w:r w:rsidRPr="00E413B1">
        <w:rPr>
          <w:rFonts w:ascii="Arial" w:hAnsi="Arial" w:cs="Arial"/>
          <w:b/>
          <w:bCs/>
          <w:sz w:val="24"/>
          <w:szCs w:val="24"/>
        </w:rPr>
        <w:t>4. Conclusion</w:t>
      </w:r>
    </w:p>
    <w:p w14:paraId="40E85C0C" w14:textId="77777777" w:rsidR="00E413B1" w:rsidRPr="00E413B1" w:rsidRDefault="00E413B1" w:rsidP="00E413B1">
      <w:pPr>
        <w:rPr>
          <w:rFonts w:ascii="Arial" w:hAnsi="Arial" w:cs="Arial"/>
          <w:sz w:val="24"/>
          <w:szCs w:val="24"/>
        </w:rPr>
      </w:pPr>
      <w:r w:rsidRPr="00E413B1">
        <w:rPr>
          <w:rFonts w:ascii="Arial" w:hAnsi="Arial" w:cs="Arial"/>
          <w:sz w:val="24"/>
          <w:szCs w:val="24"/>
        </w:rPr>
        <w:t xml:space="preserve">Marriott International's Cash Conversion Cycle is a measure of the efficiency of its fee-based, asset-light business model. Because the company has no inventory, its cash cycle is purely a function of its ability to collect reimbursements from hotel owners (DSO) relative to its ability to manage its own payables (DPO). The analysis reveals a strong and improving working capital management process, with the CCC moving from approximately 49 days in the disruptive pandemic recovery year of 2021 to a more efficient 43 days in 2023. The key to this improvement was a significant reduction in DSO, indicating a return to normalcy and strong cash collections, while the decrease in DPO in 2023 shows a strategic choice to pay bills faster, likely due to a </w:t>
      </w:r>
      <w:proofErr w:type="spellStart"/>
      <w:r w:rsidRPr="00E413B1">
        <w:rPr>
          <w:rFonts w:ascii="Arial" w:hAnsi="Arial" w:cs="Arial"/>
          <w:sz w:val="24"/>
          <w:szCs w:val="24"/>
        </w:rPr>
        <w:t>favorable</w:t>
      </w:r>
      <w:proofErr w:type="spellEnd"/>
      <w:r w:rsidRPr="00E413B1">
        <w:rPr>
          <w:rFonts w:ascii="Arial" w:hAnsi="Arial" w:cs="Arial"/>
          <w:sz w:val="24"/>
          <w:szCs w:val="24"/>
        </w:rPr>
        <w:t xml:space="preserve"> cash position. A shorter CCC indicates that Marriott is effectively converting its working capital into cash, minimizing the time its cash is tied up in operations.</w:t>
      </w:r>
    </w:p>
    <w:p w14:paraId="6A17D9C7" w14:textId="77777777" w:rsidR="00B7115E" w:rsidRPr="00E413B1" w:rsidRDefault="00B7115E">
      <w:pPr>
        <w:rPr>
          <w:rFonts w:ascii="Arial" w:hAnsi="Arial" w:cs="Arial"/>
          <w:sz w:val="24"/>
          <w:szCs w:val="24"/>
        </w:rPr>
      </w:pPr>
    </w:p>
    <w:sectPr w:rsidR="00B7115E" w:rsidRPr="00E413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71442B"/>
    <w:multiLevelType w:val="multilevel"/>
    <w:tmpl w:val="D6F2A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0F3350"/>
    <w:multiLevelType w:val="multilevel"/>
    <w:tmpl w:val="9DF65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0677573">
    <w:abstractNumId w:val="0"/>
  </w:num>
  <w:num w:numId="2" w16cid:durableId="6089014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3B1"/>
    <w:rsid w:val="00617F88"/>
    <w:rsid w:val="00626BE4"/>
    <w:rsid w:val="00802BE9"/>
    <w:rsid w:val="00B5358D"/>
    <w:rsid w:val="00B7115E"/>
    <w:rsid w:val="00E413B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864BB"/>
  <w15:chartTrackingRefBased/>
  <w15:docId w15:val="{46F97845-1EFE-4D9F-B261-C0152476B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3B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413B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413B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413B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413B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41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3B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413B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413B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413B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413B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41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3B1"/>
    <w:rPr>
      <w:rFonts w:eastAsiaTheme="majorEastAsia" w:cstheme="majorBidi"/>
      <w:color w:val="272727" w:themeColor="text1" w:themeTint="D8"/>
    </w:rPr>
  </w:style>
  <w:style w:type="paragraph" w:styleId="Title">
    <w:name w:val="Title"/>
    <w:basedOn w:val="Normal"/>
    <w:next w:val="Normal"/>
    <w:link w:val="TitleChar"/>
    <w:uiPriority w:val="10"/>
    <w:qFormat/>
    <w:rsid w:val="00E41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3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3B1"/>
    <w:pPr>
      <w:spacing w:before="160"/>
      <w:jc w:val="center"/>
    </w:pPr>
    <w:rPr>
      <w:i/>
      <w:iCs/>
      <w:color w:val="404040" w:themeColor="text1" w:themeTint="BF"/>
    </w:rPr>
  </w:style>
  <w:style w:type="character" w:customStyle="1" w:styleId="QuoteChar">
    <w:name w:val="Quote Char"/>
    <w:basedOn w:val="DefaultParagraphFont"/>
    <w:link w:val="Quote"/>
    <w:uiPriority w:val="29"/>
    <w:rsid w:val="00E413B1"/>
    <w:rPr>
      <w:i/>
      <w:iCs/>
      <w:color w:val="404040" w:themeColor="text1" w:themeTint="BF"/>
    </w:rPr>
  </w:style>
  <w:style w:type="paragraph" w:styleId="ListParagraph">
    <w:name w:val="List Paragraph"/>
    <w:basedOn w:val="Normal"/>
    <w:uiPriority w:val="34"/>
    <w:qFormat/>
    <w:rsid w:val="00E413B1"/>
    <w:pPr>
      <w:ind w:left="720"/>
      <w:contextualSpacing/>
    </w:pPr>
  </w:style>
  <w:style w:type="character" w:styleId="IntenseEmphasis">
    <w:name w:val="Intense Emphasis"/>
    <w:basedOn w:val="DefaultParagraphFont"/>
    <w:uiPriority w:val="21"/>
    <w:qFormat/>
    <w:rsid w:val="00E413B1"/>
    <w:rPr>
      <w:i/>
      <w:iCs/>
      <w:color w:val="2F5496" w:themeColor="accent1" w:themeShade="BF"/>
    </w:rPr>
  </w:style>
  <w:style w:type="paragraph" w:styleId="IntenseQuote">
    <w:name w:val="Intense Quote"/>
    <w:basedOn w:val="Normal"/>
    <w:next w:val="Normal"/>
    <w:link w:val="IntenseQuoteChar"/>
    <w:uiPriority w:val="30"/>
    <w:qFormat/>
    <w:rsid w:val="00E413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413B1"/>
    <w:rPr>
      <w:i/>
      <w:iCs/>
      <w:color w:val="2F5496" w:themeColor="accent1" w:themeShade="BF"/>
    </w:rPr>
  </w:style>
  <w:style w:type="character" w:styleId="IntenseReference">
    <w:name w:val="Intense Reference"/>
    <w:basedOn w:val="DefaultParagraphFont"/>
    <w:uiPriority w:val="32"/>
    <w:qFormat/>
    <w:rsid w:val="00E413B1"/>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981</Words>
  <Characters>5593</Characters>
  <Application>Microsoft Office Word</Application>
  <DocSecurity>0</DocSecurity>
  <Lines>46</Lines>
  <Paragraphs>13</Paragraphs>
  <ScaleCrop>false</ScaleCrop>
  <Company/>
  <LinksUpToDate>false</LinksUpToDate>
  <CharactersWithSpaces>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vrutant solanki</dc:creator>
  <cp:keywords/>
  <dc:description/>
  <cp:lastModifiedBy>vrutant solanki</cp:lastModifiedBy>
  <cp:revision>1</cp:revision>
  <dcterms:created xsi:type="dcterms:W3CDTF">2026-08-07T11:19:00Z</dcterms:created>
  <dcterms:modified xsi:type="dcterms:W3CDTF">2026-08-07T11:21:00Z</dcterms:modified>
</cp:coreProperties>
</file>