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D709BE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75EEB">
              <w:rPr>
                <w:rFonts w:ascii="Times New Roman" w:hAnsi="Times New Roman" w:cs="Times New Roman"/>
                <w:b/>
                <w:color w:val="auto"/>
                <w:sz w:val="48"/>
              </w:rPr>
              <w:t>Sian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8CFD34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75EEB">
              <w:rPr>
                <w:rFonts w:ascii="Times New Roman" w:hAnsi="Times New Roman" w:cs="Times New Roman"/>
                <w:b/>
                <w:color w:val="auto"/>
                <w:sz w:val="48"/>
              </w:rPr>
              <w:t xml:space="preserve"> sianmereridroberts@gwynedd.llyw.cymru</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7E86BE2" w:rsidR="0085230E" w:rsidRPr="005D3F07" w:rsidRDefault="00E75EE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2419456</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7A739E43" w14:textId="1D4A180A" w:rsidR="009A108A" w:rsidRDefault="007E3E4C" w:rsidP="009A108A">
            <w:pPr>
              <w:jc w:val="both"/>
              <w:rPr>
                <w:sz w:val="24"/>
                <w:szCs w:val="24"/>
              </w:rPr>
            </w:pPr>
            <w:r>
              <w:rPr>
                <w:sz w:val="24"/>
                <w:szCs w:val="24"/>
              </w:rPr>
              <w:t xml:space="preserve">To ensure adult safeguarding everyone has a duty to report abuse or harm to the local authority. The </w:t>
            </w:r>
            <w:r w:rsidR="009A108A">
              <w:rPr>
                <w:sz w:val="24"/>
                <w:szCs w:val="24"/>
              </w:rPr>
              <w:t>duty to</w:t>
            </w:r>
            <w:r>
              <w:rPr>
                <w:sz w:val="24"/>
                <w:szCs w:val="24"/>
              </w:rPr>
              <w:t xml:space="preserve"> report abuse guidelines is set by the Working </w:t>
            </w:r>
            <w:r w:rsidR="003150C3" w:rsidRPr="003150C3">
              <w:rPr>
                <w:sz w:val="24"/>
                <w:szCs w:val="24"/>
              </w:rPr>
              <w:t>T</w:t>
            </w:r>
            <w:r w:rsidRPr="003150C3">
              <w:rPr>
                <w:sz w:val="24"/>
                <w:szCs w:val="24"/>
              </w:rPr>
              <w:t xml:space="preserve">ogether </w:t>
            </w:r>
            <w:r w:rsidR="003150C3" w:rsidRPr="003150C3">
              <w:rPr>
                <w:sz w:val="24"/>
                <w:szCs w:val="24"/>
              </w:rPr>
              <w:t>T</w:t>
            </w:r>
            <w:r w:rsidRPr="003150C3">
              <w:rPr>
                <w:sz w:val="24"/>
                <w:szCs w:val="24"/>
              </w:rPr>
              <w:t xml:space="preserve">o </w:t>
            </w:r>
            <w:r w:rsidR="003150C3" w:rsidRPr="003150C3">
              <w:rPr>
                <w:sz w:val="24"/>
                <w:szCs w:val="24"/>
              </w:rPr>
              <w:t>S</w:t>
            </w:r>
            <w:r w:rsidRPr="003150C3">
              <w:rPr>
                <w:sz w:val="24"/>
                <w:szCs w:val="24"/>
              </w:rPr>
              <w:t xml:space="preserve">afeguard </w:t>
            </w:r>
            <w:r w:rsidR="003150C3" w:rsidRPr="003150C3">
              <w:rPr>
                <w:sz w:val="24"/>
                <w:szCs w:val="24"/>
              </w:rPr>
              <w:t>P</w:t>
            </w:r>
            <w:r w:rsidRPr="003150C3">
              <w:rPr>
                <w:sz w:val="24"/>
                <w:szCs w:val="24"/>
              </w:rPr>
              <w:t xml:space="preserve">eople Welsh government guidelines 2015 and within Part 7 of the </w:t>
            </w:r>
            <w:r w:rsidR="003150C3" w:rsidRPr="003150C3">
              <w:rPr>
                <w:sz w:val="24"/>
                <w:szCs w:val="24"/>
              </w:rPr>
              <w:t>S</w:t>
            </w:r>
            <w:r w:rsidRPr="003150C3">
              <w:rPr>
                <w:sz w:val="24"/>
                <w:szCs w:val="24"/>
              </w:rPr>
              <w:t xml:space="preserve">ocial </w:t>
            </w:r>
            <w:r w:rsidR="003150C3" w:rsidRPr="003150C3">
              <w:rPr>
                <w:sz w:val="24"/>
                <w:szCs w:val="24"/>
              </w:rPr>
              <w:t>S</w:t>
            </w:r>
            <w:r w:rsidRPr="003150C3">
              <w:rPr>
                <w:sz w:val="24"/>
                <w:szCs w:val="24"/>
              </w:rPr>
              <w:t>ervices</w:t>
            </w:r>
            <w:r>
              <w:rPr>
                <w:sz w:val="24"/>
                <w:szCs w:val="24"/>
              </w:rPr>
              <w:t xml:space="preserve"> and Well-being Wales Act 201</w:t>
            </w:r>
            <w:r w:rsidR="00654431">
              <w:rPr>
                <w:sz w:val="24"/>
                <w:szCs w:val="24"/>
              </w:rPr>
              <w:t>4</w:t>
            </w:r>
            <w:r>
              <w:rPr>
                <w:sz w:val="24"/>
                <w:szCs w:val="24"/>
              </w:rPr>
              <w:t xml:space="preserve">. </w:t>
            </w:r>
            <w:r w:rsidR="009A108A">
              <w:rPr>
                <w:sz w:val="24"/>
                <w:szCs w:val="24"/>
              </w:rPr>
              <w:t>An adult at risk is defined within part 7 section 126 as “any adult over the age of 18 who: 1. Is experiencing or is at risk of abuse, 2. Has needs for care support (whether or not the authority is meeting any of those needs and 3. As a result of those needs is unable to protect themselves against the abuse or neglect or the risk of it.”</w:t>
            </w:r>
          </w:p>
          <w:p w14:paraId="690552E8" w14:textId="77777777" w:rsidR="009A108A" w:rsidRDefault="009A108A" w:rsidP="009A108A">
            <w:pPr>
              <w:jc w:val="both"/>
              <w:rPr>
                <w:sz w:val="24"/>
                <w:szCs w:val="24"/>
              </w:rPr>
            </w:pPr>
          </w:p>
          <w:p w14:paraId="3DDCD386" w14:textId="602490D9" w:rsidR="009A108A" w:rsidRDefault="009A108A" w:rsidP="009A108A">
            <w:pPr>
              <w:jc w:val="both"/>
              <w:rPr>
                <w:sz w:val="24"/>
                <w:szCs w:val="24"/>
              </w:rPr>
            </w:pPr>
            <w:r w:rsidRPr="00BC5FAA">
              <w:rPr>
                <w:sz w:val="24"/>
                <w:szCs w:val="24"/>
              </w:rPr>
              <w:t>Abuse in adults can happen in many ways,</w:t>
            </w:r>
            <w:r w:rsidR="00D223FB" w:rsidRPr="00BC5FAA">
              <w:rPr>
                <w:sz w:val="24"/>
                <w:szCs w:val="24"/>
              </w:rPr>
              <w:t xml:space="preserve"> the categories of abuse are outlined in the </w:t>
            </w:r>
            <w:r w:rsidR="00BC5FAA" w:rsidRPr="00BC5FAA">
              <w:rPr>
                <w:sz w:val="24"/>
                <w:szCs w:val="24"/>
              </w:rPr>
              <w:t>S</w:t>
            </w:r>
            <w:r w:rsidR="00D223FB" w:rsidRPr="00BC5FAA">
              <w:rPr>
                <w:sz w:val="24"/>
                <w:szCs w:val="24"/>
              </w:rPr>
              <w:t xml:space="preserve">ocial </w:t>
            </w:r>
            <w:r w:rsidR="00BC5FAA" w:rsidRPr="00BC5FAA">
              <w:rPr>
                <w:sz w:val="24"/>
                <w:szCs w:val="24"/>
              </w:rPr>
              <w:t>S</w:t>
            </w:r>
            <w:r w:rsidR="00D223FB" w:rsidRPr="00BC5FAA">
              <w:rPr>
                <w:sz w:val="24"/>
                <w:szCs w:val="24"/>
              </w:rPr>
              <w:t>ervices and Well-being Wales Act 2015 an</w:t>
            </w:r>
            <w:r w:rsidR="006F4726" w:rsidRPr="00BC5FAA">
              <w:rPr>
                <w:sz w:val="24"/>
                <w:szCs w:val="24"/>
              </w:rPr>
              <w:t>d</w:t>
            </w:r>
            <w:r w:rsidR="00D223FB" w:rsidRPr="00BC5FAA">
              <w:rPr>
                <w:sz w:val="24"/>
                <w:szCs w:val="24"/>
              </w:rPr>
              <w:t xml:space="preserve"> the Wales Safeguarding </w:t>
            </w:r>
            <w:r w:rsidR="00BC5FAA" w:rsidRPr="00BC5FAA">
              <w:rPr>
                <w:sz w:val="24"/>
                <w:szCs w:val="24"/>
              </w:rPr>
              <w:t>P</w:t>
            </w:r>
            <w:r w:rsidR="00D223FB" w:rsidRPr="00BC5FAA">
              <w:rPr>
                <w:sz w:val="24"/>
                <w:szCs w:val="24"/>
              </w:rPr>
              <w:t>rocedure</w:t>
            </w:r>
            <w:r w:rsidR="00A12D34" w:rsidRPr="00BC5FAA">
              <w:rPr>
                <w:sz w:val="24"/>
                <w:szCs w:val="24"/>
              </w:rPr>
              <w:t>s</w:t>
            </w:r>
            <w:r w:rsidR="00D223FB" w:rsidRPr="00BC5FAA">
              <w:rPr>
                <w:sz w:val="24"/>
                <w:szCs w:val="24"/>
              </w:rPr>
              <w:t xml:space="preserve"> 2019. These categories of abuse are</w:t>
            </w:r>
            <w:r w:rsidRPr="00BC5FAA">
              <w:rPr>
                <w:sz w:val="24"/>
                <w:szCs w:val="24"/>
              </w:rPr>
              <w:t xml:space="preserve"> </w:t>
            </w:r>
            <w:r w:rsidR="00610EF3" w:rsidRPr="00BC5FAA">
              <w:rPr>
                <w:sz w:val="24"/>
                <w:szCs w:val="24"/>
              </w:rPr>
              <w:t>e</w:t>
            </w:r>
            <w:r w:rsidRPr="00BC5FAA">
              <w:rPr>
                <w:sz w:val="24"/>
                <w:szCs w:val="24"/>
              </w:rPr>
              <w:t>motional/</w:t>
            </w:r>
            <w:r w:rsidR="00610EF3" w:rsidRPr="00BC5FAA">
              <w:rPr>
                <w:sz w:val="24"/>
                <w:szCs w:val="24"/>
              </w:rPr>
              <w:t>p</w:t>
            </w:r>
            <w:r w:rsidRPr="00BC5FAA">
              <w:rPr>
                <w:sz w:val="24"/>
                <w:szCs w:val="24"/>
              </w:rPr>
              <w:t xml:space="preserve">sychological, physical, sexual, </w:t>
            </w:r>
            <w:r w:rsidR="00D223FB" w:rsidRPr="00BC5FAA">
              <w:rPr>
                <w:sz w:val="24"/>
                <w:szCs w:val="24"/>
              </w:rPr>
              <w:t>financial, neglect, discriminatory, domestic abuse, modern slavery and Organisational / Institutional abuse</w:t>
            </w:r>
            <w:r w:rsidR="00D223FB">
              <w:rPr>
                <w:sz w:val="24"/>
                <w:szCs w:val="24"/>
              </w:rPr>
              <w:t xml:space="preserve">. </w:t>
            </w:r>
            <w:r>
              <w:rPr>
                <w:sz w:val="24"/>
                <w:szCs w:val="24"/>
              </w:rPr>
              <w:t xml:space="preserve"> </w:t>
            </w:r>
          </w:p>
          <w:p w14:paraId="6D8CB8AF" w14:textId="48E661A8" w:rsidR="00FC0334" w:rsidRDefault="00FC0334" w:rsidP="00FF7EBB">
            <w:pPr>
              <w:jc w:val="both"/>
              <w:rPr>
                <w:sz w:val="24"/>
                <w:szCs w:val="24"/>
              </w:rPr>
            </w:pPr>
          </w:p>
          <w:p w14:paraId="4375C5CC" w14:textId="79D2A637" w:rsidR="00654431" w:rsidRDefault="00D223FB" w:rsidP="00654431">
            <w:pPr>
              <w:jc w:val="both"/>
              <w:rPr>
                <w:sz w:val="24"/>
                <w:szCs w:val="24"/>
                <w:lang w:val="cy-GB"/>
              </w:rPr>
            </w:pPr>
            <w:r>
              <w:rPr>
                <w:sz w:val="24"/>
                <w:szCs w:val="24"/>
              </w:rPr>
              <w:t xml:space="preserve">If a person </w:t>
            </w:r>
            <w:r w:rsidR="00347460">
              <w:rPr>
                <w:sz w:val="24"/>
                <w:szCs w:val="24"/>
              </w:rPr>
              <w:t xml:space="preserve">suspects </w:t>
            </w:r>
            <w:r>
              <w:rPr>
                <w:sz w:val="24"/>
                <w:szCs w:val="24"/>
              </w:rPr>
              <w:t xml:space="preserve">an </w:t>
            </w:r>
            <w:r w:rsidR="00654431">
              <w:rPr>
                <w:sz w:val="24"/>
                <w:szCs w:val="24"/>
              </w:rPr>
              <w:t>adult</w:t>
            </w:r>
            <w:r w:rsidR="00347460">
              <w:rPr>
                <w:sz w:val="24"/>
                <w:szCs w:val="24"/>
              </w:rPr>
              <w:t xml:space="preserve"> is being abused</w:t>
            </w:r>
            <w:r w:rsidR="00654431">
              <w:rPr>
                <w:sz w:val="24"/>
                <w:szCs w:val="24"/>
              </w:rPr>
              <w:t>,</w:t>
            </w:r>
            <w:r>
              <w:rPr>
                <w:sz w:val="24"/>
                <w:szCs w:val="24"/>
              </w:rPr>
              <w:t xml:space="preserve"> they have a duty to report</w:t>
            </w:r>
            <w:r w:rsidR="00654431">
              <w:rPr>
                <w:sz w:val="24"/>
                <w:szCs w:val="24"/>
              </w:rPr>
              <w:t xml:space="preserve"> to the local authority, section 128 of the Social Services and Well-being (Wales) Act (2014). Once reported the local authority must then make enquiries to determine if abuse has occurred. If a local authority has suspicion of </w:t>
            </w:r>
            <w:r w:rsidR="006F4726">
              <w:rPr>
                <w:sz w:val="24"/>
                <w:szCs w:val="24"/>
              </w:rPr>
              <w:t>abuse,</w:t>
            </w:r>
            <w:r w:rsidR="00654431">
              <w:rPr>
                <w:sz w:val="24"/>
                <w:szCs w:val="24"/>
              </w:rPr>
              <w:t xml:space="preserve"> then they must: </w:t>
            </w:r>
            <w:r w:rsidR="006F4726">
              <w:rPr>
                <w:sz w:val="24"/>
                <w:szCs w:val="24"/>
              </w:rPr>
              <w:t xml:space="preserve">a. Make enquiries to decide if action needs to be taken, and if so, what needs to be done and by who, b. they must decide whether any actions should be taken (Social Services and Well-being </w:t>
            </w:r>
            <w:r w:rsidR="003B554A">
              <w:rPr>
                <w:sz w:val="24"/>
                <w:szCs w:val="24"/>
              </w:rPr>
              <w:t>(</w:t>
            </w:r>
            <w:r w:rsidR="006F4726">
              <w:rPr>
                <w:sz w:val="24"/>
                <w:szCs w:val="24"/>
              </w:rPr>
              <w:t>Wales</w:t>
            </w:r>
            <w:r w:rsidR="003B554A">
              <w:rPr>
                <w:sz w:val="24"/>
                <w:szCs w:val="24"/>
              </w:rPr>
              <w:t>)</w:t>
            </w:r>
            <w:r w:rsidR="006F4726">
              <w:rPr>
                <w:sz w:val="24"/>
                <w:szCs w:val="24"/>
              </w:rPr>
              <w:t xml:space="preserve"> Act 2014 section 126).</w:t>
            </w:r>
          </w:p>
          <w:p w14:paraId="48F3BB2F" w14:textId="77777777" w:rsidR="00654431" w:rsidRDefault="00654431" w:rsidP="00654431">
            <w:pPr>
              <w:jc w:val="both"/>
              <w:rPr>
                <w:sz w:val="24"/>
                <w:szCs w:val="24"/>
                <w:lang w:val="cy-GB"/>
              </w:rPr>
            </w:pPr>
          </w:p>
          <w:p w14:paraId="37E5F084" w14:textId="25F33C1C" w:rsidR="00336D79" w:rsidRDefault="00B37A70" w:rsidP="00336D79">
            <w:pPr>
              <w:jc w:val="both"/>
              <w:rPr>
                <w:sz w:val="24"/>
                <w:szCs w:val="24"/>
              </w:rPr>
            </w:pPr>
            <w:r w:rsidRPr="00B37A70">
              <w:rPr>
                <w:sz w:val="24"/>
                <w:szCs w:val="24"/>
              </w:rPr>
              <w:t xml:space="preserve">Adult safeguarding Wales links closely to the </w:t>
            </w:r>
            <w:r w:rsidRPr="00BC5FAA">
              <w:rPr>
                <w:sz w:val="24"/>
                <w:szCs w:val="24"/>
              </w:rPr>
              <w:t xml:space="preserve">Human </w:t>
            </w:r>
            <w:r w:rsidR="00BC5FAA" w:rsidRPr="00BC5FAA">
              <w:rPr>
                <w:sz w:val="24"/>
                <w:szCs w:val="24"/>
              </w:rPr>
              <w:t>R</w:t>
            </w:r>
            <w:r w:rsidRPr="00BC5FAA">
              <w:rPr>
                <w:sz w:val="24"/>
                <w:szCs w:val="24"/>
              </w:rPr>
              <w:t>ights Act</w:t>
            </w:r>
            <w:r w:rsidRPr="00B37A70">
              <w:rPr>
                <w:sz w:val="24"/>
                <w:szCs w:val="24"/>
              </w:rPr>
              <w:t xml:space="preserve"> (1998) </w:t>
            </w:r>
            <w:r w:rsidR="00CB5F0C">
              <w:rPr>
                <w:sz w:val="24"/>
                <w:szCs w:val="24"/>
              </w:rPr>
              <w:t xml:space="preserve">as safeguarding is used to protect people who are vulnerable to abuse’s rights. </w:t>
            </w:r>
            <w:r w:rsidR="002E081F">
              <w:rPr>
                <w:sz w:val="24"/>
                <w:szCs w:val="24"/>
              </w:rPr>
              <w:t>Under Article 2 individuals have the right to life, this ensure that people are protected</w:t>
            </w:r>
            <w:r w:rsidR="003016E6">
              <w:rPr>
                <w:sz w:val="24"/>
                <w:szCs w:val="24"/>
              </w:rPr>
              <w:t>, this puts a duty on individual to keep others safe</w:t>
            </w:r>
            <w:r w:rsidR="002E081F">
              <w:rPr>
                <w:sz w:val="24"/>
                <w:szCs w:val="24"/>
              </w:rPr>
              <w:t xml:space="preserve">. </w:t>
            </w:r>
            <w:r w:rsidR="003016E6">
              <w:rPr>
                <w:sz w:val="24"/>
                <w:szCs w:val="24"/>
              </w:rPr>
              <w:t xml:space="preserve">Article 3 mentions </w:t>
            </w:r>
            <w:r w:rsidR="007844B5">
              <w:rPr>
                <w:sz w:val="24"/>
                <w:szCs w:val="24"/>
              </w:rPr>
              <w:t>“the</w:t>
            </w:r>
            <w:r w:rsidR="003016E6">
              <w:rPr>
                <w:sz w:val="24"/>
                <w:szCs w:val="24"/>
              </w:rPr>
              <w:t xml:space="preserve"> right to freedom from torture and inhuman or degrading treatment” this links in with a person’s right not to be abused. </w:t>
            </w:r>
            <w:r w:rsidR="00336D79">
              <w:rPr>
                <w:sz w:val="24"/>
                <w:szCs w:val="24"/>
              </w:rPr>
              <w:t xml:space="preserve">Article 8 of the HRA states that a person has the right to respect a private life, we must ensure that assessment isn’t too intrusive to family life and the individuals wishes must be considered during intervention. </w:t>
            </w:r>
          </w:p>
          <w:p w14:paraId="75DF59E2" w14:textId="0B48C01D" w:rsidR="00FC0334" w:rsidRDefault="003016E6" w:rsidP="00FF7EBB">
            <w:pPr>
              <w:jc w:val="both"/>
              <w:rPr>
                <w:sz w:val="24"/>
                <w:szCs w:val="24"/>
              </w:rPr>
            </w:pPr>
            <w:r>
              <w:rPr>
                <w:sz w:val="24"/>
                <w:szCs w:val="24"/>
              </w:rPr>
              <w:lastRenderedPageBreak/>
              <w:t xml:space="preserve">Article 5 </w:t>
            </w:r>
            <w:r w:rsidR="007844B5">
              <w:rPr>
                <w:sz w:val="24"/>
                <w:szCs w:val="24"/>
              </w:rPr>
              <w:t>“right</w:t>
            </w:r>
            <w:r>
              <w:rPr>
                <w:sz w:val="24"/>
                <w:szCs w:val="24"/>
              </w:rPr>
              <w:t xml:space="preserve"> to liberty and security” </w:t>
            </w:r>
            <w:r w:rsidR="007844B5">
              <w:rPr>
                <w:sz w:val="24"/>
                <w:szCs w:val="24"/>
              </w:rPr>
              <w:t xml:space="preserve">with adults they </w:t>
            </w:r>
            <w:r w:rsidR="00956529">
              <w:rPr>
                <w:sz w:val="24"/>
                <w:szCs w:val="24"/>
              </w:rPr>
              <w:t>can</w:t>
            </w:r>
            <w:r w:rsidR="007844B5">
              <w:rPr>
                <w:sz w:val="24"/>
                <w:szCs w:val="24"/>
              </w:rPr>
              <w:t xml:space="preserve"> have a say regarding accepting support to be safeguarded. An adult must have capacity to tell professionals if they don’t wish for them in intervene in their lives. </w:t>
            </w:r>
            <w:r w:rsidR="00956529">
              <w:rPr>
                <w:sz w:val="24"/>
                <w:szCs w:val="24"/>
              </w:rPr>
              <w:t xml:space="preserve">Capacity is defined in section 3 of the </w:t>
            </w:r>
            <w:r w:rsidR="007844B5">
              <w:rPr>
                <w:sz w:val="24"/>
                <w:szCs w:val="24"/>
              </w:rPr>
              <w:t xml:space="preserve">Mental Capacity Act 2005 </w:t>
            </w:r>
            <w:r w:rsidR="00956529">
              <w:rPr>
                <w:sz w:val="24"/>
                <w:szCs w:val="24"/>
              </w:rPr>
              <w:t>“</w:t>
            </w:r>
            <w:r w:rsidR="00956529" w:rsidRPr="00956529">
              <w:rPr>
                <w:sz w:val="24"/>
                <w:szCs w:val="24"/>
              </w:rPr>
              <w:t>The main purpose of the MCA is to promote and safeguard decision-making within a legal framework.</w:t>
            </w:r>
            <w:r w:rsidR="00956529">
              <w:rPr>
                <w:sz w:val="24"/>
                <w:szCs w:val="24"/>
              </w:rPr>
              <w:t xml:space="preserve">” </w:t>
            </w:r>
            <w:r w:rsidR="0011502C">
              <w:rPr>
                <w:sz w:val="24"/>
                <w:szCs w:val="24"/>
              </w:rPr>
              <w:t xml:space="preserve">If a person is unable to have capacity, then deprovision of liberty safeguarding (DOLS) is needed. DOLS is an amendment of the MCA that protects a person who is unable to consent to be protected from harm. </w:t>
            </w:r>
          </w:p>
          <w:p w14:paraId="2B498731" w14:textId="77777777" w:rsidR="0011502C" w:rsidRDefault="0011502C" w:rsidP="00FF7EBB">
            <w:pPr>
              <w:jc w:val="both"/>
              <w:rPr>
                <w:sz w:val="24"/>
                <w:szCs w:val="24"/>
              </w:rPr>
            </w:pPr>
          </w:p>
          <w:p w14:paraId="6995ECA7" w14:textId="533F7CC2" w:rsidR="007844B5" w:rsidRDefault="00336D79" w:rsidP="00FF7EBB">
            <w:pPr>
              <w:jc w:val="both"/>
              <w:rPr>
                <w:sz w:val="24"/>
                <w:szCs w:val="24"/>
              </w:rPr>
            </w:pPr>
            <w:r>
              <w:rPr>
                <w:sz w:val="24"/>
                <w:szCs w:val="24"/>
              </w:rPr>
              <w:t xml:space="preserve">Although The Social services and Well-being (Wales) Act (2014) put the duty on local authority to safeguard adults, it must be done in a way </w:t>
            </w:r>
            <w:r w:rsidR="00853EFD">
              <w:rPr>
                <w:sz w:val="24"/>
                <w:szCs w:val="24"/>
              </w:rPr>
              <w:t xml:space="preserve">to comply with the HRA 1998. It must be done in a way to include an individuals rights Wales Safeguarding procedure (2019). </w:t>
            </w: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5979DA57" w:rsidR="00FC0334" w:rsidRDefault="00753D1A" w:rsidP="00FF7EBB">
            <w:pPr>
              <w:jc w:val="both"/>
              <w:rPr>
                <w:sz w:val="24"/>
                <w:szCs w:val="24"/>
              </w:rPr>
            </w:pPr>
            <w:r>
              <w:rPr>
                <w:sz w:val="24"/>
                <w:szCs w:val="24"/>
              </w:rPr>
              <w:t>52</w:t>
            </w:r>
            <w:r w:rsidR="00AC2275">
              <w:rPr>
                <w:sz w:val="24"/>
                <w:szCs w:val="24"/>
              </w:rPr>
              <w:t>6</w:t>
            </w:r>
            <w:r>
              <w:rPr>
                <w:sz w:val="24"/>
                <w:szCs w:val="24"/>
              </w:rPr>
              <w:t xml:space="preserve"> words</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451CF4CB" w14:textId="77777777" w:rsidR="00B33971" w:rsidRPr="00B33971" w:rsidRDefault="00B33971" w:rsidP="00B33971">
            <w:pPr>
              <w:jc w:val="both"/>
              <w:rPr>
                <w:sz w:val="24"/>
                <w:szCs w:val="24"/>
              </w:rPr>
            </w:pPr>
            <w:r w:rsidRPr="00B33971">
              <w:rPr>
                <w:sz w:val="24"/>
                <w:szCs w:val="24"/>
              </w:rPr>
              <w:t>A key difference between safeguarding in adult and children’s social work is the role of capacity and consent. While both aim to protect individuals from harm, the legal frameworks underpinning intervention differ significantly in how autonomy is balanced with protection.</w:t>
            </w:r>
          </w:p>
          <w:p w14:paraId="02E7F5A7" w14:textId="77777777" w:rsidR="00B33971" w:rsidRPr="00CA7B89" w:rsidRDefault="00B33971" w:rsidP="00B33971">
            <w:pPr>
              <w:jc w:val="both"/>
              <w:rPr>
                <w:sz w:val="24"/>
                <w:szCs w:val="24"/>
              </w:rPr>
            </w:pPr>
            <w:r w:rsidRPr="00B33971">
              <w:rPr>
                <w:sz w:val="24"/>
                <w:szCs w:val="24"/>
              </w:rPr>
              <w:t>In adult safeguarding, the Mental Capacity Act (2005) establishes the presumption of capacity and the principle that individuals have the right to make decisions others may view as unwise. Capacity is decision-specific and must be assumed unless proven otherwise. This means that an adult with capacity can refuse support, even where professionals believe they are at serious risk. The Social Services and Well-being (Wales) Act 2014 reinforces this rights-based approach, emphasising voice, choice and control. Consent is therefore central to adult safeguarding practice.</w:t>
            </w:r>
          </w:p>
          <w:p w14:paraId="3180D74E" w14:textId="77777777" w:rsidR="00B33971" w:rsidRPr="00B33971" w:rsidRDefault="00B33971" w:rsidP="00B33971">
            <w:pPr>
              <w:jc w:val="both"/>
              <w:rPr>
                <w:sz w:val="24"/>
                <w:szCs w:val="24"/>
              </w:rPr>
            </w:pPr>
          </w:p>
          <w:p w14:paraId="17C7BC58" w14:textId="61DBC83E" w:rsidR="00B33971" w:rsidRPr="00CA7B89" w:rsidRDefault="00B33971" w:rsidP="00B33971">
            <w:pPr>
              <w:jc w:val="both"/>
              <w:rPr>
                <w:sz w:val="24"/>
                <w:szCs w:val="24"/>
              </w:rPr>
            </w:pPr>
            <w:r w:rsidRPr="00B33971">
              <w:rPr>
                <w:sz w:val="24"/>
                <w:szCs w:val="24"/>
              </w:rPr>
              <w:t xml:space="preserve">For example, an adult experiencing alcohol dependency and serious health deterioration may be offered treatment. However, if they are assessed as having capacity and decline support, professionals must respect that decision. Although Article 3 of the Human Rights Act (1998) protects individuals from inhuman or degrading treatment, Article 8 protects the right to private life, meaning intervention cannot usually be imposed on </w:t>
            </w:r>
            <w:r w:rsidR="007A6181">
              <w:rPr>
                <w:sz w:val="24"/>
                <w:szCs w:val="24"/>
              </w:rPr>
              <w:t xml:space="preserve">adults with </w:t>
            </w:r>
            <w:r w:rsidR="00D72D33">
              <w:rPr>
                <w:sz w:val="24"/>
                <w:szCs w:val="24"/>
              </w:rPr>
              <w:t>capacity</w:t>
            </w:r>
            <w:r w:rsidRPr="00B33971">
              <w:rPr>
                <w:sz w:val="24"/>
                <w:szCs w:val="24"/>
              </w:rPr>
              <w:t>. This can create ethical tension, as practitioners may feel they are allowing ongoing harm.</w:t>
            </w:r>
          </w:p>
          <w:p w14:paraId="7B74D700" w14:textId="77777777" w:rsidR="00B33971" w:rsidRPr="00B33971" w:rsidRDefault="00B33971" w:rsidP="00B33971">
            <w:pPr>
              <w:jc w:val="both"/>
              <w:rPr>
                <w:sz w:val="24"/>
                <w:szCs w:val="24"/>
              </w:rPr>
            </w:pPr>
          </w:p>
          <w:p w14:paraId="64914A0B" w14:textId="77777777" w:rsidR="00B33971" w:rsidRPr="00CA7B89" w:rsidRDefault="00B33971" w:rsidP="00B33971">
            <w:pPr>
              <w:jc w:val="both"/>
              <w:rPr>
                <w:sz w:val="24"/>
                <w:szCs w:val="24"/>
              </w:rPr>
            </w:pPr>
            <w:r w:rsidRPr="00B33971">
              <w:rPr>
                <w:sz w:val="24"/>
                <w:szCs w:val="24"/>
              </w:rPr>
              <w:t xml:space="preserve">In contrast, safeguarding in children’s services prioritises welfare over autonomy. Under Section 47 of the Children Act 1989, and Part 7 of the Social Services and Well-being (Wales) Act 2014, local authorities have a duty to investigate where there is reasonable cause to </w:t>
            </w:r>
            <w:r w:rsidRPr="00B33971">
              <w:rPr>
                <w:sz w:val="24"/>
                <w:szCs w:val="24"/>
              </w:rPr>
              <w:lastRenderedPageBreak/>
              <w:t>suspect significant harm. Consent is not required to initiate enquiries, reflecting the principle that the child’s welfare is paramount.</w:t>
            </w:r>
          </w:p>
          <w:p w14:paraId="78B55B15" w14:textId="77777777" w:rsidR="00B33971" w:rsidRPr="00B33971" w:rsidRDefault="00B33971" w:rsidP="00B33971">
            <w:pPr>
              <w:jc w:val="both"/>
              <w:rPr>
                <w:sz w:val="24"/>
                <w:szCs w:val="24"/>
              </w:rPr>
            </w:pPr>
          </w:p>
          <w:p w14:paraId="34D2832E" w14:textId="77777777" w:rsidR="00B33971" w:rsidRPr="00CA7B89" w:rsidRDefault="00B33971" w:rsidP="00B33971">
            <w:pPr>
              <w:jc w:val="both"/>
              <w:rPr>
                <w:sz w:val="24"/>
                <w:szCs w:val="24"/>
              </w:rPr>
            </w:pPr>
            <w:r w:rsidRPr="00B33971">
              <w:rPr>
                <w:sz w:val="24"/>
                <w:szCs w:val="24"/>
              </w:rPr>
              <w:t>Although Article 12 of the United Nations Convention on the Rights of the Child (1989) states that children’s views must be considered, those views do not override safeguarding concerns. For instance, a child experiencing emotional abuse may wish to remain at home, yet the local authority has the power to intervene if risk is identified.</w:t>
            </w:r>
          </w:p>
          <w:p w14:paraId="61C5E79C" w14:textId="77777777" w:rsidR="00B33971" w:rsidRPr="00B33971" w:rsidRDefault="00B33971" w:rsidP="00B33971">
            <w:pPr>
              <w:jc w:val="both"/>
              <w:rPr>
                <w:sz w:val="24"/>
                <w:szCs w:val="24"/>
              </w:rPr>
            </w:pPr>
          </w:p>
          <w:p w14:paraId="0AFF46DE" w14:textId="77777777" w:rsidR="00B33971" w:rsidRPr="00B33971" w:rsidRDefault="00B33971" w:rsidP="00B33971">
            <w:pPr>
              <w:jc w:val="both"/>
              <w:rPr>
                <w:sz w:val="24"/>
                <w:szCs w:val="24"/>
              </w:rPr>
            </w:pPr>
            <w:r w:rsidRPr="00B33971">
              <w:rPr>
                <w:sz w:val="24"/>
                <w:szCs w:val="24"/>
              </w:rPr>
              <w:t>In summary, adult safeguarding centres on autonomy and capacity, whereas children’s safeguarding prioritises protection and welfare. The distinction lies in how much weight is given to consent: adults with capacity can refuse intervention, while children can be safeguarded without consent when significant harm is suspected.</w:t>
            </w:r>
          </w:p>
          <w:p w14:paraId="024C543C" w14:textId="77777777" w:rsidR="0057555A" w:rsidRDefault="0057555A" w:rsidP="00FC0334">
            <w:pPr>
              <w:jc w:val="both"/>
              <w:rPr>
                <w:sz w:val="24"/>
                <w:szCs w:val="24"/>
              </w:rPr>
            </w:pPr>
          </w:p>
          <w:p w14:paraId="39734A9F" w14:textId="77777777" w:rsidR="00842BA5" w:rsidRDefault="00842BA5" w:rsidP="00FC0334">
            <w:pPr>
              <w:jc w:val="both"/>
              <w:rPr>
                <w:sz w:val="24"/>
                <w:szCs w:val="24"/>
              </w:rPr>
            </w:pPr>
          </w:p>
          <w:p w14:paraId="51B868C9" w14:textId="77777777" w:rsidR="002E5E98" w:rsidRDefault="002E5E98" w:rsidP="00FC0334">
            <w:pPr>
              <w:jc w:val="both"/>
              <w:rPr>
                <w:sz w:val="24"/>
                <w:szCs w:val="24"/>
              </w:rPr>
            </w:pPr>
          </w:p>
          <w:p w14:paraId="0FDE52D4" w14:textId="77777777" w:rsidR="00CF77C8" w:rsidRDefault="00CF77C8" w:rsidP="00FC0334">
            <w:pPr>
              <w:jc w:val="both"/>
              <w:rPr>
                <w:sz w:val="24"/>
                <w:szCs w:val="24"/>
              </w:rPr>
            </w:pPr>
          </w:p>
          <w:p w14:paraId="5C96D1C5" w14:textId="77777777" w:rsidR="00CF77C8" w:rsidRDefault="00CF77C8" w:rsidP="00FC0334">
            <w:pPr>
              <w:jc w:val="both"/>
              <w:rPr>
                <w:sz w:val="24"/>
                <w:szCs w:val="24"/>
              </w:rPr>
            </w:pPr>
          </w:p>
          <w:p w14:paraId="478D2F84" w14:textId="0C216818" w:rsidR="00FC0334" w:rsidRDefault="00B33971" w:rsidP="00FC0334">
            <w:pPr>
              <w:jc w:val="both"/>
              <w:rPr>
                <w:sz w:val="24"/>
                <w:szCs w:val="24"/>
              </w:rPr>
            </w:pPr>
            <w:r>
              <w:rPr>
                <w:sz w:val="24"/>
                <w:szCs w:val="24"/>
              </w:rPr>
              <w:t>364</w:t>
            </w:r>
            <w:r w:rsidR="005A01BC">
              <w:rPr>
                <w:sz w:val="24"/>
                <w:szCs w:val="24"/>
              </w:rPr>
              <w:t xml:space="preserve"> words </w:t>
            </w:r>
          </w:p>
          <w:p w14:paraId="2DF6FC13" w14:textId="77777777" w:rsidR="004039F9" w:rsidRDefault="004039F9"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10FAE" w14:textId="77777777" w:rsidR="00EB5359" w:rsidRDefault="00EB5359">
      <w:r>
        <w:separator/>
      </w:r>
    </w:p>
  </w:endnote>
  <w:endnote w:type="continuationSeparator" w:id="0">
    <w:p w14:paraId="2BBE1345" w14:textId="77777777" w:rsidR="00EB5359" w:rsidRDefault="00EB53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A320CC" w14:textId="77777777" w:rsidR="00EB5359" w:rsidRDefault="00EB5359">
      <w:r>
        <w:separator/>
      </w:r>
    </w:p>
  </w:footnote>
  <w:footnote w:type="continuationSeparator" w:id="0">
    <w:p w14:paraId="76AFE4E7" w14:textId="77777777" w:rsidR="00EB5359" w:rsidRDefault="00EB53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B3F2000"/>
    <w:multiLevelType w:val="multilevel"/>
    <w:tmpl w:val="CAE69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1264533515">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2AF"/>
    <w:rsid w:val="00011F6E"/>
    <w:rsid w:val="00012B16"/>
    <w:rsid w:val="00017D9B"/>
    <w:rsid w:val="000207BF"/>
    <w:rsid w:val="00020EEC"/>
    <w:rsid w:val="0002440E"/>
    <w:rsid w:val="0002759A"/>
    <w:rsid w:val="00027B1F"/>
    <w:rsid w:val="0003088B"/>
    <w:rsid w:val="000316C8"/>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397"/>
    <w:rsid w:val="000E26B0"/>
    <w:rsid w:val="000E37C2"/>
    <w:rsid w:val="000E38C3"/>
    <w:rsid w:val="000F1599"/>
    <w:rsid w:val="000F1769"/>
    <w:rsid w:val="000F1A97"/>
    <w:rsid w:val="000F42AE"/>
    <w:rsid w:val="000F56E1"/>
    <w:rsid w:val="000F6196"/>
    <w:rsid w:val="000F6321"/>
    <w:rsid w:val="000F6BC3"/>
    <w:rsid w:val="0010312C"/>
    <w:rsid w:val="00105026"/>
    <w:rsid w:val="0010662B"/>
    <w:rsid w:val="00106DC7"/>
    <w:rsid w:val="00107483"/>
    <w:rsid w:val="00112391"/>
    <w:rsid w:val="00114F52"/>
    <w:rsid w:val="0011502C"/>
    <w:rsid w:val="001218E4"/>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308A"/>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081F"/>
    <w:rsid w:val="002E5E98"/>
    <w:rsid w:val="002E6D17"/>
    <w:rsid w:val="002E7017"/>
    <w:rsid w:val="002E7AFF"/>
    <w:rsid w:val="002E7F2C"/>
    <w:rsid w:val="002F1FC7"/>
    <w:rsid w:val="002F2185"/>
    <w:rsid w:val="002F4F6E"/>
    <w:rsid w:val="003015C3"/>
    <w:rsid w:val="003016E6"/>
    <w:rsid w:val="003106DB"/>
    <w:rsid w:val="0031350A"/>
    <w:rsid w:val="003150C3"/>
    <w:rsid w:val="00316815"/>
    <w:rsid w:val="003168CA"/>
    <w:rsid w:val="00321255"/>
    <w:rsid w:val="0032230D"/>
    <w:rsid w:val="00322A0B"/>
    <w:rsid w:val="00330881"/>
    <w:rsid w:val="00331CD2"/>
    <w:rsid w:val="00332426"/>
    <w:rsid w:val="00335C41"/>
    <w:rsid w:val="00335FC5"/>
    <w:rsid w:val="00336D79"/>
    <w:rsid w:val="0033771E"/>
    <w:rsid w:val="00337FEF"/>
    <w:rsid w:val="00347460"/>
    <w:rsid w:val="00354B6D"/>
    <w:rsid w:val="00355210"/>
    <w:rsid w:val="00355CFD"/>
    <w:rsid w:val="00365DF9"/>
    <w:rsid w:val="0037066E"/>
    <w:rsid w:val="00372DB4"/>
    <w:rsid w:val="00373A36"/>
    <w:rsid w:val="0037419E"/>
    <w:rsid w:val="00375AF5"/>
    <w:rsid w:val="003761BD"/>
    <w:rsid w:val="00376F35"/>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554A"/>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39F9"/>
    <w:rsid w:val="004046F0"/>
    <w:rsid w:val="0040668F"/>
    <w:rsid w:val="00411EF7"/>
    <w:rsid w:val="00412677"/>
    <w:rsid w:val="0041351A"/>
    <w:rsid w:val="00425160"/>
    <w:rsid w:val="00430DE3"/>
    <w:rsid w:val="004348AE"/>
    <w:rsid w:val="004376C0"/>
    <w:rsid w:val="0044223A"/>
    <w:rsid w:val="004424B5"/>
    <w:rsid w:val="00446B54"/>
    <w:rsid w:val="00450B67"/>
    <w:rsid w:val="00451851"/>
    <w:rsid w:val="0045189A"/>
    <w:rsid w:val="00453343"/>
    <w:rsid w:val="004538C3"/>
    <w:rsid w:val="004608B9"/>
    <w:rsid w:val="00463B55"/>
    <w:rsid w:val="00465947"/>
    <w:rsid w:val="004667B1"/>
    <w:rsid w:val="0046794A"/>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0B7F"/>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555A"/>
    <w:rsid w:val="0057780F"/>
    <w:rsid w:val="00581E0A"/>
    <w:rsid w:val="00586D89"/>
    <w:rsid w:val="005877C8"/>
    <w:rsid w:val="00587923"/>
    <w:rsid w:val="00594F9F"/>
    <w:rsid w:val="005A01BC"/>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0EF3"/>
    <w:rsid w:val="00614DF7"/>
    <w:rsid w:val="006179BB"/>
    <w:rsid w:val="0062158D"/>
    <w:rsid w:val="006223FD"/>
    <w:rsid w:val="006326D1"/>
    <w:rsid w:val="00632E0A"/>
    <w:rsid w:val="00633165"/>
    <w:rsid w:val="006447DE"/>
    <w:rsid w:val="00644889"/>
    <w:rsid w:val="0065276E"/>
    <w:rsid w:val="00654329"/>
    <w:rsid w:val="00654431"/>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4E73"/>
    <w:rsid w:val="006D18A3"/>
    <w:rsid w:val="006D5970"/>
    <w:rsid w:val="006E481E"/>
    <w:rsid w:val="006E795F"/>
    <w:rsid w:val="006F0862"/>
    <w:rsid w:val="006F1438"/>
    <w:rsid w:val="006F2A9E"/>
    <w:rsid w:val="006F4726"/>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28ED"/>
    <w:rsid w:val="00743E40"/>
    <w:rsid w:val="00745016"/>
    <w:rsid w:val="0075031F"/>
    <w:rsid w:val="00751263"/>
    <w:rsid w:val="00753D1A"/>
    <w:rsid w:val="007544FC"/>
    <w:rsid w:val="00755427"/>
    <w:rsid w:val="00756548"/>
    <w:rsid w:val="0075673A"/>
    <w:rsid w:val="0075704F"/>
    <w:rsid w:val="00762E0D"/>
    <w:rsid w:val="00763B2D"/>
    <w:rsid w:val="00764C84"/>
    <w:rsid w:val="007710AD"/>
    <w:rsid w:val="00772924"/>
    <w:rsid w:val="0078112D"/>
    <w:rsid w:val="007844B5"/>
    <w:rsid w:val="007872F2"/>
    <w:rsid w:val="007873F9"/>
    <w:rsid w:val="007908E0"/>
    <w:rsid w:val="00793EB3"/>
    <w:rsid w:val="00794205"/>
    <w:rsid w:val="0079422A"/>
    <w:rsid w:val="007A1F6A"/>
    <w:rsid w:val="007A50E0"/>
    <w:rsid w:val="007A6181"/>
    <w:rsid w:val="007A628F"/>
    <w:rsid w:val="007B0DE3"/>
    <w:rsid w:val="007B1BFD"/>
    <w:rsid w:val="007B7191"/>
    <w:rsid w:val="007C1D94"/>
    <w:rsid w:val="007C556F"/>
    <w:rsid w:val="007C5ABE"/>
    <w:rsid w:val="007C6A87"/>
    <w:rsid w:val="007C7349"/>
    <w:rsid w:val="007D0A07"/>
    <w:rsid w:val="007D0F11"/>
    <w:rsid w:val="007D133D"/>
    <w:rsid w:val="007D3EB4"/>
    <w:rsid w:val="007D3F16"/>
    <w:rsid w:val="007E3E4C"/>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BA5"/>
    <w:rsid w:val="00844D98"/>
    <w:rsid w:val="00846D84"/>
    <w:rsid w:val="00850233"/>
    <w:rsid w:val="0085230E"/>
    <w:rsid w:val="00853EFD"/>
    <w:rsid w:val="008550A1"/>
    <w:rsid w:val="00861038"/>
    <w:rsid w:val="008652BF"/>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3F29"/>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4790F"/>
    <w:rsid w:val="009544C0"/>
    <w:rsid w:val="00954FA4"/>
    <w:rsid w:val="00956529"/>
    <w:rsid w:val="00956AE9"/>
    <w:rsid w:val="00964CC6"/>
    <w:rsid w:val="00967BFA"/>
    <w:rsid w:val="0098262C"/>
    <w:rsid w:val="0098427C"/>
    <w:rsid w:val="00986B43"/>
    <w:rsid w:val="00986C0B"/>
    <w:rsid w:val="00986D46"/>
    <w:rsid w:val="00991FDA"/>
    <w:rsid w:val="00992ACA"/>
    <w:rsid w:val="009A108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D34"/>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2275"/>
    <w:rsid w:val="00AC3A0E"/>
    <w:rsid w:val="00AC4A04"/>
    <w:rsid w:val="00AC54ED"/>
    <w:rsid w:val="00AC5679"/>
    <w:rsid w:val="00AC5866"/>
    <w:rsid w:val="00AD336F"/>
    <w:rsid w:val="00AE134C"/>
    <w:rsid w:val="00AE1868"/>
    <w:rsid w:val="00AE1FEF"/>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5CDD"/>
    <w:rsid w:val="00B26769"/>
    <w:rsid w:val="00B26D90"/>
    <w:rsid w:val="00B2754B"/>
    <w:rsid w:val="00B31C91"/>
    <w:rsid w:val="00B33971"/>
    <w:rsid w:val="00B3747F"/>
    <w:rsid w:val="00B37A70"/>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5FAA"/>
    <w:rsid w:val="00BD30B1"/>
    <w:rsid w:val="00BD5099"/>
    <w:rsid w:val="00BE0F7B"/>
    <w:rsid w:val="00BE10C2"/>
    <w:rsid w:val="00BF0D6C"/>
    <w:rsid w:val="00BF2EE2"/>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389E"/>
    <w:rsid w:val="00C34C23"/>
    <w:rsid w:val="00C368FA"/>
    <w:rsid w:val="00C419A2"/>
    <w:rsid w:val="00C42005"/>
    <w:rsid w:val="00C4664D"/>
    <w:rsid w:val="00C472AA"/>
    <w:rsid w:val="00C50A05"/>
    <w:rsid w:val="00C54AED"/>
    <w:rsid w:val="00C555FC"/>
    <w:rsid w:val="00C55E9B"/>
    <w:rsid w:val="00C56322"/>
    <w:rsid w:val="00C56D09"/>
    <w:rsid w:val="00C57D24"/>
    <w:rsid w:val="00C604D6"/>
    <w:rsid w:val="00C6399B"/>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B89"/>
    <w:rsid w:val="00CA7E6A"/>
    <w:rsid w:val="00CB258E"/>
    <w:rsid w:val="00CB3C8F"/>
    <w:rsid w:val="00CB5F0C"/>
    <w:rsid w:val="00CC02F1"/>
    <w:rsid w:val="00CC1122"/>
    <w:rsid w:val="00CC11A6"/>
    <w:rsid w:val="00CC135E"/>
    <w:rsid w:val="00CC7226"/>
    <w:rsid w:val="00CD0735"/>
    <w:rsid w:val="00CD45E3"/>
    <w:rsid w:val="00CD4771"/>
    <w:rsid w:val="00CD5089"/>
    <w:rsid w:val="00CD5D3F"/>
    <w:rsid w:val="00CD7E1F"/>
    <w:rsid w:val="00CE4BC4"/>
    <w:rsid w:val="00CE7200"/>
    <w:rsid w:val="00CE7DA2"/>
    <w:rsid w:val="00CF09C3"/>
    <w:rsid w:val="00CF2F8A"/>
    <w:rsid w:val="00CF3DB3"/>
    <w:rsid w:val="00CF77C8"/>
    <w:rsid w:val="00D0274B"/>
    <w:rsid w:val="00D0503D"/>
    <w:rsid w:val="00D052BC"/>
    <w:rsid w:val="00D07026"/>
    <w:rsid w:val="00D146AE"/>
    <w:rsid w:val="00D223FB"/>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2D33"/>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7F92"/>
    <w:rsid w:val="00E15751"/>
    <w:rsid w:val="00E17160"/>
    <w:rsid w:val="00E17D41"/>
    <w:rsid w:val="00E231D1"/>
    <w:rsid w:val="00E3288D"/>
    <w:rsid w:val="00E35112"/>
    <w:rsid w:val="00E35BEC"/>
    <w:rsid w:val="00E373B2"/>
    <w:rsid w:val="00E4032C"/>
    <w:rsid w:val="00E41A6A"/>
    <w:rsid w:val="00E50821"/>
    <w:rsid w:val="00E51F91"/>
    <w:rsid w:val="00E5498A"/>
    <w:rsid w:val="00E559CE"/>
    <w:rsid w:val="00E60F42"/>
    <w:rsid w:val="00E6746C"/>
    <w:rsid w:val="00E7086E"/>
    <w:rsid w:val="00E71248"/>
    <w:rsid w:val="00E73C41"/>
    <w:rsid w:val="00E75911"/>
    <w:rsid w:val="00E7598F"/>
    <w:rsid w:val="00E75EEB"/>
    <w:rsid w:val="00E76F60"/>
    <w:rsid w:val="00E812B5"/>
    <w:rsid w:val="00E83D90"/>
    <w:rsid w:val="00E83F91"/>
    <w:rsid w:val="00E86299"/>
    <w:rsid w:val="00E9055B"/>
    <w:rsid w:val="00E9107A"/>
    <w:rsid w:val="00E91F62"/>
    <w:rsid w:val="00E929FD"/>
    <w:rsid w:val="00E93240"/>
    <w:rsid w:val="00E9479B"/>
    <w:rsid w:val="00E94E22"/>
    <w:rsid w:val="00E95F08"/>
    <w:rsid w:val="00E97171"/>
    <w:rsid w:val="00EA4D48"/>
    <w:rsid w:val="00EA7ADF"/>
    <w:rsid w:val="00EB2173"/>
    <w:rsid w:val="00EB5359"/>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26B1"/>
    <w:rsid w:val="00F927A1"/>
    <w:rsid w:val="00F92E4D"/>
    <w:rsid w:val="00F95D08"/>
    <w:rsid w:val="00FA0497"/>
    <w:rsid w:val="00FA23BD"/>
    <w:rsid w:val="00FA3764"/>
    <w:rsid w:val="00FA41C7"/>
    <w:rsid w:val="00FA4A79"/>
    <w:rsid w:val="00FA56ED"/>
    <w:rsid w:val="00FB05DD"/>
    <w:rsid w:val="00FB0F7C"/>
    <w:rsid w:val="00FB24EA"/>
    <w:rsid w:val="00FB459B"/>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20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9A108A"/>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E75E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803289">
      <w:bodyDiv w:val="1"/>
      <w:marLeft w:val="0"/>
      <w:marRight w:val="0"/>
      <w:marTop w:val="0"/>
      <w:marBottom w:val="0"/>
      <w:divBdr>
        <w:top w:val="none" w:sz="0" w:space="0" w:color="auto"/>
        <w:left w:val="none" w:sz="0" w:space="0" w:color="auto"/>
        <w:bottom w:val="none" w:sz="0" w:space="0" w:color="auto"/>
        <w:right w:val="none" w:sz="0" w:space="0" w:color="auto"/>
      </w:divBdr>
    </w:div>
    <w:div w:id="497813137">
      <w:bodyDiv w:val="1"/>
      <w:marLeft w:val="0"/>
      <w:marRight w:val="0"/>
      <w:marTop w:val="0"/>
      <w:marBottom w:val="0"/>
      <w:divBdr>
        <w:top w:val="none" w:sz="0" w:space="0" w:color="auto"/>
        <w:left w:val="none" w:sz="0" w:space="0" w:color="auto"/>
        <w:bottom w:val="none" w:sz="0" w:space="0" w:color="auto"/>
        <w:right w:val="none" w:sz="0" w:space="0" w:color="auto"/>
      </w:divBdr>
    </w:div>
    <w:div w:id="55312444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686710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040071">
      <w:bodyDiv w:val="1"/>
      <w:marLeft w:val="0"/>
      <w:marRight w:val="0"/>
      <w:marTop w:val="0"/>
      <w:marBottom w:val="0"/>
      <w:divBdr>
        <w:top w:val="none" w:sz="0" w:space="0" w:color="auto"/>
        <w:left w:val="none" w:sz="0" w:space="0" w:color="auto"/>
        <w:bottom w:val="none" w:sz="0" w:space="0" w:color="auto"/>
        <w:right w:val="none" w:sz="0" w:space="0" w:color="auto"/>
      </w:divBdr>
    </w:div>
    <w:div w:id="169137284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1926301">
      <w:bodyDiv w:val="1"/>
      <w:marLeft w:val="0"/>
      <w:marRight w:val="0"/>
      <w:marTop w:val="0"/>
      <w:marBottom w:val="0"/>
      <w:divBdr>
        <w:top w:val="none" w:sz="0" w:space="0" w:color="auto"/>
        <w:left w:val="none" w:sz="0" w:space="0" w:color="auto"/>
        <w:bottom w:val="none" w:sz="0" w:space="0" w:color="auto"/>
        <w:right w:val="none" w:sz="0" w:space="0" w:color="auto"/>
      </w:divBdr>
    </w:div>
    <w:div w:id="2123304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4</Pages>
  <Words>1094</Words>
  <Characters>5801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Mererid Roberts (PLANT)</cp:lastModifiedBy>
  <cp:revision>7</cp:revision>
  <cp:lastPrinted>2020-02-11T19:20:00Z</cp:lastPrinted>
  <dcterms:created xsi:type="dcterms:W3CDTF">2026-02-12T16:52:00Z</dcterms:created>
  <dcterms:modified xsi:type="dcterms:W3CDTF">2026-02-19T10:37:00Z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