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68A1765" wp14:paraId="1549C44A" wp14:textId="5B860FE7">
      <w:pPr>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668A1765" wp14:paraId="68068C55" wp14:textId="2F620573">
      <w:pPr>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668A1765" wp14:paraId="3775C6BB" wp14:textId="1987C9F9">
      <w:pPr>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668A1765" wp14:paraId="5C833E08" wp14:textId="5996E74D">
      <w:pPr>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68A1765" w:rsidR="5E1DCF56">
        <w:rPr>
          <w:rFonts w:ascii="Arial" w:hAnsi="Arial" w:eastAsia="Arial" w:cs="Arial"/>
          <w:b w:val="1"/>
          <w:bCs w:val="1"/>
          <w:i w:val="0"/>
          <w:iCs w:val="0"/>
          <w:caps w:val="0"/>
          <w:smallCaps w:val="0"/>
          <w:noProof w:val="0"/>
          <w:color w:val="000000" w:themeColor="text1" w:themeTint="FF" w:themeShade="FF"/>
          <w:sz w:val="40"/>
          <w:szCs w:val="40"/>
          <w:lang w:val="en-GB"/>
        </w:rPr>
        <w:t>Certificate Of Higher Education Employability Skills</w:t>
      </w:r>
    </w:p>
    <w:p xmlns:wp14="http://schemas.microsoft.com/office/word/2010/wordml" w:rsidP="668A1765" wp14:paraId="06C61349" wp14:textId="3639B590">
      <w:pPr>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68A1765" w:rsidR="5E1DCF56">
        <w:rPr>
          <w:rFonts w:ascii="Arial" w:hAnsi="Arial" w:eastAsia="Arial" w:cs="Arial"/>
          <w:b w:val="1"/>
          <w:bCs w:val="1"/>
          <w:i w:val="0"/>
          <w:iCs w:val="0"/>
          <w:caps w:val="0"/>
          <w:smallCaps w:val="0"/>
          <w:noProof w:val="0"/>
          <w:color w:val="000000" w:themeColor="text1" w:themeTint="FF" w:themeShade="FF"/>
          <w:sz w:val="40"/>
          <w:szCs w:val="40"/>
          <w:lang w:val="en-GB"/>
        </w:rPr>
        <w:t>Module: Professional Career Development</w:t>
      </w:r>
    </w:p>
    <w:p xmlns:wp14="http://schemas.microsoft.com/office/word/2010/wordml" w:rsidP="668A1765" wp14:paraId="66DD916A" wp14:textId="6FAE313B">
      <w:pPr>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68A1765" w:rsidR="5E1DCF56">
        <w:rPr>
          <w:rFonts w:ascii="Arial" w:hAnsi="Arial" w:eastAsia="Arial" w:cs="Arial"/>
          <w:b w:val="1"/>
          <w:bCs w:val="1"/>
          <w:i w:val="0"/>
          <w:iCs w:val="0"/>
          <w:caps w:val="0"/>
          <w:smallCaps w:val="0"/>
          <w:noProof w:val="0"/>
          <w:color w:val="000000" w:themeColor="text1" w:themeTint="FF" w:themeShade="FF"/>
          <w:sz w:val="40"/>
          <w:szCs w:val="40"/>
          <w:lang w:val="en-GB"/>
        </w:rPr>
        <w:t>Module Code: BMSW4012</w:t>
      </w:r>
    </w:p>
    <w:p xmlns:wp14="http://schemas.microsoft.com/office/word/2010/wordml" w:rsidP="668A1765" wp14:paraId="03E7D30C" wp14:textId="5C6422A9">
      <w:pPr>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68A1765" w:rsidR="5E1DCF56">
        <w:rPr>
          <w:rFonts w:ascii="Arial" w:hAnsi="Arial" w:eastAsia="Arial" w:cs="Arial"/>
          <w:b w:val="1"/>
          <w:bCs w:val="1"/>
          <w:i w:val="0"/>
          <w:iCs w:val="0"/>
          <w:caps w:val="0"/>
          <w:smallCaps w:val="0"/>
          <w:noProof w:val="0"/>
          <w:color w:val="000000" w:themeColor="text1" w:themeTint="FF" w:themeShade="FF"/>
          <w:sz w:val="40"/>
          <w:szCs w:val="40"/>
          <w:lang w:val="en-GB"/>
        </w:rPr>
        <w:t>Name: Sobia Saeed</w:t>
      </w:r>
    </w:p>
    <w:p xmlns:wp14="http://schemas.microsoft.com/office/word/2010/wordml" w:rsidP="668A1765" wp14:paraId="63555BDA" wp14:textId="3A6B857F">
      <w:pPr>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68A1765" w:rsidR="5E1DCF56">
        <w:rPr>
          <w:rFonts w:ascii="Arial" w:hAnsi="Arial" w:eastAsia="Arial" w:cs="Arial"/>
          <w:b w:val="1"/>
          <w:bCs w:val="1"/>
          <w:i w:val="0"/>
          <w:iCs w:val="0"/>
          <w:caps w:val="0"/>
          <w:smallCaps w:val="0"/>
          <w:noProof w:val="0"/>
          <w:color w:val="000000" w:themeColor="text1" w:themeTint="FF" w:themeShade="FF"/>
          <w:sz w:val="40"/>
          <w:szCs w:val="40"/>
          <w:lang w:val="en-GB"/>
        </w:rPr>
        <w:t>Student Number: 2408468</w:t>
      </w:r>
    </w:p>
    <w:p xmlns:wp14="http://schemas.microsoft.com/office/word/2010/wordml" w:rsidP="668A1765" wp14:paraId="5A712D8B" wp14:textId="20A020B0">
      <w:pPr>
        <w:spacing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668A1765" w:rsidR="5E1DCF56">
        <w:rPr>
          <w:rFonts w:ascii="Arial" w:hAnsi="Arial" w:eastAsia="Arial" w:cs="Arial"/>
          <w:b w:val="1"/>
          <w:bCs w:val="1"/>
          <w:i w:val="0"/>
          <w:iCs w:val="0"/>
          <w:caps w:val="0"/>
          <w:smallCaps w:val="0"/>
          <w:noProof w:val="0"/>
          <w:color w:val="000000" w:themeColor="text1" w:themeTint="FF" w:themeShade="FF"/>
          <w:sz w:val="32"/>
          <w:szCs w:val="32"/>
          <w:lang w:val="en-GB"/>
        </w:rPr>
        <w:t>Part 1: Individual Reflection</w:t>
      </w:r>
    </w:p>
    <w:p xmlns:wp14="http://schemas.microsoft.com/office/word/2010/wordml" wp14:paraId="581C099B" wp14:textId="4DDCBB23">
      <w:r>
        <w:br w:type="page"/>
      </w:r>
    </w:p>
    <w:p xmlns:wp14="http://schemas.microsoft.com/office/word/2010/wordml" w:rsidP="668A1765" wp14:paraId="319CE7B4" wp14:textId="2403864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n-GB"/>
        </w:rPr>
      </w:pPr>
    </w:p>
    <w:p xmlns:wp14="http://schemas.microsoft.com/office/word/2010/wordml" w:rsidP="668A1765" wp14:paraId="3D3B285D" wp14:textId="5A152105">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668A1765" wp14:paraId="58057E8A" wp14:textId="5D87A4B5">
      <w:pPr>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668A1765" wp14:paraId="49699684" wp14:textId="4080CCC5">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I am currently studying employability skills at university to gain a deeper understanding of my strengths and weaknesses. This course appealed to me because, like many people, I had never fully considered my abilities or how I could improve them. I joined the course as a way of exploring my potential beyond my role as a carer and to move in a different direction. At first, I wasn’t sure what to expect, and I lacked confidence in how the course could help me. However, as I progressed, I discovered that I am a reflective-minded person, and reflection has become central to how I learn and grow.</w:t>
      </w:r>
    </w:p>
    <w:p xmlns:wp14="http://schemas.microsoft.com/office/word/2010/wordml" w:rsidP="668A1765" wp14:paraId="7F31DD71" wp14:textId="776B261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Through this journey, I’ve learned how important it is to recognise one’s own skills. Many people go through life without identifying their strengths, learning styles, or goals, which can prevent them from achieving their full potential. By understanding how I learn and by improving key skills like communication and time management, I’ve been able to set clear goals and work towards achieving them.</w:t>
      </w:r>
    </w:p>
    <w:p xmlns:wp14="http://schemas.microsoft.com/office/word/2010/wordml" w:rsidP="668A1765" wp14:paraId="5F556C1B" wp14:textId="2AEABA65">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One of the key frameworks I’ve used throughout this course is SWOT analysis. This allowed me to break down my strengths, weaknesses, opportunities, and threats. I discovered that my strengths, such as strong organisational skills and a solid work ethic, were already well-developed due to my experience as a carer. However, I also learned that I needed to work on my confidence and managing stress, especially in unfamiliar situations (Gürel and Tat, 2017). Using this analysis, I created a more focused plan for personal growth.</w:t>
      </w:r>
    </w:p>
    <w:p xmlns:wp14="http://schemas.microsoft.com/office/word/2010/wordml" w:rsidP="668A1765" wp14:paraId="3486697D" wp14:textId="55E8192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The next step was to create a Personal Development Plan (PDP). This plan helped me outline specific areas for improvement, particularly in communication and self-confidence. By setting clear targets and regularly reviewing my progress, I was able to see how far I had come and what still needed to be done (Beausaert, et. al., 2013). The PDP gave me a structured way to track my development and stay motivated (Taylor, 2010).</w:t>
      </w:r>
    </w:p>
    <w:p xmlns:wp14="http://schemas.microsoft.com/office/word/2010/wordml" w:rsidP="668A1765" wp14:paraId="056ADFD0" wp14:textId="1C63A2A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SMART </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 have been an essential part of my PDP. By setting </w:t>
      </w:r>
      <w:r w:rsidRPr="668A1765" w:rsidR="7EB6151E">
        <w:rPr>
          <w:rFonts w:ascii="Arial" w:hAnsi="Arial" w:eastAsia="Arial" w:cs="Arial"/>
          <w:b w:val="0"/>
          <w:bCs w:val="0"/>
          <w:i w:val="0"/>
          <w:iCs w:val="0"/>
          <w:caps w:val="0"/>
          <w:smallCaps w:val="0"/>
          <w:noProof w:val="0"/>
          <w:color w:val="000000" w:themeColor="text1" w:themeTint="FF" w:themeShade="FF"/>
          <w:sz w:val="24"/>
          <w:szCs w:val="24"/>
          <w:lang w:val="en-GB"/>
        </w:rPr>
        <w:t>a distinct</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w:t>
      </w:r>
      <w:r w:rsidRPr="668A1765" w:rsidR="114B32A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68A1765" w:rsidR="639EAA6E">
        <w:rPr>
          <w:rFonts w:ascii="Arial" w:hAnsi="Arial" w:eastAsia="Arial" w:cs="Arial"/>
          <w:b w:val="0"/>
          <w:bCs w:val="0"/>
          <w:i w:val="0"/>
          <w:iCs w:val="0"/>
          <w:caps w:val="0"/>
          <w:smallCaps w:val="0"/>
          <w:noProof w:val="0"/>
          <w:color w:val="000000" w:themeColor="text1" w:themeTint="FF" w:themeShade="FF"/>
          <w:sz w:val="24"/>
          <w:szCs w:val="24"/>
          <w:lang w:val="en-GB"/>
        </w:rPr>
        <w:t>appraisable</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w:t>
      </w:r>
      <w:r w:rsidRPr="668A1765" w:rsidR="02CA5F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68A1765" w:rsidR="5324FB72">
        <w:rPr>
          <w:rFonts w:ascii="Arial" w:hAnsi="Arial" w:eastAsia="Arial" w:cs="Arial"/>
          <w:b w:val="0"/>
          <w:bCs w:val="0"/>
          <w:i w:val="0"/>
          <w:iCs w:val="0"/>
          <w:caps w:val="0"/>
          <w:smallCaps w:val="0"/>
          <w:noProof w:val="0"/>
          <w:color w:val="000000" w:themeColor="text1" w:themeTint="FF" w:themeShade="FF"/>
          <w:sz w:val="24"/>
          <w:szCs w:val="24"/>
          <w:lang w:val="en-GB"/>
        </w:rPr>
        <w:t>r</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elevant, and </w:t>
      </w:r>
      <w:r w:rsidRPr="668A1765" w:rsidR="4B765416">
        <w:rPr>
          <w:rFonts w:ascii="Arial" w:hAnsi="Arial" w:eastAsia="Arial" w:cs="Arial"/>
          <w:b w:val="0"/>
          <w:bCs w:val="0"/>
          <w:i w:val="0"/>
          <w:iCs w:val="0"/>
          <w:caps w:val="0"/>
          <w:smallCaps w:val="0"/>
          <w:noProof w:val="0"/>
          <w:color w:val="000000" w:themeColor="text1" w:themeTint="FF" w:themeShade="FF"/>
          <w:sz w:val="24"/>
          <w:szCs w:val="24"/>
          <w:lang w:val="en-GB"/>
        </w:rPr>
        <w:t>achievable</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 goals, I found it easier to stay on track and measure my success. For example, I set a goal to improve my time management by creating weekly study schedules and prioritising tasks. This has helped me work more efficiently and reduced the stress I used to feel from trying to balance too many things at once (Doran, 1981).</w:t>
      </w:r>
    </w:p>
    <w:p xmlns:wp14="http://schemas.microsoft.com/office/word/2010/wordml" w:rsidP="668A1765" wp14:paraId="32C52822" wp14:textId="3F4EB4B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Styles were another key area I explored during the </w:t>
      </w:r>
      <w:r w:rsidRPr="668A1765" w:rsidR="54397B6F">
        <w:rPr>
          <w:rFonts w:ascii="Arial" w:hAnsi="Arial" w:eastAsia="Arial" w:cs="Arial"/>
          <w:b w:val="0"/>
          <w:bCs w:val="0"/>
          <w:i w:val="0"/>
          <w:iCs w:val="0"/>
          <w:caps w:val="0"/>
          <w:smallCaps w:val="0"/>
          <w:noProof w:val="0"/>
          <w:color w:val="000000" w:themeColor="text1" w:themeTint="FF" w:themeShade="FF"/>
          <w:sz w:val="24"/>
          <w:szCs w:val="24"/>
          <w:lang w:val="en-GB"/>
        </w:rPr>
        <w:t>study</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I found that I am a kinaesthetic learner, which means I learn best by doing rather than by reading or listening alone (Fleming &amp; Mills, 1992). Understanding this has allowed me to tailor my study techniques to be more hands-on, which has made learning more enjoyable and effective. I now use methods like breaking tasks into steps or engaging with practical exercises, which has boosted my productivity.</w:t>
      </w:r>
    </w:p>
    <w:p xmlns:wp14="http://schemas.microsoft.com/office/word/2010/wordml" w:rsidP="668A1765" wp14:paraId="1B0FDC10" wp14:textId="3650DAC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Using Gibbs’ Reflective Cycle (1988) has been instrumental in helping me understand and improve my experiences. After completing any task, I follow Gibbs’ cycle to reflect on what happened, how I felt, and what I could do differently next time. For instance, after a group project, I used the cycle to evaluate my role in the team. I realised that while I contributed effectively, I held back in discussions due to a lack of confidence. This insight encouraged me to work on my public speaking skills and become more active in group discussions (Jasper, 2013).</w:t>
      </w:r>
    </w:p>
    <w:p xmlns:wp14="http://schemas.microsoft.com/office/word/2010/wordml" w:rsidP="668A1765" wp14:paraId="6D85AC65" wp14:textId="034A82E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Communication is another area where I’ve seen significant improvement. At the start of the course, I was comfortable communicating in my role as a carer, but less so in academic or professional environments. Using the PDP and setting SMART objectives, I set goals to improve my communication, particularly by speaking more confidently in group settings. Over time, I became more comfortable expressing my ideas and listening to others. Active listening is now something I consciously practice, as I’ve come to understand its importance in effective communication (Brownell, 2012; Arnold &amp; Boggs, 2019).</w:t>
      </w:r>
    </w:p>
    <w:p xmlns:wp14="http://schemas.microsoft.com/office/word/2010/wordml" w:rsidP="668A1765" wp14:paraId="530458DD" wp14:textId="25BACA25">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Building confidence was one of the key challenges I identified in my SWOT analysis. At the beginning of the course, I struggled with self-doubt and feared making mistakes. However, using Gibbs’ Reflective Cycle and regularly reviewing my PDP, I’ve been able to reflect on my progress and recognise my achievements. This has helped me build self-confidence and learn to embrace challenges as opportunities for growth (Moon, 2004). Understanding that confidence comes from acknowledging small successes has been transformative for me (Bandura, 1997).</w:t>
      </w:r>
    </w:p>
    <w:p xmlns:wp14="http://schemas.microsoft.com/office/word/2010/wordml" w:rsidP="668A1765" wp14:paraId="751DC9AF" wp14:textId="4F1CA61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By understanding my personal strengths and weaknesses, I’ve realised that making mistakes is part of the learning process. Each reflection session has given me the</w:t>
      </w:r>
      <w:r w:rsidRPr="668A1765" w:rsidR="5E1DCF5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chance to reassess my approach, celebrate successes, and address areas for improvement (Kolb, 1984).</w:t>
      </w:r>
    </w:p>
    <w:p xmlns:wp14="http://schemas.microsoft.com/office/word/2010/wordml" w:rsidP="668A1765" wp14:paraId="7CD537C7" wp14:textId="26FA6CE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Time management has always been a challenging area for me, especially balancing my studies with my responsibilities as a carer. Early on, I felt overwhelmed by the demands of the course, but by using SMART objectives and creating a structured PDP, I developed practical strategies to improve my time management. Using planners to track assignments and deadlines has allowed me to better organise my tasks and avoid procrastination (Claessens et. al., 2007).</w:t>
      </w:r>
    </w:p>
    <w:p xmlns:wp14="http://schemas.microsoft.com/office/word/2010/wordml" w:rsidP="668A1765" wp14:paraId="1C0307AE" wp14:textId="735B6A2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The SWOT analysis highlighted time management as a weakness, so I focused on setting small, achievable goals to improve this skill. Now, I break larger tasks into smaller steps and review my schedule regularly. This has allowed me to manage my workload more effectively and reduce stress (Tracy, 2014).</w:t>
      </w:r>
    </w:p>
    <w:p xmlns:wp14="http://schemas.microsoft.com/office/word/2010/wordml" w:rsidP="668A1765" wp14:paraId="28B09231" wp14:textId="2A20BB5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In conclusion, studying employability skills has provided me with a deeper understanding of my strengths and weaknesses. Tools like SWOT analysis, PDP, SMART objectives, learning styles, and Gibbs’ Reflective Cycle have been instrumental in helping me develop both personally and professionally. By reflecting on my progress and setting structured goals, I’ve improved key skills like communication, time management, and organisation, and I’ve become more confident in my abilities.</w:t>
      </w:r>
    </w:p>
    <w:p xmlns:wp14="http://schemas.microsoft.com/office/word/2010/wordml" w:rsidP="668A1765" wp14:paraId="1E3FDDEA" wp14:textId="1EEFE18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This course has shown me the importance of self-awareness, planning, and continuous improvement. I now feel better equipped to tackle future challenges and continue developing my skills in both my personal and professional life.</w:t>
      </w:r>
    </w:p>
    <w:p xmlns:wp14="http://schemas.microsoft.com/office/word/2010/wordml" w:rsidP="668A1765" wp14:paraId="4119215D" wp14:textId="223F976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668A1765" wp14:paraId="1870B105" wp14:textId="4981876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68A1765" wp14:paraId="5DCC0A65" wp14:textId="76CEA2B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668A1765" wp14:paraId="669DBEDD" wp14:textId="332CCCAE">
      <w:pPr>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References</w:t>
      </w:r>
    </w:p>
    <w:p xmlns:wp14="http://schemas.microsoft.com/office/word/2010/wordml" w:rsidP="668A1765" wp14:paraId="3D804D06" wp14:textId="4BED047B">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Arnold, E., and Boggs, K.U., (2019). </w:t>
      </w:r>
      <w:r w:rsidRPr="668A1765" w:rsidR="5E1DCF56">
        <w:rPr>
          <w:rFonts w:ascii="Arial" w:hAnsi="Arial" w:eastAsia="Arial" w:cs="Arial"/>
          <w:b w:val="0"/>
          <w:bCs w:val="0"/>
          <w:i w:val="1"/>
          <w:iCs w:val="1"/>
          <w:caps w:val="0"/>
          <w:smallCaps w:val="0"/>
          <w:noProof w:val="0"/>
          <w:color w:val="000000" w:themeColor="text1" w:themeTint="FF" w:themeShade="FF"/>
          <w:sz w:val="24"/>
          <w:szCs w:val="24"/>
          <w:lang w:val="en-GB"/>
        </w:rPr>
        <w:t>Interpersonal Relationships: Professional Communication Skills for Nurses</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Elsevier Health Sciences.</w:t>
      </w:r>
    </w:p>
    <w:p xmlns:wp14="http://schemas.microsoft.com/office/word/2010/wordml" w:rsidP="668A1765" wp14:paraId="0CE3B7AA" wp14:textId="58E296D8">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Bandura, A., (1997). </w:t>
      </w:r>
      <w:r w:rsidRPr="668A1765" w:rsidR="5E1DCF56">
        <w:rPr>
          <w:rFonts w:ascii="Arial" w:hAnsi="Arial" w:eastAsia="Arial" w:cs="Arial"/>
          <w:b w:val="0"/>
          <w:bCs w:val="0"/>
          <w:i w:val="1"/>
          <w:iCs w:val="1"/>
          <w:caps w:val="0"/>
          <w:smallCaps w:val="0"/>
          <w:noProof w:val="0"/>
          <w:color w:val="000000" w:themeColor="text1" w:themeTint="FF" w:themeShade="FF"/>
          <w:sz w:val="24"/>
          <w:szCs w:val="24"/>
          <w:lang w:val="en-GB"/>
        </w:rPr>
        <w:t>Self-efficacy: The exercise of control</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New York: Freeman.</w:t>
      </w:r>
    </w:p>
    <w:p xmlns:wp14="http://schemas.microsoft.com/office/word/2010/wordml" w:rsidP="668A1765" wp14:paraId="4A0DD9BC" wp14:textId="4DC6113F">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Beausaert, S., Segers, M., </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Fouarge</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 D. and </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Gijselaers</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 W., (2013). Effect of using a personal development plan on learning and development. </w:t>
      </w:r>
      <w:r w:rsidRPr="668A1765" w:rsidR="5E1DCF56">
        <w:rPr>
          <w:rFonts w:ascii="Arial" w:hAnsi="Arial" w:eastAsia="Arial" w:cs="Arial"/>
          <w:b w:val="0"/>
          <w:bCs w:val="0"/>
          <w:i w:val="1"/>
          <w:iCs w:val="1"/>
          <w:caps w:val="0"/>
          <w:smallCaps w:val="0"/>
          <w:noProof w:val="0"/>
          <w:color w:val="000000" w:themeColor="text1" w:themeTint="FF" w:themeShade="FF"/>
          <w:sz w:val="24"/>
          <w:szCs w:val="24"/>
          <w:lang w:val="en-GB"/>
        </w:rPr>
        <w:t>Journal of Workplace Learning</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25(3), pp.145-158.</w:t>
      </w:r>
    </w:p>
    <w:p xmlns:wp14="http://schemas.microsoft.com/office/word/2010/wordml" w:rsidP="668A1765" wp14:paraId="2332023E" wp14:textId="58AFBEF5">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Brownell, J., (2012). </w:t>
      </w:r>
      <w:r w:rsidRPr="668A1765" w:rsidR="5E1DCF56">
        <w:rPr>
          <w:rFonts w:ascii="Arial" w:hAnsi="Arial" w:eastAsia="Arial" w:cs="Arial"/>
          <w:b w:val="0"/>
          <w:bCs w:val="0"/>
          <w:i w:val="1"/>
          <w:iCs w:val="1"/>
          <w:caps w:val="0"/>
          <w:smallCaps w:val="0"/>
          <w:noProof w:val="0"/>
          <w:color w:val="000000" w:themeColor="text1" w:themeTint="FF" w:themeShade="FF"/>
          <w:sz w:val="24"/>
          <w:szCs w:val="24"/>
          <w:lang w:val="en-GB"/>
        </w:rPr>
        <w:t>Listening: Attitudes, principles, and skills</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Pearson Higher Ed.</w:t>
      </w:r>
    </w:p>
    <w:p xmlns:wp14="http://schemas.microsoft.com/office/word/2010/wordml" w:rsidP="668A1765" wp14:paraId="09D29AF5" wp14:textId="31DB9F49">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Claessens, B.J., van </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Eerde</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 W., Rutte, C.G. and Roe, R.A., (2007). A review of the time management literature. </w:t>
      </w:r>
      <w:r w:rsidRPr="668A1765" w:rsidR="5E1DCF56">
        <w:rPr>
          <w:rFonts w:ascii="Arial" w:hAnsi="Arial" w:eastAsia="Arial" w:cs="Arial"/>
          <w:b w:val="0"/>
          <w:bCs w:val="0"/>
          <w:i w:val="1"/>
          <w:iCs w:val="1"/>
          <w:caps w:val="0"/>
          <w:smallCaps w:val="0"/>
          <w:noProof w:val="0"/>
          <w:color w:val="000000" w:themeColor="text1" w:themeTint="FF" w:themeShade="FF"/>
          <w:sz w:val="24"/>
          <w:szCs w:val="24"/>
          <w:lang w:val="en-GB"/>
        </w:rPr>
        <w:t>Personnel Review</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36(2), pp.255-276.</w:t>
      </w:r>
    </w:p>
    <w:p xmlns:wp14="http://schemas.microsoft.com/office/word/2010/wordml" w:rsidP="668A1765" wp14:paraId="0058CF00" wp14:textId="718669C9">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Doran, G.T., (1981). </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There's</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 a SMART way to write management's goals and </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68A1765" w:rsidR="5E1DCF56">
        <w:rPr>
          <w:rFonts w:ascii="Arial" w:hAnsi="Arial" w:eastAsia="Arial" w:cs="Arial"/>
          <w:b w:val="0"/>
          <w:bCs w:val="0"/>
          <w:i w:val="1"/>
          <w:iCs w:val="1"/>
          <w:caps w:val="0"/>
          <w:smallCaps w:val="0"/>
          <w:noProof w:val="0"/>
          <w:color w:val="000000" w:themeColor="text1" w:themeTint="FF" w:themeShade="FF"/>
          <w:sz w:val="24"/>
          <w:szCs w:val="24"/>
          <w:lang w:val="en-GB"/>
        </w:rPr>
        <w:t>Management Review</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70(11), pp.35-36.</w:t>
      </w:r>
    </w:p>
    <w:p xmlns:wp14="http://schemas.microsoft.com/office/word/2010/wordml" w:rsidP="668A1765" wp14:paraId="187034E4" wp14:textId="7C543A9A">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Fleming, N.D. and Mills, C., (1992). Not another inventory, rather a catalyst for reflection. </w:t>
      </w:r>
      <w:r w:rsidRPr="668A1765" w:rsidR="5E1DCF56">
        <w:rPr>
          <w:rFonts w:ascii="Arial" w:hAnsi="Arial" w:eastAsia="Arial" w:cs="Arial"/>
          <w:b w:val="0"/>
          <w:bCs w:val="0"/>
          <w:i w:val="1"/>
          <w:iCs w:val="1"/>
          <w:caps w:val="0"/>
          <w:smallCaps w:val="0"/>
          <w:noProof w:val="0"/>
          <w:color w:val="000000" w:themeColor="text1" w:themeTint="FF" w:themeShade="FF"/>
          <w:sz w:val="24"/>
          <w:szCs w:val="24"/>
          <w:lang w:val="en-GB"/>
        </w:rPr>
        <w:t>To Improve the Academy</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11(1), pp.137-155.</w:t>
      </w:r>
    </w:p>
    <w:p xmlns:wp14="http://schemas.microsoft.com/office/word/2010/wordml" w:rsidP="668A1765" wp14:paraId="2CBCFFC3" wp14:textId="034C0531">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Gibbs, G., 1988. </w:t>
      </w:r>
      <w:r w:rsidRPr="668A1765" w:rsidR="5E1DCF56">
        <w:rPr>
          <w:rFonts w:ascii="Arial" w:hAnsi="Arial" w:eastAsia="Arial" w:cs="Arial"/>
          <w:b w:val="0"/>
          <w:bCs w:val="0"/>
          <w:i w:val="1"/>
          <w:iCs w:val="1"/>
          <w:caps w:val="0"/>
          <w:smallCaps w:val="0"/>
          <w:noProof w:val="0"/>
          <w:color w:val="000000" w:themeColor="text1" w:themeTint="FF" w:themeShade="FF"/>
          <w:sz w:val="24"/>
          <w:szCs w:val="24"/>
          <w:lang w:val="en-GB"/>
        </w:rPr>
        <w:t>Learning by doing: A guide to teaching and learning methods</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Oxford: Further Education Unit, Oxford Polytechnic.</w:t>
      </w:r>
    </w:p>
    <w:p xmlns:wp14="http://schemas.microsoft.com/office/word/2010/wordml" w:rsidP="668A1765" wp14:paraId="0BDC3126" wp14:textId="4A25A1FF">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Gürel, E. and Tat, M., (2017). SWOT analysis: A theoretical review. </w:t>
      </w:r>
      <w:r w:rsidRPr="668A1765" w:rsidR="5E1DCF56">
        <w:rPr>
          <w:rFonts w:ascii="Arial" w:hAnsi="Arial" w:eastAsia="Arial" w:cs="Arial"/>
          <w:b w:val="0"/>
          <w:bCs w:val="0"/>
          <w:i w:val="1"/>
          <w:iCs w:val="1"/>
          <w:caps w:val="0"/>
          <w:smallCaps w:val="0"/>
          <w:noProof w:val="0"/>
          <w:color w:val="000000" w:themeColor="text1" w:themeTint="FF" w:themeShade="FF"/>
          <w:sz w:val="24"/>
          <w:szCs w:val="24"/>
          <w:lang w:val="en-GB"/>
        </w:rPr>
        <w:t>Journal of International Social Research</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10(51), pp.994-1006.</w:t>
      </w:r>
    </w:p>
    <w:p xmlns:wp14="http://schemas.microsoft.com/office/word/2010/wordml" w:rsidP="668A1765" wp14:paraId="02381EBC" wp14:textId="374D744D">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Jasper, M., (2013). </w:t>
      </w:r>
      <w:r w:rsidRPr="668A1765" w:rsidR="5E1DCF56">
        <w:rPr>
          <w:rFonts w:ascii="Arial" w:hAnsi="Arial" w:eastAsia="Arial" w:cs="Arial"/>
          <w:b w:val="0"/>
          <w:bCs w:val="0"/>
          <w:i w:val="1"/>
          <w:iCs w:val="1"/>
          <w:caps w:val="0"/>
          <w:smallCaps w:val="0"/>
          <w:noProof w:val="0"/>
          <w:color w:val="000000" w:themeColor="text1" w:themeTint="FF" w:themeShade="FF"/>
          <w:sz w:val="24"/>
          <w:szCs w:val="24"/>
          <w:lang w:val="en-GB"/>
        </w:rPr>
        <w:t>Beginning reflective practice</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Nelson Thornes.</w:t>
      </w:r>
    </w:p>
    <w:p xmlns:wp14="http://schemas.microsoft.com/office/word/2010/wordml" w:rsidP="668A1765" wp14:paraId="35D520C9" wp14:textId="1581E6F0">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Kolb, D.A., (1984). </w:t>
      </w:r>
      <w:r w:rsidRPr="668A1765" w:rsidR="5E1DCF56">
        <w:rPr>
          <w:rFonts w:ascii="Arial" w:hAnsi="Arial" w:eastAsia="Arial" w:cs="Arial"/>
          <w:b w:val="0"/>
          <w:bCs w:val="0"/>
          <w:i w:val="1"/>
          <w:iCs w:val="1"/>
          <w:caps w:val="0"/>
          <w:smallCaps w:val="0"/>
          <w:noProof w:val="0"/>
          <w:color w:val="000000" w:themeColor="text1" w:themeTint="FF" w:themeShade="FF"/>
          <w:sz w:val="24"/>
          <w:szCs w:val="24"/>
          <w:lang w:val="en-GB"/>
        </w:rPr>
        <w:t>Experiential learning: Experience as the source of learning and development</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Prentice-Hall.</w:t>
      </w:r>
    </w:p>
    <w:p xmlns:wp14="http://schemas.microsoft.com/office/word/2010/wordml" w:rsidP="668A1765" wp14:paraId="6480A7ED" wp14:textId="7483BE08">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Moon, J.A., (2004). </w:t>
      </w:r>
      <w:r w:rsidRPr="668A1765" w:rsidR="5E1DCF56">
        <w:rPr>
          <w:rFonts w:ascii="Arial" w:hAnsi="Arial" w:eastAsia="Arial" w:cs="Arial"/>
          <w:b w:val="0"/>
          <w:bCs w:val="0"/>
          <w:i w:val="1"/>
          <w:iCs w:val="1"/>
          <w:caps w:val="0"/>
          <w:smallCaps w:val="0"/>
          <w:noProof w:val="0"/>
          <w:color w:val="000000" w:themeColor="text1" w:themeTint="FF" w:themeShade="FF"/>
          <w:sz w:val="24"/>
          <w:szCs w:val="24"/>
          <w:lang w:val="en-GB"/>
        </w:rPr>
        <w:t>A handbook of reflective and experiential learning: Theory and practice</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Routledge.</w:t>
      </w:r>
    </w:p>
    <w:p xmlns:wp14="http://schemas.microsoft.com/office/word/2010/wordml" w:rsidP="668A1765" wp14:paraId="755F29E4" wp14:textId="719E77DB">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Taylor, K., (2010). Personal development plans (PDPs): Insights from project led higher education. </w:t>
      </w:r>
      <w:r w:rsidRPr="668A1765" w:rsidR="5E1DCF56">
        <w:rPr>
          <w:rFonts w:ascii="Arial" w:hAnsi="Arial" w:eastAsia="Arial" w:cs="Arial"/>
          <w:b w:val="0"/>
          <w:bCs w:val="0"/>
          <w:i w:val="1"/>
          <w:iCs w:val="1"/>
          <w:caps w:val="0"/>
          <w:smallCaps w:val="0"/>
          <w:noProof w:val="0"/>
          <w:color w:val="000000" w:themeColor="text1" w:themeTint="FF" w:themeShade="FF"/>
          <w:sz w:val="24"/>
          <w:szCs w:val="24"/>
          <w:lang w:val="en-GB"/>
        </w:rPr>
        <w:t>Reflective Practice</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11(1), pp.47-58.</w:t>
      </w:r>
    </w:p>
    <w:p xmlns:wp14="http://schemas.microsoft.com/office/word/2010/wordml" w:rsidP="668A1765" wp14:paraId="64D21420" wp14:textId="11BADFCA">
      <w:pPr>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Tracy, B., (2014). </w:t>
      </w:r>
      <w:r w:rsidRPr="668A1765" w:rsidR="5E1DCF56">
        <w:rPr>
          <w:rFonts w:ascii="Arial" w:hAnsi="Arial" w:eastAsia="Arial" w:cs="Arial"/>
          <w:b w:val="0"/>
          <w:bCs w:val="0"/>
          <w:i w:val="1"/>
          <w:iCs w:val="1"/>
          <w:caps w:val="0"/>
          <w:smallCaps w:val="0"/>
          <w:noProof w:val="0"/>
          <w:color w:val="000000" w:themeColor="text1" w:themeTint="FF" w:themeShade="FF"/>
          <w:sz w:val="24"/>
          <w:szCs w:val="24"/>
          <w:lang w:val="en-GB"/>
        </w:rPr>
        <w:t>Time management</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 AMACOM Div American </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Mgmt</w:t>
      </w:r>
      <w:r w:rsidRPr="668A1765" w:rsidR="5E1DCF56">
        <w:rPr>
          <w:rFonts w:ascii="Arial" w:hAnsi="Arial" w:eastAsia="Arial" w:cs="Arial"/>
          <w:b w:val="0"/>
          <w:bCs w:val="0"/>
          <w:i w:val="0"/>
          <w:iCs w:val="0"/>
          <w:caps w:val="0"/>
          <w:smallCaps w:val="0"/>
          <w:noProof w:val="0"/>
          <w:color w:val="000000" w:themeColor="text1" w:themeTint="FF" w:themeShade="FF"/>
          <w:sz w:val="24"/>
          <w:szCs w:val="24"/>
          <w:lang w:val="en-GB"/>
        </w:rPr>
        <w:t xml:space="preserve"> Assn.</w:t>
      </w:r>
    </w:p>
    <w:p xmlns:wp14="http://schemas.microsoft.com/office/word/2010/wordml" w:rsidP="668A1765" wp14:paraId="1696ABC4" wp14:textId="269F3A07">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p14:paraId="2C078E63" wp14:textId="1903E775"/>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61BF63"/>
    <w:rsid w:val="02CA5FF0"/>
    <w:rsid w:val="0DFD1467"/>
    <w:rsid w:val="114B32A7"/>
    <w:rsid w:val="1D920EE8"/>
    <w:rsid w:val="302A2E1B"/>
    <w:rsid w:val="39505246"/>
    <w:rsid w:val="43A88B72"/>
    <w:rsid w:val="4B765416"/>
    <w:rsid w:val="5324FB72"/>
    <w:rsid w:val="54397B6F"/>
    <w:rsid w:val="5461BF63"/>
    <w:rsid w:val="5E1DCF56"/>
    <w:rsid w:val="639EAA6E"/>
    <w:rsid w:val="668A1765"/>
    <w:rsid w:val="686039B3"/>
    <w:rsid w:val="74A848B6"/>
    <w:rsid w:val="7EB615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1BF63"/>
  <w15:chartTrackingRefBased/>
  <w15:docId w15:val="{B0239BCF-B3D3-4C4A-9928-1F3C6BEE45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2024-10-25T18:49:08.8353537Z</dcterms:created>
  <dcterms:modified xsi:type="dcterms:W3CDTF">2024-10-25T19:16:29.2770609Z</dcterms:modified>
  <dc:creator>Sobia Saeed (2408468)</dc:creator>
  <lastModifiedBy>Sobia Saeed (2408468)</lastModifiedBy>
</coreProperties>
</file>