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EC910" w14:textId="77777777" w:rsidR="00492B88" w:rsidRDefault="00492B88" w:rsidP="00492B88">
      <w:pPr>
        <w:spacing w:after="220"/>
        <w:ind w:right="1438"/>
        <w:jc w:val="right"/>
      </w:pPr>
      <w:r>
        <w:rPr>
          <w:noProof/>
          <w:lang w:bidi="ar-SA"/>
        </w:rPr>
        <w:drawing>
          <wp:inline distT="0" distB="0" distL="0" distR="0" wp14:anchorId="5839C633" wp14:editId="2351319B">
            <wp:extent cx="448818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7"/>
                    <a:stretch>
                      <a:fillRect/>
                    </a:stretch>
                  </pic:blipFill>
                  <pic:spPr>
                    <a:xfrm>
                      <a:off x="0" y="0"/>
                      <a:ext cx="4513574" cy="1762516"/>
                    </a:xfrm>
                    <a:prstGeom prst="rect">
                      <a:avLst/>
                    </a:prstGeom>
                  </pic:spPr>
                </pic:pic>
              </a:graphicData>
            </a:graphic>
          </wp:inline>
        </w:drawing>
      </w:r>
    </w:p>
    <w:p w14:paraId="1ED42137" w14:textId="77777777" w:rsidR="00492B88" w:rsidRDefault="00492B88" w:rsidP="00492B88">
      <w:pPr>
        <w:spacing w:after="273"/>
        <w:ind w:right="5"/>
        <w:jc w:val="center"/>
      </w:pPr>
    </w:p>
    <w:p w14:paraId="4B0B0083" w14:textId="77777777" w:rsidR="00492B88" w:rsidRDefault="00492B88" w:rsidP="00492B88">
      <w:pPr>
        <w:spacing w:after="274"/>
      </w:pPr>
    </w:p>
    <w:p w14:paraId="5A5FAE04" w14:textId="77777777" w:rsidR="00AA69AB" w:rsidRDefault="00AA69AB" w:rsidP="004A0743">
      <w:pPr>
        <w:spacing w:after="274" w:line="360" w:lineRule="auto"/>
      </w:pPr>
      <w:r>
        <w:t xml:space="preserve"> </w:t>
      </w:r>
    </w:p>
    <w:p w14:paraId="560AD763" w14:textId="3F5BDF6D" w:rsidR="00492B88" w:rsidRPr="002A2E98" w:rsidRDefault="00AA69AB" w:rsidP="004A0743">
      <w:pPr>
        <w:spacing w:after="274" w:line="360" w:lineRule="auto"/>
        <w:rPr>
          <w:rFonts w:ascii="Arial" w:hAnsi="Arial" w:cs="Arial"/>
          <w:sz w:val="24"/>
          <w:szCs w:val="24"/>
        </w:rPr>
      </w:pPr>
      <w:r>
        <w:t xml:space="preserve">                                    </w:t>
      </w:r>
      <w:proofErr w:type="spellStart"/>
      <w:r w:rsidR="00492B88" w:rsidRPr="002A2E98">
        <w:rPr>
          <w:rFonts w:ascii="Arial" w:eastAsia="Times New Roman" w:hAnsi="Arial" w:cs="Arial"/>
          <w:b/>
          <w:sz w:val="24"/>
          <w:szCs w:val="24"/>
        </w:rPr>
        <w:t>Programme</w:t>
      </w:r>
      <w:proofErr w:type="spellEnd"/>
      <w:r w:rsidR="00492B88" w:rsidRPr="002A2E98">
        <w:rPr>
          <w:rFonts w:ascii="Arial" w:eastAsia="Times New Roman" w:hAnsi="Arial" w:cs="Arial"/>
          <w:b/>
          <w:sz w:val="24"/>
          <w:szCs w:val="24"/>
        </w:rPr>
        <w:t>: Master of Business Administration</w:t>
      </w:r>
    </w:p>
    <w:p w14:paraId="0B2D69F9" w14:textId="0A1EEF16" w:rsidR="004A0743" w:rsidRDefault="00AA69AB" w:rsidP="004A0743">
      <w:pPr>
        <w:spacing w:after="274" w:line="360" w:lineRule="auto"/>
        <w:rPr>
          <w:rFonts w:ascii="Arial" w:eastAsia="Times New Roman" w:hAnsi="Arial" w:cs="Arial"/>
          <w:b/>
          <w:bCs/>
          <w:sz w:val="24"/>
          <w:szCs w:val="24"/>
        </w:rPr>
      </w:pPr>
      <w:r>
        <w:rPr>
          <w:rFonts w:ascii="Arial" w:eastAsia="Times New Roman" w:hAnsi="Arial" w:cs="Arial"/>
          <w:b/>
          <w:sz w:val="24"/>
          <w:szCs w:val="24"/>
        </w:rPr>
        <w:t xml:space="preserve">                        </w:t>
      </w:r>
      <w:r w:rsidR="00492B88" w:rsidRPr="002A2E98">
        <w:rPr>
          <w:rFonts w:ascii="Arial" w:eastAsia="Times New Roman" w:hAnsi="Arial" w:cs="Arial"/>
          <w:b/>
          <w:sz w:val="24"/>
          <w:szCs w:val="24"/>
        </w:rPr>
        <w:t>Module:</w:t>
      </w:r>
      <w:r>
        <w:rPr>
          <w:rFonts w:ascii="Arial" w:eastAsia="Times New Roman" w:hAnsi="Arial" w:cs="Arial"/>
          <w:b/>
          <w:sz w:val="24"/>
          <w:szCs w:val="24"/>
        </w:rPr>
        <w:t xml:space="preserve"> </w:t>
      </w:r>
      <w:r w:rsidRPr="00AA69AB">
        <w:rPr>
          <w:rFonts w:ascii="Arial" w:eastAsia="Times New Roman" w:hAnsi="Arial" w:cs="Arial"/>
          <w:b/>
          <w:bCs/>
          <w:sz w:val="24"/>
          <w:szCs w:val="24"/>
        </w:rPr>
        <w:t>Strategic Managemen</w:t>
      </w:r>
      <w:r w:rsidR="004A0743">
        <w:rPr>
          <w:rFonts w:ascii="Arial" w:eastAsia="Times New Roman" w:hAnsi="Arial" w:cs="Arial"/>
          <w:b/>
          <w:bCs/>
          <w:sz w:val="24"/>
          <w:szCs w:val="24"/>
        </w:rPr>
        <w:t>t</w:t>
      </w:r>
    </w:p>
    <w:p w14:paraId="08BCDD89" w14:textId="47626594" w:rsidR="00492B88" w:rsidRPr="004A0743" w:rsidRDefault="00AA69AB" w:rsidP="004A0743">
      <w:pPr>
        <w:spacing w:after="274" w:line="360" w:lineRule="auto"/>
        <w:rPr>
          <w:rFonts w:ascii="Arial" w:eastAsia="Times New Roman" w:hAnsi="Arial" w:cs="Arial"/>
          <w:b/>
          <w:bCs/>
          <w:sz w:val="24"/>
          <w:szCs w:val="24"/>
        </w:rPr>
      </w:pPr>
      <w:r>
        <w:rPr>
          <w:rFonts w:ascii="Arial" w:eastAsia="Times New Roman" w:hAnsi="Arial" w:cs="Arial"/>
          <w:b/>
          <w:sz w:val="24"/>
          <w:szCs w:val="24"/>
        </w:rPr>
        <w:t xml:space="preserve">                        </w:t>
      </w:r>
      <w:r w:rsidR="00492B88" w:rsidRPr="002A2E98">
        <w:rPr>
          <w:rFonts w:ascii="Arial" w:eastAsia="Times New Roman" w:hAnsi="Arial" w:cs="Arial"/>
          <w:b/>
          <w:sz w:val="24"/>
          <w:szCs w:val="24"/>
        </w:rPr>
        <w:t xml:space="preserve">Module code: </w:t>
      </w:r>
      <w:r w:rsidR="00492B88" w:rsidRPr="000F1EFB">
        <w:rPr>
          <w:rFonts w:ascii="Arial" w:hAnsi="Arial" w:cs="Arial"/>
          <w:b/>
          <w:bCs/>
          <w:sz w:val="24"/>
          <w:szCs w:val="24"/>
        </w:rPr>
        <w:t>LCMB70</w:t>
      </w:r>
      <w:r w:rsidR="00492B88">
        <w:rPr>
          <w:rFonts w:ascii="Arial" w:hAnsi="Arial" w:cs="Arial"/>
          <w:b/>
          <w:bCs/>
          <w:sz w:val="24"/>
          <w:szCs w:val="24"/>
        </w:rPr>
        <w:t>03</w:t>
      </w:r>
    </w:p>
    <w:p w14:paraId="36B2AE31" w14:textId="55DC15AF" w:rsidR="00AA69AB" w:rsidRPr="00AA69AB" w:rsidRDefault="00AA69AB" w:rsidP="004A0743">
      <w:pPr>
        <w:spacing w:before="120" w:after="120" w:line="360" w:lineRule="auto"/>
        <w:rPr>
          <w:rFonts w:ascii="Arial" w:hAnsi="Arial" w:cs="Arial"/>
          <w:b/>
          <w:szCs w:val="22"/>
        </w:rPr>
      </w:pPr>
      <w:r>
        <w:rPr>
          <w:rFonts w:ascii="Arial" w:eastAsia="Times New Roman" w:hAnsi="Arial" w:cs="Arial"/>
          <w:b/>
          <w:sz w:val="24"/>
          <w:szCs w:val="24"/>
        </w:rPr>
        <w:t xml:space="preserve">                        </w:t>
      </w:r>
      <w:proofErr w:type="gramStart"/>
      <w:r w:rsidR="00492B88" w:rsidRPr="002A2E98">
        <w:rPr>
          <w:rFonts w:ascii="Arial" w:eastAsia="Times New Roman" w:hAnsi="Arial" w:cs="Arial"/>
          <w:b/>
          <w:sz w:val="24"/>
          <w:szCs w:val="24"/>
        </w:rPr>
        <w:t>Title :</w:t>
      </w:r>
      <w:proofErr w:type="gramEnd"/>
      <w:r w:rsidR="00492B88" w:rsidRPr="002A2E98">
        <w:rPr>
          <w:rFonts w:ascii="Arial" w:eastAsia="Times New Roman" w:hAnsi="Arial" w:cs="Arial"/>
          <w:b/>
          <w:sz w:val="24"/>
          <w:szCs w:val="24"/>
        </w:rPr>
        <w:t xml:space="preserve"> </w:t>
      </w:r>
      <w:r w:rsidRPr="00AA69AB">
        <w:rPr>
          <w:rFonts w:ascii="Arial" w:hAnsi="Arial" w:cs="Arial"/>
          <w:b/>
          <w:sz w:val="24"/>
          <w:szCs w:val="24"/>
        </w:rPr>
        <w:t>Assessment component - Individual report</w:t>
      </w:r>
    </w:p>
    <w:p w14:paraId="7BE9C966" w14:textId="026CC837" w:rsidR="00492B88" w:rsidRPr="002A2E98" w:rsidRDefault="00AA69AB" w:rsidP="004A0743">
      <w:pPr>
        <w:spacing w:after="165" w:line="360" w:lineRule="auto"/>
        <w:ind w:right="2836"/>
        <w:rPr>
          <w:rFonts w:ascii="Arial" w:eastAsia="Arial" w:hAnsi="Arial" w:cs="Arial"/>
          <w:b/>
          <w:sz w:val="24"/>
          <w:szCs w:val="24"/>
        </w:rPr>
      </w:pPr>
      <w:r>
        <w:rPr>
          <w:rFonts w:ascii="Arial" w:eastAsia="Arial" w:hAnsi="Arial" w:cs="Arial"/>
          <w:b/>
          <w:sz w:val="24"/>
          <w:szCs w:val="24"/>
        </w:rPr>
        <w:t xml:space="preserve">                        </w:t>
      </w:r>
      <w:proofErr w:type="gramStart"/>
      <w:r w:rsidR="00492B88" w:rsidRPr="002A2E98">
        <w:rPr>
          <w:rFonts w:ascii="Arial" w:eastAsia="Arial" w:hAnsi="Arial" w:cs="Arial"/>
          <w:b/>
          <w:sz w:val="24"/>
          <w:szCs w:val="24"/>
        </w:rPr>
        <w:t>Lecturer :</w:t>
      </w:r>
      <w:proofErr w:type="gramEnd"/>
      <w:r w:rsidR="00492B88" w:rsidRPr="002A2E98">
        <w:rPr>
          <w:rFonts w:ascii="Arial" w:eastAsia="Arial" w:hAnsi="Arial" w:cs="Arial"/>
          <w:b/>
          <w:sz w:val="24"/>
          <w:szCs w:val="24"/>
        </w:rPr>
        <w:t xml:space="preserve"> </w:t>
      </w:r>
      <w:proofErr w:type="spellStart"/>
      <w:r>
        <w:rPr>
          <w:rFonts w:ascii="Arial" w:hAnsi="Arial" w:cs="Arial"/>
          <w:b/>
          <w:szCs w:val="22"/>
        </w:rPr>
        <w:t>Zulf</w:t>
      </w:r>
      <w:proofErr w:type="spellEnd"/>
      <w:r>
        <w:rPr>
          <w:rFonts w:ascii="Arial" w:hAnsi="Arial" w:cs="Arial"/>
          <w:b/>
          <w:szCs w:val="22"/>
        </w:rPr>
        <w:t xml:space="preserve"> Khan</w:t>
      </w:r>
    </w:p>
    <w:p w14:paraId="52E05021" w14:textId="73AB6E1E" w:rsidR="00492B88" w:rsidRPr="002A2E98" w:rsidRDefault="00AA69AB" w:rsidP="004A0743">
      <w:pPr>
        <w:spacing w:after="165" w:line="360" w:lineRule="auto"/>
        <w:ind w:right="2836"/>
        <w:rPr>
          <w:rFonts w:ascii="Arial" w:hAnsi="Arial" w:cs="Arial"/>
          <w:sz w:val="24"/>
          <w:szCs w:val="24"/>
        </w:rPr>
      </w:pPr>
      <w:r>
        <w:rPr>
          <w:rFonts w:ascii="Arial" w:eastAsia="Times New Roman" w:hAnsi="Arial" w:cs="Arial"/>
          <w:b/>
          <w:sz w:val="24"/>
          <w:szCs w:val="24"/>
        </w:rPr>
        <w:t xml:space="preserve">                        </w:t>
      </w:r>
      <w:r w:rsidR="00492B88" w:rsidRPr="002A2E98">
        <w:rPr>
          <w:rFonts w:ascii="Arial" w:eastAsia="Times New Roman" w:hAnsi="Arial" w:cs="Arial"/>
          <w:b/>
          <w:sz w:val="24"/>
          <w:szCs w:val="24"/>
        </w:rPr>
        <w:t xml:space="preserve">Student </w:t>
      </w:r>
      <w:proofErr w:type="gramStart"/>
      <w:r w:rsidR="00492B88" w:rsidRPr="002A2E98">
        <w:rPr>
          <w:rFonts w:ascii="Arial" w:eastAsia="Times New Roman" w:hAnsi="Arial" w:cs="Arial"/>
          <w:b/>
          <w:sz w:val="24"/>
          <w:szCs w:val="24"/>
        </w:rPr>
        <w:t>Name :</w:t>
      </w:r>
      <w:proofErr w:type="gramEnd"/>
      <w:r>
        <w:rPr>
          <w:rFonts w:ascii="Arial" w:eastAsia="Times New Roman" w:hAnsi="Arial" w:cs="Arial"/>
          <w:b/>
          <w:sz w:val="24"/>
          <w:szCs w:val="24"/>
        </w:rPr>
        <w:t xml:space="preserve"> Darvin Sabhaya</w:t>
      </w:r>
    </w:p>
    <w:p w14:paraId="7C312FF2" w14:textId="7C91D4A7" w:rsidR="00AA69AB" w:rsidRDefault="00AA69AB" w:rsidP="004A0743">
      <w:pPr>
        <w:spacing w:after="274" w:line="360" w:lineRule="auto"/>
        <w:ind w:right="62"/>
        <w:rPr>
          <w:rFonts w:ascii="Arial" w:hAnsi="Arial" w:cs="Arial"/>
          <w:sz w:val="24"/>
          <w:szCs w:val="24"/>
        </w:rPr>
      </w:pPr>
      <w:r>
        <w:rPr>
          <w:rFonts w:ascii="Arial" w:eastAsia="Times New Roman" w:hAnsi="Arial" w:cs="Arial"/>
          <w:b/>
          <w:sz w:val="24"/>
          <w:szCs w:val="24"/>
        </w:rPr>
        <w:t xml:space="preserve">                        </w:t>
      </w:r>
      <w:r w:rsidR="00492B88" w:rsidRPr="002A2E98">
        <w:rPr>
          <w:rFonts w:ascii="Arial" w:eastAsia="Times New Roman" w:hAnsi="Arial" w:cs="Arial"/>
          <w:b/>
          <w:sz w:val="24"/>
          <w:szCs w:val="24"/>
        </w:rPr>
        <w:t>Student ID:</w:t>
      </w:r>
      <w:r>
        <w:rPr>
          <w:rFonts w:ascii="Arial" w:eastAsia="Times New Roman" w:hAnsi="Arial" w:cs="Arial"/>
          <w:b/>
          <w:sz w:val="24"/>
          <w:szCs w:val="24"/>
        </w:rPr>
        <w:t xml:space="preserve"> 2505280</w:t>
      </w:r>
    </w:p>
    <w:p w14:paraId="73D70FF5" w14:textId="15EC0CE8" w:rsidR="00492B88" w:rsidRPr="002A2E98" w:rsidRDefault="00AA69AB" w:rsidP="004A0743">
      <w:pPr>
        <w:spacing w:after="274" w:line="360" w:lineRule="auto"/>
        <w:ind w:right="62"/>
        <w:rPr>
          <w:rFonts w:ascii="Arial" w:hAnsi="Arial" w:cs="Arial"/>
          <w:sz w:val="24"/>
          <w:szCs w:val="24"/>
        </w:rPr>
      </w:pPr>
      <w:r>
        <w:rPr>
          <w:rFonts w:ascii="Arial" w:hAnsi="Arial" w:cs="Arial"/>
          <w:sz w:val="24"/>
          <w:szCs w:val="24"/>
        </w:rPr>
        <w:t xml:space="preserve">                        </w:t>
      </w:r>
      <w:r w:rsidR="00492B88" w:rsidRPr="002A2E98">
        <w:rPr>
          <w:rFonts w:ascii="Arial" w:eastAsia="Times New Roman" w:hAnsi="Arial" w:cs="Arial"/>
          <w:b/>
          <w:sz w:val="24"/>
          <w:szCs w:val="24"/>
        </w:rPr>
        <w:t>Submission Date-</w:t>
      </w:r>
      <w:r>
        <w:rPr>
          <w:rFonts w:ascii="Arial" w:eastAsia="Times New Roman" w:hAnsi="Arial" w:cs="Arial"/>
          <w:b/>
          <w:sz w:val="24"/>
          <w:szCs w:val="24"/>
        </w:rPr>
        <w:t xml:space="preserve"> 01/04/2026</w:t>
      </w:r>
    </w:p>
    <w:p w14:paraId="1C8C27F7" w14:textId="77777777" w:rsidR="00AF768D" w:rsidRDefault="00AF768D" w:rsidP="00E94C9E">
      <w:pPr>
        <w:spacing w:line="480" w:lineRule="auto"/>
        <w:rPr>
          <w:rFonts w:ascii="Arial" w:hAnsi="Arial" w:cs="Arial"/>
          <w:b/>
          <w:bCs/>
          <w:sz w:val="24"/>
          <w:szCs w:val="24"/>
        </w:rPr>
      </w:pPr>
      <w:r>
        <w:rPr>
          <w:rFonts w:ascii="Arial" w:hAnsi="Arial" w:cs="Arial"/>
          <w:b/>
          <w:bCs/>
          <w:sz w:val="24"/>
          <w:szCs w:val="24"/>
        </w:rPr>
        <w:br w:type="page"/>
      </w:r>
    </w:p>
    <w:p w14:paraId="47E5DFCF" w14:textId="77777777" w:rsidR="00AF768D" w:rsidRPr="00AF768D" w:rsidRDefault="00AF768D" w:rsidP="00AF768D">
      <w:pPr>
        <w:jc w:val="center"/>
        <w:rPr>
          <w:rFonts w:ascii="Arial" w:hAnsi="Arial" w:cs="Arial"/>
          <w:b/>
          <w:bCs/>
          <w:sz w:val="24"/>
          <w:szCs w:val="24"/>
        </w:rPr>
      </w:pPr>
      <w:r w:rsidRPr="00AF768D">
        <w:rPr>
          <w:rFonts w:ascii="Arial" w:hAnsi="Arial" w:cs="Arial"/>
          <w:b/>
          <w:bCs/>
          <w:sz w:val="24"/>
          <w:szCs w:val="24"/>
        </w:rPr>
        <w:lastRenderedPageBreak/>
        <w:t>Table of Contents</w:t>
      </w:r>
    </w:p>
    <w:p w14:paraId="58C7E110" w14:textId="77777777" w:rsidR="00AF768D" w:rsidRDefault="00AF768D" w:rsidP="00AF768D">
      <w:pPr>
        <w:rPr>
          <w:rFonts w:ascii="Arial" w:hAnsi="Arial" w:cs="Arial"/>
          <w:sz w:val="24"/>
          <w:szCs w:val="24"/>
        </w:rPr>
      </w:pPr>
      <w:r w:rsidRPr="00AF768D">
        <w:rPr>
          <w:rFonts w:ascii="Arial" w:hAnsi="Arial" w:cs="Arial"/>
          <w:sz w:val="24"/>
          <w:szCs w:val="24"/>
        </w:rPr>
        <w:t xml:space="preserve">SECTION 1: </w:t>
      </w:r>
      <w:r w:rsidRPr="00AF768D">
        <w:rPr>
          <w:rFonts w:ascii="Arial" w:hAnsi="Arial" w:cs="Arial"/>
          <w:sz w:val="24"/>
          <w:szCs w:val="24"/>
        </w:rPr>
        <w:br/>
      </w:r>
    </w:p>
    <w:p w14:paraId="07120CFD" w14:textId="77777777" w:rsidR="00AF768D" w:rsidRPr="00AF768D" w:rsidRDefault="00AF768D" w:rsidP="00AF768D">
      <w:pPr>
        <w:rPr>
          <w:rFonts w:ascii="Arial" w:hAnsi="Arial" w:cs="Arial"/>
          <w:sz w:val="24"/>
          <w:szCs w:val="24"/>
        </w:rPr>
      </w:pPr>
      <w:r w:rsidRPr="00AF768D">
        <w:rPr>
          <w:rFonts w:ascii="Arial" w:hAnsi="Arial" w:cs="Arial"/>
          <w:sz w:val="24"/>
          <w:szCs w:val="24"/>
        </w:rPr>
        <w:t xml:space="preserve">1.0 </w:t>
      </w:r>
      <w:proofErr w:type="spellStart"/>
      <w:r w:rsidRPr="00AF768D">
        <w:rPr>
          <w:rFonts w:ascii="Arial" w:hAnsi="Arial" w:cs="Arial"/>
          <w:sz w:val="24"/>
          <w:szCs w:val="24"/>
        </w:rPr>
        <w:t>Organisational</w:t>
      </w:r>
      <w:proofErr w:type="spellEnd"/>
      <w:r w:rsidRPr="00AF768D">
        <w:rPr>
          <w:rFonts w:ascii="Arial" w:hAnsi="Arial" w:cs="Arial"/>
          <w:sz w:val="24"/>
          <w:szCs w:val="24"/>
        </w:rPr>
        <w:t xml:space="preserve"> Context and Overview</w:t>
      </w:r>
      <w:r>
        <w:rPr>
          <w:rFonts w:ascii="Arial" w:hAnsi="Arial" w:cs="Arial"/>
          <w:sz w:val="24"/>
          <w:szCs w:val="24"/>
        </w:rPr>
        <w:t>……………………………….</w:t>
      </w:r>
      <w:r w:rsidR="00C2731F">
        <w:rPr>
          <w:rFonts w:ascii="Arial" w:hAnsi="Arial" w:cs="Arial"/>
          <w:sz w:val="24"/>
          <w:szCs w:val="24"/>
        </w:rPr>
        <w:t xml:space="preserve"> 3</w:t>
      </w:r>
      <w:r w:rsidR="00FB673C">
        <w:rPr>
          <w:rFonts w:ascii="Arial" w:hAnsi="Arial" w:cs="Arial"/>
          <w:sz w:val="24"/>
          <w:szCs w:val="24"/>
        </w:rPr>
        <w:t>-5</w:t>
      </w:r>
    </w:p>
    <w:p w14:paraId="5A890825" w14:textId="77777777" w:rsidR="00AF768D" w:rsidRPr="00AF768D" w:rsidRDefault="00AF768D" w:rsidP="00AF768D">
      <w:pPr>
        <w:rPr>
          <w:rFonts w:ascii="Arial" w:hAnsi="Arial" w:cs="Arial"/>
          <w:sz w:val="24"/>
          <w:szCs w:val="24"/>
        </w:rPr>
      </w:pPr>
      <w:r w:rsidRPr="00AF768D">
        <w:rPr>
          <w:rFonts w:ascii="Arial" w:hAnsi="Arial" w:cs="Arial"/>
          <w:sz w:val="24"/>
          <w:szCs w:val="24"/>
        </w:rPr>
        <w:t>2.0 External and Internal Environment Analysis</w:t>
      </w:r>
      <w:r>
        <w:rPr>
          <w:rFonts w:ascii="Arial" w:hAnsi="Arial" w:cs="Arial"/>
          <w:sz w:val="24"/>
          <w:szCs w:val="24"/>
        </w:rPr>
        <w:t>………………………...</w:t>
      </w:r>
      <w:r w:rsidR="00A66ED2">
        <w:rPr>
          <w:rFonts w:ascii="Arial" w:hAnsi="Arial" w:cs="Arial"/>
          <w:sz w:val="24"/>
          <w:szCs w:val="24"/>
        </w:rPr>
        <w:t xml:space="preserve"> 6-11</w:t>
      </w:r>
    </w:p>
    <w:p w14:paraId="560A6329" w14:textId="77777777" w:rsidR="00AF768D" w:rsidRPr="00AF768D" w:rsidRDefault="00AF768D" w:rsidP="00AF768D">
      <w:pPr>
        <w:rPr>
          <w:rFonts w:ascii="Arial" w:hAnsi="Arial" w:cs="Arial"/>
          <w:sz w:val="24"/>
          <w:szCs w:val="24"/>
        </w:rPr>
      </w:pPr>
      <w:r w:rsidRPr="00AF768D">
        <w:rPr>
          <w:rFonts w:ascii="Arial" w:hAnsi="Arial" w:cs="Arial"/>
          <w:sz w:val="24"/>
          <w:szCs w:val="24"/>
        </w:rPr>
        <w:t>3.0 CSR and Sustainability Objectives</w:t>
      </w:r>
      <w:r>
        <w:rPr>
          <w:rFonts w:ascii="Arial" w:hAnsi="Arial" w:cs="Arial"/>
          <w:sz w:val="24"/>
          <w:szCs w:val="24"/>
        </w:rPr>
        <w:t>……………………………………</w:t>
      </w:r>
      <w:r w:rsidR="00A66ED2">
        <w:rPr>
          <w:rFonts w:ascii="Arial" w:hAnsi="Arial" w:cs="Arial"/>
          <w:sz w:val="24"/>
          <w:szCs w:val="24"/>
        </w:rPr>
        <w:t xml:space="preserve"> 11</w:t>
      </w:r>
    </w:p>
    <w:p w14:paraId="678AEF10" w14:textId="77777777" w:rsidR="00AF768D" w:rsidRPr="00AF768D" w:rsidRDefault="00AF768D" w:rsidP="00AF768D">
      <w:pPr>
        <w:rPr>
          <w:rFonts w:ascii="Arial" w:hAnsi="Arial" w:cs="Arial"/>
          <w:sz w:val="24"/>
          <w:szCs w:val="24"/>
        </w:rPr>
      </w:pPr>
      <w:r w:rsidRPr="00AF768D">
        <w:rPr>
          <w:rFonts w:ascii="Arial" w:hAnsi="Arial" w:cs="Arial"/>
          <w:sz w:val="24"/>
          <w:szCs w:val="24"/>
        </w:rPr>
        <w:t xml:space="preserve">4.0 Holistic </w:t>
      </w:r>
      <w:proofErr w:type="spellStart"/>
      <w:r w:rsidRPr="00AF768D">
        <w:rPr>
          <w:rFonts w:ascii="Arial" w:hAnsi="Arial" w:cs="Arial"/>
          <w:sz w:val="24"/>
          <w:szCs w:val="24"/>
        </w:rPr>
        <w:t>Organisational</w:t>
      </w:r>
      <w:proofErr w:type="spellEnd"/>
      <w:r w:rsidRPr="00AF768D">
        <w:rPr>
          <w:rFonts w:ascii="Arial" w:hAnsi="Arial" w:cs="Arial"/>
          <w:sz w:val="24"/>
          <w:szCs w:val="24"/>
        </w:rPr>
        <w:t xml:space="preserve"> Perspective: Balanced Scorecard</w:t>
      </w:r>
      <w:r>
        <w:rPr>
          <w:rFonts w:ascii="Arial" w:hAnsi="Arial" w:cs="Arial"/>
          <w:sz w:val="24"/>
          <w:szCs w:val="24"/>
        </w:rPr>
        <w:t>…………</w:t>
      </w:r>
      <w:r w:rsidR="00A66ED2">
        <w:rPr>
          <w:rFonts w:ascii="Arial" w:hAnsi="Arial" w:cs="Arial"/>
          <w:sz w:val="24"/>
          <w:szCs w:val="24"/>
        </w:rPr>
        <w:t xml:space="preserve"> 11-13</w:t>
      </w:r>
    </w:p>
    <w:p w14:paraId="58022A7A" w14:textId="77777777" w:rsidR="00AF768D" w:rsidRPr="00AF768D" w:rsidRDefault="00AF768D" w:rsidP="00AF768D">
      <w:pPr>
        <w:rPr>
          <w:rFonts w:ascii="Arial" w:hAnsi="Arial" w:cs="Arial"/>
          <w:sz w:val="24"/>
          <w:szCs w:val="24"/>
        </w:rPr>
      </w:pPr>
      <w:r w:rsidRPr="00AF768D">
        <w:rPr>
          <w:rFonts w:ascii="Arial" w:hAnsi="Arial" w:cs="Arial"/>
          <w:sz w:val="24"/>
          <w:szCs w:val="24"/>
        </w:rPr>
        <w:t>5.0 Strategic Choices and Implementation</w:t>
      </w:r>
      <w:r>
        <w:rPr>
          <w:rFonts w:ascii="Arial" w:hAnsi="Arial" w:cs="Arial"/>
          <w:sz w:val="24"/>
          <w:szCs w:val="24"/>
        </w:rPr>
        <w:t>………………………………</w:t>
      </w:r>
      <w:r w:rsidR="00A66ED2">
        <w:rPr>
          <w:rFonts w:ascii="Arial" w:hAnsi="Arial" w:cs="Arial"/>
          <w:sz w:val="24"/>
          <w:szCs w:val="24"/>
        </w:rPr>
        <w:t xml:space="preserve"> 13-14</w:t>
      </w:r>
    </w:p>
    <w:p w14:paraId="66247936" w14:textId="77777777" w:rsidR="00AF768D" w:rsidRPr="00AF768D" w:rsidRDefault="00AF768D" w:rsidP="00AF768D">
      <w:pPr>
        <w:rPr>
          <w:rFonts w:ascii="Arial" w:hAnsi="Arial" w:cs="Arial"/>
          <w:sz w:val="24"/>
          <w:szCs w:val="24"/>
        </w:rPr>
      </w:pPr>
      <w:r w:rsidRPr="00AF768D">
        <w:rPr>
          <w:rFonts w:ascii="Arial" w:hAnsi="Arial" w:cs="Arial"/>
          <w:sz w:val="24"/>
          <w:szCs w:val="24"/>
        </w:rPr>
        <w:t>6.0 Strategic Evaluation and Recommendations</w:t>
      </w:r>
      <w:r>
        <w:rPr>
          <w:rFonts w:ascii="Arial" w:hAnsi="Arial" w:cs="Arial"/>
          <w:sz w:val="24"/>
          <w:szCs w:val="24"/>
        </w:rPr>
        <w:t>……………………</w:t>
      </w:r>
      <w:proofErr w:type="gramStart"/>
      <w:r>
        <w:rPr>
          <w:rFonts w:ascii="Arial" w:hAnsi="Arial" w:cs="Arial"/>
          <w:sz w:val="24"/>
          <w:szCs w:val="24"/>
        </w:rPr>
        <w:t>…..</w:t>
      </w:r>
      <w:proofErr w:type="gramEnd"/>
      <w:r w:rsidR="008E1F37">
        <w:rPr>
          <w:rFonts w:ascii="Arial" w:hAnsi="Arial" w:cs="Arial"/>
          <w:sz w:val="24"/>
          <w:szCs w:val="24"/>
        </w:rPr>
        <w:t xml:space="preserve"> 15</w:t>
      </w:r>
      <w:r w:rsidR="00A66ED2">
        <w:rPr>
          <w:rFonts w:ascii="Arial" w:hAnsi="Arial" w:cs="Arial"/>
          <w:sz w:val="24"/>
          <w:szCs w:val="24"/>
        </w:rPr>
        <w:t>-20</w:t>
      </w:r>
      <w:r w:rsidRPr="00AF768D">
        <w:rPr>
          <w:rFonts w:ascii="Arial" w:hAnsi="Arial" w:cs="Arial"/>
          <w:sz w:val="24"/>
          <w:szCs w:val="24"/>
        </w:rPr>
        <w:br/>
      </w:r>
    </w:p>
    <w:p w14:paraId="204B063A" w14:textId="77777777" w:rsidR="00AF768D" w:rsidRDefault="00AF768D" w:rsidP="00AF768D">
      <w:pPr>
        <w:rPr>
          <w:rFonts w:ascii="Arial" w:hAnsi="Arial" w:cs="Arial"/>
          <w:b/>
          <w:bCs/>
          <w:sz w:val="24"/>
          <w:szCs w:val="24"/>
        </w:rPr>
      </w:pPr>
      <w:r w:rsidRPr="00AF768D">
        <w:rPr>
          <w:rFonts w:ascii="Arial" w:hAnsi="Arial" w:cs="Arial"/>
          <w:sz w:val="24"/>
          <w:szCs w:val="24"/>
        </w:rPr>
        <w:t>SECTION 2: Reflective Account</w:t>
      </w:r>
      <w:r w:rsidRPr="00AF768D">
        <w:rPr>
          <w:rFonts w:ascii="Arial" w:hAnsi="Arial" w:cs="Arial"/>
          <w:sz w:val="24"/>
          <w:szCs w:val="24"/>
        </w:rPr>
        <w:br/>
      </w:r>
    </w:p>
    <w:p w14:paraId="793AB157" w14:textId="77777777" w:rsidR="00AF768D" w:rsidRPr="00AF768D" w:rsidRDefault="00AF768D" w:rsidP="00AF768D">
      <w:pPr>
        <w:rPr>
          <w:rFonts w:ascii="Arial" w:hAnsi="Arial" w:cs="Arial"/>
          <w:sz w:val="24"/>
          <w:szCs w:val="24"/>
        </w:rPr>
      </w:pPr>
      <w:r w:rsidRPr="00AF768D">
        <w:rPr>
          <w:rFonts w:ascii="Arial" w:hAnsi="Arial" w:cs="Arial"/>
          <w:sz w:val="24"/>
          <w:szCs w:val="24"/>
        </w:rPr>
        <w:t>The Gibbs Reflective Cycle</w:t>
      </w:r>
      <w:r>
        <w:rPr>
          <w:rFonts w:ascii="Arial" w:hAnsi="Arial" w:cs="Arial"/>
          <w:sz w:val="24"/>
          <w:szCs w:val="24"/>
        </w:rPr>
        <w:t>……………………………………………</w:t>
      </w:r>
      <w:proofErr w:type="gramStart"/>
      <w:r>
        <w:rPr>
          <w:rFonts w:ascii="Arial" w:hAnsi="Arial" w:cs="Arial"/>
          <w:sz w:val="24"/>
          <w:szCs w:val="24"/>
        </w:rPr>
        <w:t>…..</w:t>
      </w:r>
      <w:proofErr w:type="gramEnd"/>
      <w:r w:rsidR="008E1F37">
        <w:rPr>
          <w:rFonts w:ascii="Arial" w:hAnsi="Arial" w:cs="Arial"/>
          <w:sz w:val="24"/>
          <w:szCs w:val="24"/>
        </w:rPr>
        <w:t xml:space="preserve"> 20-23</w:t>
      </w:r>
    </w:p>
    <w:p w14:paraId="5BB24160" w14:textId="77777777" w:rsidR="00AF768D" w:rsidRPr="00AF768D" w:rsidRDefault="00AF768D" w:rsidP="00AF768D">
      <w:pPr>
        <w:rPr>
          <w:rFonts w:ascii="Arial" w:hAnsi="Arial" w:cs="Arial"/>
          <w:sz w:val="24"/>
          <w:szCs w:val="24"/>
        </w:rPr>
      </w:pPr>
      <w:r w:rsidRPr="00AF768D">
        <w:rPr>
          <w:rFonts w:ascii="Arial" w:hAnsi="Arial" w:cs="Arial"/>
          <w:sz w:val="24"/>
          <w:szCs w:val="24"/>
        </w:rPr>
        <w:t>References</w:t>
      </w:r>
      <w:r>
        <w:rPr>
          <w:rFonts w:ascii="Arial" w:hAnsi="Arial" w:cs="Arial"/>
          <w:sz w:val="24"/>
          <w:szCs w:val="24"/>
        </w:rPr>
        <w:t>………………………………………………………………</w:t>
      </w:r>
      <w:proofErr w:type="gramStart"/>
      <w:r>
        <w:rPr>
          <w:rFonts w:ascii="Arial" w:hAnsi="Arial" w:cs="Arial"/>
          <w:sz w:val="24"/>
          <w:szCs w:val="24"/>
        </w:rPr>
        <w:t>…..</w:t>
      </w:r>
      <w:proofErr w:type="gramEnd"/>
      <w:r w:rsidR="00A66ED2">
        <w:rPr>
          <w:rFonts w:ascii="Arial" w:hAnsi="Arial" w:cs="Arial"/>
          <w:sz w:val="24"/>
          <w:szCs w:val="24"/>
        </w:rPr>
        <w:t xml:space="preserve"> 23-27</w:t>
      </w:r>
    </w:p>
    <w:p w14:paraId="6082F9EE" w14:textId="77777777" w:rsidR="00AF768D" w:rsidRDefault="00AF768D">
      <w:pPr>
        <w:rPr>
          <w:rFonts w:ascii="Arial" w:hAnsi="Arial" w:cs="Arial"/>
          <w:b/>
          <w:bCs/>
          <w:sz w:val="24"/>
          <w:szCs w:val="24"/>
        </w:rPr>
      </w:pPr>
      <w:r>
        <w:rPr>
          <w:rFonts w:ascii="Arial" w:hAnsi="Arial" w:cs="Arial"/>
          <w:b/>
          <w:bCs/>
          <w:sz w:val="24"/>
          <w:szCs w:val="24"/>
        </w:rPr>
        <w:br w:type="page"/>
      </w:r>
    </w:p>
    <w:p w14:paraId="1BBB1B8B" w14:textId="77777777" w:rsidR="00735E87" w:rsidRPr="00735E87" w:rsidRDefault="00735E87" w:rsidP="00AF768D">
      <w:pPr>
        <w:spacing w:line="360" w:lineRule="auto"/>
        <w:jc w:val="both"/>
        <w:rPr>
          <w:rFonts w:ascii="Arial" w:hAnsi="Arial" w:cs="Arial"/>
          <w:b/>
          <w:bCs/>
          <w:sz w:val="24"/>
          <w:szCs w:val="24"/>
        </w:rPr>
      </w:pPr>
      <w:r w:rsidRPr="00735E87">
        <w:rPr>
          <w:rFonts w:ascii="Arial" w:hAnsi="Arial" w:cs="Arial"/>
          <w:b/>
          <w:bCs/>
          <w:sz w:val="24"/>
          <w:szCs w:val="24"/>
        </w:rPr>
        <w:lastRenderedPageBreak/>
        <w:t>SECTION 1</w:t>
      </w:r>
    </w:p>
    <w:p w14:paraId="741C758A" w14:textId="77777777" w:rsidR="00770C4D" w:rsidRPr="00AF768D" w:rsidRDefault="00770C4D" w:rsidP="00AF768D">
      <w:pPr>
        <w:pStyle w:val="ListParagraph"/>
        <w:numPr>
          <w:ilvl w:val="0"/>
          <w:numId w:val="1"/>
        </w:numPr>
        <w:spacing w:line="360" w:lineRule="auto"/>
        <w:jc w:val="both"/>
        <w:rPr>
          <w:rFonts w:ascii="Arial" w:hAnsi="Arial" w:cs="Arial"/>
          <w:b/>
          <w:bCs/>
          <w:sz w:val="24"/>
          <w:szCs w:val="24"/>
        </w:rPr>
      </w:pPr>
      <w:proofErr w:type="spellStart"/>
      <w:r w:rsidRPr="00AF768D">
        <w:rPr>
          <w:rFonts w:ascii="Arial" w:hAnsi="Arial" w:cs="Arial"/>
          <w:b/>
          <w:bCs/>
          <w:sz w:val="24"/>
          <w:szCs w:val="24"/>
        </w:rPr>
        <w:t>Organisational</w:t>
      </w:r>
      <w:proofErr w:type="spellEnd"/>
      <w:r w:rsidRPr="00AF768D">
        <w:rPr>
          <w:rFonts w:ascii="Arial" w:hAnsi="Arial" w:cs="Arial"/>
          <w:b/>
          <w:bCs/>
          <w:sz w:val="24"/>
          <w:szCs w:val="24"/>
        </w:rPr>
        <w:t xml:space="preserve"> Context and Overview </w:t>
      </w:r>
    </w:p>
    <w:p w14:paraId="02D62B5E" w14:textId="77777777" w:rsidR="000D1D67" w:rsidRPr="000D1D67" w:rsidRDefault="000D1D67" w:rsidP="000D1D67">
      <w:pPr>
        <w:spacing w:line="360" w:lineRule="auto"/>
        <w:rPr>
          <w:rFonts w:ascii="Arial" w:eastAsia="Times New Roman" w:hAnsi="Arial" w:cs="Arial"/>
          <w:sz w:val="24"/>
          <w:szCs w:val="24"/>
          <w:lang w:bidi="ar-SA"/>
        </w:rPr>
      </w:pPr>
      <w:r w:rsidRPr="000D1D67">
        <w:rPr>
          <w:rFonts w:ascii="Arial" w:eastAsia="Times New Roman" w:hAnsi="Arial" w:cs="Arial"/>
          <w:sz w:val="24"/>
          <w:szCs w:val="24"/>
          <w:lang w:bidi="ar-SA"/>
        </w:rPr>
        <w:t>Nike, Inc. is the biggest designer, marketer and distributor of athletic footwear, apparel and equipment across the globe. It was established in 1964 as Blue Ribbon Sports by Phil Knight and Bill Bowerman but it was renamed Nike, Inc. in 1978, after the Greek goddess of victory (Knight, 2016). Nike started as a small exporter of Japanese running shoes but has since become the multinational company making more than 51.2 billion dollars in 2023 (Nike, Inc., 2023a).</w:t>
      </w:r>
    </w:p>
    <w:p w14:paraId="6D4A6EEA" w14:textId="77777777" w:rsidR="000D1D67" w:rsidRPr="000D1D67" w:rsidRDefault="000D1D67" w:rsidP="000D1D67">
      <w:pPr>
        <w:spacing w:line="360" w:lineRule="auto"/>
        <w:rPr>
          <w:rFonts w:ascii="Arial" w:eastAsia="Times New Roman" w:hAnsi="Arial" w:cs="Arial"/>
          <w:sz w:val="24"/>
          <w:szCs w:val="24"/>
          <w:lang w:bidi="ar-SA"/>
        </w:rPr>
      </w:pPr>
      <w:r w:rsidRPr="000D1D67">
        <w:rPr>
          <w:rFonts w:ascii="Arial" w:eastAsia="Times New Roman" w:hAnsi="Arial" w:cs="Arial"/>
          <w:sz w:val="24"/>
          <w:szCs w:val="24"/>
          <w:lang w:bidi="ar-SA"/>
        </w:rPr>
        <w:t xml:space="preserve">The mission of Nike is to inspire and innovate every athlete relying on the philosophy that any human being with a body is an athlete (Nike, Inc., 2023b). Its vision is aiming at </w:t>
      </w:r>
      <w:proofErr w:type="spellStart"/>
      <w:r w:rsidRPr="000D1D67">
        <w:rPr>
          <w:rFonts w:ascii="Arial" w:eastAsia="Times New Roman" w:hAnsi="Arial" w:cs="Arial"/>
          <w:sz w:val="24"/>
          <w:szCs w:val="24"/>
          <w:lang w:bidi="ar-SA"/>
        </w:rPr>
        <w:t>maximising</w:t>
      </w:r>
      <w:proofErr w:type="spellEnd"/>
      <w:r w:rsidRPr="000D1D67">
        <w:rPr>
          <w:rFonts w:ascii="Arial" w:eastAsia="Times New Roman" w:hAnsi="Arial" w:cs="Arial"/>
          <w:sz w:val="24"/>
          <w:szCs w:val="24"/>
          <w:lang w:bidi="ar-SA"/>
        </w:rPr>
        <w:t xml:space="preserve"> human potential by sport, innovation and sustainability. It has an asset light business model, with the focus on design, marketing and brand management and outsourcing production to more than 500 factories in 40 countries (Mahdi et al., 2015). This allows making substantial investments in research, brand equity and direct to consumer strategy (Nike, Inc., 2021).</w:t>
      </w:r>
    </w:p>
    <w:p w14:paraId="5B8E08EF" w14:textId="77777777" w:rsidR="00B7504B" w:rsidRDefault="000D1D67" w:rsidP="000D1D67">
      <w:pPr>
        <w:spacing w:line="360" w:lineRule="auto"/>
        <w:rPr>
          <w:rFonts w:ascii="Arial" w:hAnsi="Arial" w:cs="Arial"/>
          <w:b/>
          <w:bCs/>
          <w:sz w:val="24"/>
          <w:szCs w:val="24"/>
        </w:rPr>
      </w:pPr>
      <w:r w:rsidRPr="000D1D67">
        <w:rPr>
          <w:rFonts w:ascii="Arial" w:eastAsia="Times New Roman" w:hAnsi="Arial" w:cs="Arial"/>
          <w:sz w:val="24"/>
          <w:szCs w:val="24"/>
          <w:lang w:bidi="ar-SA"/>
        </w:rPr>
        <w:t xml:space="preserve">Nike has an estimated 27 percent of athletic shoes in the world, almost twice the Adidas (Statista, 2023). The major competitors are Adidas, Puma, New Balance and Under </w:t>
      </w:r>
      <w:proofErr w:type="spellStart"/>
      <w:r w:rsidRPr="000D1D67">
        <w:rPr>
          <w:rFonts w:ascii="Arial" w:eastAsia="Times New Roman" w:hAnsi="Arial" w:cs="Arial"/>
          <w:sz w:val="24"/>
          <w:szCs w:val="24"/>
          <w:lang w:bidi="ar-SA"/>
        </w:rPr>
        <w:t>Armour</w:t>
      </w:r>
      <w:proofErr w:type="spellEnd"/>
      <w:r w:rsidRPr="000D1D67">
        <w:rPr>
          <w:rFonts w:ascii="Arial" w:eastAsia="Times New Roman" w:hAnsi="Arial" w:cs="Arial"/>
          <w:sz w:val="24"/>
          <w:szCs w:val="24"/>
          <w:lang w:bidi="ar-SA"/>
        </w:rPr>
        <w:t>. It is strategic due to its brand equity, recommendations, innovation and digital portals.</w:t>
      </w:r>
      <w:r w:rsidR="00B7504B">
        <w:rPr>
          <w:rFonts w:ascii="Arial" w:hAnsi="Arial" w:cs="Arial"/>
          <w:b/>
          <w:bCs/>
          <w:sz w:val="24"/>
          <w:szCs w:val="24"/>
        </w:rPr>
        <w:br w:type="page"/>
      </w:r>
    </w:p>
    <w:p w14:paraId="72F9A864" w14:textId="77777777" w:rsidR="00090F31" w:rsidRPr="008C3235" w:rsidRDefault="00090F31" w:rsidP="00090F31">
      <w:pPr>
        <w:spacing w:line="360" w:lineRule="auto"/>
        <w:rPr>
          <w:rFonts w:ascii="Arial" w:hAnsi="Arial" w:cs="Arial"/>
          <w:b/>
          <w:bCs/>
          <w:sz w:val="24"/>
          <w:szCs w:val="24"/>
        </w:rPr>
      </w:pPr>
      <w:r w:rsidRPr="008C3235">
        <w:rPr>
          <w:rFonts w:ascii="Arial" w:hAnsi="Arial" w:cs="Arial"/>
          <w:b/>
          <w:bCs/>
          <w:sz w:val="24"/>
          <w:szCs w:val="24"/>
        </w:rPr>
        <w:lastRenderedPageBreak/>
        <w:t>1.1 Competitive Positioning in the Global Sportswear Industry</w:t>
      </w:r>
    </w:p>
    <w:tbl>
      <w:tblPr>
        <w:tblStyle w:val="TableGrid"/>
        <w:tblpPr w:leftFromText="180" w:rightFromText="180" w:vertAnchor="text" w:horzAnchor="margin" w:tblpXSpec="center" w:tblpY="73"/>
        <w:tblW w:w="10638" w:type="dxa"/>
        <w:tblLayout w:type="fixed"/>
        <w:tblLook w:val="04A0" w:firstRow="1" w:lastRow="0" w:firstColumn="1" w:lastColumn="0" w:noHBand="0" w:noVBand="1"/>
      </w:tblPr>
      <w:tblGrid>
        <w:gridCol w:w="1458"/>
        <w:gridCol w:w="22"/>
        <w:gridCol w:w="2498"/>
        <w:gridCol w:w="2214"/>
        <w:gridCol w:w="1652"/>
        <w:gridCol w:w="2794"/>
      </w:tblGrid>
      <w:tr w:rsidR="00090F31" w:rsidRPr="008C3235" w14:paraId="487C77D8" w14:textId="77777777" w:rsidTr="00090F31">
        <w:trPr>
          <w:trHeight w:val="145"/>
        </w:trPr>
        <w:tc>
          <w:tcPr>
            <w:tcW w:w="1480" w:type="dxa"/>
            <w:gridSpan w:val="2"/>
            <w:noWrap/>
            <w:hideMark/>
          </w:tcPr>
          <w:p w14:paraId="6EBDEFEC" w14:textId="77777777" w:rsidR="00090F31" w:rsidRPr="008C3235" w:rsidRDefault="00090F31" w:rsidP="006046EF">
            <w:pPr>
              <w:spacing w:after="200" w:line="360" w:lineRule="auto"/>
              <w:rPr>
                <w:rFonts w:ascii="Arial" w:hAnsi="Arial" w:cs="Arial"/>
                <w:b/>
                <w:bCs/>
                <w:sz w:val="24"/>
                <w:szCs w:val="24"/>
              </w:rPr>
            </w:pPr>
            <w:r w:rsidRPr="008C3235">
              <w:rPr>
                <w:rFonts w:ascii="Arial" w:hAnsi="Arial" w:cs="Arial"/>
                <w:b/>
                <w:bCs/>
                <w:sz w:val="24"/>
                <w:szCs w:val="24"/>
              </w:rPr>
              <w:t>Company</w:t>
            </w:r>
          </w:p>
        </w:tc>
        <w:tc>
          <w:tcPr>
            <w:tcW w:w="2498" w:type="dxa"/>
            <w:noWrap/>
            <w:hideMark/>
          </w:tcPr>
          <w:p w14:paraId="07AA2AA5" w14:textId="77777777" w:rsidR="00090F31" w:rsidRPr="008C3235" w:rsidRDefault="00090F31" w:rsidP="006046EF">
            <w:pPr>
              <w:spacing w:after="200" w:line="360" w:lineRule="auto"/>
              <w:rPr>
                <w:rFonts w:ascii="Arial" w:hAnsi="Arial" w:cs="Arial"/>
                <w:b/>
                <w:bCs/>
                <w:sz w:val="24"/>
                <w:szCs w:val="24"/>
              </w:rPr>
            </w:pPr>
            <w:r w:rsidRPr="008C3235">
              <w:rPr>
                <w:rFonts w:ascii="Arial" w:hAnsi="Arial" w:cs="Arial"/>
                <w:b/>
                <w:bCs/>
                <w:sz w:val="24"/>
                <w:szCs w:val="24"/>
              </w:rPr>
              <w:t>Estimated Market Position</w:t>
            </w:r>
          </w:p>
        </w:tc>
        <w:tc>
          <w:tcPr>
            <w:tcW w:w="2214" w:type="dxa"/>
            <w:noWrap/>
            <w:hideMark/>
          </w:tcPr>
          <w:p w14:paraId="2632C3CD" w14:textId="77777777" w:rsidR="00090F31" w:rsidRPr="008C3235" w:rsidRDefault="00090F31" w:rsidP="006046EF">
            <w:pPr>
              <w:spacing w:after="200" w:line="360" w:lineRule="auto"/>
              <w:rPr>
                <w:rFonts w:ascii="Arial" w:hAnsi="Arial" w:cs="Arial"/>
                <w:b/>
                <w:bCs/>
                <w:sz w:val="24"/>
                <w:szCs w:val="24"/>
              </w:rPr>
            </w:pPr>
            <w:r w:rsidRPr="008C3235">
              <w:rPr>
                <w:rFonts w:ascii="Arial" w:hAnsi="Arial" w:cs="Arial"/>
                <w:b/>
                <w:bCs/>
                <w:sz w:val="24"/>
                <w:szCs w:val="24"/>
              </w:rPr>
              <w:t>Strategic Focus</w:t>
            </w:r>
          </w:p>
        </w:tc>
        <w:tc>
          <w:tcPr>
            <w:tcW w:w="1652" w:type="dxa"/>
            <w:noWrap/>
            <w:hideMark/>
          </w:tcPr>
          <w:p w14:paraId="048E4A5F" w14:textId="77777777" w:rsidR="00090F31" w:rsidRPr="008C3235" w:rsidRDefault="00090F31" w:rsidP="006046EF">
            <w:pPr>
              <w:spacing w:after="200" w:line="360" w:lineRule="auto"/>
              <w:rPr>
                <w:rFonts w:ascii="Arial" w:hAnsi="Arial" w:cs="Arial"/>
                <w:b/>
                <w:bCs/>
                <w:sz w:val="24"/>
                <w:szCs w:val="24"/>
              </w:rPr>
            </w:pPr>
            <w:r w:rsidRPr="008C3235">
              <w:rPr>
                <w:rFonts w:ascii="Arial" w:hAnsi="Arial" w:cs="Arial"/>
                <w:b/>
                <w:bCs/>
                <w:sz w:val="24"/>
                <w:szCs w:val="24"/>
              </w:rPr>
              <w:t>Key Strengths</w:t>
            </w:r>
          </w:p>
        </w:tc>
        <w:tc>
          <w:tcPr>
            <w:tcW w:w="2794" w:type="dxa"/>
            <w:noWrap/>
            <w:hideMark/>
          </w:tcPr>
          <w:p w14:paraId="61C7C925" w14:textId="77777777" w:rsidR="00090F31" w:rsidRPr="008C3235" w:rsidRDefault="00090F31" w:rsidP="006046EF">
            <w:pPr>
              <w:spacing w:after="200" w:line="360" w:lineRule="auto"/>
              <w:rPr>
                <w:rFonts w:ascii="Arial" w:hAnsi="Arial" w:cs="Arial"/>
                <w:b/>
                <w:bCs/>
                <w:sz w:val="24"/>
                <w:szCs w:val="24"/>
              </w:rPr>
            </w:pPr>
            <w:r w:rsidRPr="008C3235">
              <w:rPr>
                <w:rFonts w:ascii="Arial" w:hAnsi="Arial" w:cs="Arial"/>
                <w:b/>
                <w:bCs/>
                <w:sz w:val="24"/>
                <w:szCs w:val="24"/>
              </w:rPr>
              <w:t>Main Basis of Competition</w:t>
            </w:r>
          </w:p>
        </w:tc>
      </w:tr>
      <w:tr w:rsidR="00090F31" w:rsidRPr="008C3235" w14:paraId="7367C53B" w14:textId="77777777" w:rsidTr="00090F31">
        <w:trPr>
          <w:trHeight w:val="3954"/>
        </w:trPr>
        <w:tc>
          <w:tcPr>
            <w:tcW w:w="1480" w:type="dxa"/>
            <w:gridSpan w:val="2"/>
            <w:hideMark/>
          </w:tcPr>
          <w:p w14:paraId="6A0E666B"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b/>
                <w:bCs/>
                <w:sz w:val="24"/>
                <w:szCs w:val="24"/>
              </w:rPr>
              <w:t>Nike</w:t>
            </w:r>
          </w:p>
        </w:tc>
        <w:tc>
          <w:tcPr>
            <w:tcW w:w="2498" w:type="dxa"/>
            <w:hideMark/>
          </w:tcPr>
          <w:p w14:paraId="457C059D"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Approx. 27% global athletic footwear market share</w:t>
            </w:r>
          </w:p>
        </w:tc>
        <w:tc>
          <w:tcPr>
            <w:tcW w:w="2214" w:type="dxa"/>
            <w:hideMark/>
          </w:tcPr>
          <w:p w14:paraId="41F043B5"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Premium differentiation, innovation, DTC, digital ecosystem</w:t>
            </w:r>
          </w:p>
        </w:tc>
        <w:tc>
          <w:tcPr>
            <w:tcW w:w="1652" w:type="dxa"/>
            <w:hideMark/>
          </w:tcPr>
          <w:p w14:paraId="39625145"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Strongest global brand equity, athlete endorsements, product innovation, digital membership platforms</w:t>
            </w:r>
          </w:p>
        </w:tc>
        <w:tc>
          <w:tcPr>
            <w:tcW w:w="2794" w:type="dxa"/>
            <w:hideMark/>
          </w:tcPr>
          <w:p w14:paraId="0BD487BB"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Innovation, brand prestige, performance positioning, customer experience</w:t>
            </w:r>
          </w:p>
        </w:tc>
      </w:tr>
      <w:tr w:rsidR="00090F31" w:rsidRPr="008C3235" w14:paraId="4AE8EFC5" w14:textId="77777777" w:rsidTr="00090F31">
        <w:trPr>
          <w:trHeight w:val="3954"/>
        </w:trPr>
        <w:tc>
          <w:tcPr>
            <w:tcW w:w="1480" w:type="dxa"/>
            <w:gridSpan w:val="2"/>
            <w:hideMark/>
          </w:tcPr>
          <w:p w14:paraId="6F066064"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b/>
                <w:bCs/>
                <w:sz w:val="24"/>
                <w:szCs w:val="24"/>
              </w:rPr>
              <w:t>Adidas</w:t>
            </w:r>
          </w:p>
        </w:tc>
        <w:tc>
          <w:tcPr>
            <w:tcW w:w="2498" w:type="dxa"/>
            <w:hideMark/>
          </w:tcPr>
          <w:p w14:paraId="62ACD530"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Second-largest global competitor, significantly behind Nike</w:t>
            </w:r>
          </w:p>
        </w:tc>
        <w:tc>
          <w:tcPr>
            <w:tcW w:w="2214" w:type="dxa"/>
            <w:hideMark/>
          </w:tcPr>
          <w:p w14:paraId="1B7B6BD4"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Sport-fashion integration, lifestyle collaborations, international expansion</w:t>
            </w:r>
          </w:p>
        </w:tc>
        <w:tc>
          <w:tcPr>
            <w:tcW w:w="1652" w:type="dxa"/>
            <w:hideMark/>
          </w:tcPr>
          <w:p w14:paraId="68E4723D"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Strong presence in Europe, fashion collaborations, football heritage, sustainability messaging</w:t>
            </w:r>
          </w:p>
        </w:tc>
        <w:tc>
          <w:tcPr>
            <w:tcW w:w="2794" w:type="dxa"/>
            <w:hideMark/>
          </w:tcPr>
          <w:p w14:paraId="1EFF8047"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Design, lifestyle appeal, collaborations, global sports branding</w:t>
            </w:r>
          </w:p>
        </w:tc>
      </w:tr>
      <w:tr w:rsidR="00090F31" w:rsidRPr="008C3235" w14:paraId="35D29091" w14:textId="77777777" w:rsidTr="00090F31">
        <w:trPr>
          <w:trHeight w:val="3546"/>
        </w:trPr>
        <w:tc>
          <w:tcPr>
            <w:tcW w:w="1458" w:type="dxa"/>
            <w:hideMark/>
          </w:tcPr>
          <w:p w14:paraId="65433972"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b/>
                <w:bCs/>
                <w:sz w:val="24"/>
                <w:szCs w:val="24"/>
              </w:rPr>
              <w:t>Skechers</w:t>
            </w:r>
          </w:p>
        </w:tc>
        <w:tc>
          <w:tcPr>
            <w:tcW w:w="2520" w:type="dxa"/>
            <w:gridSpan w:val="2"/>
            <w:hideMark/>
          </w:tcPr>
          <w:p w14:paraId="5EFFC54B"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Strong global footwear challenger, especially in comfort and value segments</w:t>
            </w:r>
          </w:p>
        </w:tc>
        <w:tc>
          <w:tcPr>
            <w:tcW w:w="2214" w:type="dxa"/>
            <w:hideMark/>
          </w:tcPr>
          <w:p w14:paraId="1540CA41"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Comfort, affordability, broad consumer accessibility</w:t>
            </w:r>
          </w:p>
        </w:tc>
        <w:tc>
          <w:tcPr>
            <w:tcW w:w="1652" w:type="dxa"/>
            <w:hideMark/>
          </w:tcPr>
          <w:p w14:paraId="719BEAB0"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Competitive pricing, strong casual and walking shoe segments, global wholesale reach</w:t>
            </w:r>
          </w:p>
        </w:tc>
        <w:tc>
          <w:tcPr>
            <w:tcW w:w="2794" w:type="dxa"/>
            <w:hideMark/>
          </w:tcPr>
          <w:p w14:paraId="0587624B"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Value for money, comfort technology, mass-market accessibility</w:t>
            </w:r>
          </w:p>
        </w:tc>
      </w:tr>
      <w:tr w:rsidR="00090F31" w:rsidRPr="008C3235" w14:paraId="7C88705B" w14:textId="77777777" w:rsidTr="00090F31">
        <w:trPr>
          <w:trHeight w:val="1879"/>
        </w:trPr>
        <w:tc>
          <w:tcPr>
            <w:tcW w:w="1480" w:type="dxa"/>
            <w:gridSpan w:val="2"/>
            <w:hideMark/>
          </w:tcPr>
          <w:p w14:paraId="6A00E2CA"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b/>
                <w:bCs/>
                <w:sz w:val="24"/>
                <w:szCs w:val="24"/>
              </w:rPr>
              <w:lastRenderedPageBreak/>
              <w:t>Puma</w:t>
            </w:r>
          </w:p>
        </w:tc>
        <w:tc>
          <w:tcPr>
            <w:tcW w:w="2498" w:type="dxa"/>
            <w:hideMark/>
          </w:tcPr>
          <w:p w14:paraId="3F09509A"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Mid-tier sportswear competitor</w:t>
            </w:r>
          </w:p>
        </w:tc>
        <w:tc>
          <w:tcPr>
            <w:tcW w:w="2214" w:type="dxa"/>
            <w:hideMark/>
          </w:tcPr>
          <w:p w14:paraId="6365E907"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Lifestyle-sport crossover, selective athlete/influencer branding</w:t>
            </w:r>
          </w:p>
        </w:tc>
        <w:tc>
          <w:tcPr>
            <w:tcW w:w="1652" w:type="dxa"/>
            <w:hideMark/>
          </w:tcPr>
          <w:p w14:paraId="57A99D83"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Strong fashion-led positioning, youth appeal, agility in trend segments</w:t>
            </w:r>
          </w:p>
        </w:tc>
        <w:tc>
          <w:tcPr>
            <w:tcW w:w="2794" w:type="dxa"/>
            <w:hideMark/>
          </w:tcPr>
          <w:p w14:paraId="210CA0FB" w14:textId="77777777" w:rsidR="00090F31" w:rsidRPr="008C3235" w:rsidRDefault="00090F31" w:rsidP="006046EF">
            <w:pPr>
              <w:spacing w:after="200" w:line="360" w:lineRule="auto"/>
              <w:rPr>
                <w:rFonts w:ascii="Arial" w:hAnsi="Arial" w:cs="Arial"/>
                <w:sz w:val="24"/>
                <w:szCs w:val="24"/>
              </w:rPr>
            </w:pPr>
            <w:r w:rsidRPr="008C3235">
              <w:rPr>
                <w:rFonts w:ascii="Arial" w:hAnsi="Arial" w:cs="Arial"/>
                <w:sz w:val="24"/>
                <w:szCs w:val="24"/>
              </w:rPr>
              <w:t>Style, affordability, selective performance branding</w:t>
            </w:r>
          </w:p>
        </w:tc>
      </w:tr>
    </w:tbl>
    <w:p w14:paraId="194B5596" w14:textId="77777777" w:rsidR="00090F31" w:rsidRDefault="00090F31" w:rsidP="00090F31">
      <w:pPr>
        <w:spacing w:line="360" w:lineRule="auto"/>
        <w:rPr>
          <w:rFonts w:ascii="Arial" w:hAnsi="Arial" w:cs="Arial"/>
          <w:sz w:val="24"/>
          <w:szCs w:val="24"/>
        </w:rPr>
      </w:pPr>
    </w:p>
    <w:p w14:paraId="7A1F1F26" w14:textId="77777777" w:rsidR="00090F31" w:rsidRPr="008C3235" w:rsidRDefault="00090F31" w:rsidP="00090F31">
      <w:pPr>
        <w:spacing w:line="360" w:lineRule="auto"/>
        <w:rPr>
          <w:rFonts w:ascii="Arial" w:hAnsi="Arial" w:cs="Arial"/>
          <w:b/>
          <w:bCs/>
          <w:sz w:val="24"/>
          <w:szCs w:val="24"/>
        </w:rPr>
      </w:pPr>
      <w:r w:rsidRPr="008C3235">
        <w:rPr>
          <w:rFonts w:ascii="Arial" w:hAnsi="Arial" w:cs="Arial"/>
          <w:b/>
          <w:bCs/>
          <w:sz w:val="24"/>
          <w:szCs w:val="24"/>
        </w:rPr>
        <w:t>Table 1: Comparison of Nike and Key Competitors</w:t>
      </w:r>
    </w:p>
    <w:p w14:paraId="16FAF5D6" w14:textId="77777777" w:rsidR="00090F31" w:rsidRPr="008C3235" w:rsidRDefault="00090F31" w:rsidP="00090F31">
      <w:pPr>
        <w:spacing w:line="360" w:lineRule="auto"/>
        <w:rPr>
          <w:rFonts w:ascii="Arial" w:hAnsi="Arial" w:cs="Arial"/>
          <w:sz w:val="24"/>
          <w:szCs w:val="24"/>
        </w:rPr>
      </w:pPr>
      <w:r w:rsidRPr="008C3235">
        <w:rPr>
          <w:rFonts w:ascii="Arial" w:hAnsi="Arial" w:cs="Arial"/>
          <w:i/>
          <w:iCs/>
          <w:sz w:val="24"/>
          <w:szCs w:val="24"/>
        </w:rPr>
        <w:t>Source: adapted from Statista (2023), Nike, Inc. (2023a), Adidas Annual Report (2023), Skechers Annual Report (2023).</w:t>
      </w:r>
    </w:p>
    <w:p w14:paraId="34B5BE20" w14:textId="77777777" w:rsidR="00090F31" w:rsidRPr="00AF768D" w:rsidRDefault="00B7504B" w:rsidP="00AF768D">
      <w:pPr>
        <w:spacing w:line="360" w:lineRule="auto"/>
        <w:jc w:val="both"/>
        <w:rPr>
          <w:rFonts w:ascii="Arial" w:hAnsi="Arial" w:cs="Arial"/>
          <w:sz w:val="24"/>
          <w:szCs w:val="24"/>
        </w:rPr>
      </w:pPr>
      <w:r w:rsidRPr="00B7504B">
        <w:rPr>
          <w:rFonts w:ascii="Arial" w:hAnsi="Arial" w:cs="Arial"/>
          <w:sz w:val="24"/>
          <w:szCs w:val="24"/>
        </w:rPr>
        <w:t xml:space="preserve">The strategic position of Nike can be explained by the comparison between the company and key players in the global athletic footwear and apparel industry. Despite Nike staying on the top of the market, other companies like Adidas and Skechers are providing strong competition with their tactics, using different approaches to the market, like lifestyle branding, value pricing, and comfort technology. The competitors of Nike operate using a more </w:t>
      </w:r>
      <w:proofErr w:type="spellStart"/>
      <w:r w:rsidRPr="00B7504B">
        <w:rPr>
          <w:rFonts w:ascii="Arial" w:hAnsi="Arial" w:cs="Arial"/>
          <w:sz w:val="24"/>
          <w:szCs w:val="24"/>
        </w:rPr>
        <w:t>specialised</w:t>
      </w:r>
      <w:proofErr w:type="spellEnd"/>
      <w:r w:rsidRPr="00B7504B">
        <w:rPr>
          <w:rFonts w:ascii="Arial" w:hAnsi="Arial" w:cs="Arial"/>
          <w:sz w:val="24"/>
          <w:szCs w:val="24"/>
        </w:rPr>
        <w:t xml:space="preserve"> or price sensitive strategy, whereas it uses innovation, premium brand equity, endorsements, and its </w:t>
      </w:r>
      <w:proofErr w:type="gramStart"/>
      <w:r w:rsidRPr="00B7504B">
        <w:rPr>
          <w:rFonts w:ascii="Arial" w:hAnsi="Arial" w:cs="Arial"/>
          <w:sz w:val="24"/>
          <w:szCs w:val="24"/>
        </w:rPr>
        <w:t>direct to consumer</w:t>
      </w:r>
      <w:proofErr w:type="gramEnd"/>
      <w:r w:rsidRPr="00B7504B">
        <w:rPr>
          <w:rFonts w:ascii="Arial" w:hAnsi="Arial" w:cs="Arial"/>
          <w:sz w:val="24"/>
          <w:szCs w:val="24"/>
        </w:rPr>
        <w:t xml:space="preserve"> ecosystem (Statista, 2023; Nike, Inc., 2023a). Its strength is the high positioning and long-term differentiation. The nearest threat is Adidas, which still has to invest in the innovation and cultural relevance on the global level.</w:t>
      </w:r>
    </w:p>
    <w:p w14:paraId="3B4BB1FC" w14:textId="77777777" w:rsidR="00C2731F" w:rsidRDefault="00C2731F">
      <w:pPr>
        <w:rPr>
          <w:rFonts w:ascii="Arial" w:hAnsi="Arial" w:cs="Arial"/>
          <w:b/>
          <w:bCs/>
          <w:sz w:val="24"/>
          <w:szCs w:val="24"/>
        </w:rPr>
      </w:pPr>
      <w:r>
        <w:rPr>
          <w:rFonts w:ascii="Arial" w:hAnsi="Arial" w:cs="Arial"/>
          <w:b/>
          <w:bCs/>
          <w:sz w:val="24"/>
          <w:szCs w:val="24"/>
        </w:rPr>
        <w:br w:type="page"/>
      </w:r>
    </w:p>
    <w:p w14:paraId="61F7DAA6"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lastRenderedPageBreak/>
        <w:t>2.0 External and Internal Environment Analysis.</w:t>
      </w:r>
    </w:p>
    <w:p w14:paraId="7C8C04CB"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t>2.1 External Environment: PESTEL Analysis.</w:t>
      </w:r>
    </w:p>
    <w:p w14:paraId="22A0CE91"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To judge strategic decisions of Nike, it is important to have a comprehensive grasp of the macro-environmental forces that have been forming its strategic environment. The PESTEL framework offers a conceptual approach to the external environment of an </w:t>
      </w:r>
      <w:proofErr w:type="spellStart"/>
      <w:r w:rsidRPr="00AF768D">
        <w:rPr>
          <w:rFonts w:ascii="Arial" w:hAnsi="Arial" w:cs="Arial"/>
          <w:sz w:val="24"/>
          <w:szCs w:val="24"/>
        </w:rPr>
        <w:t>organisation</w:t>
      </w:r>
      <w:proofErr w:type="spellEnd"/>
      <w:r w:rsidRPr="00AF768D">
        <w:rPr>
          <w:rFonts w:ascii="Arial" w:hAnsi="Arial" w:cs="Arial"/>
          <w:sz w:val="24"/>
          <w:szCs w:val="24"/>
        </w:rPr>
        <w:t xml:space="preserve"> in terms of political, economic, social, technological, environmental, and legal influences (Johnson, Whittington and Scholes, 2017).</w:t>
      </w:r>
    </w:p>
    <w:p w14:paraId="0E215D08"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t>Political Factors</w:t>
      </w:r>
    </w:p>
    <w:p w14:paraId="30FAB2E8"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Nike has a supply chain that is globally spread, thus being highly vulnerable to the dynamics of geopolitics. The rising trade tension between the United States and China, which also involved the imposition of tariffs under Trump and still under other subsequent policies, has added to the cost of inputs and created a substantial uncertainty regarding Nike sourcing strategy (Gereffi, 2018). What is more, political instability in principal countries of production like Vietnam that make about 50 percent of Nike shoes is a threat to its operations. In 2021, the lockdowns to control the COVID-19 epidemic in Vietnamese factories caused the loss of revenue of up to 4 billion dollars (Bloomberg, 2021). The strategic reaction of Nike has been the progressive diversification of its supply chain, including going to countries like Indonesia and India, which is a politically informed risk-mitigation approach, which is relevant to the prescriptions of the contingency planning literature (Thompson et al., 2021).</w:t>
      </w:r>
    </w:p>
    <w:p w14:paraId="1CAE2E33"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t>Economic Factors</w:t>
      </w:r>
    </w:p>
    <w:p w14:paraId="612F0BAE"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The economic instability in the world, such as inflationary forces, fluctuating exchange rates, and changes in consumer spending are direct effects on the performance of Nike. The inflationary situation in the post-pandemic period in North America and Europe has strained consumer discretionary consumption, compelling Nike to promote more, and deal with a high level of inventory (Nike, Inc., 2023a). On the other hand, emerging economies such as China and Southeast Asia have a significant growth potential in the rising middle class (McKinsey and Company, 2022). The pricing strategy shows that Nike is sensitive to the macroeconomic environment and thus this concept is strategic; it is priced high in developed markets and affordability in developing markets, showing that it operates following the Porters (1980) theory.</w:t>
      </w:r>
    </w:p>
    <w:p w14:paraId="64DFF20B"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lastRenderedPageBreak/>
        <w:t>Social Factors</w:t>
      </w:r>
    </w:p>
    <w:p w14:paraId="7E55760C"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The strategic direction of Nike is highly influenced by the sociocultural trends. The sustained demand has been brought on by the pandemic in relation to athletic and athleisure products as a result of global health and wellness movement (Euromonitor International, 2023). Furthermore, the rising consumer </w:t>
      </w:r>
      <w:proofErr w:type="spellStart"/>
      <w:r w:rsidRPr="00AF768D">
        <w:rPr>
          <w:rFonts w:ascii="Arial" w:hAnsi="Arial" w:cs="Arial"/>
          <w:sz w:val="24"/>
          <w:szCs w:val="24"/>
        </w:rPr>
        <w:t>sensitisation</w:t>
      </w:r>
      <w:proofErr w:type="spellEnd"/>
      <w:r w:rsidRPr="00AF768D">
        <w:rPr>
          <w:rFonts w:ascii="Arial" w:hAnsi="Arial" w:cs="Arial"/>
          <w:sz w:val="24"/>
          <w:szCs w:val="24"/>
        </w:rPr>
        <w:t xml:space="preserve"> related to social justice, diversity and ethical consumption has put Nike under pressure to demonstrate real dedication to these. The 2018 Nike campaign starring Colin Kaepernick was </w:t>
      </w:r>
      <w:proofErr w:type="spellStart"/>
      <w:r w:rsidRPr="00AF768D">
        <w:rPr>
          <w:rFonts w:ascii="Arial" w:hAnsi="Arial" w:cs="Arial"/>
          <w:sz w:val="24"/>
          <w:szCs w:val="24"/>
        </w:rPr>
        <w:t>polarising</w:t>
      </w:r>
      <w:proofErr w:type="spellEnd"/>
      <w:r w:rsidRPr="00AF768D">
        <w:rPr>
          <w:rFonts w:ascii="Arial" w:hAnsi="Arial" w:cs="Arial"/>
          <w:sz w:val="24"/>
          <w:szCs w:val="24"/>
        </w:rPr>
        <w:t xml:space="preserve">, but created a massive number of brand interactions and reported that online sales grew by 31 percent during the first hours of the campaign (Edison Trends, 2018). But the risk of this socially responsive positioning is that accusations of workplace culture problems and </w:t>
      </w:r>
      <w:proofErr w:type="spellStart"/>
      <w:r w:rsidRPr="00AF768D">
        <w:rPr>
          <w:rFonts w:ascii="Arial" w:hAnsi="Arial" w:cs="Arial"/>
          <w:sz w:val="24"/>
          <w:szCs w:val="24"/>
        </w:rPr>
        <w:t>labour</w:t>
      </w:r>
      <w:proofErr w:type="spellEnd"/>
      <w:r w:rsidRPr="00AF768D">
        <w:rPr>
          <w:rFonts w:ascii="Arial" w:hAnsi="Arial" w:cs="Arial"/>
          <w:sz w:val="24"/>
          <w:szCs w:val="24"/>
        </w:rPr>
        <w:t xml:space="preserve"> practices accusations in supplier chain factories have occasionally hurt the brand social credibility (Nisen, 2013).</w:t>
      </w:r>
    </w:p>
    <w:p w14:paraId="2F9E9356"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t>Technological Factors</w:t>
      </w:r>
    </w:p>
    <w:p w14:paraId="71871026"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Nike highly depends on technology as a key facilitator in its competitive strategy. The company has also spent a lot of money in digital transformation through the implementation of data analytics, artificial intelligence, and machine learning to tailor consumer experience and streamline supply chain processes. The purchase of the predictive analytics companies like </w:t>
      </w:r>
      <w:proofErr w:type="spellStart"/>
      <w:r w:rsidRPr="00AF768D">
        <w:rPr>
          <w:rFonts w:ascii="Arial" w:hAnsi="Arial" w:cs="Arial"/>
          <w:sz w:val="24"/>
          <w:szCs w:val="24"/>
        </w:rPr>
        <w:t>Celect</w:t>
      </w:r>
      <w:proofErr w:type="spellEnd"/>
      <w:r w:rsidRPr="00AF768D">
        <w:rPr>
          <w:rFonts w:ascii="Arial" w:hAnsi="Arial" w:cs="Arial"/>
          <w:sz w:val="24"/>
          <w:szCs w:val="24"/>
        </w:rPr>
        <w:t xml:space="preserve"> (2019) and </w:t>
      </w:r>
      <w:proofErr w:type="spellStart"/>
      <w:r w:rsidRPr="00AF768D">
        <w:rPr>
          <w:rFonts w:ascii="Arial" w:hAnsi="Arial" w:cs="Arial"/>
          <w:sz w:val="24"/>
          <w:szCs w:val="24"/>
        </w:rPr>
        <w:t>Datalogue</w:t>
      </w:r>
      <w:proofErr w:type="spellEnd"/>
      <w:r w:rsidRPr="00AF768D">
        <w:rPr>
          <w:rFonts w:ascii="Arial" w:hAnsi="Arial" w:cs="Arial"/>
          <w:sz w:val="24"/>
          <w:szCs w:val="24"/>
        </w:rPr>
        <w:t xml:space="preserve"> (2021) is indicative of Nike into a data-driven consumer engagement model (Hoang, 2022). Furthermore, as illustrated in the case of Nike </w:t>
      </w:r>
      <w:proofErr w:type="spellStart"/>
      <w:r w:rsidRPr="00AF768D">
        <w:rPr>
          <w:rFonts w:ascii="Arial" w:hAnsi="Arial" w:cs="Arial"/>
          <w:sz w:val="24"/>
          <w:szCs w:val="24"/>
        </w:rPr>
        <w:t>Flyknit</w:t>
      </w:r>
      <w:proofErr w:type="spellEnd"/>
      <w:r w:rsidRPr="00AF768D">
        <w:rPr>
          <w:rFonts w:ascii="Arial" w:hAnsi="Arial" w:cs="Arial"/>
          <w:sz w:val="24"/>
          <w:szCs w:val="24"/>
        </w:rPr>
        <w:t xml:space="preserve"> and Nike Air, the technological innovation applied in product design provides differentiation and increases the perceived value which is in line with the </w:t>
      </w:r>
      <w:proofErr w:type="gramStart"/>
      <w:r w:rsidRPr="00AF768D">
        <w:rPr>
          <w:rFonts w:ascii="Arial" w:hAnsi="Arial" w:cs="Arial"/>
          <w:sz w:val="24"/>
          <w:szCs w:val="24"/>
        </w:rPr>
        <w:t>resource based</w:t>
      </w:r>
      <w:proofErr w:type="gramEnd"/>
      <w:r w:rsidRPr="00AF768D">
        <w:rPr>
          <w:rFonts w:ascii="Arial" w:hAnsi="Arial" w:cs="Arial"/>
          <w:sz w:val="24"/>
          <w:szCs w:val="24"/>
        </w:rPr>
        <w:t xml:space="preserve"> view that places importance on capabilities that are inimitable (Barney, 1991).</w:t>
      </w:r>
    </w:p>
    <w:p w14:paraId="65836DB3"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t>Environmental Factors</w:t>
      </w:r>
    </w:p>
    <w:p w14:paraId="7E145B71"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The sustainability of the environment has turned out to be a strategic imperative. Nike continues to be subject to growing regulatory pressures and calls to be environmentally responsible by consumers. The Move to Zero program set by the company focuses on zero carbon, and zero waste, and some of its promises include: 100% renewable energy in owned-and-operated facilities by 2025 (Nike, Inc., 2022). The production of items out of recycled materials like the Space Hippie line created out of factory waste proves to be strategically aligned with the paradigm of the circular economy (McDonough and </w:t>
      </w:r>
      <w:proofErr w:type="spellStart"/>
      <w:r w:rsidRPr="00AF768D">
        <w:rPr>
          <w:rFonts w:ascii="Arial" w:hAnsi="Arial" w:cs="Arial"/>
          <w:sz w:val="24"/>
          <w:szCs w:val="24"/>
        </w:rPr>
        <w:t>Braungart</w:t>
      </w:r>
      <w:proofErr w:type="spellEnd"/>
      <w:r w:rsidRPr="00AF768D">
        <w:rPr>
          <w:rFonts w:ascii="Arial" w:hAnsi="Arial" w:cs="Arial"/>
          <w:sz w:val="24"/>
          <w:szCs w:val="24"/>
        </w:rPr>
        <w:t xml:space="preserve">, 2002). However, critics argue that these efforts, </w:t>
      </w:r>
      <w:r w:rsidRPr="00AF768D">
        <w:rPr>
          <w:rFonts w:ascii="Arial" w:hAnsi="Arial" w:cs="Arial"/>
          <w:sz w:val="24"/>
          <w:szCs w:val="24"/>
        </w:rPr>
        <w:lastRenderedPageBreak/>
        <w:t>good as they may be, are inadequate considering the extent to which the fashion industry impacts the environment (Fletcher, 2014).</w:t>
      </w:r>
    </w:p>
    <w:p w14:paraId="6E050212"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t>Legal Factors</w:t>
      </w:r>
    </w:p>
    <w:p w14:paraId="512D6ED7"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Nike is also in a complicated international regulatory environment that includes intellectual property regulations, employment regulations, advertising regulations and data protection regulations. The implementation of the EU General Data Protection Regulation (GDPR) has also led to a high spending </w:t>
      </w:r>
      <w:proofErr w:type="gramStart"/>
      <w:r w:rsidRPr="00AF768D">
        <w:rPr>
          <w:rFonts w:ascii="Arial" w:hAnsi="Arial" w:cs="Arial"/>
          <w:sz w:val="24"/>
          <w:szCs w:val="24"/>
        </w:rPr>
        <w:t>on data</w:t>
      </w:r>
      <w:proofErr w:type="gramEnd"/>
      <w:r w:rsidRPr="00AF768D">
        <w:rPr>
          <w:rFonts w:ascii="Arial" w:hAnsi="Arial" w:cs="Arial"/>
          <w:sz w:val="24"/>
          <w:szCs w:val="24"/>
        </w:rPr>
        <w:t xml:space="preserve"> governance infrastructure to support the increasing digital platforms of Nike (Voigt and Von dem </w:t>
      </w:r>
      <w:proofErr w:type="spellStart"/>
      <w:r w:rsidRPr="00AF768D">
        <w:rPr>
          <w:rFonts w:ascii="Arial" w:hAnsi="Arial" w:cs="Arial"/>
          <w:sz w:val="24"/>
          <w:szCs w:val="24"/>
        </w:rPr>
        <w:t>Bussche</w:t>
      </w:r>
      <w:proofErr w:type="spellEnd"/>
      <w:r w:rsidRPr="00AF768D">
        <w:rPr>
          <w:rFonts w:ascii="Arial" w:hAnsi="Arial" w:cs="Arial"/>
          <w:sz w:val="24"/>
          <w:szCs w:val="24"/>
        </w:rPr>
        <w:t>, 2017). Additionally, continuous monitoring of counterfeiting and trademark infringement is on the strategic agenda, and Nike is to be found in several courts to secure its intellectual property portfolio in many jurisdictions (Nike, Inc., 2023a).</w:t>
      </w:r>
    </w:p>
    <w:p w14:paraId="57020326"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t>2.2 Strategic Challenges and Strategic Success Factors.</w:t>
      </w:r>
    </w:p>
    <w:p w14:paraId="033FA8DE"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Basing on the external analysis, one can identify a number of critical success factors that Nike possesses: product innovation that is never ending, brand authenticity and cultural relevance, development of digital ecosystem, and the resilience of the supply chain. Nevertheless, there are still many major issues such as the mounting competition that involves established competitors and the so-called disruptors (that operate straight to consumers) and the risk of geopolitics of the supply chain and the need to reconcile profitability with the real commitment to sustainability. According to Grant (2021), the ability to maintain a competitive advantage is becoming more and more reliant on the ability of an </w:t>
      </w:r>
      <w:proofErr w:type="spellStart"/>
      <w:r w:rsidRPr="00AF768D">
        <w:rPr>
          <w:rFonts w:ascii="Arial" w:hAnsi="Arial" w:cs="Arial"/>
          <w:sz w:val="24"/>
          <w:szCs w:val="24"/>
        </w:rPr>
        <w:t>organisation</w:t>
      </w:r>
      <w:proofErr w:type="spellEnd"/>
      <w:r w:rsidRPr="00AF768D">
        <w:rPr>
          <w:rFonts w:ascii="Arial" w:hAnsi="Arial" w:cs="Arial"/>
          <w:sz w:val="24"/>
          <w:szCs w:val="24"/>
        </w:rPr>
        <w:t xml:space="preserve"> to dynamically adapt internal competencies to the changing external environment at a rapid pace, and that is an issue that Nike has to navigate over and over again.</w:t>
      </w:r>
    </w:p>
    <w:p w14:paraId="3C3DFAE1"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t>2.3 Analysis of the Internal Environment.</w:t>
      </w:r>
    </w:p>
    <w:p w14:paraId="30CE665A" w14:textId="77777777" w:rsidR="00735E87" w:rsidRPr="00735E87"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To analyze the internal environment of Nike, it is necessary to analyze its main resources, capabilities, and core competencies. Resource-based view (RBV) of the firm is the assumption made that the enduring competitive advantage is a result of valuable resources and capabilities that are rare, inimitable, and supported by the </w:t>
      </w:r>
      <w:proofErr w:type="spellStart"/>
      <w:r w:rsidRPr="00AF768D">
        <w:rPr>
          <w:rFonts w:ascii="Arial" w:hAnsi="Arial" w:cs="Arial"/>
          <w:sz w:val="24"/>
          <w:szCs w:val="24"/>
        </w:rPr>
        <w:t>organisation</w:t>
      </w:r>
      <w:proofErr w:type="spellEnd"/>
      <w:r w:rsidRPr="00AF768D">
        <w:rPr>
          <w:rFonts w:ascii="Arial" w:hAnsi="Arial" w:cs="Arial"/>
          <w:sz w:val="24"/>
          <w:szCs w:val="24"/>
        </w:rPr>
        <w:t xml:space="preserve"> (Barney, 1991). The VRIO framework offers a systematic way of doing this assessment.</w:t>
      </w:r>
    </w:p>
    <w:p w14:paraId="793968A7" w14:textId="77777777" w:rsidR="009C04CB" w:rsidRPr="00735E87" w:rsidRDefault="009C04CB" w:rsidP="00AF768D">
      <w:pPr>
        <w:spacing w:line="360" w:lineRule="auto"/>
        <w:jc w:val="both"/>
        <w:rPr>
          <w:rFonts w:ascii="Arial" w:hAnsi="Arial" w:cs="Arial"/>
          <w:sz w:val="24"/>
          <w:szCs w:val="24"/>
        </w:rPr>
      </w:pPr>
      <w:r w:rsidRPr="00735E87">
        <w:rPr>
          <w:rFonts w:ascii="Arial" w:hAnsi="Arial" w:cs="Arial"/>
          <w:b/>
          <w:bCs/>
          <w:sz w:val="24"/>
          <w:szCs w:val="24"/>
        </w:rPr>
        <w:t>VRIO Analysis</w:t>
      </w:r>
    </w:p>
    <w:tbl>
      <w:tblPr>
        <w:tblStyle w:val="TableGrid"/>
        <w:tblpPr w:leftFromText="180" w:rightFromText="180" w:vertAnchor="text" w:horzAnchor="margin" w:tblpXSpec="center" w:tblpY="328"/>
        <w:tblW w:w="10435" w:type="dxa"/>
        <w:tblLook w:val="04A0" w:firstRow="1" w:lastRow="0" w:firstColumn="1" w:lastColumn="0" w:noHBand="0" w:noVBand="1"/>
      </w:tblPr>
      <w:tblGrid>
        <w:gridCol w:w="2524"/>
        <w:gridCol w:w="1204"/>
        <w:gridCol w:w="1831"/>
        <w:gridCol w:w="1170"/>
        <w:gridCol w:w="2097"/>
        <w:gridCol w:w="1609"/>
      </w:tblGrid>
      <w:tr w:rsidR="009C04CB" w:rsidRPr="00AF768D" w14:paraId="1FF01D66" w14:textId="77777777" w:rsidTr="009C04CB">
        <w:trPr>
          <w:trHeight w:val="898"/>
        </w:trPr>
        <w:tc>
          <w:tcPr>
            <w:tcW w:w="2524" w:type="dxa"/>
            <w:noWrap/>
            <w:hideMark/>
          </w:tcPr>
          <w:p w14:paraId="2A70C655" w14:textId="77777777" w:rsidR="009C04CB" w:rsidRPr="00735E87" w:rsidRDefault="009C04CB" w:rsidP="00AF768D">
            <w:pPr>
              <w:spacing w:after="160" w:line="360" w:lineRule="auto"/>
              <w:jc w:val="both"/>
              <w:rPr>
                <w:rFonts w:ascii="Arial" w:hAnsi="Arial" w:cs="Arial"/>
                <w:b/>
                <w:bCs/>
                <w:sz w:val="24"/>
                <w:szCs w:val="24"/>
              </w:rPr>
            </w:pPr>
            <w:r w:rsidRPr="00735E87">
              <w:rPr>
                <w:rFonts w:ascii="Arial" w:hAnsi="Arial" w:cs="Arial"/>
                <w:b/>
                <w:bCs/>
                <w:sz w:val="24"/>
                <w:szCs w:val="24"/>
              </w:rPr>
              <w:lastRenderedPageBreak/>
              <w:t>Resource/Capability</w:t>
            </w:r>
          </w:p>
        </w:tc>
        <w:tc>
          <w:tcPr>
            <w:tcW w:w="1204" w:type="dxa"/>
            <w:noWrap/>
            <w:hideMark/>
          </w:tcPr>
          <w:p w14:paraId="43756180" w14:textId="77777777" w:rsidR="009C04CB" w:rsidRPr="00735E87" w:rsidRDefault="009C04CB" w:rsidP="00AF768D">
            <w:pPr>
              <w:spacing w:after="160" w:line="360" w:lineRule="auto"/>
              <w:jc w:val="both"/>
              <w:rPr>
                <w:rFonts w:ascii="Arial" w:hAnsi="Arial" w:cs="Arial"/>
                <w:b/>
                <w:bCs/>
                <w:sz w:val="24"/>
                <w:szCs w:val="24"/>
              </w:rPr>
            </w:pPr>
            <w:r w:rsidRPr="00735E87">
              <w:rPr>
                <w:rFonts w:ascii="Arial" w:hAnsi="Arial" w:cs="Arial"/>
                <w:b/>
                <w:bCs/>
                <w:sz w:val="24"/>
                <w:szCs w:val="24"/>
              </w:rPr>
              <w:t>Valuable</w:t>
            </w:r>
          </w:p>
        </w:tc>
        <w:tc>
          <w:tcPr>
            <w:tcW w:w="1831" w:type="dxa"/>
            <w:noWrap/>
            <w:hideMark/>
          </w:tcPr>
          <w:p w14:paraId="092A554D" w14:textId="77777777" w:rsidR="009C04CB" w:rsidRPr="00735E87" w:rsidRDefault="009C04CB" w:rsidP="00AF768D">
            <w:pPr>
              <w:spacing w:after="160" w:line="360" w:lineRule="auto"/>
              <w:jc w:val="both"/>
              <w:rPr>
                <w:rFonts w:ascii="Arial" w:hAnsi="Arial" w:cs="Arial"/>
                <w:b/>
                <w:bCs/>
                <w:sz w:val="24"/>
                <w:szCs w:val="24"/>
              </w:rPr>
            </w:pPr>
            <w:r w:rsidRPr="00735E87">
              <w:rPr>
                <w:rFonts w:ascii="Arial" w:hAnsi="Arial" w:cs="Arial"/>
                <w:b/>
                <w:bCs/>
                <w:sz w:val="24"/>
                <w:szCs w:val="24"/>
              </w:rPr>
              <w:t>Rare</w:t>
            </w:r>
          </w:p>
        </w:tc>
        <w:tc>
          <w:tcPr>
            <w:tcW w:w="1170" w:type="dxa"/>
            <w:noWrap/>
            <w:hideMark/>
          </w:tcPr>
          <w:p w14:paraId="381730BB" w14:textId="77777777" w:rsidR="009C04CB" w:rsidRPr="00735E87" w:rsidRDefault="009C04CB" w:rsidP="00AF768D">
            <w:pPr>
              <w:spacing w:after="160" w:line="360" w:lineRule="auto"/>
              <w:jc w:val="both"/>
              <w:rPr>
                <w:rFonts w:ascii="Arial" w:hAnsi="Arial" w:cs="Arial"/>
                <w:b/>
                <w:bCs/>
                <w:sz w:val="24"/>
                <w:szCs w:val="24"/>
              </w:rPr>
            </w:pPr>
            <w:r w:rsidRPr="00735E87">
              <w:rPr>
                <w:rFonts w:ascii="Arial" w:hAnsi="Arial" w:cs="Arial"/>
                <w:b/>
                <w:bCs/>
                <w:sz w:val="24"/>
                <w:szCs w:val="24"/>
              </w:rPr>
              <w:t>Costly to Imitate</w:t>
            </w:r>
          </w:p>
        </w:tc>
        <w:tc>
          <w:tcPr>
            <w:tcW w:w="2097" w:type="dxa"/>
            <w:noWrap/>
            <w:hideMark/>
          </w:tcPr>
          <w:p w14:paraId="6CB553E4" w14:textId="77777777" w:rsidR="009C04CB" w:rsidRPr="00735E87" w:rsidRDefault="009C04CB" w:rsidP="00AF768D">
            <w:pPr>
              <w:spacing w:after="160" w:line="360" w:lineRule="auto"/>
              <w:jc w:val="both"/>
              <w:rPr>
                <w:rFonts w:ascii="Arial" w:hAnsi="Arial" w:cs="Arial"/>
                <w:b/>
                <w:bCs/>
                <w:sz w:val="24"/>
                <w:szCs w:val="24"/>
              </w:rPr>
            </w:pPr>
            <w:proofErr w:type="spellStart"/>
            <w:r w:rsidRPr="00735E87">
              <w:rPr>
                <w:rFonts w:ascii="Arial" w:hAnsi="Arial" w:cs="Arial"/>
                <w:b/>
                <w:bCs/>
                <w:sz w:val="24"/>
                <w:szCs w:val="24"/>
              </w:rPr>
              <w:t>Organisationally</w:t>
            </w:r>
            <w:proofErr w:type="spellEnd"/>
            <w:r w:rsidRPr="00735E87">
              <w:rPr>
                <w:rFonts w:ascii="Arial" w:hAnsi="Arial" w:cs="Arial"/>
                <w:b/>
                <w:bCs/>
                <w:sz w:val="24"/>
                <w:szCs w:val="24"/>
              </w:rPr>
              <w:t xml:space="preserve"> Supported</w:t>
            </w:r>
          </w:p>
        </w:tc>
        <w:tc>
          <w:tcPr>
            <w:tcW w:w="1609" w:type="dxa"/>
            <w:noWrap/>
            <w:hideMark/>
          </w:tcPr>
          <w:p w14:paraId="0360497E" w14:textId="77777777" w:rsidR="009C04CB" w:rsidRPr="00735E87" w:rsidRDefault="009C04CB" w:rsidP="00AF768D">
            <w:pPr>
              <w:spacing w:after="160" w:line="360" w:lineRule="auto"/>
              <w:jc w:val="both"/>
              <w:rPr>
                <w:rFonts w:ascii="Arial" w:hAnsi="Arial" w:cs="Arial"/>
                <w:b/>
                <w:bCs/>
                <w:sz w:val="24"/>
                <w:szCs w:val="24"/>
              </w:rPr>
            </w:pPr>
            <w:r w:rsidRPr="00735E87">
              <w:rPr>
                <w:rFonts w:ascii="Arial" w:hAnsi="Arial" w:cs="Arial"/>
                <w:b/>
                <w:bCs/>
                <w:sz w:val="24"/>
                <w:szCs w:val="24"/>
              </w:rPr>
              <w:t>Competitive Implication</w:t>
            </w:r>
          </w:p>
        </w:tc>
      </w:tr>
      <w:tr w:rsidR="009C04CB" w:rsidRPr="00AF768D" w14:paraId="414E736D" w14:textId="77777777" w:rsidTr="009C04CB">
        <w:trPr>
          <w:trHeight w:val="1547"/>
        </w:trPr>
        <w:tc>
          <w:tcPr>
            <w:tcW w:w="2524" w:type="dxa"/>
            <w:hideMark/>
          </w:tcPr>
          <w:p w14:paraId="59A4957D"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Brand Equity ("Swoosh" and "Just Do It")</w:t>
            </w:r>
          </w:p>
        </w:tc>
        <w:tc>
          <w:tcPr>
            <w:tcW w:w="1204" w:type="dxa"/>
            <w:hideMark/>
          </w:tcPr>
          <w:p w14:paraId="1A07C889"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831" w:type="dxa"/>
            <w:hideMark/>
          </w:tcPr>
          <w:p w14:paraId="37A4E75E"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170" w:type="dxa"/>
            <w:hideMark/>
          </w:tcPr>
          <w:p w14:paraId="4C4CD272"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2097" w:type="dxa"/>
            <w:hideMark/>
          </w:tcPr>
          <w:p w14:paraId="3A323C53"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609" w:type="dxa"/>
            <w:hideMark/>
          </w:tcPr>
          <w:p w14:paraId="34411EFC"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Sustained Competitive Advantage</w:t>
            </w:r>
          </w:p>
        </w:tc>
      </w:tr>
      <w:tr w:rsidR="009C04CB" w:rsidRPr="00AF768D" w14:paraId="0861A0E9" w14:textId="77777777" w:rsidTr="009C04CB">
        <w:trPr>
          <w:trHeight w:val="1340"/>
        </w:trPr>
        <w:tc>
          <w:tcPr>
            <w:tcW w:w="2524" w:type="dxa"/>
            <w:hideMark/>
          </w:tcPr>
          <w:p w14:paraId="79AEFA2E"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Product Innovation (</w:t>
            </w:r>
            <w:proofErr w:type="spellStart"/>
            <w:r w:rsidRPr="00735E87">
              <w:rPr>
                <w:rFonts w:ascii="Arial" w:hAnsi="Arial" w:cs="Arial"/>
                <w:sz w:val="24"/>
                <w:szCs w:val="24"/>
              </w:rPr>
              <w:t>Flyknit</w:t>
            </w:r>
            <w:proofErr w:type="spellEnd"/>
            <w:r w:rsidRPr="00735E87">
              <w:rPr>
                <w:rFonts w:ascii="Arial" w:hAnsi="Arial" w:cs="Arial"/>
                <w:sz w:val="24"/>
                <w:szCs w:val="24"/>
              </w:rPr>
              <w:t xml:space="preserve">, Air Max, </w:t>
            </w:r>
            <w:proofErr w:type="spellStart"/>
            <w:r w:rsidRPr="00735E87">
              <w:rPr>
                <w:rFonts w:ascii="Arial" w:hAnsi="Arial" w:cs="Arial"/>
                <w:sz w:val="24"/>
                <w:szCs w:val="24"/>
              </w:rPr>
              <w:t>Vaporfly</w:t>
            </w:r>
            <w:proofErr w:type="spellEnd"/>
            <w:r w:rsidRPr="00735E87">
              <w:rPr>
                <w:rFonts w:ascii="Arial" w:hAnsi="Arial" w:cs="Arial"/>
                <w:sz w:val="24"/>
                <w:szCs w:val="24"/>
              </w:rPr>
              <w:t>)</w:t>
            </w:r>
          </w:p>
        </w:tc>
        <w:tc>
          <w:tcPr>
            <w:tcW w:w="1204" w:type="dxa"/>
            <w:hideMark/>
          </w:tcPr>
          <w:p w14:paraId="48C0B1E5"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831" w:type="dxa"/>
            <w:hideMark/>
          </w:tcPr>
          <w:p w14:paraId="23756959"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170" w:type="dxa"/>
            <w:hideMark/>
          </w:tcPr>
          <w:p w14:paraId="6A5735EC"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2097" w:type="dxa"/>
            <w:hideMark/>
          </w:tcPr>
          <w:p w14:paraId="2EBCA096"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609" w:type="dxa"/>
            <w:hideMark/>
          </w:tcPr>
          <w:p w14:paraId="15696C04"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Sustained Competitive Advantage</w:t>
            </w:r>
          </w:p>
        </w:tc>
      </w:tr>
      <w:tr w:rsidR="009C04CB" w:rsidRPr="00AF768D" w14:paraId="0BCA0253" w14:textId="77777777" w:rsidTr="009C04CB">
        <w:trPr>
          <w:trHeight w:val="1286"/>
        </w:trPr>
        <w:tc>
          <w:tcPr>
            <w:tcW w:w="2524" w:type="dxa"/>
            <w:hideMark/>
          </w:tcPr>
          <w:p w14:paraId="2466BAC0"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DTC Digital Ecosystem</w:t>
            </w:r>
          </w:p>
        </w:tc>
        <w:tc>
          <w:tcPr>
            <w:tcW w:w="1204" w:type="dxa"/>
            <w:hideMark/>
          </w:tcPr>
          <w:p w14:paraId="141722C2"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831" w:type="dxa"/>
            <w:hideMark/>
          </w:tcPr>
          <w:p w14:paraId="569D1922"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170" w:type="dxa"/>
            <w:hideMark/>
          </w:tcPr>
          <w:p w14:paraId="63DA1114"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Partially</w:t>
            </w:r>
          </w:p>
        </w:tc>
        <w:tc>
          <w:tcPr>
            <w:tcW w:w="2097" w:type="dxa"/>
            <w:hideMark/>
          </w:tcPr>
          <w:p w14:paraId="3FCE2367"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609" w:type="dxa"/>
            <w:hideMark/>
          </w:tcPr>
          <w:p w14:paraId="6230F8EA"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Temporary to Sustained Advantage</w:t>
            </w:r>
          </w:p>
        </w:tc>
      </w:tr>
      <w:tr w:rsidR="009C04CB" w:rsidRPr="00AF768D" w14:paraId="4878859E" w14:textId="77777777" w:rsidTr="009C04CB">
        <w:trPr>
          <w:trHeight w:val="1535"/>
        </w:trPr>
        <w:tc>
          <w:tcPr>
            <w:tcW w:w="2524" w:type="dxa"/>
            <w:hideMark/>
          </w:tcPr>
          <w:p w14:paraId="5FC7F168"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Athlete Endorsement Portfolio</w:t>
            </w:r>
          </w:p>
        </w:tc>
        <w:tc>
          <w:tcPr>
            <w:tcW w:w="1204" w:type="dxa"/>
            <w:hideMark/>
          </w:tcPr>
          <w:p w14:paraId="14851905"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831" w:type="dxa"/>
            <w:hideMark/>
          </w:tcPr>
          <w:p w14:paraId="511DA06B"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170" w:type="dxa"/>
            <w:hideMark/>
          </w:tcPr>
          <w:p w14:paraId="78A00D46"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Partially</w:t>
            </w:r>
          </w:p>
        </w:tc>
        <w:tc>
          <w:tcPr>
            <w:tcW w:w="2097" w:type="dxa"/>
            <w:hideMark/>
          </w:tcPr>
          <w:p w14:paraId="2F2A1F8E"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609" w:type="dxa"/>
            <w:hideMark/>
          </w:tcPr>
          <w:p w14:paraId="7E095E6D"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Temporary to Sustained Advantage</w:t>
            </w:r>
          </w:p>
        </w:tc>
      </w:tr>
      <w:tr w:rsidR="009C04CB" w:rsidRPr="00AF768D" w14:paraId="1801E5AA" w14:textId="77777777" w:rsidTr="009C04CB">
        <w:trPr>
          <w:trHeight w:val="935"/>
        </w:trPr>
        <w:tc>
          <w:tcPr>
            <w:tcW w:w="2524" w:type="dxa"/>
            <w:hideMark/>
          </w:tcPr>
          <w:p w14:paraId="52AAC85A"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Global Supply Chain Network</w:t>
            </w:r>
          </w:p>
        </w:tc>
        <w:tc>
          <w:tcPr>
            <w:tcW w:w="1204" w:type="dxa"/>
            <w:hideMark/>
          </w:tcPr>
          <w:p w14:paraId="7CD5093F"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831" w:type="dxa"/>
            <w:hideMark/>
          </w:tcPr>
          <w:p w14:paraId="13D0ACF3"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No</w:t>
            </w:r>
          </w:p>
        </w:tc>
        <w:tc>
          <w:tcPr>
            <w:tcW w:w="1170" w:type="dxa"/>
            <w:hideMark/>
          </w:tcPr>
          <w:p w14:paraId="4787B1E1"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No</w:t>
            </w:r>
          </w:p>
        </w:tc>
        <w:tc>
          <w:tcPr>
            <w:tcW w:w="2097" w:type="dxa"/>
            <w:hideMark/>
          </w:tcPr>
          <w:p w14:paraId="3BBFE925"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609" w:type="dxa"/>
            <w:hideMark/>
          </w:tcPr>
          <w:p w14:paraId="4C5FF334"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Competitive Parity</w:t>
            </w:r>
          </w:p>
        </w:tc>
      </w:tr>
      <w:tr w:rsidR="009C04CB" w:rsidRPr="00AF768D" w14:paraId="7A6181F9" w14:textId="77777777" w:rsidTr="009C04CB">
        <w:trPr>
          <w:trHeight w:val="899"/>
        </w:trPr>
        <w:tc>
          <w:tcPr>
            <w:tcW w:w="2524" w:type="dxa"/>
            <w:hideMark/>
          </w:tcPr>
          <w:p w14:paraId="1BD46115"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Data Analytics and AI Capabilities</w:t>
            </w:r>
          </w:p>
        </w:tc>
        <w:tc>
          <w:tcPr>
            <w:tcW w:w="1204" w:type="dxa"/>
            <w:hideMark/>
          </w:tcPr>
          <w:p w14:paraId="3D9D308E"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831" w:type="dxa"/>
            <w:hideMark/>
          </w:tcPr>
          <w:p w14:paraId="525C8DD4"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Partially</w:t>
            </w:r>
          </w:p>
        </w:tc>
        <w:tc>
          <w:tcPr>
            <w:tcW w:w="1170" w:type="dxa"/>
            <w:hideMark/>
          </w:tcPr>
          <w:p w14:paraId="43B9DA7A"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Partially</w:t>
            </w:r>
          </w:p>
        </w:tc>
        <w:tc>
          <w:tcPr>
            <w:tcW w:w="2097" w:type="dxa"/>
            <w:hideMark/>
          </w:tcPr>
          <w:p w14:paraId="4BFF59B4"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Yes</w:t>
            </w:r>
          </w:p>
        </w:tc>
        <w:tc>
          <w:tcPr>
            <w:tcW w:w="1609" w:type="dxa"/>
            <w:hideMark/>
          </w:tcPr>
          <w:p w14:paraId="1E213100" w14:textId="77777777" w:rsidR="009C04CB" w:rsidRPr="00735E87" w:rsidRDefault="009C04CB" w:rsidP="00AF768D">
            <w:pPr>
              <w:spacing w:after="160" w:line="360" w:lineRule="auto"/>
              <w:jc w:val="both"/>
              <w:rPr>
                <w:rFonts w:ascii="Arial" w:hAnsi="Arial" w:cs="Arial"/>
                <w:sz w:val="24"/>
                <w:szCs w:val="24"/>
              </w:rPr>
            </w:pPr>
            <w:r w:rsidRPr="00735E87">
              <w:rPr>
                <w:rFonts w:ascii="Arial" w:hAnsi="Arial" w:cs="Arial"/>
                <w:sz w:val="24"/>
                <w:szCs w:val="24"/>
              </w:rPr>
              <w:t>Temporary Competitive Advantage</w:t>
            </w:r>
          </w:p>
        </w:tc>
      </w:tr>
    </w:tbl>
    <w:p w14:paraId="09C41769" w14:textId="77777777" w:rsidR="009C04CB" w:rsidRPr="00AF768D" w:rsidRDefault="009C04CB" w:rsidP="00AF768D">
      <w:pPr>
        <w:jc w:val="both"/>
        <w:rPr>
          <w:rFonts w:ascii="Arial" w:hAnsi="Arial" w:cs="Arial"/>
          <w:b/>
          <w:bCs/>
          <w:sz w:val="24"/>
          <w:szCs w:val="24"/>
        </w:rPr>
      </w:pPr>
    </w:p>
    <w:p w14:paraId="42C2C4A0" w14:textId="77777777" w:rsidR="00090F31" w:rsidRPr="008C3235" w:rsidRDefault="00090F31" w:rsidP="00090F31">
      <w:pPr>
        <w:spacing w:line="360" w:lineRule="auto"/>
        <w:ind w:left="2160"/>
        <w:rPr>
          <w:rFonts w:ascii="Arial" w:hAnsi="Arial" w:cs="Arial"/>
          <w:b/>
          <w:bCs/>
          <w:sz w:val="24"/>
          <w:szCs w:val="24"/>
        </w:rPr>
      </w:pPr>
      <w:r w:rsidRPr="008C3235">
        <w:rPr>
          <w:rFonts w:ascii="Arial" w:hAnsi="Arial" w:cs="Arial"/>
          <w:b/>
          <w:bCs/>
          <w:sz w:val="24"/>
          <w:szCs w:val="24"/>
        </w:rPr>
        <w:t>Table 2: VRIO Analysis of Nike</w:t>
      </w:r>
    </w:p>
    <w:p w14:paraId="44FE11C8" w14:textId="77777777" w:rsidR="003443F1" w:rsidRPr="00AF768D" w:rsidRDefault="003443F1" w:rsidP="00AF768D">
      <w:pPr>
        <w:jc w:val="both"/>
        <w:rPr>
          <w:rFonts w:ascii="Arial" w:hAnsi="Arial" w:cs="Arial"/>
          <w:b/>
          <w:bCs/>
          <w:sz w:val="24"/>
          <w:szCs w:val="24"/>
        </w:rPr>
      </w:pPr>
    </w:p>
    <w:p w14:paraId="61FCEF75"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The brand equity is one of the most strategically important resources of Nike. The Nike brand is so entrenched in the world culture that it is estimated at about 31.3 billion (Brand Finance, 2023). It is extremely expensive to replicate because, over decades, it has developed using a combination of marketing excellence, a partnership with athletes, and cultural involvement, which fulfills all four VRIO criteria and therefore represents a source of sustained competitive advantage (Barney and Hesterly, 2019).</w:t>
      </w:r>
    </w:p>
    <w:p w14:paraId="3F7B587C"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lastRenderedPageBreak/>
        <w:t xml:space="preserve">Equally, the innovation abilities of Nike </w:t>
      </w:r>
      <w:proofErr w:type="spellStart"/>
      <w:r w:rsidRPr="00AF768D">
        <w:rPr>
          <w:rFonts w:ascii="Arial" w:hAnsi="Arial" w:cs="Arial"/>
          <w:sz w:val="24"/>
          <w:szCs w:val="24"/>
        </w:rPr>
        <w:t>institutionalised</w:t>
      </w:r>
      <w:proofErr w:type="spellEnd"/>
      <w:r w:rsidRPr="00AF768D">
        <w:rPr>
          <w:rFonts w:ascii="Arial" w:hAnsi="Arial" w:cs="Arial"/>
          <w:sz w:val="24"/>
          <w:szCs w:val="24"/>
        </w:rPr>
        <w:t xml:space="preserve"> in the form of </w:t>
      </w:r>
      <w:proofErr w:type="spellStart"/>
      <w:r w:rsidRPr="00AF768D">
        <w:rPr>
          <w:rFonts w:ascii="Arial" w:hAnsi="Arial" w:cs="Arial"/>
          <w:sz w:val="24"/>
          <w:szCs w:val="24"/>
        </w:rPr>
        <w:t>specialised</w:t>
      </w:r>
      <w:proofErr w:type="spellEnd"/>
      <w:r w:rsidRPr="00AF768D">
        <w:rPr>
          <w:rFonts w:ascii="Arial" w:hAnsi="Arial" w:cs="Arial"/>
          <w:sz w:val="24"/>
          <w:szCs w:val="24"/>
        </w:rPr>
        <w:t xml:space="preserve"> </w:t>
      </w:r>
      <w:proofErr w:type="spellStart"/>
      <w:r w:rsidRPr="00AF768D">
        <w:rPr>
          <w:rFonts w:ascii="Arial" w:hAnsi="Arial" w:cs="Arial"/>
          <w:sz w:val="24"/>
          <w:szCs w:val="24"/>
        </w:rPr>
        <w:t>centres</w:t>
      </w:r>
      <w:proofErr w:type="spellEnd"/>
      <w:r w:rsidRPr="00AF768D">
        <w:rPr>
          <w:rFonts w:ascii="Arial" w:hAnsi="Arial" w:cs="Arial"/>
          <w:sz w:val="24"/>
          <w:szCs w:val="24"/>
        </w:rPr>
        <w:t xml:space="preserve"> like the LeBron James Innovation Centre and the Nike Sport Research Lab is also a key competency that is unique and hard to copy. The premium pricing and consumer loyalty are facilitated by the company constantly breaking products due to its expenditure of more than 1 billion dollars of its revenue on research and development (Nike, Inc., 2023a).</w:t>
      </w:r>
    </w:p>
    <w:p w14:paraId="2F9B65B1"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t>2.4 Competitive Advantage and Internal Strengths.</w:t>
      </w:r>
    </w:p>
    <w:p w14:paraId="7798F590"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The competitive advantage Nike is ultimately based on the synergetic interplay between its brand, innovation, and, most and more, its direct-to-consumer capabilities. Consumer Direct Acceleration strategy, through the reduction of wholesale partnerships, expansion of owned retail and digital distribution channels, provides a better margin control, more access to consumer data, and more </w:t>
      </w:r>
      <w:proofErr w:type="spellStart"/>
      <w:r w:rsidRPr="00AF768D">
        <w:rPr>
          <w:rFonts w:ascii="Arial" w:hAnsi="Arial" w:cs="Arial"/>
          <w:sz w:val="24"/>
          <w:szCs w:val="24"/>
        </w:rPr>
        <w:t>personalised</w:t>
      </w:r>
      <w:proofErr w:type="spellEnd"/>
      <w:r w:rsidRPr="00AF768D">
        <w:rPr>
          <w:rFonts w:ascii="Arial" w:hAnsi="Arial" w:cs="Arial"/>
          <w:sz w:val="24"/>
          <w:szCs w:val="24"/>
        </w:rPr>
        <w:t xml:space="preserve"> experiences (</w:t>
      </w:r>
      <w:proofErr w:type="spellStart"/>
      <w:r w:rsidRPr="00AF768D">
        <w:rPr>
          <w:rFonts w:ascii="Arial" w:hAnsi="Arial" w:cs="Arial"/>
          <w:sz w:val="24"/>
          <w:szCs w:val="24"/>
        </w:rPr>
        <w:t>Trefis</w:t>
      </w:r>
      <w:proofErr w:type="spellEnd"/>
      <w:r w:rsidRPr="00AF768D">
        <w:rPr>
          <w:rFonts w:ascii="Arial" w:hAnsi="Arial" w:cs="Arial"/>
          <w:sz w:val="24"/>
          <w:szCs w:val="24"/>
        </w:rPr>
        <w:t xml:space="preserve"> Team, 2022). Such a shift in strategy is an attempt to create what Prahalad and Hamel (1990) call core competence the learning and coordination that generates competitive differentiation. Most crucially, this internal strategic re-alignment should be constantly appraised on the external competitive forces to maintain relevancy as underscored by the dynamic </w:t>
      </w:r>
      <w:proofErr w:type="gramStart"/>
      <w:r w:rsidRPr="00AF768D">
        <w:rPr>
          <w:rFonts w:ascii="Arial" w:hAnsi="Arial" w:cs="Arial"/>
          <w:sz w:val="24"/>
          <w:szCs w:val="24"/>
        </w:rPr>
        <w:t>capabilities</w:t>
      </w:r>
      <w:proofErr w:type="gramEnd"/>
      <w:r w:rsidRPr="00AF768D">
        <w:rPr>
          <w:rFonts w:ascii="Arial" w:hAnsi="Arial" w:cs="Arial"/>
          <w:sz w:val="24"/>
          <w:szCs w:val="24"/>
        </w:rPr>
        <w:t xml:space="preserve"> perspective (Eisenhardt and Martin, 2000).</w:t>
      </w:r>
    </w:p>
    <w:p w14:paraId="42119358" w14:textId="77777777" w:rsidR="00B40B5A" w:rsidRPr="00AF768D" w:rsidRDefault="00B40B5A" w:rsidP="00AF768D">
      <w:pPr>
        <w:spacing w:line="360" w:lineRule="auto"/>
        <w:jc w:val="both"/>
        <w:rPr>
          <w:rFonts w:ascii="Arial" w:hAnsi="Arial" w:cs="Arial"/>
          <w:b/>
          <w:bCs/>
          <w:sz w:val="24"/>
          <w:szCs w:val="24"/>
        </w:rPr>
      </w:pPr>
      <w:r w:rsidRPr="00AF768D">
        <w:rPr>
          <w:rFonts w:ascii="Arial" w:hAnsi="Arial" w:cs="Arial"/>
          <w:b/>
          <w:bCs/>
          <w:sz w:val="24"/>
          <w:szCs w:val="24"/>
        </w:rPr>
        <w:t>3.0 CSR and Sustainability Objectives.</w:t>
      </w:r>
    </w:p>
    <w:p w14:paraId="374E5E87"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The corporate social responsibility (CSR) approach followed by Nike has undergone some transformations over the years, some of which are as a result of the reputational crisis of the 1990s surrounding the </w:t>
      </w:r>
      <w:proofErr w:type="spellStart"/>
      <w:r w:rsidRPr="00AF768D">
        <w:rPr>
          <w:rFonts w:ascii="Arial" w:hAnsi="Arial" w:cs="Arial"/>
          <w:sz w:val="24"/>
          <w:szCs w:val="24"/>
        </w:rPr>
        <w:t>labour</w:t>
      </w:r>
      <w:proofErr w:type="spellEnd"/>
      <w:r w:rsidRPr="00AF768D">
        <w:rPr>
          <w:rFonts w:ascii="Arial" w:hAnsi="Arial" w:cs="Arial"/>
          <w:sz w:val="24"/>
          <w:szCs w:val="24"/>
        </w:rPr>
        <w:t xml:space="preserve"> practices in the overseas factories (Locke, 2003). The CSR pyramid of Carroll, (1991) which includes economic, legal, ethical and philanthropic responsibility is a suitable model to evaluate the current strategy of Nike.</w:t>
      </w:r>
    </w:p>
    <w:p w14:paraId="548D266D" w14:textId="77777777" w:rsidR="00B40B5A" w:rsidRPr="00AF768D" w:rsidRDefault="00B40B5A" w:rsidP="00AF768D">
      <w:pPr>
        <w:spacing w:line="360" w:lineRule="auto"/>
        <w:jc w:val="both"/>
        <w:rPr>
          <w:rFonts w:ascii="Arial" w:hAnsi="Arial" w:cs="Arial"/>
          <w:sz w:val="24"/>
          <w:szCs w:val="24"/>
        </w:rPr>
      </w:pPr>
      <w:r w:rsidRPr="00AF768D">
        <w:rPr>
          <w:rFonts w:ascii="Arial" w:hAnsi="Arial" w:cs="Arial"/>
          <w:sz w:val="24"/>
          <w:szCs w:val="24"/>
        </w:rPr>
        <w:t xml:space="preserve">On the economic plane, sustainability is part and parcel of core strategy and not peripheral philanthropy. Move to Zero aims at achieving a net-zero carbon/low waste of the entire value chain, such as a 70 percent decrease in greenhouse gases emissions in owned or operated premises in 2025 as compared to 2015 (Nike, Inc., 2022). The introduction of products that are innovative like the Nike Grind, a manufacturing waste recycling product and </w:t>
      </w:r>
      <w:proofErr w:type="spellStart"/>
      <w:r w:rsidRPr="00AF768D">
        <w:rPr>
          <w:rFonts w:ascii="Arial" w:hAnsi="Arial" w:cs="Arial"/>
          <w:sz w:val="24"/>
          <w:szCs w:val="24"/>
        </w:rPr>
        <w:t>Flyleather</w:t>
      </w:r>
      <w:proofErr w:type="spellEnd"/>
      <w:r w:rsidRPr="00AF768D">
        <w:rPr>
          <w:rFonts w:ascii="Arial" w:hAnsi="Arial" w:cs="Arial"/>
          <w:sz w:val="24"/>
          <w:szCs w:val="24"/>
        </w:rPr>
        <w:t>, a product that uses less water by 90 percent of that used in processing the traditional leathers, support this integration.</w:t>
      </w:r>
    </w:p>
    <w:p w14:paraId="3CB7B62B" w14:textId="77777777" w:rsidR="00735E87" w:rsidRPr="00735E87" w:rsidRDefault="00B40B5A" w:rsidP="00AF768D">
      <w:pPr>
        <w:spacing w:line="360" w:lineRule="auto"/>
        <w:jc w:val="both"/>
        <w:rPr>
          <w:rFonts w:ascii="Arial" w:hAnsi="Arial" w:cs="Arial"/>
          <w:sz w:val="24"/>
          <w:szCs w:val="24"/>
        </w:rPr>
      </w:pPr>
      <w:r w:rsidRPr="00AF768D">
        <w:rPr>
          <w:rFonts w:ascii="Arial" w:hAnsi="Arial" w:cs="Arial"/>
          <w:sz w:val="24"/>
          <w:szCs w:val="24"/>
        </w:rPr>
        <w:lastRenderedPageBreak/>
        <w:t>However, criticism persists. Competitive positioning needs to be reinforced with strategic CSR (Husted and Allen, 2007), although the issue of living wages is still raised (Clean Clothes Campaign, 2022).</w:t>
      </w:r>
    </w:p>
    <w:p w14:paraId="6ED46AA8" w14:textId="77777777" w:rsidR="0033174E" w:rsidRPr="0033174E" w:rsidRDefault="0033174E" w:rsidP="0033174E">
      <w:pPr>
        <w:spacing w:line="360" w:lineRule="auto"/>
        <w:rPr>
          <w:rFonts w:ascii="Arial" w:hAnsi="Arial" w:cs="Arial"/>
          <w:b/>
          <w:bCs/>
          <w:sz w:val="24"/>
          <w:szCs w:val="24"/>
        </w:rPr>
      </w:pPr>
      <w:r w:rsidRPr="0033174E">
        <w:rPr>
          <w:rFonts w:ascii="Arial" w:hAnsi="Arial" w:cs="Arial"/>
          <w:b/>
          <w:bCs/>
          <w:sz w:val="24"/>
          <w:szCs w:val="24"/>
        </w:rPr>
        <w:t xml:space="preserve">4.0 </w:t>
      </w:r>
      <w:proofErr w:type="spellStart"/>
      <w:r w:rsidRPr="0033174E">
        <w:rPr>
          <w:rFonts w:ascii="Arial" w:hAnsi="Arial" w:cs="Arial"/>
          <w:b/>
          <w:bCs/>
          <w:sz w:val="24"/>
          <w:szCs w:val="24"/>
        </w:rPr>
        <w:t>Wholes</w:t>
      </w:r>
      <w:proofErr w:type="spellEnd"/>
      <w:r w:rsidRPr="0033174E">
        <w:rPr>
          <w:rFonts w:ascii="Arial" w:hAnsi="Arial" w:cs="Arial"/>
          <w:b/>
          <w:bCs/>
          <w:sz w:val="24"/>
          <w:szCs w:val="24"/>
        </w:rPr>
        <w:t xml:space="preserve"> and holistic perspective of the </w:t>
      </w:r>
      <w:proofErr w:type="spellStart"/>
      <w:r w:rsidRPr="0033174E">
        <w:rPr>
          <w:rFonts w:ascii="Arial" w:hAnsi="Arial" w:cs="Arial"/>
          <w:b/>
          <w:bCs/>
          <w:sz w:val="24"/>
          <w:szCs w:val="24"/>
        </w:rPr>
        <w:t>Organisation</w:t>
      </w:r>
      <w:proofErr w:type="spellEnd"/>
      <w:r w:rsidRPr="0033174E">
        <w:rPr>
          <w:rFonts w:ascii="Arial" w:hAnsi="Arial" w:cs="Arial"/>
          <w:b/>
          <w:bCs/>
          <w:sz w:val="24"/>
          <w:szCs w:val="24"/>
        </w:rPr>
        <w:t>: Balanced Scorecard.</w:t>
      </w:r>
    </w:p>
    <w:p w14:paraId="660CA378" w14:textId="77777777" w:rsidR="0033174E" w:rsidRPr="000D1D67" w:rsidRDefault="0033174E" w:rsidP="0033174E">
      <w:pPr>
        <w:spacing w:line="360" w:lineRule="auto"/>
        <w:rPr>
          <w:rFonts w:ascii="Arial" w:hAnsi="Arial" w:cs="Arial"/>
          <w:bCs/>
          <w:sz w:val="24"/>
          <w:szCs w:val="24"/>
        </w:rPr>
      </w:pPr>
      <w:r w:rsidRPr="000D1D67">
        <w:rPr>
          <w:rFonts w:ascii="Arial" w:hAnsi="Arial" w:cs="Arial"/>
          <w:bCs/>
          <w:sz w:val="24"/>
          <w:szCs w:val="24"/>
        </w:rPr>
        <w:t xml:space="preserve">The Balanced Scorecard (BSC) was created by Kaplan and Norton (1992), as a way to offer a multidimensional perspective on </w:t>
      </w:r>
      <w:proofErr w:type="spellStart"/>
      <w:r w:rsidRPr="000D1D67">
        <w:rPr>
          <w:rFonts w:ascii="Arial" w:hAnsi="Arial" w:cs="Arial"/>
          <w:bCs/>
          <w:sz w:val="24"/>
          <w:szCs w:val="24"/>
        </w:rPr>
        <w:t>organisational</w:t>
      </w:r>
      <w:proofErr w:type="spellEnd"/>
      <w:r w:rsidRPr="000D1D67">
        <w:rPr>
          <w:rFonts w:ascii="Arial" w:hAnsi="Arial" w:cs="Arial"/>
          <w:bCs/>
          <w:sz w:val="24"/>
          <w:szCs w:val="24"/>
        </w:rPr>
        <w:t xml:space="preserve"> performance, more than just in terms of financial indicators, which included perspectives of customer, internal processes, and learning and growth. The adoption of this framework to Nike allows conducting a comprehensive assessment of the effectiveness of the strategy adopted by the firm.</w:t>
      </w:r>
    </w:p>
    <w:p w14:paraId="0DE816ED" w14:textId="77777777" w:rsidR="0033174E" w:rsidRPr="0033174E" w:rsidRDefault="0033174E" w:rsidP="0033174E">
      <w:pPr>
        <w:spacing w:line="360" w:lineRule="auto"/>
        <w:rPr>
          <w:rFonts w:ascii="Arial" w:hAnsi="Arial" w:cs="Arial"/>
          <w:b/>
          <w:bCs/>
          <w:sz w:val="24"/>
          <w:szCs w:val="24"/>
        </w:rPr>
      </w:pPr>
      <w:r w:rsidRPr="0033174E">
        <w:rPr>
          <w:rFonts w:ascii="Arial" w:hAnsi="Arial" w:cs="Arial"/>
          <w:b/>
          <w:bCs/>
          <w:sz w:val="24"/>
          <w:szCs w:val="24"/>
        </w:rPr>
        <w:t>4.1 Financial Perspective</w:t>
      </w:r>
    </w:p>
    <w:p w14:paraId="1BC43DE5" w14:textId="77777777" w:rsidR="0033174E" w:rsidRPr="000D1D67" w:rsidRDefault="0033174E" w:rsidP="0033174E">
      <w:pPr>
        <w:spacing w:line="360" w:lineRule="auto"/>
        <w:rPr>
          <w:rFonts w:ascii="Arial" w:hAnsi="Arial" w:cs="Arial"/>
          <w:bCs/>
          <w:sz w:val="24"/>
          <w:szCs w:val="24"/>
        </w:rPr>
      </w:pPr>
      <w:r w:rsidRPr="000D1D67">
        <w:rPr>
          <w:rFonts w:ascii="Arial" w:hAnsi="Arial" w:cs="Arial"/>
          <w:bCs/>
          <w:sz w:val="24"/>
          <w:szCs w:val="24"/>
        </w:rPr>
        <w:t xml:space="preserve">The success of the strategic direction can be seen in the financial performance of Nike. The major goals are the growth in revenue, the growth in margin, and the increase in shareholder value. Such KPIs as the increase in revenues (6 percent per year in FY2023), the gross margin (44.6 percent), earnings per share, and the shareholder value (ROI) are relevant </w:t>
      </w:r>
      <w:proofErr w:type="gramStart"/>
      <w:r w:rsidRPr="000D1D67">
        <w:rPr>
          <w:rFonts w:ascii="Arial" w:hAnsi="Arial" w:cs="Arial"/>
          <w:bCs/>
          <w:sz w:val="24"/>
          <w:szCs w:val="24"/>
        </w:rPr>
        <w:t>( Nike</w:t>
      </w:r>
      <w:proofErr w:type="gramEnd"/>
      <w:r w:rsidRPr="000D1D67">
        <w:rPr>
          <w:rFonts w:ascii="Arial" w:hAnsi="Arial" w:cs="Arial"/>
          <w:bCs/>
          <w:sz w:val="24"/>
          <w:szCs w:val="24"/>
        </w:rPr>
        <w:t>, Inc., 2023a). One of the objectives is to grow the direct-to-consumer generation to more than 60 percent of total sales as a way of enhancing the margins by eliminating dependence on the wholesale channel. These results are underpinned by the Consumer Direct Acceleration and online commerce programs. Nonetheless, excessive focus on financial indicators can fail to capture long-term performance forces of operations (Kaplan and Norton, 1996).</w:t>
      </w:r>
    </w:p>
    <w:p w14:paraId="52872BB8" w14:textId="77777777" w:rsidR="0033174E" w:rsidRPr="0033174E" w:rsidRDefault="0033174E" w:rsidP="0033174E">
      <w:pPr>
        <w:spacing w:line="360" w:lineRule="auto"/>
        <w:rPr>
          <w:rFonts w:ascii="Arial" w:hAnsi="Arial" w:cs="Arial"/>
          <w:b/>
          <w:bCs/>
          <w:sz w:val="24"/>
          <w:szCs w:val="24"/>
        </w:rPr>
      </w:pPr>
      <w:r w:rsidRPr="0033174E">
        <w:rPr>
          <w:rFonts w:ascii="Arial" w:hAnsi="Arial" w:cs="Arial"/>
          <w:b/>
          <w:bCs/>
          <w:sz w:val="24"/>
          <w:szCs w:val="24"/>
        </w:rPr>
        <w:t>4.2 Customer Perspective</w:t>
      </w:r>
    </w:p>
    <w:p w14:paraId="26A50E28" w14:textId="77777777" w:rsidR="0033174E" w:rsidRPr="0033174E" w:rsidRDefault="0033174E" w:rsidP="0033174E">
      <w:pPr>
        <w:spacing w:line="360" w:lineRule="auto"/>
        <w:rPr>
          <w:rFonts w:ascii="Arial" w:hAnsi="Arial" w:cs="Arial"/>
          <w:bCs/>
          <w:sz w:val="24"/>
          <w:szCs w:val="24"/>
        </w:rPr>
      </w:pPr>
      <w:r w:rsidRPr="0033174E">
        <w:rPr>
          <w:rFonts w:ascii="Arial" w:hAnsi="Arial" w:cs="Arial"/>
          <w:bCs/>
          <w:sz w:val="24"/>
          <w:szCs w:val="24"/>
        </w:rPr>
        <w:t xml:space="preserve">The customer goals of Nike are to increase the brand loyalty, lifetime value and market share. The KPIs are the Net Promoter Score, the growth of membership, online interaction, and retention, and there are more than 160 million members in the world (Nike, Inc., 2023a). The objectives are to increase digital sales by a factor of two and become the top-ranking in customer satisfaction. Some of these include </w:t>
      </w:r>
      <w:proofErr w:type="spellStart"/>
      <w:r w:rsidRPr="0033174E">
        <w:rPr>
          <w:rFonts w:ascii="Arial" w:hAnsi="Arial" w:cs="Arial"/>
          <w:bCs/>
          <w:sz w:val="24"/>
          <w:szCs w:val="24"/>
        </w:rPr>
        <w:t>customised</w:t>
      </w:r>
      <w:proofErr w:type="spellEnd"/>
      <w:r w:rsidRPr="0033174E">
        <w:rPr>
          <w:rFonts w:ascii="Arial" w:hAnsi="Arial" w:cs="Arial"/>
          <w:bCs/>
          <w:sz w:val="24"/>
          <w:szCs w:val="24"/>
        </w:rPr>
        <w:t xml:space="preserve"> suggestions through applications, physical shopping experience, and social networks. This is in line with customer intimacy as a competitive advantage source (Treacy and Wiersema, 1995).</w:t>
      </w:r>
    </w:p>
    <w:p w14:paraId="251CE5FB" w14:textId="77777777" w:rsidR="0033174E" w:rsidRPr="0033174E" w:rsidRDefault="0033174E" w:rsidP="0033174E">
      <w:pPr>
        <w:spacing w:line="360" w:lineRule="auto"/>
        <w:rPr>
          <w:rFonts w:ascii="Arial" w:hAnsi="Arial" w:cs="Arial"/>
          <w:b/>
          <w:bCs/>
          <w:sz w:val="24"/>
          <w:szCs w:val="24"/>
        </w:rPr>
      </w:pPr>
      <w:r w:rsidRPr="0033174E">
        <w:rPr>
          <w:rFonts w:ascii="Arial" w:hAnsi="Arial" w:cs="Arial"/>
          <w:b/>
          <w:bCs/>
          <w:sz w:val="24"/>
          <w:szCs w:val="24"/>
        </w:rPr>
        <w:t>4.3 Internal Process Perspective.</w:t>
      </w:r>
    </w:p>
    <w:p w14:paraId="60AF92AB" w14:textId="77777777" w:rsidR="0033174E" w:rsidRPr="0033174E" w:rsidRDefault="0033174E" w:rsidP="0033174E">
      <w:pPr>
        <w:spacing w:line="360" w:lineRule="auto"/>
        <w:rPr>
          <w:rFonts w:ascii="Arial" w:hAnsi="Arial" w:cs="Arial"/>
          <w:bCs/>
          <w:sz w:val="24"/>
          <w:szCs w:val="24"/>
        </w:rPr>
      </w:pPr>
      <w:r w:rsidRPr="0033174E">
        <w:rPr>
          <w:rFonts w:ascii="Arial" w:hAnsi="Arial" w:cs="Arial"/>
          <w:bCs/>
          <w:sz w:val="24"/>
          <w:szCs w:val="24"/>
        </w:rPr>
        <w:lastRenderedPageBreak/>
        <w:t xml:space="preserve">Operational efficiency, innovation speed, and supply chain sustainability are among the internal priorities. KPIs involve the time of product development cycle, defect rates, and sustainable use of materials. The goals are to cut down the time spent on product creation by half and the percentage of sustainable materials by half. The main efforts are the digital design, automation, and supplier climate </w:t>
      </w:r>
      <w:proofErr w:type="spellStart"/>
      <w:r w:rsidRPr="0033174E">
        <w:rPr>
          <w:rFonts w:ascii="Arial" w:hAnsi="Arial" w:cs="Arial"/>
          <w:bCs/>
          <w:sz w:val="24"/>
          <w:szCs w:val="24"/>
        </w:rPr>
        <w:t>programmes</w:t>
      </w:r>
      <w:proofErr w:type="spellEnd"/>
      <w:r w:rsidRPr="0033174E">
        <w:rPr>
          <w:rFonts w:ascii="Arial" w:hAnsi="Arial" w:cs="Arial"/>
          <w:bCs/>
          <w:sz w:val="24"/>
          <w:szCs w:val="24"/>
        </w:rPr>
        <w:t xml:space="preserve"> (Nike, Inc., 2022). These processes promote overall strategic objectives.</w:t>
      </w:r>
    </w:p>
    <w:p w14:paraId="4A9A84B6" w14:textId="77777777" w:rsidR="0033174E" w:rsidRPr="0033174E" w:rsidRDefault="0033174E" w:rsidP="0033174E">
      <w:pPr>
        <w:spacing w:line="360" w:lineRule="auto"/>
        <w:rPr>
          <w:rFonts w:ascii="Arial" w:hAnsi="Arial" w:cs="Arial"/>
          <w:b/>
          <w:bCs/>
          <w:sz w:val="24"/>
          <w:szCs w:val="24"/>
        </w:rPr>
      </w:pPr>
      <w:r w:rsidRPr="0033174E">
        <w:rPr>
          <w:rFonts w:ascii="Arial" w:hAnsi="Arial" w:cs="Arial"/>
          <w:b/>
          <w:bCs/>
          <w:sz w:val="24"/>
          <w:szCs w:val="24"/>
        </w:rPr>
        <w:t>4.4 Learning and Growth Perspective.</w:t>
      </w:r>
    </w:p>
    <w:p w14:paraId="24E204BF" w14:textId="77777777" w:rsidR="0033174E" w:rsidRPr="0033174E" w:rsidRDefault="0033174E" w:rsidP="0033174E">
      <w:pPr>
        <w:spacing w:line="360" w:lineRule="auto"/>
        <w:rPr>
          <w:rFonts w:ascii="Arial" w:hAnsi="Arial" w:cs="Arial"/>
          <w:bCs/>
          <w:sz w:val="24"/>
          <w:szCs w:val="24"/>
        </w:rPr>
      </w:pPr>
      <w:r w:rsidRPr="0033174E">
        <w:rPr>
          <w:rFonts w:ascii="Arial" w:hAnsi="Arial" w:cs="Arial"/>
          <w:bCs/>
          <w:sz w:val="24"/>
          <w:szCs w:val="24"/>
        </w:rPr>
        <w:t xml:space="preserve">This school of thought </w:t>
      </w:r>
      <w:proofErr w:type="spellStart"/>
      <w:r w:rsidRPr="0033174E">
        <w:rPr>
          <w:rFonts w:ascii="Arial" w:hAnsi="Arial" w:cs="Arial"/>
          <w:bCs/>
          <w:sz w:val="24"/>
          <w:szCs w:val="24"/>
        </w:rPr>
        <w:t>emphasises</w:t>
      </w:r>
      <w:proofErr w:type="spellEnd"/>
      <w:r w:rsidRPr="0033174E">
        <w:rPr>
          <w:rFonts w:ascii="Arial" w:hAnsi="Arial" w:cs="Arial"/>
          <w:bCs/>
          <w:sz w:val="24"/>
          <w:szCs w:val="24"/>
        </w:rPr>
        <w:t xml:space="preserve"> on innovation, talent, and </w:t>
      </w:r>
      <w:proofErr w:type="spellStart"/>
      <w:r w:rsidRPr="0033174E">
        <w:rPr>
          <w:rFonts w:ascii="Arial" w:hAnsi="Arial" w:cs="Arial"/>
          <w:bCs/>
          <w:sz w:val="24"/>
          <w:szCs w:val="24"/>
        </w:rPr>
        <w:t>organisational</w:t>
      </w:r>
      <w:proofErr w:type="spellEnd"/>
      <w:r w:rsidRPr="0033174E">
        <w:rPr>
          <w:rFonts w:ascii="Arial" w:hAnsi="Arial" w:cs="Arial"/>
          <w:bCs/>
          <w:sz w:val="24"/>
          <w:szCs w:val="24"/>
        </w:rPr>
        <w:t xml:space="preserve"> capability. KPIs are engagement, diversity, and investment in training. By the year 2025, Nike aspires to be 50 percent female leadership. Some of them are innovation laboratories, wellbeing initiatives and analytics. This is an indication of the need to engage in constant learning to achieve success in the long run (Senge, 1990).</w:t>
      </w:r>
    </w:p>
    <w:p w14:paraId="0DDCE9EF" w14:textId="77777777" w:rsidR="0033174E" w:rsidRPr="0033174E" w:rsidRDefault="0033174E" w:rsidP="0033174E">
      <w:pPr>
        <w:spacing w:line="360" w:lineRule="auto"/>
        <w:rPr>
          <w:rFonts w:ascii="Arial" w:hAnsi="Arial" w:cs="Arial"/>
          <w:b/>
          <w:bCs/>
          <w:sz w:val="24"/>
          <w:szCs w:val="24"/>
        </w:rPr>
      </w:pPr>
      <w:r w:rsidRPr="0033174E">
        <w:rPr>
          <w:rFonts w:ascii="Arial" w:hAnsi="Arial" w:cs="Arial"/>
          <w:b/>
          <w:bCs/>
          <w:sz w:val="24"/>
          <w:szCs w:val="24"/>
        </w:rPr>
        <w:t>5.0 Strategic Choices and Implementation.</w:t>
      </w:r>
    </w:p>
    <w:p w14:paraId="6F07216E" w14:textId="77777777" w:rsidR="0033174E" w:rsidRPr="0033174E" w:rsidRDefault="0033174E" w:rsidP="0033174E">
      <w:pPr>
        <w:spacing w:line="360" w:lineRule="auto"/>
        <w:rPr>
          <w:rFonts w:ascii="Arial" w:hAnsi="Arial" w:cs="Arial"/>
          <w:b/>
          <w:bCs/>
          <w:sz w:val="24"/>
          <w:szCs w:val="24"/>
        </w:rPr>
      </w:pPr>
      <w:r w:rsidRPr="0033174E">
        <w:rPr>
          <w:rFonts w:ascii="Arial" w:hAnsi="Arial" w:cs="Arial"/>
          <w:b/>
          <w:bCs/>
          <w:sz w:val="24"/>
          <w:szCs w:val="24"/>
        </w:rPr>
        <w:t>5.1 Business-Level Strategy</w:t>
      </w:r>
    </w:p>
    <w:p w14:paraId="7F9A6E38" w14:textId="77777777" w:rsidR="0033174E" w:rsidRPr="0033174E" w:rsidRDefault="0033174E" w:rsidP="0033174E">
      <w:pPr>
        <w:spacing w:line="360" w:lineRule="auto"/>
        <w:rPr>
          <w:rFonts w:ascii="Arial" w:hAnsi="Arial" w:cs="Arial"/>
          <w:bCs/>
          <w:sz w:val="24"/>
          <w:szCs w:val="24"/>
        </w:rPr>
      </w:pPr>
      <w:r w:rsidRPr="0033174E">
        <w:rPr>
          <w:rFonts w:ascii="Arial" w:hAnsi="Arial" w:cs="Arial"/>
          <w:bCs/>
          <w:sz w:val="24"/>
          <w:szCs w:val="24"/>
        </w:rPr>
        <w:t>Nike is a company that practices a wide differentiation strategy (Porter, 1985), in which the company competes using innovation, brand name, and high-quality experiences, but not price. The consumers can be willing to pay premiums of 20-40 percent (Mahdi et al., 2015). Focused differentiation in the form of sub-brands specifically aimed at particular segments is also used by the company (Johnson, Whittington and Scholes, 2017).</w:t>
      </w:r>
    </w:p>
    <w:p w14:paraId="628364E2" w14:textId="77777777" w:rsidR="0033174E" w:rsidRPr="0033174E" w:rsidRDefault="0033174E" w:rsidP="0033174E">
      <w:pPr>
        <w:spacing w:line="360" w:lineRule="auto"/>
        <w:rPr>
          <w:rFonts w:ascii="Arial" w:hAnsi="Arial" w:cs="Arial"/>
          <w:bCs/>
          <w:sz w:val="24"/>
          <w:szCs w:val="24"/>
        </w:rPr>
      </w:pPr>
      <w:r w:rsidRPr="0033174E">
        <w:rPr>
          <w:rFonts w:ascii="Arial" w:hAnsi="Arial" w:cs="Arial"/>
          <w:bCs/>
          <w:sz w:val="24"/>
          <w:szCs w:val="24"/>
        </w:rPr>
        <w:t xml:space="preserve">Recommendation: Nike needs to further differentiate with </w:t>
      </w:r>
      <w:proofErr w:type="spellStart"/>
      <w:r w:rsidRPr="0033174E">
        <w:rPr>
          <w:rFonts w:ascii="Arial" w:hAnsi="Arial" w:cs="Arial"/>
          <w:bCs/>
          <w:sz w:val="24"/>
          <w:szCs w:val="24"/>
        </w:rPr>
        <w:t>personalisation</w:t>
      </w:r>
      <w:proofErr w:type="spellEnd"/>
      <w:r w:rsidRPr="0033174E">
        <w:rPr>
          <w:rFonts w:ascii="Arial" w:hAnsi="Arial" w:cs="Arial"/>
          <w:bCs/>
          <w:sz w:val="24"/>
          <w:szCs w:val="24"/>
        </w:rPr>
        <w:t xml:space="preserve"> by increasing platforms such as Nike </w:t>
      </w:r>
      <w:proofErr w:type="gramStart"/>
      <w:r w:rsidRPr="0033174E">
        <w:rPr>
          <w:rFonts w:ascii="Arial" w:hAnsi="Arial" w:cs="Arial"/>
          <w:bCs/>
          <w:sz w:val="24"/>
          <w:szCs w:val="24"/>
        </w:rPr>
        <w:t>By</w:t>
      </w:r>
      <w:proofErr w:type="gramEnd"/>
      <w:r w:rsidRPr="0033174E">
        <w:rPr>
          <w:rFonts w:ascii="Arial" w:hAnsi="Arial" w:cs="Arial"/>
          <w:bCs/>
          <w:sz w:val="24"/>
          <w:szCs w:val="24"/>
        </w:rPr>
        <w:t xml:space="preserve"> You. The emotional bond and switching costs are enhanced by mass </w:t>
      </w:r>
      <w:proofErr w:type="spellStart"/>
      <w:r w:rsidRPr="0033174E">
        <w:rPr>
          <w:rFonts w:ascii="Arial" w:hAnsi="Arial" w:cs="Arial"/>
          <w:bCs/>
          <w:sz w:val="24"/>
          <w:szCs w:val="24"/>
        </w:rPr>
        <w:t>customisation</w:t>
      </w:r>
      <w:proofErr w:type="spellEnd"/>
      <w:r w:rsidRPr="0033174E">
        <w:rPr>
          <w:rFonts w:ascii="Arial" w:hAnsi="Arial" w:cs="Arial"/>
          <w:bCs/>
          <w:sz w:val="24"/>
          <w:szCs w:val="24"/>
        </w:rPr>
        <w:t>, which facilitates the ongoing competitive advantage (Pine, 1993).</w:t>
      </w:r>
    </w:p>
    <w:p w14:paraId="65C22CC2" w14:textId="77777777" w:rsidR="00D66759" w:rsidRPr="008C3235" w:rsidRDefault="00D66759" w:rsidP="0033174E">
      <w:pPr>
        <w:spacing w:line="360" w:lineRule="auto"/>
        <w:rPr>
          <w:rFonts w:ascii="Arial" w:hAnsi="Arial" w:cs="Arial"/>
          <w:b/>
          <w:bCs/>
          <w:sz w:val="24"/>
          <w:szCs w:val="24"/>
        </w:rPr>
      </w:pPr>
      <w:r w:rsidRPr="008C3235">
        <w:rPr>
          <w:rFonts w:ascii="Arial" w:hAnsi="Arial" w:cs="Arial"/>
          <w:b/>
          <w:bCs/>
          <w:sz w:val="24"/>
          <w:szCs w:val="24"/>
        </w:rPr>
        <w:t>5.2 Corporate-Level Strategy</w:t>
      </w:r>
    </w:p>
    <w:p w14:paraId="653BF593" w14:textId="77777777" w:rsidR="000D1D67" w:rsidRPr="000D1D67" w:rsidRDefault="000D1D67" w:rsidP="000D1D67">
      <w:pPr>
        <w:spacing w:line="360" w:lineRule="auto"/>
        <w:jc w:val="both"/>
        <w:rPr>
          <w:rFonts w:ascii="Arial" w:hAnsi="Arial" w:cs="Arial"/>
          <w:sz w:val="24"/>
          <w:szCs w:val="24"/>
        </w:rPr>
      </w:pPr>
      <w:r w:rsidRPr="000D1D67">
        <w:rPr>
          <w:rFonts w:ascii="Arial" w:hAnsi="Arial" w:cs="Arial"/>
          <w:sz w:val="24"/>
          <w:szCs w:val="24"/>
        </w:rPr>
        <w:t xml:space="preserve">On the corporate level, Nike pursues a related diversification strategy with a high level of </w:t>
      </w:r>
      <w:proofErr w:type="spellStart"/>
      <w:r w:rsidRPr="000D1D67">
        <w:rPr>
          <w:rFonts w:ascii="Arial" w:hAnsi="Arial" w:cs="Arial"/>
          <w:sz w:val="24"/>
          <w:szCs w:val="24"/>
        </w:rPr>
        <w:t>internationalisation</w:t>
      </w:r>
      <w:proofErr w:type="spellEnd"/>
      <w:r w:rsidRPr="000D1D67">
        <w:rPr>
          <w:rFonts w:ascii="Arial" w:hAnsi="Arial" w:cs="Arial"/>
          <w:sz w:val="24"/>
          <w:szCs w:val="24"/>
        </w:rPr>
        <w:t xml:space="preserve">. Instead of venturing on new areas that are not related to its core competencies of sport, performance, branding and consumer engagement, it increases operations to new areas where the firm is closely related to these competencies in line with </w:t>
      </w:r>
      <w:proofErr w:type="spellStart"/>
      <w:r w:rsidRPr="000D1D67">
        <w:rPr>
          <w:rFonts w:ascii="Arial" w:hAnsi="Arial" w:cs="Arial"/>
          <w:sz w:val="24"/>
          <w:szCs w:val="24"/>
        </w:rPr>
        <w:t>Rumelt</w:t>
      </w:r>
      <w:proofErr w:type="spellEnd"/>
      <w:r w:rsidRPr="000D1D67">
        <w:rPr>
          <w:rFonts w:ascii="Arial" w:hAnsi="Arial" w:cs="Arial"/>
          <w:sz w:val="24"/>
          <w:szCs w:val="24"/>
        </w:rPr>
        <w:t xml:space="preserve"> (1974).</w:t>
      </w:r>
    </w:p>
    <w:p w14:paraId="48490635" w14:textId="77777777" w:rsidR="000D1D67" w:rsidRPr="000D1D67" w:rsidRDefault="000D1D67" w:rsidP="000D1D67">
      <w:pPr>
        <w:spacing w:line="360" w:lineRule="auto"/>
        <w:jc w:val="both"/>
        <w:rPr>
          <w:rFonts w:ascii="Arial" w:hAnsi="Arial" w:cs="Arial"/>
          <w:sz w:val="24"/>
          <w:szCs w:val="24"/>
        </w:rPr>
      </w:pPr>
      <w:r w:rsidRPr="000D1D67">
        <w:rPr>
          <w:rFonts w:ascii="Arial" w:hAnsi="Arial" w:cs="Arial"/>
          <w:sz w:val="24"/>
          <w:szCs w:val="24"/>
        </w:rPr>
        <w:lastRenderedPageBreak/>
        <w:t>Nike is diversified in footwear, clothing, equipment, digital solutions and sub-brands like Jordan and Converse. These companies have collaboration in terms of strategic assets such as brand equity, design, endorsements, marketing and retail system. As an example, basketball is expanded to lifestyle markets by Jordan and aimed at casual consumers by Converse. Nike Training Club is a digital channel of interaction and access to information that enhances the depth of engagement.</w:t>
      </w:r>
    </w:p>
    <w:p w14:paraId="2C5E8113" w14:textId="77777777" w:rsidR="000D1D67" w:rsidRPr="000D1D67" w:rsidRDefault="000D1D67" w:rsidP="000D1D67">
      <w:pPr>
        <w:spacing w:line="360" w:lineRule="auto"/>
        <w:jc w:val="both"/>
        <w:rPr>
          <w:rFonts w:ascii="Arial" w:hAnsi="Arial" w:cs="Arial"/>
          <w:sz w:val="24"/>
          <w:szCs w:val="24"/>
        </w:rPr>
      </w:pPr>
      <w:r w:rsidRPr="000D1D67">
        <w:rPr>
          <w:rFonts w:ascii="Arial" w:hAnsi="Arial" w:cs="Arial"/>
          <w:sz w:val="24"/>
          <w:szCs w:val="24"/>
        </w:rPr>
        <w:t>Nike is also very international in its approach as it is a company working in more than 190 countries (Nike, Inc., 2023a). The stability of mature markets and growth of emerging markets mean that these markets will facilitate growth and regulation are some of the risks associated with emerging markets.</w:t>
      </w:r>
    </w:p>
    <w:p w14:paraId="408A7824" w14:textId="77777777" w:rsidR="000D1D67" w:rsidRPr="000D1D67" w:rsidRDefault="000D1D67" w:rsidP="000D1D67">
      <w:pPr>
        <w:spacing w:line="360" w:lineRule="auto"/>
        <w:jc w:val="both"/>
        <w:rPr>
          <w:rFonts w:ascii="Arial" w:hAnsi="Arial" w:cs="Arial"/>
          <w:sz w:val="24"/>
          <w:szCs w:val="24"/>
        </w:rPr>
      </w:pPr>
      <w:r w:rsidRPr="000D1D67">
        <w:rPr>
          <w:rFonts w:ascii="Arial" w:hAnsi="Arial" w:cs="Arial"/>
          <w:sz w:val="24"/>
          <w:szCs w:val="24"/>
        </w:rPr>
        <w:t>Nevertheless, there are still restrictions, such as reliance on footwear and unequal work of digital.</w:t>
      </w:r>
    </w:p>
    <w:p w14:paraId="1B2FC66F" w14:textId="77777777" w:rsidR="000D1D67" w:rsidRDefault="000D1D67" w:rsidP="000D1D67">
      <w:pPr>
        <w:spacing w:line="360" w:lineRule="auto"/>
        <w:jc w:val="both"/>
        <w:rPr>
          <w:rFonts w:ascii="Arial" w:hAnsi="Arial" w:cs="Arial"/>
          <w:sz w:val="24"/>
          <w:szCs w:val="24"/>
        </w:rPr>
      </w:pPr>
      <w:r w:rsidRPr="000D1D67">
        <w:rPr>
          <w:rFonts w:ascii="Arial" w:hAnsi="Arial" w:cs="Arial"/>
          <w:sz w:val="24"/>
          <w:szCs w:val="24"/>
        </w:rPr>
        <w:t>Recommendation: Nike must further be able to diversify in related areas by investing in women sport, related fitness, wearable joint ventures and new markets to enhance long term growth.</w:t>
      </w:r>
    </w:p>
    <w:p w14:paraId="12DC637F" w14:textId="77777777" w:rsidR="009C04CB" w:rsidRPr="00AF768D" w:rsidRDefault="009C04CB" w:rsidP="000D1D67">
      <w:pPr>
        <w:spacing w:line="360" w:lineRule="auto"/>
        <w:jc w:val="both"/>
        <w:rPr>
          <w:rFonts w:ascii="Arial" w:hAnsi="Arial" w:cs="Arial"/>
          <w:b/>
          <w:bCs/>
          <w:sz w:val="24"/>
          <w:szCs w:val="24"/>
        </w:rPr>
      </w:pPr>
      <w:r w:rsidRPr="00AF768D">
        <w:rPr>
          <w:rFonts w:ascii="Arial" w:hAnsi="Arial" w:cs="Arial"/>
          <w:b/>
          <w:bCs/>
          <w:sz w:val="24"/>
          <w:szCs w:val="24"/>
        </w:rPr>
        <w:t>5.3 Change Management and Strategic Implementation.</w:t>
      </w:r>
    </w:p>
    <w:p w14:paraId="2BE1CA71" w14:textId="77777777" w:rsidR="009C04CB" w:rsidRPr="00AF768D" w:rsidRDefault="009C04CB" w:rsidP="00AF768D">
      <w:pPr>
        <w:spacing w:line="360" w:lineRule="auto"/>
        <w:jc w:val="both"/>
        <w:rPr>
          <w:rFonts w:ascii="Arial" w:hAnsi="Arial" w:cs="Arial"/>
          <w:sz w:val="24"/>
          <w:szCs w:val="24"/>
        </w:rPr>
      </w:pPr>
      <w:r w:rsidRPr="00AF768D">
        <w:rPr>
          <w:rFonts w:ascii="Arial" w:hAnsi="Arial" w:cs="Arial"/>
          <w:sz w:val="24"/>
          <w:szCs w:val="24"/>
        </w:rPr>
        <w:t xml:space="preserve">The experience of strategic implementation at Nike has its ups and downs. In association with the positions of chief executive officer John Donahoe, the Consumer Direct Acceleration plan of 2020 was a radical </w:t>
      </w:r>
      <w:proofErr w:type="spellStart"/>
      <w:r w:rsidRPr="00AF768D">
        <w:rPr>
          <w:rFonts w:ascii="Arial" w:hAnsi="Arial" w:cs="Arial"/>
          <w:sz w:val="24"/>
          <w:szCs w:val="24"/>
        </w:rPr>
        <w:t>organisational</w:t>
      </w:r>
      <w:proofErr w:type="spellEnd"/>
      <w:r w:rsidRPr="00AF768D">
        <w:rPr>
          <w:rFonts w:ascii="Arial" w:hAnsi="Arial" w:cs="Arial"/>
          <w:sz w:val="24"/>
          <w:szCs w:val="24"/>
        </w:rPr>
        <w:t xml:space="preserve"> change that entailed the end of wholesale relations with thousands of retail accounts, </w:t>
      </w:r>
      <w:proofErr w:type="spellStart"/>
      <w:r w:rsidRPr="00AF768D">
        <w:rPr>
          <w:rFonts w:ascii="Arial" w:hAnsi="Arial" w:cs="Arial"/>
          <w:sz w:val="24"/>
          <w:szCs w:val="24"/>
        </w:rPr>
        <w:t>reorganisation</w:t>
      </w:r>
      <w:proofErr w:type="spellEnd"/>
      <w:r w:rsidRPr="00AF768D">
        <w:rPr>
          <w:rFonts w:ascii="Arial" w:hAnsi="Arial" w:cs="Arial"/>
          <w:sz w:val="24"/>
          <w:szCs w:val="24"/>
        </w:rPr>
        <w:t xml:space="preserve"> of internal teams, as well as a cultural shift towards being more digital-first (Kell, 2021). Although this change has made the company better at margins and the use of digital, it has also faced its share of problems, such as problems with the management of inventory in 2022-2023 and criticism of restrictions in the market by retail partners (</w:t>
      </w:r>
      <w:proofErr w:type="spellStart"/>
      <w:r w:rsidRPr="00AF768D">
        <w:rPr>
          <w:rFonts w:ascii="Arial" w:hAnsi="Arial" w:cs="Arial"/>
          <w:sz w:val="24"/>
          <w:szCs w:val="24"/>
        </w:rPr>
        <w:t>Germano</w:t>
      </w:r>
      <w:proofErr w:type="spellEnd"/>
      <w:r w:rsidRPr="00AF768D">
        <w:rPr>
          <w:rFonts w:ascii="Arial" w:hAnsi="Arial" w:cs="Arial"/>
          <w:sz w:val="24"/>
          <w:szCs w:val="24"/>
        </w:rPr>
        <w:t>, 2023).</w:t>
      </w:r>
    </w:p>
    <w:p w14:paraId="10201996" w14:textId="77777777" w:rsidR="00735E87" w:rsidRPr="00735E87" w:rsidRDefault="009C04CB" w:rsidP="00AF768D">
      <w:pPr>
        <w:spacing w:line="360" w:lineRule="auto"/>
        <w:jc w:val="both"/>
        <w:rPr>
          <w:rFonts w:ascii="Arial" w:hAnsi="Arial" w:cs="Arial"/>
          <w:sz w:val="24"/>
          <w:szCs w:val="24"/>
        </w:rPr>
      </w:pPr>
      <w:r w:rsidRPr="00AF768D">
        <w:rPr>
          <w:rFonts w:ascii="Arial" w:hAnsi="Arial" w:cs="Arial"/>
          <w:sz w:val="24"/>
          <w:szCs w:val="24"/>
        </w:rPr>
        <w:t xml:space="preserve">Using an eight-step model of change proposed by Kotter (1996), Nike proved to be strong in building urgency and delivering the vision but clearly underestimated the difficulty of short-term wins and consolidation stages. The 2022 inventory surplus crisis indicates that the rate of wholesale withdrawal exceeded the maturation of the DTC infrastructure, with and accordingly, the nature of the process Lewin (1951) termed as managing the unfreezing-change-refreezing. The strategic implementations to be </w:t>
      </w:r>
      <w:r w:rsidRPr="00AF768D">
        <w:rPr>
          <w:rFonts w:ascii="Arial" w:hAnsi="Arial" w:cs="Arial"/>
          <w:sz w:val="24"/>
          <w:szCs w:val="24"/>
        </w:rPr>
        <w:lastRenderedPageBreak/>
        <w:t>applied in the future should be able to balance between ambition and operational preparedness.</w:t>
      </w:r>
    </w:p>
    <w:p w14:paraId="3A823C60" w14:textId="77777777" w:rsidR="008E1F37" w:rsidRDefault="008E1F37">
      <w:pPr>
        <w:rPr>
          <w:rFonts w:ascii="Arial" w:hAnsi="Arial" w:cs="Arial"/>
          <w:b/>
          <w:bCs/>
          <w:sz w:val="24"/>
          <w:szCs w:val="24"/>
        </w:rPr>
      </w:pPr>
      <w:r>
        <w:rPr>
          <w:rFonts w:ascii="Arial" w:hAnsi="Arial" w:cs="Arial"/>
          <w:b/>
          <w:bCs/>
          <w:sz w:val="24"/>
          <w:szCs w:val="24"/>
        </w:rPr>
        <w:br w:type="page"/>
      </w:r>
    </w:p>
    <w:p w14:paraId="31530126" w14:textId="77777777" w:rsidR="00735E87" w:rsidRPr="00735E87" w:rsidRDefault="00735E87" w:rsidP="00AF768D">
      <w:pPr>
        <w:spacing w:line="360" w:lineRule="auto"/>
        <w:jc w:val="both"/>
        <w:rPr>
          <w:rFonts w:ascii="Arial" w:hAnsi="Arial" w:cs="Arial"/>
          <w:b/>
          <w:bCs/>
          <w:sz w:val="24"/>
          <w:szCs w:val="24"/>
        </w:rPr>
      </w:pPr>
      <w:r w:rsidRPr="00735E87">
        <w:rPr>
          <w:rFonts w:ascii="Arial" w:hAnsi="Arial" w:cs="Arial"/>
          <w:b/>
          <w:bCs/>
          <w:sz w:val="24"/>
          <w:szCs w:val="24"/>
        </w:rPr>
        <w:lastRenderedPageBreak/>
        <w:t>6. Strategic Evaluation and Recommendations</w:t>
      </w:r>
    </w:p>
    <w:p w14:paraId="585FD337" w14:textId="77777777" w:rsidR="00D373B5" w:rsidRDefault="00D373B5" w:rsidP="00D66759">
      <w:pPr>
        <w:spacing w:line="360" w:lineRule="auto"/>
        <w:rPr>
          <w:rFonts w:ascii="Arial" w:hAnsi="Arial" w:cs="Arial"/>
          <w:b/>
          <w:bCs/>
          <w:sz w:val="24"/>
          <w:szCs w:val="24"/>
        </w:rPr>
      </w:pPr>
      <w:r w:rsidRPr="00D373B5">
        <w:rPr>
          <w:rFonts w:ascii="Arial" w:hAnsi="Arial" w:cs="Arial"/>
          <w:b/>
          <w:bCs/>
          <w:sz w:val="24"/>
          <w:szCs w:val="24"/>
        </w:rPr>
        <w:t xml:space="preserve">6.1 SWOT Analysis </w:t>
      </w:r>
    </w:p>
    <w:p w14:paraId="6F36B899" w14:textId="77777777" w:rsidR="00D373B5" w:rsidRPr="00D373B5" w:rsidRDefault="00D373B5" w:rsidP="00D66759">
      <w:pPr>
        <w:spacing w:line="360" w:lineRule="auto"/>
        <w:rPr>
          <w:rFonts w:ascii="Arial" w:hAnsi="Arial" w:cs="Arial"/>
          <w:bCs/>
          <w:sz w:val="24"/>
          <w:szCs w:val="24"/>
        </w:rPr>
      </w:pPr>
      <w:r w:rsidRPr="00D373B5">
        <w:rPr>
          <w:rFonts w:ascii="Arial" w:hAnsi="Arial" w:cs="Arial"/>
          <w:bCs/>
          <w:sz w:val="24"/>
          <w:szCs w:val="24"/>
        </w:rPr>
        <w:t xml:space="preserve">The SWOT analysis assists in </w:t>
      </w:r>
      <w:proofErr w:type="spellStart"/>
      <w:r w:rsidRPr="00D373B5">
        <w:rPr>
          <w:rFonts w:ascii="Arial" w:hAnsi="Arial" w:cs="Arial"/>
          <w:bCs/>
          <w:sz w:val="24"/>
          <w:szCs w:val="24"/>
        </w:rPr>
        <w:t>summarising</w:t>
      </w:r>
      <w:proofErr w:type="spellEnd"/>
      <w:r w:rsidRPr="00D373B5">
        <w:rPr>
          <w:rFonts w:ascii="Arial" w:hAnsi="Arial" w:cs="Arial"/>
          <w:bCs/>
          <w:sz w:val="24"/>
          <w:szCs w:val="24"/>
        </w:rPr>
        <w:t xml:space="preserve"> the results of external and internal analysis as it determines the main strengths, weaknesses, opportunities and threats of Nike. The framework is particularly helpful since it connects strategic capability and environmental conditions and offers grounds to make realistic recommendations (Johnson, Whittington and Scholes, 2017).</w:t>
      </w:r>
    </w:p>
    <w:p w14:paraId="2154BAB2" w14:textId="77777777" w:rsidR="00D66759" w:rsidRPr="008C3235" w:rsidRDefault="00D66759" w:rsidP="00D66759">
      <w:pPr>
        <w:spacing w:line="360" w:lineRule="auto"/>
        <w:rPr>
          <w:rFonts w:ascii="Arial" w:hAnsi="Arial" w:cs="Arial"/>
          <w:b/>
          <w:bCs/>
          <w:sz w:val="24"/>
          <w:szCs w:val="24"/>
        </w:rPr>
      </w:pPr>
      <w:r w:rsidRPr="008C3235">
        <w:rPr>
          <w:rFonts w:ascii="Arial" w:hAnsi="Arial" w:cs="Arial"/>
          <w:b/>
          <w:bCs/>
          <w:sz w:val="24"/>
          <w:szCs w:val="24"/>
        </w:rPr>
        <w:t>Table 3: SWOT Analysis of Nike</w:t>
      </w:r>
    </w:p>
    <w:tbl>
      <w:tblPr>
        <w:tblStyle w:val="TableGrid"/>
        <w:tblW w:w="6607" w:type="dxa"/>
        <w:tblLook w:val="04A0" w:firstRow="1" w:lastRow="0" w:firstColumn="1" w:lastColumn="0" w:noHBand="0" w:noVBand="1"/>
      </w:tblPr>
      <w:tblGrid>
        <w:gridCol w:w="3113"/>
        <w:gridCol w:w="3494"/>
      </w:tblGrid>
      <w:tr w:rsidR="00D66759" w:rsidRPr="008C3235" w14:paraId="2E2D2C69" w14:textId="77777777" w:rsidTr="006046EF">
        <w:tc>
          <w:tcPr>
            <w:tcW w:w="0" w:type="auto"/>
            <w:noWrap/>
            <w:hideMark/>
          </w:tcPr>
          <w:p w14:paraId="4A8B14E8" w14:textId="77777777" w:rsidR="00D66759" w:rsidRPr="008C3235" w:rsidRDefault="00D66759" w:rsidP="006046EF">
            <w:pPr>
              <w:spacing w:after="200" w:line="360" w:lineRule="auto"/>
              <w:rPr>
                <w:rFonts w:ascii="Arial" w:hAnsi="Arial" w:cs="Arial"/>
                <w:b/>
                <w:bCs/>
                <w:sz w:val="24"/>
                <w:szCs w:val="24"/>
              </w:rPr>
            </w:pPr>
            <w:r w:rsidRPr="008C3235">
              <w:rPr>
                <w:rFonts w:ascii="Arial" w:hAnsi="Arial" w:cs="Arial"/>
                <w:b/>
                <w:bCs/>
                <w:sz w:val="24"/>
                <w:szCs w:val="24"/>
              </w:rPr>
              <w:t>Strengths</w:t>
            </w:r>
          </w:p>
        </w:tc>
        <w:tc>
          <w:tcPr>
            <w:tcW w:w="0" w:type="auto"/>
            <w:noWrap/>
            <w:hideMark/>
          </w:tcPr>
          <w:p w14:paraId="54ADE4BE" w14:textId="77777777" w:rsidR="00D66759" w:rsidRPr="008C3235" w:rsidRDefault="00D66759" w:rsidP="006046EF">
            <w:pPr>
              <w:spacing w:after="200" w:line="360" w:lineRule="auto"/>
              <w:rPr>
                <w:rFonts w:ascii="Arial" w:hAnsi="Arial" w:cs="Arial"/>
                <w:b/>
                <w:bCs/>
                <w:sz w:val="24"/>
                <w:szCs w:val="24"/>
              </w:rPr>
            </w:pPr>
            <w:r w:rsidRPr="008C3235">
              <w:rPr>
                <w:rFonts w:ascii="Arial" w:hAnsi="Arial" w:cs="Arial"/>
                <w:b/>
                <w:bCs/>
                <w:sz w:val="24"/>
                <w:szCs w:val="24"/>
              </w:rPr>
              <w:t>Weaknesses</w:t>
            </w:r>
          </w:p>
        </w:tc>
      </w:tr>
      <w:tr w:rsidR="00D66759" w:rsidRPr="008C3235" w14:paraId="5BA1D4EB" w14:textId="77777777" w:rsidTr="006046EF">
        <w:tc>
          <w:tcPr>
            <w:tcW w:w="0" w:type="auto"/>
            <w:hideMark/>
          </w:tcPr>
          <w:p w14:paraId="160D7464"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Dominant global brand equity and strong customer recognition (Interbrand, 2023; Brand Finance, 2023)</w:t>
            </w:r>
          </w:p>
        </w:tc>
        <w:tc>
          <w:tcPr>
            <w:tcW w:w="0" w:type="auto"/>
            <w:hideMark/>
          </w:tcPr>
          <w:p w14:paraId="1D36D54E"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High dependence on outsourced contract manufacturing, limiting direct control over production conditions (Nike, Inc., 2023a)</w:t>
            </w:r>
          </w:p>
        </w:tc>
      </w:tr>
      <w:tr w:rsidR="00D66759" w:rsidRPr="008C3235" w14:paraId="3E9FEF42" w14:textId="77777777" w:rsidTr="006046EF">
        <w:tc>
          <w:tcPr>
            <w:tcW w:w="0" w:type="auto"/>
            <w:hideMark/>
          </w:tcPr>
          <w:p w14:paraId="6A72356D"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 xml:space="preserve">Strong innovation capability in footwear and apparel, including </w:t>
            </w:r>
            <w:proofErr w:type="spellStart"/>
            <w:r w:rsidRPr="008C3235">
              <w:rPr>
                <w:rFonts w:ascii="Arial" w:hAnsi="Arial" w:cs="Arial"/>
                <w:sz w:val="24"/>
                <w:szCs w:val="24"/>
              </w:rPr>
              <w:t>Flyknit</w:t>
            </w:r>
            <w:proofErr w:type="spellEnd"/>
            <w:r w:rsidRPr="008C3235">
              <w:rPr>
                <w:rFonts w:ascii="Arial" w:hAnsi="Arial" w:cs="Arial"/>
                <w:sz w:val="24"/>
                <w:szCs w:val="24"/>
              </w:rPr>
              <w:t xml:space="preserve">, Air Max and </w:t>
            </w:r>
            <w:proofErr w:type="spellStart"/>
            <w:r w:rsidRPr="008C3235">
              <w:rPr>
                <w:rFonts w:ascii="Arial" w:hAnsi="Arial" w:cs="Arial"/>
                <w:sz w:val="24"/>
                <w:szCs w:val="24"/>
              </w:rPr>
              <w:t>Vaporfly</w:t>
            </w:r>
            <w:proofErr w:type="spellEnd"/>
            <w:r w:rsidRPr="008C3235">
              <w:rPr>
                <w:rFonts w:ascii="Arial" w:hAnsi="Arial" w:cs="Arial"/>
                <w:sz w:val="24"/>
                <w:szCs w:val="24"/>
              </w:rPr>
              <w:t xml:space="preserve"> (Nike, Inc., 2023a)</w:t>
            </w:r>
          </w:p>
        </w:tc>
        <w:tc>
          <w:tcPr>
            <w:tcW w:w="0" w:type="auto"/>
            <w:hideMark/>
          </w:tcPr>
          <w:p w14:paraId="3A7892AE"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Exposure to supply chain disruption due to geographic concentration in Asia (Shih, 2020; Nike, Inc., 2023a)</w:t>
            </w:r>
          </w:p>
        </w:tc>
      </w:tr>
      <w:tr w:rsidR="00D66759" w:rsidRPr="008C3235" w14:paraId="6D05A1C4" w14:textId="77777777" w:rsidTr="006046EF">
        <w:tc>
          <w:tcPr>
            <w:tcW w:w="0" w:type="auto"/>
            <w:hideMark/>
          </w:tcPr>
          <w:p w14:paraId="18AA8CD9"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Expanding DTC digital ecosystem with strong membership base and customer data access (Nike, Inc., 2023a)</w:t>
            </w:r>
          </w:p>
        </w:tc>
        <w:tc>
          <w:tcPr>
            <w:tcW w:w="0" w:type="auto"/>
            <w:hideMark/>
          </w:tcPr>
          <w:p w14:paraId="61EA1A73"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 xml:space="preserve">Periodic criticism over </w:t>
            </w:r>
            <w:proofErr w:type="spellStart"/>
            <w:r w:rsidRPr="008C3235">
              <w:rPr>
                <w:rFonts w:ascii="Arial" w:hAnsi="Arial" w:cs="Arial"/>
                <w:sz w:val="24"/>
                <w:szCs w:val="24"/>
              </w:rPr>
              <w:t>labour</w:t>
            </w:r>
            <w:proofErr w:type="spellEnd"/>
            <w:r w:rsidRPr="008C3235">
              <w:rPr>
                <w:rFonts w:ascii="Arial" w:hAnsi="Arial" w:cs="Arial"/>
                <w:sz w:val="24"/>
                <w:szCs w:val="24"/>
              </w:rPr>
              <w:t xml:space="preserve"> practices and </w:t>
            </w:r>
            <w:proofErr w:type="spellStart"/>
            <w:r w:rsidRPr="008C3235">
              <w:rPr>
                <w:rFonts w:ascii="Arial" w:hAnsi="Arial" w:cs="Arial"/>
                <w:sz w:val="24"/>
                <w:szCs w:val="24"/>
              </w:rPr>
              <w:t>organisational</w:t>
            </w:r>
            <w:proofErr w:type="spellEnd"/>
            <w:r w:rsidRPr="008C3235">
              <w:rPr>
                <w:rFonts w:ascii="Arial" w:hAnsi="Arial" w:cs="Arial"/>
                <w:sz w:val="24"/>
                <w:szCs w:val="24"/>
              </w:rPr>
              <w:t xml:space="preserve"> culture, affecting reputational consistency (Clean Clothes Campaign, 2022; Nike, Inc., 2022)</w:t>
            </w:r>
          </w:p>
        </w:tc>
      </w:tr>
      <w:tr w:rsidR="00D66759" w:rsidRPr="008C3235" w14:paraId="77828852" w14:textId="77777777" w:rsidTr="006046EF">
        <w:tc>
          <w:tcPr>
            <w:tcW w:w="0" w:type="auto"/>
            <w:hideMark/>
          </w:tcPr>
          <w:p w14:paraId="0C1BBCF0"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 xml:space="preserve">Powerful athlete endorsement portfolio and cultural relevance across </w:t>
            </w:r>
            <w:r w:rsidRPr="008C3235">
              <w:rPr>
                <w:rFonts w:ascii="Arial" w:hAnsi="Arial" w:cs="Arial"/>
                <w:sz w:val="24"/>
                <w:szCs w:val="24"/>
              </w:rPr>
              <w:lastRenderedPageBreak/>
              <w:t>sport and lifestyle markets (Mahdi et al., 2015)</w:t>
            </w:r>
          </w:p>
        </w:tc>
        <w:tc>
          <w:tcPr>
            <w:tcW w:w="0" w:type="auto"/>
            <w:hideMark/>
          </w:tcPr>
          <w:p w14:paraId="1F2C09D9"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lastRenderedPageBreak/>
              <w:t>Inventory management and channel transition challenges during wholesale-to-DTC restructuring (</w:t>
            </w:r>
            <w:proofErr w:type="spellStart"/>
            <w:r w:rsidRPr="008C3235">
              <w:rPr>
                <w:rFonts w:ascii="Arial" w:hAnsi="Arial" w:cs="Arial"/>
                <w:sz w:val="24"/>
                <w:szCs w:val="24"/>
              </w:rPr>
              <w:t>Germano</w:t>
            </w:r>
            <w:proofErr w:type="spellEnd"/>
            <w:r w:rsidRPr="008C3235">
              <w:rPr>
                <w:rFonts w:ascii="Arial" w:hAnsi="Arial" w:cs="Arial"/>
                <w:sz w:val="24"/>
                <w:szCs w:val="24"/>
              </w:rPr>
              <w:t>, 2023)</w:t>
            </w:r>
          </w:p>
        </w:tc>
      </w:tr>
      <w:tr w:rsidR="00D66759" w:rsidRPr="008C3235" w14:paraId="7E9153D1" w14:textId="77777777" w:rsidTr="006046EF">
        <w:tc>
          <w:tcPr>
            <w:tcW w:w="0" w:type="auto"/>
            <w:noWrap/>
            <w:hideMark/>
          </w:tcPr>
          <w:p w14:paraId="65B49E5C" w14:textId="77777777" w:rsidR="00D66759" w:rsidRPr="008C3235" w:rsidRDefault="00D66759" w:rsidP="006046EF">
            <w:pPr>
              <w:spacing w:after="200" w:line="360" w:lineRule="auto"/>
              <w:rPr>
                <w:rFonts w:ascii="Arial" w:hAnsi="Arial" w:cs="Arial"/>
                <w:b/>
                <w:bCs/>
                <w:sz w:val="24"/>
                <w:szCs w:val="24"/>
              </w:rPr>
            </w:pPr>
            <w:r w:rsidRPr="008C3235">
              <w:rPr>
                <w:rFonts w:ascii="Arial" w:hAnsi="Arial" w:cs="Arial"/>
                <w:b/>
                <w:bCs/>
                <w:sz w:val="24"/>
                <w:szCs w:val="24"/>
              </w:rPr>
              <w:t>Opportunities</w:t>
            </w:r>
          </w:p>
        </w:tc>
        <w:tc>
          <w:tcPr>
            <w:tcW w:w="0" w:type="auto"/>
            <w:noWrap/>
            <w:hideMark/>
          </w:tcPr>
          <w:p w14:paraId="5D2C10E7" w14:textId="77777777" w:rsidR="00D66759" w:rsidRPr="008C3235" w:rsidRDefault="00D66759" w:rsidP="006046EF">
            <w:pPr>
              <w:spacing w:after="200" w:line="360" w:lineRule="auto"/>
              <w:rPr>
                <w:rFonts w:ascii="Arial" w:hAnsi="Arial" w:cs="Arial"/>
                <w:b/>
                <w:bCs/>
                <w:sz w:val="24"/>
                <w:szCs w:val="24"/>
              </w:rPr>
            </w:pPr>
            <w:r w:rsidRPr="008C3235">
              <w:rPr>
                <w:rFonts w:ascii="Arial" w:hAnsi="Arial" w:cs="Arial"/>
                <w:b/>
                <w:bCs/>
                <w:sz w:val="24"/>
                <w:szCs w:val="24"/>
              </w:rPr>
              <w:t>Threats</w:t>
            </w:r>
          </w:p>
        </w:tc>
      </w:tr>
      <w:tr w:rsidR="00D66759" w:rsidRPr="008C3235" w14:paraId="1EFA82E8" w14:textId="77777777" w:rsidTr="006046EF">
        <w:tc>
          <w:tcPr>
            <w:tcW w:w="0" w:type="auto"/>
            <w:hideMark/>
          </w:tcPr>
          <w:p w14:paraId="28497A54"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Expansion in women’s sport and athleisure, supported by strong market growth forecasts (Allied Market Research, 2023)</w:t>
            </w:r>
          </w:p>
        </w:tc>
        <w:tc>
          <w:tcPr>
            <w:tcW w:w="0" w:type="auto"/>
            <w:hideMark/>
          </w:tcPr>
          <w:p w14:paraId="25E6B6AB"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 xml:space="preserve">Intensifying competition from Adidas, Skechers, Hoka, On Running and other </w:t>
            </w:r>
            <w:proofErr w:type="spellStart"/>
            <w:r w:rsidRPr="008C3235">
              <w:rPr>
                <w:rFonts w:ascii="Arial" w:hAnsi="Arial" w:cs="Arial"/>
                <w:sz w:val="24"/>
                <w:szCs w:val="24"/>
              </w:rPr>
              <w:t>specialised</w:t>
            </w:r>
            <w:proofErr w:type="spellEnd"/>
            <w:r w:rsidRPr="008C3235">
              <w:rPr>
                <w:rFonts w:ascii="Arial" w:hAnsi="Arial" w:cs="Arial"/>
                <w:sz w:val="24"/>
                <w:szCs w:val="24"/>
              </w:rPr>
              <w:t xml:space="preserve"> brands (Statista, 2023)</w:t>
            </w:r>
          </w:p>
        </w:tc>
      </w:tr>
      <w:tr w:rsidR="00D66759" w:rsidRPr="008C3235" w14:paraId="60C85A6D" w14:textId="77777777" w:rsidTr="006046EF">
        <w:tc>
          <w:tcPr>
            <w:tcW w:w="0" w:type="auto"/>
            <w:hideMark/>
          </w:tcPr>
          <w:p w14:paraId="0B7CCE62"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Growth in emerging markets such as India, Africa and Southeast Asia (McKinsey and Company, 2023)</w:t>
            </w:r>
          </w:p>
        </w:tc>
        <w:tc>
          <w:tcPr>
            <w:tcW w:w="0" w:type="auto"/>
            <w:hideMark/>
          </w:tcPr>
          <w:p w14:paraId="4E063FBF"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Geopolitical trade tensions, tariffs and production disruptions (Shih, 2020)</w:t>
            </w:r>
          </w:p>
        </w:tc>
      </w:tr>
      <w:tr w:rsidR="00D66759" w:rsidRPr="008C3235" w14:paraId="2ECAD3DE" w14:textId="77777777" w:rsidTr="006046EF">
        <w:tc>
          <w:tcPr>
            <w:tcW w:w="0" w:type="auto"/>
            <w:hideMark/>
          </w:tcPr>
          <w:p w14:paraId="0141F1DA"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Development of wearable technology, digital fitness and data-driven services (Porter and Heppelmann, 2014)</w:t>
            </w:r>
          </w:p>
        </w:tc>
        <w:tc>
          <w:tcPr>
            <w:tcW w:w="0" w:type="auto"/>
            <w:hideMark/>
          </w:tcPr>
          <w:p w14:paraId="59E7DB09"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Reduced consumer spending during inflationary or recessionary conditions (Euromonitor International, 2023)</w:t>
            </w:r>
          </w:p>
        </w:tc>
      </w:tr>
      <w:tr w:rsidR="00D66759" w:rsidRPr="008C3235" w14:paraId="6A986F79" w14:textId="77777777" w:rsidTr="006046EF">
        <w:tc>
          <w:tcPr>
            <w:tcW w:w="0" w:type="auto"/>
            <w:hideMark/>
          </w:tcPr>
          <w:p w14:paraId="362ECAA9"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Circular economy initiatives and sustainable product innovation as a source of differentiation (Nike, Inc., 2022)</w:t>
            </w:r>
          </w:p>
        </w:tc>
        <w:tc>
          <w:tcPr>
            <w:tcW w:w="0" w:type="auto"/>
            <w:hideMark/>
          </w:tcPr>
          <w:p w14:paraId="3C217529"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Counterfeiting, intellectual property risks and rising regulatory demands (Nike, Inc., 2023a)</w:t>
            </w:r>
          </w:p>
        </w:tc>
      </w:tr>
    </w:tbl>
    <w:p w14:paraId="74F95D08" w14:textId="77777777" w:rsidR="00D66759" w:rsidRDefault="00D66759" w:rsidP="00D66759">
      <w:pPr>
        <w:spacing w:line="360" w:lineRule="auto"/>
        <w:rPr>
          <w:rFonts w:ascii="Arial" w:hAnsi="Arial" w:cs="Arial"/>
          <w:sz w:val="24"/>
          <w:szCs w:val="24"/>
        </w:rPr>
      </w:pPr>
    </w:p>
    <w:p w14:paraId="1D72E136" w14:textId="77777777" w:rsidR="00D373B5" w:rsidRDefault="00D373B5" w:rsidP="00AF768D">
      <w:pPr>
        <w:spacing w:line="360" w:lineRule="auto"/>
        <w:jc w:val="both"/>
        <w:rPr>
          <w:rFonts w:ascii="Arial" w:hAnsi="Arial" w:cs="Arial"/>
          <w:sz w:val="24"/>
          <w:szCs w:val="24"/>
        </w:rPr>
      </w:pPr>
      <w:r w:rsidRPr="00D373B5">
        <w:rPr>
          <w:rFonts w:ascii="Arial" w:hAnsi="Arial" w:cs="Arial"/>
          <w:sz w:val="24"/>
          <w:szCs w:val="24"/>
        </w:rPr>
        <w:t xml:space="preserve">According to the SWOT analysis, the greatest strategic resources of Nike are represented by its brand, innovation and digital ecosystem capability. The strengths are however limited in part by the weaknesses of operations and especially the concentration of supply chains and reputational exposure to </w:t>
      </w:r>
      <w:proofErr w:type="spellStart"/>
      <w:r w:rsidRPr="00D373B5">
        <w:rPr>
          <w:rFonts w:ascii="Arial" w:hAnsi="Arial" w:cs="Arial"/>
          <w:sz w:val="24"/>
          <w:szCs w:val="24"/>
        </w:rPr>
        <w:t>labour</w:t>
      </w:r>
      <w:proofErr w:type="spellEnd"/>
      <w:r w:rsidRPr="00D373B5">
        <w:rPr>
          <w:rFonts w:ascii="Arial" w:hAnsi="Arial" w:cs="Arial"/>
          <w:sz w:val="24"/>
          <w:szCs w:val="24"/>
        </w:rPr>
        <w:t xml:space="preserve"> related problems. Simultaneously, the most appealing expansion opportunities, including women sport, </w:t>
      </w:r>
      <w:r w:rsidRPr="00D373B5">
        <w:rPr>
          <w:rFonts w:ascii="Arial" w:hAnsi="Arial" w:cs="Arial"/>
          <w:sz w:val="24"/>
          <w:szCs w:val="24"/>
        </w:rPr>
        <w:lastRenderedPageBreak/>
        <w:t>digital and new markets, fit particularly well with existing Nike resources, which means that the future strategy of the company should be directed at growth opportunities using strengths into targeted growth directions instead of transforming the company radically.</w:t>
      </w:r>
    </w:p>
    <w:p w14:paraId="5B369E45" w14:textId="77777777" w:rsidR="009C04CB" w:rsidRPr="00AF768D" w:rsidRDefault="009C04CB" w:rsidP="00AF768D">
      <w:pPr>
        <w:spacing w:line="360" w:lineRule="auto"/>
        <w:jc w:val="both"/>
        <w:rPr>
          <w:rFonts w:ascii="Arial" w:hAnsi="Arial" w:cs="Arial"/>
          <w:b/>
          <w:bCs/>
          <w:sz w:val="24"/>
          <w:szCs w:val="24"/>
        </w:rPr>
      </w:pPr>
      <w:r w:rsidRPr="00AF768D">
        <w:rPr>
          <w:rFonts w:ascii="Arial" w:hAnsi="Arial" w:cs="Arial"/>
          <w:b/>
          <w:bCs/>
          <w:sz w:val="24"/>
          <w:szCs w:val="24"/>
        </w:rPr>
        <w:t>6.2 Ansoff's Matrix Application</w:t>
      </w:r>
    </w:p>
    <w:p w14:paraId="5962AC1C" w14:textId="77777777" w:rsidR="009C04CB" w:rsidRPr="00AF768D" w:rsidRDefault="009C04CB" w:rsidP="00AF768D">
      <w:pPr>
        <w:spacing w:line="360" w:lineRule="auto"/>
        <w:jc w:val="both"/>
        <w:rPr>
          <w:rFonts w:ascii="Arial" w:hAnsi="Arial" w:cs="Arial"/>
          <w:sz w:val="24"/>
          <w:szCs w:val="24"/>
        </w:rPr>
      </w:pPr>
      <w:r w:rsidRPr="00AF768D">
        <w:rPr>
          <w:rFonts w:ascii="Arial" w:hAnsi="Arial" w:cs="Arial"/>
          <w:sz w:val="24"/>
          <w:szCs w:val="24"/>
        </w:rPr>
        <w:t xml:space="preserve">Using the growth matrix by Ansoff (1957), Nike strategic portfolio can be seen to have activity in most of the quadrants. Market penetration is kept central and it is aimed at further engaging in the existing markets by developing membership </w:t>
      </w:r>
      <w:proofErr w:type="spellStart"/>
      <w:r w:rsidRPr="00AF768D">
        <w:rPr>
          <w:rFonts w:ascii="Arial" w:hAnsi="Arial" w:cs="Arial"/>
          <w:sz w:val="24"/>
          <w:szCs w:val="24"/>
        </w:rPr>
        <w:t>programmes</w:t>
      </w:r>
      <w:proofErr w:type="spellEnd"/>
      <w:r w:rsidRPr="00AF768D">
        <w:rPr>
          <w:rFonts w:ascii="Arial" w:hAnsi="Arial" w:cs="Arial"/>
          <w:sz w:val="24"/>
          <w:szCs w:val="24"/>
        </w:rPr>
        <w:t xml:space="preserve"> and the </w:t>
      </w:r>
      <w:proofErr w:type="spellStart"/>
      <w:r w:rsidRPr="00AF768D">
        <w:rPr>
          <w:rFonts w:ascii="Arial" w:hAnsi="Arial" w:cs="Arial"/>
          <w:sz w:val="24"/>
          <w:szCs w:val="24"/>
        </w:rPr>
        <w:t>personalised</w:t>
      </w:r>
      <w:proofErr w:type="spellEnd"/>
      <w:r w:rsidRPr="00AF768D">
        <w:rPr>
          <w:rFonts w:ascii="Arial" w:hAnsi="Arial" w:cs="Arial"/>
          <w:sz w:val="24"/>
          <w:szCs w:val="24"/>
        </w:rPr>
        <w:t xml:space="preserve"> retail experience. The international expansion especially in Greater China, Southeast Asia and Latin America suggests the development of the market. The growth in products is also shown by its consistent introduction of innovation in areas of performance technologies and expanding into other related lines of products like maternity athletic and adaptive products that are utilized by athletes with disabilities. Nike has strayed very little with diversification of its unrelated business, and the company has been strategically coherent an attribute that Markides (1997) links to high long-term shareholder value.</w:t>
      </w:r>
    </w:p>
    <w:p w14:paraId="39718F5B" w14:textId="77777777" w:rsidR="00D66759" w:rsidRPr="008C3235" w:rsidRDefault="00D66759" w:rsidP="00D66759">
      <w:pPr>
        <w:spacing w:line="360" w:lineRule="auto"/>
        <w:rPr>
          <w:rFonts w:ascii="Arial" w:hAnsi="Arial" w:cs="Arial"/>
          <w:b/>
          <w:bCs/>
          <w:sz w:val="24"/>
          <w:szCs w:val="24"/>
        </w:rPr>
      </w:pPr>
      <w:r w:rsidRPr="008C3235">
        <w:rPr>
          <w:rFonts w:ascii="Arial" w:hAnsi="Arial" w:cs="Arial"/>
          <w:b/>
          <w:bCs/>
          <w:sz w:val="24"/>
          <w:szCs w:val="24"/>
        </w:rPr>
        <w:t>6.3 BCG Matrix Consideration</w:t>
      </w:r>
    </w:p>
    <w:p w14:paraId="54956016" w14:textId="77777777" w:rsidR="00D373B5" w:rsidRDefault="00D373B5" w:rsidP="00D66759">
      <w:pPr>
        <w:spacing w:line="360" w:lineRule="auto"/>
        <w:rPr>
          <w:rFonts w:ascii="Arial" w:hAnsi="Arial" w:cs="Arial"/>
          <w:sz w:val="24"/>
          <w:szCs w:val="24"/>
        </w:rPr>
      </w:pPr>
      <w:r w:rsidRPr="00D373B5">
        <w:rPr>
          <w:rFonts w:ascii="Arial" w:hAnsi="Arial" w:cs="Arial"/>
          <w:sz w:val="24"/>
          <w:szCs w:val="24"/>
        </w:rPr>
        <w:t xml:space="preserve"> The Boston Consulting Group (BCG) Matrix offers a viable means of analyzing business portfolio of Nike in relative terms based on market share and market growth. Despite the shortcomings of the model particularly when dealing with diversified companies with effective brand synergies, it does provide an insight into where Nike should invest resources, maintain or selectively reposition resources (Henderson, 1979).</w:t>
      </w:r>
    </w:p>
    <w:p w14:paraId="01941785" w14:textId="77777777" w:rsidR="00D66759" w:rsidRPr="008C3235" w:rsidRDefault="00D66759" w:rsidP="00D66759">
      <w:pPr>
        <w:spacing w:line="360" w:lineRule="auto"/>
        <w:rPr>
          <w:rFonts w:ascii="Arial" w:hAnsi="Arial" w:cs="Arial"/>
          <w:b/>
          <w:bCs/>
          <w:sz w:val="24"/>
          <w:szCs w:val="24"/>
        </w:rPr>
      </w:pPr>
      <w:r w:rsidRPr="008C3235">
        <w:rPr>
          <w:rFonts w:ascii="Arial" w:hAnsi="Arial" w:cs="Arial"/>
          <w:b/>
          <w:bCs/>
          <w:sz w:val="24"/>
          <w:szCs w:val="24"/>
        </w:rPr>
        <w:t>Table 4: Indicative BCG Matrix Analysis of Nike</w:t>
      </w:r>
    </w:p>
    <w:tbl>
      <w:tblPr>
        <w:tblStyle w:val="TableGrid"/>
        <w:tblW w:w="6607" w:type="dxa"/>
        <w:tblLook w:val="04A0" w:firstRow="1" w:lastRow="0" w:firstColumn="1" w:lastColumn="0" w:noHBand="0" w:noVBand="1"/>
      </w:tblPr>
      <w:tblGrid>
        <w:gridCol w:w="1884"/>
        <w:gridCol w:w="1857"/>
        <w:gridCol w:w="2164"/>
        <w:gridCol w:w="2577"/>
      </w:tblGrid>
      <w:tr w:rsidR="00D66759" w:rsidRPr="008C3235" w14:paraId="70F1F35E" w14:textId="77777777" w:rsidTr="006046EF">
        <w:tc>
          <w:tcPr>
            <w:tcW w:w="0" w:type="auto"/>
            <w:noWrap/>
            <w:hideMark/>
          </w:tcPr>
          <w:p w14:paraId="2956EF88" w14:textId="77777777" w:rsidR="00D66759" w:rsidRPr="008C3235" w:rsidRDefault="00D66759" w:rsidP="006046EF">
            <w:pPr>
              <w:spacing w:after="200" w:line="360" w:lineRule="auto"/>
              <w:rPr>
                <w:rFonts w:ascii="Arial" w:hAnsi="Arial" w:cs="Arial"/>
                <w:b/>
                <w:bCs/>
                <w:sz w:val="24"/>
                <w:szCs w:val="24"/>
              </w:rPr>
            </w:pPr>
            <w:r w:rsidRPr="008C3235">
              <w:rPr>
                <w:rFonts w:ascii="Arial" w:hAnsi="Arial" w:cs="Arial"/>
                <w:b/>
                <w:bCs/>
                <w:sz w:val="24"/>
                <w:szCs w:val="24"/>
              </w:rPr>
              <w:t>Business Area</w:t>
            </w:r>
          </w:p>
        </w:tc>
        <w:tc>
          <w:tcPr>
            <w:tcW w:w="0" w:type="auto"/>
            <w:noWrap/>
            <w:hideMark/>
          </w:tcPr>
          <w:p w14:paraId="07300050" w14:textId="77777777" w:rsidR="00D66759" w:rsidRPr="008C3235" w:rsidRDefault="00D66759" w:rsidP="006046EF">
            <w:pPr>
              <w:spacing w:after="200" w:line="360" w:lineRule="auto"/>
              <w:rPr>
                <w:rFonts w:ascii="Arial" w:hAnsi="Arial" w:cs="Arial"/>
                <w:b/>
                <w:bCs/>
                <w:sz w:val="24"/>
                <w:szCs w:val="24"/>
              </w:rPr>
            </w:pPr>
            <w:r w:rsidRPr="008C3235">
              <w:rPr>
                <w:rFonts w:ascii="Arial" w:hAnsi="Arial" w:cs="Arial"/>
                <w:b/>
                <w:bCs/>
                <w:sz w:val="24"/>
                <w:szCs w:val="24"/>
              </w:rPr>
              <w:t>BCG Category</w:t>
            </w:r>
          </w:p>
        </w:tc>
        <w:tc>
          <w:tcPr>
            <w:tcW w:w="0" w:type="auto"/>
            <w:noWrap/>
            <w:hideMark/>
          </w:tcPr>
          <w:p w14:paraId="5788BC1D" w14:textId="77777777" w:rsidR="00D66759" w:rsidRPr="008C3235" w:rsidRDefault="00D66759" w:rsidP="006046EF">
            <w:pPr>
              <w:spacing w:after="200" w:line="360" w:lineRule="auto"/>
              <w:rPr>
                <w:rFonts w:ascii="Arial" w:hAnsi="Arial" w:cs="Arial"/>
                <w:b/>
                <w:bCs/>
                <w:sz w:val="24"/>
                <w:szCs w:val="24"/>
              </w:rPr>
            </w:pPr>
            <w:r w:rsidRPr="008C3235">
              <w:rPr>
                <w:rFonts w:ascii="Arial" w:hAnsi="Arial" w:cs="Arial"/>
                <w:b/>
                <w:bCs/>
                <w:sz w:val="24"/>
                <w:szCs w:val="24"/>
              </w:rPr>
              <w:t>Justification</w:t>
            </w:r>
          </w:p>
        </w:tc>
        <w:tc>
          <w:tcPr>
            <w:tcW w:w="0" w:type="auto"/>
            <w:noWrap/>
            <w:hideMark/>
          </w:tcPr>
          <w:p w14:paraId="33A58BD3" w14:textId="77777777" w:rsidR="00D66759" w:rsidRPr="008C3235" w:rsidRDefault="00D66759" w:rsidP="006046EF">
            <w:pPr>
              <w:spacing w:after="200" w:line="360" w:lineRule="auto"/>
              <w:rPr>
                <w:rFonts w:ascii="Arial" w:hAnsi="Arial" w:cs="Arial"/>
                <w:b/>
                <w:bCs/>
                <w:sz w:val="24"/>
                <w:szCs w:val="24"/>
              </w:rPr>
            </w:pPr>
            <w:r w:rsidRPr="008C3235">
              <w:rPr>
                <w:rFonts w:ascii="Arial" w:hAnsi="Arial" w:cs="Arial"/>
                <w:b/>
                <w:bCs/>
                <w:sz w:val="24"/>
                <w:szCs w:val="24"/>
              </w:rPr>
              <w:t>Strategic Implication</w:t>
            </w:r>
          </w:p>
        </w:tc>
      </w:tr>
      <w:tr w:rsidR="00D66759" w:rsidRPr="008C3235" w14:paraId="4A168D00" w14:textId="77777777" w:rsidTr="006046EF">
        <w:tc>
          <w:tcPr>
            <w:tcW w:w="0" w:type="auto"/>
            <w:hideMark/>
          </w:tcPr>
          <w:p w14:paraId="0D125590"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Jordan Brand</w:t>
            </w:r>
          </w:p>
        </w:tc>
        <w:tc>
          <w:tcPr>
            <w:tcW w:w="0" w:type="auto"/>
            <w:hideMark/>
          </w:tcPr>
          <w:p w14:paraId="136924E5"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Star</w:t>
            </w:r>
          </w:p>
        </w:tc>
        <w:tc>
          <w:tcPr>
            <w:tcW w:w="0" w:type="auto"/>
            <w:hideMark/>
          </w:tcPr>
          <w:p w14:paraId="43B925C8"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 xml:space="preserve">High market share in a growing premium basketball/lifestyle segment; strong </w:t>
            </w:r>
            <w:r w:rsidRPr="008C3235">
              <w:rPr>
                <w:rFonts w:ascii="Arial" w:hAnsi="Arial" w:cs="Arial"/>
                <w:sz w:val="24"/>
                <w:szCs w:val="24"/>
              </w:rPr>
              <w:lastRenderedPageBreak/>
              <w:t>revenue growth and global brand momentum</w:t>
            </w:r>
          </w:p>
        </w:tc>
        <w:tc>
          <w:tcPr>
            <w:tcW w:w="0" w:type="auto"/>
            <w:hideMark/>
          </w:tcPr>
          <w:p w14:paraId="30EB332A"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lastRenderedPageBreak/>
              <w:t>Continue investment in innovation, collaborations and international expansion</w:t>
            </w:r>
          </w:p>
        </w:tc>
      </w:tr>
      <w:tr w:rsidR="00D66759" w:rsidRPr="008C3235" w14:paraId="0EF32DFB" w14:textId="77777777" w:rsidTr="006046EF">
        <w:tc>
          <w:tcPr>
            <w:tcW w:w="0" w:type="auto"/>
            <w:hideMark/>
          </w:tcPr>
          <w:p w14:paraId="5E2C226C"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Core Footwear (running, training, sports performance)</w:t>
            </w:r>
          </w:p>
        </w:tc>
        <w:tc>
          <w:tcPr>
            <w:tcW w:w="0" w:type="auto"/>
            <w:hideMark/>
          </w:tcPr>
          <w:p w14:paraId="5E3178E0"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Cash Cow</w:t>
            </w:r>
          </w:p>
        </w:tc>
        <w:tc>
          <w:tcPr>
            <w:tcW w:w="0" w:type="auto"/>
            <w:hideMark/>
          </w:tcPr>
          <w:p w14:paraId="2AF71BF1"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Very high market share and strong profitability in a more mature market segment</w:t>
            </w:r>
          </w:p>
        </w:tc>
        <w:tc>
          <w:tcPr>
            <w:tcW w:w="0" w:type="auto"/>
            <w:hideMark/>
          </w:tcPr>
          <w:p w14:paraId="64F7BBF9"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Maintain leadership, harvest cash flows, support investment in newer growth areas</w:t>
            </w:r>
          </w:p>
        </w:tc>
      </w:tr>
      <w:tr w:rsidR="00D66759" w:rsidRPr="008C3235" w14:paraId="46E6528B" w14:textId="77777777" w:rsidTr="006046EF">
        <w:tc>
          <w:tcPr>
            <w:tcW w:w="0" w:type="auto"/>
            <w:hideMark/>
          </w:tcPr>
          <w:p w14:paraId="2237A697"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Apparel</w:t>
            </w:r>
          </w:p>
        </w:tc>
        <w:tc>
          <w:tcPr>
            <w:tcW w:w="0" w:type="auto"/>
            <w:hideMark/>
          </w:tcPr>
          <w:p w14:paraId="4BFEAF5E"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Star / Cash Cow</w:t>
            </w:r>
          </w:p>
        </w:tc>
        <w:tc>
          <w:tcPr>
            <w:tcW w:w="0" w:type="auto"/>
            <w:hideMark/>
          </w:tcPr>
          <w:p w14:paraId="049A920D"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Strong market position with continuing growth through athleisure and women’s categories</w:t>
            </w:r>
          </w:p>
        </w:tc>
        <w:tc>
          <w:tcPr>
            <w:tcW w:w="0" w:type="auto"/>
            <w:hideMark/>
          </w:tcPr>
          <w:p w14:paraId="38E1BB97"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Invest selectively, especially in women’s sport and lifestyle integration</w:t>
            </w:r>
          </w:p>
        </w:tc>
      </w:tr>
      <w:tr w:rsidR="00D66759" w:rsidRPr="008C3235" w14:paraId="5BD7C4B4" w14:textId="77777777" w:rsidTr="006046EF">
        <w:tc>
          <w:tcPr>
            <w:tcW w:w="0" w:type="auto"/>
            <w:hideMark/>
          </w:tcPr>
          <w:p w14:paraId="0CF96B4D"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Digital Fitness Platforms (Nike Run Club, Nike Training Club)</w:t>
            </w:r>
          </w:p>
        </w:tc>
        <w:tc>
          <w:tcPr>
            <w:tcW w:w="0" w:type="auto"/>
            <w:hideMark/>
          </w:tcPr>
          <w:p w14:paraId="5796236A"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Question Mark</w:t>
            </w:r>
          </w:p>
        </w:tc>
        <w:tc>
          <w:tcPr>
            <w:tcW w:w="0" w:type="auto"/>
            <w:hideMark/>
          </w:tcPr>
          <w:p w14:paraId="35D98D6C"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 xml:space="preserve">Operates in a high-growth digital wellness market but lacks standalone market dominance and clear </w:t>
            </w:r>
            <w:proofErr w:type="spellStart"/>
            <w:r w:rsidRPr="008C3235">
              <w:rPr>
                <w:rFonts w:ascii="Arial" w:hAnsi="Arial" w:cs="Arial"/>
                <w:sz w:val="24"/>
                <w:szCs w:val="24"/>
              </w:rPr>
              <w:t>monetisation</w:t>
            </w:r>
            <w:proofErr w:type="spellEnd"/>
          </w:p>
        </w:tc>
        <w:tc>
          <w:tcPr>
            <w:tcW w:w="0" w:type="auto"/>
            <w:hideMark/>
          </w:tcPr>
          <w:p w14:paraId="761341FF"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Increase strategic investment and partnerships to improve scale and profitability</w:t>
            </w:r>
          </w:p>
        </w:tc>
      </w:tr>
      <w:tr w:rsidR="00D66759" w:rsidRPr="008C3235" w14:paraId="5CCF0350" w14:textId="77777777" w:rsidTr="006046EF">
        <w:tc>
          <w:tcPr>
            <w:tcW w:w="0" w:type="auto"/>
            <w:hideMark/>
          </w:tcPr>
          <w:p w14:paraId="7FA20AF9"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Equipment and smaller accessories segments</w:t>
            </w:r>
          </w:p>
        </w:tc>
        <w:tc>
          <w:tcPr>
            <w:tcW w:w="0" w:type="auto"/>
            <w:hideMark/>
          </w:tcPr>
          <w:p w14:paraId="068BEDA5"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Dog / Low-priority segment</w:t>
            </w:r>
          </w:p>
        </w:tc>
        <w:tc>
          <w:tcPr>
            <w:tcW w:w="0" w:type="auto"/>
            <w:hideMark/>
          </w:tcPr>
          <w:p w14:paraId="412877BB"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Lower strategic visibility and less central to Nike’s core growth engine</w:t>
            </w:r>
          </w:p>
        </w:tc>
        <w:tc>
          <w:tcPr>
            <w:tcW w:w="0" w:type="auto"/>
            <w:hideMark/>
          </w:tcPr>
          <w:p w14:paraId="488621E4" w14:textId="77777777" w:rsidR="00D66759" w:rsidRPr="008C3235" w:rsidRDefault="00D66759" w:rsidP="006046EF">
            <w:pPr>
              <w:spacing w:after="200" w:line="360" w:lineRule="auto"/>
              <w:rPr>
                <w:rFonts w:ascii="Arial" w:hAnsi="Arial" w:cs="Arial"/>
                <w:sz w:val="24"/>
                <w:szCs w:val="24"/>
              </w:rPr>
            </w:pPr>
            <w:r w:rsidRPr="008C3235">
              <w:rPr>
                <w:rFonts w:ascii="Arial" w:hAnsi="Arial" w:cs="Arial"/>
                <w:sz w:val="24"/>
                <w:szCs w:val="24"/>
              </w:rPr>
              <w:t>Maintain only where they support brand ecosystem; avoid over-investment</w:t>
            </w:r>
          </w:p>
        </w:tc>
      </w:tr>
    </w:tbl>
    <w:p w14:paraId="0CBF0BF4" w14:textId="77777777" w:rsidR="00D66759" w:rsidRDefault="00D66759" w:rsidP="00D66759">
      <w:pPr>
        <w:spacing w:line="360" w:lineRule="auto"/>
        <w:rPr>
          <w:rFonts w:ascii="Arial" w:hAnsi="Arial" w:cs="Arial"/>
          <w:sz w:val="24"/>
          <w:szCs w:val="24"/>
        </w:rPr>
      </w:pPr>
    </w:p>
    <w:p w14:paraId="183A34BC" w14:textId="77777777" w:rsidR="00D373B5" w:rsidRPr="00D373B5" w:rsidRDefault="00D373B5" w:rsidP="00D373B5">
      <w:pPr>
        <w:spacing w:line="360" w:lineRule="auto"/>
        <w:jc w:val="both"/>
        <w:rPr>
          <w:rFonts w:ascii="Arial" w:hAnsi="Arial" w:cs="Arial"/>
          <w:sz w:val="24"/>
          <w:szCs w:val="24"/>
        </w:rPr>
      </w:pPr>
      <w:r w:rsidRPr="00D373B5">
        <w:rPr>
          <w:rFonts w:ascii="Arial" w:hAnsi="Arial" w:cs="Arial"/>
          <w:sz w:val="24"/>
          <w:szCs w:val="24"/>
        </w:rPr>
        <w:t xml:space="preserve">In more depth analysis, it is apparent that the primary Cash Cow of Nike is its basic footwear business. It has a high market presence in the world athletic footwear industry and has a high cash flow although the market is comparatively mature in </w:t>
      </w:r>
      <w:r w:rsidRPr="00D373B5">
        <w:rPr>
          <w:rFonts w:ascii="Arial" w:hAnsi="Arial" w:cs="Arial"/>
          <w:sz w:val="24"/>
          <w:szCs w:val="24"/>
        </w:rPr>
        <w:lastRenderedPageBreak/>
        <w:t>comparison to newer groups such as digital and niche products. This cash flow is strategic in that it is used to invest in innovation, marketing, digital transformation and international expansion.</w:t>
      </w:r>
    </w:p>
    <w:p w14:paraId="0C05C068" w14:textId="77777777" w:rsidR="00D373B5" w:rsidRPr="00D373B5" w:rsidRDefault="00D373B5" w:rsidP="00D373B5">
      <w:pPr>
        <w:spacing w:line="360" w:lineRule="auto"/>
        <w:jc w:val="both"/>
        <w:rPr>
          <w:rFonts w:ascii="Arial" w:hAnsi="Arial" w:cs="Arial"/>
          <w:sz w:val="24"/>
          <w:szCs w:val="24"/>
        </w:rPr>
      </w:pPr>
      <w:r w:rsidRPr="00D373B5">
        <w:rPr>
          <w:rFonts w:ascii="Arial" w:hAnsi="Arial" w:cs="Arial"/>
          <w:sz w:val="24"/>
          <w:szCs w:val="24"/>
        </w:rPr>
        <w:t xml:space="preserve">Jordan Brand would be </w:t>
      </w:r>
      <w:proofErr w:type="spellStart"/>
      <w:r w:rsidRPr="00D373B5">
        <w:rPr>
          <w:rFonts w:ascii="Arial" w:hAnsi="Arial" w:cs="Arial"/>
          <w:sz w:val="24"/>
          <w:szCs w:val="24"/>
        </w:rPr>
        <w:t>categorised</w:t>
      </w:r>
      <w:proofErr w:type="spellEnd"/>
      <w:r w:rsidRPr="00D373B5">
        <w:rPr>
          <w:rFonts w:ascii="Arial" w:hAnsi="Arial" w:cs="Arial"/>
          <w:sz w:val="24"/>
          <w:szCs w:val="24"/>
        </w:rPr>
        <w:t xml:space="preserve"> as a Star, which is a good market share coupled with growth. Collaborations, scarcity marketing and strong brand loyalty have helped it to extend past basketball into a larger cultural and lifestyle platform.</w:t>
      </w:r>
    </w:p>
    <w:p w14:paraId="143DD442" w14:textId="77777777" w:rsidR="00D373B5" w:rsidRPr="00D373B5" w:rsidRDefault="00D373B5" w:rsidP="00D373B5">
      <w:pPr>
        <w:spacing w:line="360" w:lineRule="auto"/>
        <w:jc w:val="both"/>
        <w:rPr>
          <w:rFonts w:ascii="Arial" w:hAnsi="Arial" w:cs="Arial"/>
          <w:sz w:val="24"/>
          <w:szCs w:val="24"/>
        </w:rPr>
      </w:pPr>
      <w:r w:rsidRPr="00D373B5">
        <w:rPr>
          <w:rFonts w:ascii="Arial" w:hAnsi="Arial" w:cs="Arial"/>
          <w:sz w:val="24"/>
          <w:szCs w:val="24"/>
        </w:rPr>
        <w:t>Question Marks are the digital fitness service providers like Nike Training Club and Nike Run Club. They are in high growth markets but are not well profitable. They are valuable in terms of data capture, development of loyalty and ecosystem.</w:t>
      </w:r>
    </w:p>
    <w:p w14:paraId="2304A558" w14:textId="77777777" w:rsidR="00AC3072" w:rsidRDefault="00D373B5" w:rsidP="00D373B5">
      <w:pPr>
        <w:spacing w:line="360" w:lineRule="auto"/>
        <w:jc w:val="both"/>
        <w:rPr>
          <w:rFonts w:ascii="Arial" w:hAnsi="Arial" w:cs="Arial"/>
          <w:b/>
          <w:bCs/>
          <w:sz w:val="24"/>
          <w:szCs w:val="24"/>
        </w:rPr>
      </w:pPr>
      <w:r w:rsidRPr="00D373B5">
        <w:rPr>
          <w:rFonts w:ascii="Arial" w:hAnsi="Arial" w:cs="Arial"/>
          <w:sz w:val="24"/>
          <w:szCs w:val="24"/>
        </w:rPr>
        <w:t>Certain types of equipment can be addressed as Dogs with minor strategic effects. On the whole, Nike is advised to invest the cash flows of the footwear in high growth areas.</w:t>
      </w:r>
    </w:p>
    <w:p w14:paraId="0447F1BF" w14:textId="77777777" w:rsidR="00AC3072" w:rsidRDefault="00AC3072" w:rsidP="00AC3072">
      <w:pPr>
        <w:spacing w:line="360" w:lineRule="auto"/>
        <w:jc w:val="both"/>
        <w:rPr>
          <w:rFonts w:ascii="Arial" w:hAnsi="Arial" w:cs="Arial"/>
          <w:b/>
          <w:bCs/>
          <w:sz w:val="24"/>
          <w:szCs w:val="24"/>
        </w:rPr>
      </w:pPr>
      <w:r>
        <w:rPr>
          <w:rFonts w:ascii="Arial" w:hAnsi="Arial" w:cs="Arial"/>
          <w:b/>
          <w:bCs/>
          <w:sz w:val="24"/>
          <w:szCs w:val="24"/>
        </w:rPr>
        <w:t xml:space="preserve">6.4 </w:t>
      </w:r>
      <w:r w:rsidRPr="00AC3072">
        <w:rPr>
          <w:rFonts w:ascii="Arial" w:hAnsi="Arial" w:cs="Arial"/>
          <w:b/>
          <w:bCs/>
          <w:sz w:val="24"/>
          <w:szCs w:val="24"/>
        </w:rPr>
        <w:t>Recommendations</w:t>
      </w:r>
    </w:p>
    <w:p w14:paraId="5711D885" w14:textId="77777777" w:rsidR="00D373B5" w:rsidRPr="00D373B5" w:rsidRDefault="00AC3072" w:rsidP="00D373B5">
      <w:pPr>
        <w:spacing w:line="360" w:lineRule="auto"/>
        <w:jc w:val="both"/>
        <w:rPr>
          <w:rFonts w:ascii="Arial" w:hAnsi="Arial" w:cs="Arial"/>
          <w:bCs/>
          <w:sz w:val="24"/>
          <w:szCs w:val="24"/>
        </w:rPr>
      </w:pPr>
      <w:r w:rsidRPr="00AC3072">
        <w:rPr>
          <w:rFonts w:ascii="Arial" w:hAnsi="Arial" w:cs="Arial"/>
          <w:b/>
          <w:bCs/>
          <w:sz w:val="24"/>
          <w:szCs w:val="24"/>
        </w:rPr>
        <w:br/>
      </w:r>
      <w:r w:rsidR="00D373B5" w:rsidRPr="00D373B5">
        <w:rPr>
          <w:rFonts w:ascii="Arial" w:hAnsi="Arial" w:cs="Arial"/>
          <w:bCs/>
          <w:sz w:val="24"/>
          <w:szCs w:val="24"/>
        </w:rPr>
        <w:t>The above discussion suggests that the future strategy of Nike ought to utilize its core competencies, especially brand equity, innovation ability and digital consumer connectivity with the need to mitigate operational and reputational risks that have been highlighted in the PESTEL, SWOT and BCG analyses.</w:t>
      </w:r>
    </w:p>
    <w:p w14:paraId="62AC3FA1" w14:textId="77777777" w:rsidR="00D373B5" w:rsidRPr="00D373B5" w:rsidRDefault="00D373B5" w:rsidP="00D373B5">
      <w:pPr>
        <w:spacing w:line="360" w:lineRule="auto"/>
        <w:jc w:val="both"/>
        <w:rPr>
          <w:rFonts w:ascii="Arial" w:hAnsi="Arial" w:cs="Arial"/>
          <w:bCs/>
          <w:sz w:val="24"/>
          <w:szCs w:val="24"/>
        </w:rPr>
      </w:pPr>
      <w:r w:rsidRPr="00D373B5">
        <w:rPr>
          <w:rFonts w:ascii="Arial" w:hAnsi="Arial" w:cs="Arial"/>
          <w:bCs/>
          <w:sz w:val="24"/>
          <w:szCs w:val="24"/>
        </w:rPr>
        <w:t xml:space="preserve">To start with, Nike needs to make faster investments in digital fitness and connected consumer ecosystem. Platforms like Nike Training Club and Nike Run Club, which are currently Question Marks as they are identified in the BCG analysis, are in high growth markets with no dominant share and no strong standalone profitability. Nevertheless, these platforms generate strategic value with the help of data collection, loyalty of consumers and integration of ecosystems. Nike ought to grow partnerships or acquisitions in wearable technology, AI enabled coaching and </w:t>
      </w:r>
      <w:proofErr w:type="spellStart"/>
      <w:r w:rsidRPr="00D373B5">
        <w:rPr>
          <w:rFonts w:ascii="Arial" w:hAnsi="Arial" w:cs="Arial"/>
          <w:bCs/>
          <w:sz w:val="24"/>
          <w:szCs w:val="24"/>
        </w:rPr>
        <w:t>personalised</w:t>
      </w:r>
      <w:proofErr w:type="spellEnd"/>
      <w:r w:rsidRPr="00D373B5">
        <w:rPr>
          <w:rFonts w:ascii="Arial" w:hAnsi="Arial" w:cs="Arial"/>
          <w:bCs/>
          <w:sz w:val="24"/>
          <w:szCs w:val="24"/>
        </w:rPr>
        <w:t xml:space="preserve"> health services as it should turn these businesses into better long term growth drivers (Porter and Heppelmann, 2014).</w:t>
      </w:r>
    </w:p>
    <w:p w14:paraId="0511F11D" w14:textId="77777777" w:rsidR="00D373B5" w:rsidRPr="00D373B5" w:rsidRDefault="00D373B5" w:rsidP="00D373B5">
      <w:pPr>
        <w:spacing w:line="360" w:lineRule="auto"/>
        <w:jc w:val="both"/>
        <w:rPr>
          <w:rFonts w:ascii="Arial" w:hAnsi="Arial" w:cs="Arial"/>
          <w:bCs/>
          <w:sz w:val="24"/>
          <w:szCs w:val="24"/>
        </w:rPr>
      </w:pPr>
      <w:r w:rsidRPr="00D373B5">
        <w:rPr>
          <w:rFonts w:ascii="Arial" w:hAnsi="Arial" w:cs="Arial"/>
          <w:bCs/>
          <w:sz w:val="24"/>
          <w:szCs w:val="24"/>
        </w:rPr>
        <w:t xml:space="preserve">Second, Nike ought to expand and </w:t>
      </w:r>
      <w:proofErr w:type="spellStart"/>
      <w:r w:rsidRPr="00D373B5">
        <w:rPr>
          <w:rFonts w:ascii="Arial" w:hAnsi="Arial" w:cs="Arial"/>
          <w:bCs/>
          <w:sz w:val="24"/>
          <w:szCs w:val="24"/>
        </w:rPr>
        <w:t>regionalise</w:t>
      </w:r>
      <w:proofErr w:type="spellEnd"/>
      <w:r w:rsidRPr="00D373B5">
        <w:rPr>
          <w:rFonts w:ascii="Arial" w:hAnsi="Arial" w:cs="Arial"/>
          <w:bCs/>
          <w:sz w:val="24"/>
          <w:szCs w:val="24"/>
        </w:rPr>
        <w:t xml:space="preserve"> supply chain. This is after the PESTEL and SWOT analyses identified political uncertainty, geopolitical tensions and manufacturing concentration as the significant risks. Additional nearshoring and multi region sourcing would enhance resilience, decrease the risk of disruption and reinforced speed to market capacity (Shih, 2020).</w:t>
      </w:r>
    </w:p>
    <w:p w14:paraId="1C5B8F0C" w14:textId="77777777" w:rsidR="00D373B5" w:rsidRPr="00D373B5" w:rsidRDefault="00D373B5" w:rsidP="00D373B5">
      <w:pPr>
        <w:spacing w:line="360" w:lineRule="auto"/>
        <w:jc w:val="both"/>
        <w:rPr>
          <w:rFonts w:ascii="Arial" w:hAnsi="Arial" w:cs="Arial"/>
          <w:bCs/>
          <w:sz w:val="24"/>
          <w:szCs w:val="24"/>
        </w:rPr>
      </w:pPr>
      <w:r w:rsidRPr="00D373B5">
        <w:rPr>
          <w:rFonts w:ascii="Arial" w:hAnsi="Arial" w:cs="Arial"/>
          <w:bCs/>
          <w:sz w:val="24"/>
          <w:szCs w:val="24"/>
        </w:rPr>
        <w:lastRenderedPageBreak/>
        <w:t xml:space="preserve">Third, Nike ought to enhance the credibility of its sustainability and </w:t>
      </w:r>
      <w:proofErr w:type="spellStart"/>
      <w:r w:rsidRPr="00D373B5">
        <w:rPr>
          <w:rFonts w:ascii="Arial" w:hAnsi="Arial" w:cs="Arial"/>
          <w:bCs/>
          <w:sz w:val="24"/>
          <w:szCs w:val="24"/>
        </w:rPr>
        <w:t>labour</w:t>
      </w:r>
      <w:proofErr w:type="spellEnd"/>
      <w:r w:rsidRPr="00D373B5">
        <w:rPr>
          <w:rFonts w:ascii="Arial" w:hAnsi="Arial" w:cs="Arial"/>
          <w:bCs/>
          <w:sz w:val="24"/>
          <w:szCs w:val="24"/>
        </w:rPr>
        <w:t xml:space="preserve"> policy, by adopting self-reported living wage systems and reporting (Clean Clothes Campaign, 2022; Eccles, Ioannou and Serafeim, 2014).</w:t>
      </w:r>
    </w:p>
    <w:p w14:paraId="7F8B8AF5" w14:textId="77777777" w:rsidR="00D373B5" w:rsidRPr="00D373B5" w:rsidRDefault="00D373B5" w:rsidP="00D373B5">
      <w:pPr>
        <w:spacing w:line="360" w:lineRule="auto"/>
        <w:jc w:val="both"/>
        <w:rPr>
          <w:rFonts w:ascii="Arial" w:hAnsi="Arial" w:cs="Arial"/>
          <w:bCs/>
          <w:sz w:val="24"/>
          <w:szCs w:val="24"/>
        </w:rPr>
      </w:pPr>
      <w:r w:rsidRPr="00D373B5">
        <w:rPr>
          <w:rFonts w:ascii="Arial" w:hAnsi="Arial" w:cs="Arial"/>
          <w:bCs/>
          <w:sz w:val="24"/>
          <w:szCs w:val="24"/>
        </w:rPr>
        <w:t>Lastly, Nike ought to focus on women sport segment by designing and developing specific products, collaborating and marketing them to tap into the growth (Allied Market Research, 2023).</w:t>
      </w:r>
    </w:p>
    <w:p w14:paraId="275EE3C6" w14:textId="77777777" w:rsidR="009C04CB" w:rsidRPr="00AF768D" w:rsidRDefault="00D373B5" w:rsidP="00D373B5">
      <w:pPr>
        <w:spacing w:line="360" w:lineRule="auto"/>
        <w:jc w:val="both"/>
        <w:rPr>
          <w:rFonts w:ascii="Arial" w:hAnsi="Arial" w:cs="Arial"/>
          <w:b/>
          <w:bCs/>
          <w:sz w:val="24"/>
          <w:szCs w:val="24"/>
        </w:rPr>
      </w:pPr>
      <w:r w:rsidRPr="00D373B5">
        <w:rPr>
          <w:rFonts w:ascii="Arial" w:hAnsi="Arial" w:cs="Arial"/>
          <w:bCs/>
          <w:sz w:val="24"/>
          <w:szCs w:val="24"/>
        </w:rPr>
        <w:t>Such practices increase competitiveness and aligning the strategy with the emerging market and stakeholder needs in the world market.</w:t>
      </w:r>
    </w:p>
    <w:p w14:paraId="7E54E5B0" w14:textId="77777777" w:rsidR="009C04CB" w:rsidRPr="00AF768D" w:rsidRDefault="009C04CB" w:rsidP="00AF768D">
      <w:pPr>
        <w:spacing w:line="360" w:lineRule="auto"/>
        <w:jc w:val="both"/>
        <w:rPr>
          <w:rFonts w:ascii="Arial" w:hAnsi="Arial" w:cs="Arial"/>
          <w:b/>
          <w:bCs/>
          <w:sz w:val="24"/>
          <w:szCs w:val="24"/>
        </w:rPr>
      </w:pPr>
      <w:r w:rsidRPr="00AF768D">
        <w:rPr>
          <w:rFonts w:ascii="Arial" w:hAnsi="Arial" w:cs="Arial"/>
          <w:b/>
          <w:bCs/>
          <w:sz w:val="24"/>
          <w:szCs w:val="24"/>
        </w:rPr>
        <w:t>SECTION 2: Reflective Account</w:t>
      </w:r>
    </w:p>
    <w:p w14:paraId="19FC8B13" w14:textId="77777777" w:rsidR="009C04CB" w:rsidRPr="00AF768D" w:rsidRDefault="009C04CB" w:rsidP="00AF768D">
      <w:pPr>
        <w:spacing w:line="360" w:lineRule="auto"/>
        <w:jc w:val="both"/>
        <w:rPr>
          <w:rFonts w:ascii="Arial" w:hAnsi="Arial" w:cs="Arial"/>
          <w:b/>
          <w:bCs/>
          <w:sz w:val="24"/>
          <w:szCs w:val="24"/>
        </w:rPr>
      </w:pPr>
      <w:r w:rsidRPr="00AF768D">
        <w:rPr>
          <w:rFonts w:ascii="Arial" w:hAnsi="Arial" w:cs="Arial"/>
          <w:b/>
          <w:bCs/>
          <w:sz w:val="24"/>
          <w:szCs w:val="24"/>
        </w:rPr>
        <w:t>The Gibbs Reflective Cycle (1988) was used.</w:t>
      </w:r>
    </w:p>
    <w:p w14:paraId="08700E61" w14:textId="77777777" w:rsidR="009C04CB" w:rsidRPr="00AF768D" w:rsidRDefault="009C04CB" w:rsidP="00AF768D">
      <w:pPr>
        <w:spacing w:line="360" w:lineRule="auto"/>
        <w:jc w:val="both"/>
        <w:rPr>
          <w:rFonts w:ascii="Arial" w:hAnsi="Arial" w:cs="Arial"/>
          <w:b/>
          <w:bCs/>
          <w:sz w:val="24"/>
          <w:szCs w:val="24"/>
        </w:rPr>
      </w:pPr>
      <w:r w:rsidRPr="00AF768D">
        <w:rPr>
          <w:rFonts w:ascii="Arial" w:hAnsi="Arial" w:cs="Arial"/>
          <w:b/>
          <w:bCs/>
          <w:sz w:val="24"/>
          <w:szCs w:val="24"/>
        </w:rPr>
        <w:t>Description</w:t>
      </w:r>
    </w:p>
    <w:p w14:paraId="4DE454BD" w14:textId="77777777" w:rsidR="009C04CB" w:rsidRPr="00AF768D" w:rsidRDefault="009C04CB" w:rsidP="00AF768D">
      <w:pPr>
        <w:spacing w:line="360" w:lineRule="auto"/>
        <w:jc w:val="both"/>
        <w:rPr>
          <w:rFonts w:ascii="Arial" w:hAnsi="Arial" w:cs="Arial"/>
          <w:sz w:val="24"/>
          <w:szCs w:val="24"/>
        </w:rPr>
      </w:pPr>
      <w:r w:rsidRPr="00AF768D">
        <w:rPr>
          <w:rFonts w:ascii="Arial" w:hAnsi="Arial" w:cs="Arial"/>
          <w:sz w:val="24"/>
          <w:szCs w:val="24"/>
        </w:rPr>
        <w:t xml:space="preserve">In this evaluation, I was expected to pick a given </w:t>
      </w:r>
      <w:proofErr w:type="spellStart"/>
      <w:r w:rsidRPr="00AF768D">
        <w:rPr>
          <w:rFonts w:ascii="Arial" w:hAnsi="Arial" w:cs="Arial"/>
          <w:sz w:val="24"/>
          <w:szCs w:val="24"/>
        </w:rPr>
        <w:t>organisation</w:t>
      </w:r>
      <w:proofErr w:type="spellEnd"/>
      <w:r w:rsidRPr="00AF768D">
        <w:rPr>
          <w:rFonts w:ascii="Arial" w:hAnsi="Arial" w:cs="Arial"/>
          <w:sz w:val="24"/>
          <w:szCs w:val="24"/>
        </w:rPr>
        <w:t xml:space="preserve"> and critically evaluate its strategic management practice basing on theoretical frameworks and models learnt throughout the module. The reasons why I chose Nike, Inc. are that it is a global company, its strategy is quite complex, and the academic and industry sources are rich. This entire procedure took several weeks of research, framework implementation, critical analysis and writing of a structured report.</w:t>
      </w:r>
    </w:p>
    <w:p w14:paraId="4B93A4A9" w14:textId="77777777" w:rsidR="009C04CB" w:rsidRPr="00AF768D" w:rsidRDefault="009C04CB" w:rsidP="00AF768D">
      <w:pPr>
        <w:spacing w:line="360" w:lineRule="auto"/>
        <w:jc w:val="both"/>
        <w:rPr>
          <w:rFonts w:ascii="Arial" w:hAnsi="Arial" w:cs="Arial"/>
          <w:b/>
          <w:bCs/>
          <w:sz w:val="24"/>
          <w:szCs w:val="24"/>
        </w:rPr>
      </w:pPr>
      <w:r w:rsidRPr="00AF768D">
        <w:rPr>
          <w:rFonts w:ascii="Arial" w:hAnsi="Arial" w:cs="Arial"/>
          <w:b/>
          <w:bCs/>
          <w:sz w:val="24"/>
          <w:szCs w:val="24"/>
        </w:rPr>
        <w:t>Feelings</w:t>
      </w:r>
    </w:p>
    <w:p w14:paraId="7A20C49A" w14:textId="77777777" w:rsidR="009C04CB" w:rsidRPr="00AF768D" w:rsidRDefault="009C04CB" w:rsidP="00AF768D">
      <w:pPr>
        <w:spacing w:line="360" w:lineRule="auto"/>
        <w:jc w:val="both"/>
        <w:rPr>
          <w:rFonts w:ascii="Arial" w:hAnsi="Arial" w:cs="Arial"/>
          <w:b/>
          <w:bCs/>
          <w:sz w:val="24"/>
          <w:szCs w:val="24"/>
        </w:rPr>
      </w:pPr>
      <w:r w:rsidRPr="00AF768D">
        <w:rPr>
          <w:rFonts w:ascii="Arial" w:hAnsi="Arial" w:cs="Arial"/>
          <w:sz w:val="24"/>
          <w:szCs w:val="24"/>
        </w:rPr>
        <w:t xml:space="preserve">When I was first beginning this assignment, I was both excited and feared. There was motivation to explore a globally </w:t>
      </w:r>
      <w:proofErr w:type="spellStart"/>
      <w:r w:rsidRPr="00AF768D">
        <w:rPr>
          <w:rFonts w:ascii="Arial" w:hAnsi="Arial" w:cs="Arial"/>
          <w:sz w:val="24"/>
          <w:szCs w:val="24"/>
        </w:rPr>
        <w:t>recognisable</w:t>
      </w:r>
      <w:proofErr w:type="spellEnd"/>
      <w:r w:rsidRPr="00AF768D">
        <w:rPr>
          <w:rFonts w:ascii="Arial" w:hAnsi="Arial" w:cs="Arial"/>
          <w:sz w:val="24"/>
          <w:szCs w:val="24"/>
        </w:rPr>
        <w:t xml:space="preserve"> </w:t>
      </w:r>
      <w:proofErr w:type="spellStart"/>
      <w:r w:rsidRPr="00AF768D">
        <w:rPr>
          <w:rFonts w:ascii="Arial" w:hAnsi="Arial" w:cs="Arial"/>
          <w:sz w:val="24"/>
          <w:szCs w:val="24"/>
        </w:rPr>
        <w:t>organisation</w:t>
      </w:r>
      <w:proofErr w:type="spellEnd"/>
      <w:r w:rsidRPr="00AF768D">
        <w:rPr>
          <w:rFonts w:ascii="Arial" w:hAnsi="Arial" w:cs="Arial"/>
          <w:sz w:val="24"/>
          <w:szCs w:val="24"/>
        </w:rPr>
        <w:t xml:space="preserve"> using strategic management approach, something I was actually interested in exploring. Nevertheless, I was at first completely lost by the scope of theoretical frameworks needed: PESTEL, VRIO, Balanced Scorecard, generic strategies of Porter, Matrix, BCG Matrix, and SWOT analysis, and I was frightened about my inabilities to use them in a critical, not a descriptive fashion. As the study continued, my confidence was building up, especially when I started finding places where the theoretical concepts could be related to the real-life strategic choices of Nike. The VRIO analysis was the most intellectually stimulating part of the process since it made me go past the shallow levels of brand recognition and questioned what specific resources actually create long-term competitive advantage.</w:t>
      </w:r>
    </w:p>
    <w:p w14:paraId="562346A6" w14:textId="77777777" w:rsidR="00D373B5" w:rsidRPr="00D373B5" w:rsidRDefault="009C04CB" w:rsidP="00D373B5">
      <w:pPr>
        <w:spacing w:line="360" w:lineRule="auto"/>
        <w:jc w:val="both"/>
        <w:rPr>
          <w:rFonts w:ascii="Arial" w:hAnsi="Arial" w:cs="Arial"/>
          <w:sz w:val="24"/>
          <w:szCs w:val="24"/>
        </w:rPr>
      </w:pPr>
      <w:r w:rsidRPr="00AF768D">
        <w:rPr>
          <w:rFonts w:ascii="Arial" w:hAnsi="Arial" w:cs="Arial"/>
          <w:b/>
          <w:bCs/>
          <w:sz w:val="24"/>
          <w:szCs w:val="24"/>
        </w:rPr>
        <w:lastRenderedPageBreak/>
        <w:t>Evaluation</w:t>
      </w:r>
      <w:r w:rsidR="00AC3072" w:rsidRPr="00AC3072">
        <w:rPr>
          <w:rFonts w:ascii="Arial" w:hAnsi="Arial" w:cs="Arial"/>
          <w:sz w:val="24"/>
          <w:szCs w:val="24"/>
        </w:rPr>
        <w:br/>
      </w:r>
      <w:r w:rsidR="00D373B5" w:rsidRPr="00D373B5">
        <w:rPr>
          <w:rFonts w:ascii="Arial" w:hAnsi="Arial" w:cs="Arial"/>
          <w:sz w:val="24"/>
          <w:szCs w:val="24"/>
        </w:rPr>
        <w:t xml:space="preserve">Certain sections of this assignment were easy, whilst some were not as easy as I anticipated. The availability of information on Nike was one of the positive factors. Since the company is a global brand, I was in a position to refer to annual reports, scholarly and business literature in developing a relatively wide evidence base. This also allowed me to </w:t>
      </w:r>
      <w:proofErr w:type="spellStart"/>
      <w:r w:rsidR="00D373B5" w:rsidRPr="00D373B5">
        <w:rPr>
          <w:rFonts w:ascii="Arial" w:hAnsi="Arial" w:cs="Arial"/>
          <w:sz w:val="24"/>
          <w:szCs w:val="24"/>
        </w:rPr>
        <w:t>realise</w:t>
      </w:r>
      <w:proofErr w:type="spellEnd"/>
      <w:r w:rsidR="00D373B5" w:rsidRPr="00D373B5">
        <w:rPr>
          <w:rFonts w:ascii="Arial" w:hAnsi="Arial" w:cs="Arial"/>
          <w:sz w:val="24"/>
          <w:szCs w:val="24"/>
        </w:rPr>
        <w:t xml:space="preserve"> that the strategic management theory can be applied to a real </w:t>
      </w:r>
      <w:proofErr w:type="spellStart"/>
      <w:r w:rsidR="00D373B5" w:rsidRPr="00D373B5">
        <w:rPr>
          <w:rFonts w:ascii="Arial" w:hAnsi="Arial" w:cs="Arial"/>
          <w:sz w:val="24"/>
          <w:szCs w:val="24"/>
        </w:rPr>
        <w:t>organisation</w:t>
      </w:r>
      <w:proofErr w:type="spellEnd"/>
      <w:r w:rsidR="00D373B5" w:rsidRPr="00D373B5">
        <w:rPr>
          <w:rFonts w:ascii="Arial" w:hAnsi="Arial" w:cs="Arial"/>
          <w:sz w:val="24"/>
          <w:szCs w:val="24"/>
        </w:rPr>
        <w:t xml:space="preserve"> and not just talked about in abstract terms. I also gained competence in choosing pertinent frameworks.</w:t>
      </w:r>
    </w:p>
    <w:p w14:paraId="225A2E24" w14:textId="77777777" w:rsidR="00D373B5" w:rsidRPr="00D373B5" w:rsidRDefault="00D373B5" w:rsidP="00D373B5">
      <w:pPr>
        <w:spacing w:line="360" w:lineRule="auto"/>
        <w:jc w:val="both"/>
        <w:rPr>
          <w:rFonts w:ascii="Arial" w:hAnsi="Arial" w:cs="Arial"/>
          <w:sz w:val="24"/>
          <w:szCs w:val="24"/>
        </w:rPr>
      </w:pPr>
      <w:r w:rsidRPr="00D373B5">
        <w:rPr>
          <w:rFonts w:ascii="Arial" w:hAnsi="Arial" w:cs="Arial"/>
          <w:sz w:val="24"/>
          <w:szCs w:val="24"/>
        </w:rPr>
        <w:t>The process was however not that easy. In the first draft, I placed too much emphasis on description, particularly where I had to describe what Nike was doing without taking much action on whether it was effective or not like in the PESTEL segment and CSR. I learnt after going through my work that the use of a framework does not guarantee critical analysis. I needed to pose more difficult questions such as whether its sustainability plan is transformational or reputational, and whether DTC has generated operations issues on top of its gains. This reinforced the report though it demonstrated that critical analysis is more time-consuming and needs revision.</w:t>
      </w:r>
    </w:p>
    <w:p w14:paraId="00DD7A2F" w14:textId="77777777" w:rsidR="009C04CB" w:rsidRPr="00AF768D" w:rsidRDefault="009C04CB" w:rsidP="00D373B5">
      <w:pPr>
        <w:spacing w:line="360" w:lineRule="auto"/>
        <w:jc w:val="both"/>
        <w:rPr>
          <w:rFonts w:ascii="Arial" w:hAnsi="Arial" w:cs="Arial"/>
          <w:b/>
          <w:bCs/>
          <w:sz w:val="24"/>
          <w:szCs w:val="24"/>
        </w:rPr>
      </w:pPr>
      <w:r w:rsidRPr="00AF768D">
        <w:rPr>
          <w:rFonts w:ascii="Arial" w:hAnsi="Arial" w:cs="Arial"/>
          <w:b/>
          <w:bCs/>
          <w:sz w:val="24"/>
          <w:szCs w:val="24"/>
        </w:rPr>
        <w:t>Analysis</w:t>
      </w:r>
    </w:p>
    <w:p w14:paraId="4BA4FC9E" w14:textId="77777777" w:rsidR="009C04CB" w:rsidRPr="00AF768D" w:rsidRDefault="009C04CB" w:rsidP="00AF768D">
      <w:pPr>
        <w:spacing w:line="360" w:lineRule="auto"/>
        <w:jc w:val="both"/>
        <w:rPr>
          <w:rFonts w:ascii="Arial" w:hAnsi="Arial" w:cs="Arial"/>
          <w:sz w:val="24"/>
          <w:szCs w:val="24"/>
        </w:rPr>
      </w:pPr>
      <w:r w:rsidRPr="00AF768D">
        <w:rPr>
          <w:rFonts w:ascii="Arial" w:hAnsi="Arial" w:cs="Arial"/>
          <w:sz w:val="24"/>
          <w:szCs w:val="24"/>
        </w:rPr>
        <w:t xml:space="preserve">Analytically taking a reflection of this learning process, I must admit that this assignment has enhanced my knowledge in the interdependence of the </w:t>
      </w:r>
      <w:proofErr w:type="spellStart"/>
      <w:r w:rsidRPr="00AF768D">
        <w:rPr>
          <w:rFonts w:ascii="Arial" w:hAnsi="Arial" w:cs="Arial"/>
          <w:sz w:val="24"/>
          <w:szCs w:val="24"/>
        </w:rPr>
        <w:t>conceptualisation</w:t>
      </w:r>
      <w:proofErr w:type="spellEnd"/>
      <w:r w:rsidRPr="00AF768D">
        <w:rPr>
          <w:rFonts w:ascii="Arial" w:hAnsi="Arial" w:cs="Arial"/>
          <w:sz w:val="24"/>
          <w:szCs w:val="24"/>
        </w:rPr>
        <w:t xml:space="preserve"> of strategic management. The PESTEL analysis has not only been descriptive of the external factors but also informed the analysis of the strategic decisions of Nike; the VRIO analysis has been directly related to the discussion of differentiation strategy and the Balanced Scorecard has offered a means of evaluating the strategic implementation in a holistic manner. The experience is in line with what Senge (1990) calls systems thinking in which identifying the relationship among components is more important than studying the component separately.</w:t>
      </w:r>
    </w:p>
    <w:p w14:paraId="137C254D" w14:textId="77777777" w:rsidR="009C04CB" w:rsidRPr="00AF768D" w:rsidRDefault="009C04CB" w:rsidP="00AF768D">
      <w:pPr>
        <w:spacing w:line="360" w:lineRule="auto"/>
        <w:jc w:val="both"/>
        <w:rPr>
          <w:rFonts w:ascii="Arial" w:hAnsi="Arial" w:cs="Arial"/>
          <w:sz w:val="24"/>
          <w:szCs w:val="24"/>
        </w:rPr>
      </w:pPr>
      <w:r w:rsidRPr="00AF768D">
        <w:rPr>
          <w:rFonts w:ascii="Arial" w:hAnsi="Arial" w:cs="Arial"/>
          <w:sz w:val="24"/>
          <w:szCs w:val="24"/>
        </w:rPr>
        <w:t xml:space="preserve">In addition, the process demonstrated the conflict of theory and practice. Although the generic strategies of Porter (1985) have a clear conceptual framework, the strategy of Nike could not be classified into one category, because although it is broadly differentiated it contains the elements of focused differentiation and cost efficiency. This finding is in line with the criticisms of the Porters framework by Bowman and </w:t>
      </w:r>
      <w:r w:rsidRPr="00AF768D">
        <w:rPr>
          <w:rFonts w:ascii="Arial" w:hAnsi="Arial" w:cs="Arial"/>
          <w:sz w:val="24"/>
          <w:szCs w:val="24"/>
        </w:rPr>
        <w:lastRenderedPageBreak/>
        <w:t>Ambrosini (2000) who assert that, hybrid strategies are becoming more common in practice. This tension improved my ability to think strategically in a fine manner.</w:t>
      </w:r>
    </w:p>
    <w:p w14:paraId="1CAFA922" w14:textId="77777777" w:rsidR="009C04CB" w:rsidRPr="00AF768D" w:rsidRDefault="009C04CB" w:rsidP="00AF768D">
      <w:pPr>
        <w:spacing w:line="360" w:lineRule="auto"/>
        <w:jc w:val="both"/>
        <w:rPr>
          <w:rFonts w:ascii="Arial" w:hAnsi="Arial" w:cs="Arial"/>
          <w:b/>
          <w:bCs/>
          <w:sz w:val="24"/>
          <w:szCs w:val="24"/>
        </w:rPr>
      </w:pPr>
      <w:r w:rsidRPr="00AF768D">
        <w:rPr>
          <w:rFonts w:ascii="Arial" w:hAnsi="Arial" w:cs="Arial"/>
          <w:b/>
          <w:bCs/>
          <w:sz w:val="24"/>
          <w:szCs w:val="24"/>
        </w:rPr>
        <w:t>Conclusion</w:t>
      </w:r>
    </w:p>
    <w:p w14:paraId="19F82CA2" w14:textId="77777777" w:rsidR="009C04CB" w:rsidRPr="00AF768D" w:rsidRDefault="009C04CB" w:rsidP="00AF768D">
      <w:pPr>
        <w:spacing w:line="360" w:lineRule="auto"/>
        <w:jc w:val="both"/>
        <w:rPr>
          <w:rFonts w:ascii="Arial" w:hAnsi="Arial" w:cs="Arial"/>
          <w:sz w:val="24"/>
          <w:szCs w:val="24"/>
        </w:rPr>
      </w:pPr>
      <w:r w:rsidRPr="00AF768D">
        <w:rPr>
          <w:rFonts w:ascii="Arial" w:hAnsi="Arial" w:cs="Arial"/>
          <w:sz w:val="24"/>
          <w:szCs w:val="24"/>
        </w:rPr>
        <w:t>The assignment has been a great learning experience that has not only improved my theoretical background but also my ability to analyze. I have become more confident in critically applying strategic management frameworks, improved my academic writing by revising it numerous times, and gained a better appreciation of the complexity of strategic management in the real world. The most important lesson is that successful strategic analysis is not just about applying models mechanically, but about being able to challenge assumptions, admit constraints and integrate various opinions.</w:t>
      </w:r>
    </w:p>
    <w:p w14:paraId="60D50DEE" w14:textId="77777777" w:rsidR="009C04CB" w:rsidRPr="00AF768D" w:rsidRDefault="009C04CB" w:rsidP="00AF768D">
      <w:pPr>
        <w:spacing w:line="360" w:lineRule="auto"/>
        <w:jc w:val="both"/>
        <w:rPr>
          <w:rFonts w:ascii="Arial" w:hAnsi="Arial" w:cs="Arial"/>
          <w:b/>
          <w:bCs/>
          <w:sz w:val="24"/>
          <w:szCs w:val="24"/>
        </w:rPr>
      </w:pPr>
      <w:r w:rsidRPr="00AF768D">
        <w:rPr>
          <w:rFonts w:ascii="Arial" w:hAnsi="Arial" w:cs="Arial"/>
          <w:b/>
          <w:bCs/>
          <w:sz w:val="24"/>
          <w:szCs w:val="24"/>
        </w:rPr>
        <w:t>Action Plan</w:t>
      </w:r>
    </w:p>
    <w:p w14:paraId="68843D73" w14:textId="77777777" w:rsidR="00735E87" w:rsidRPr="00735E87" w:rsidRDefault="009C04CB" w:rsidP="00AF768D">
      <w:pPr>
        <w:spacing w:line="360" w:lineRule="auto"/>
        <w:jc w:val="both"/>
        <w:rPr>
          <w:rFonts w:ascii="Arial" w:hAnsi="Arial" w:cs="Arial"/>
          <w:sz w:val="24"/>
          <w:szCs w:val="24"/>
        </w:rPr>
      </w:pPr>
      <w:r w:rsidRPr="00AF768D">
        <w:rPr>
          <w:rFonts w:ascii="Arial" w:hAnsi="Arial" w:cs="Arial"/>
          <w:sz w:val="24"/>
          <w:szCs w:val="24"/>
        </w:rPr>
        <w:t xml:space="preserve">I will use a number of lessons that I have learned in this experience going forward. To start with, I will start the future assignments with a more conscious emphasis on critical examination at the very beginning instead of letting descriptive disposition take up the preliminary versions. Second, I will also take more active steps in using peer feedback opportunities, because the formative review process was very useful in the process of enhancing the quality of my analysis. Third, I will also keep on improving my research skills especially in retrieval and critical analysis of primary sources including corporate reports and industry data that proved vital in the time when I am trying to base theoretical analysis with empirical data. Lastly, I plan to extend my understanding on strategic management by means of additional reading, especially on dynamic capabilities theory (Teece, Pisano and </w:t>
      </w:r>
      <w:proofErr w:type="spellStart"/>
      <w:r w:rsidRPr="00AF768D">
        <w:rPr>
          <w:rFonts w:ascii="Arial" w:hAnsi="Arial" w:cs="Arial"/>
          <w:sz w:val="24"/>
          <w:szCs w:val="24"/>
        </w:rPr>
        <w:t>Shuen</w:t>
      </w:r>
      <w:proofErr w:type="spellEnd"/>
      <w:r w:rsidRPr="00AF768D">
        <w:rPr>
          <w:rFonts w:ascii="Arial" w:hAnsi="Arial" w:cs="Arial"/>
          <w:sz w:val="24"/>
          <w:szCs w:val="24"/>
        </w:rPr>
        <w:t>, 1997) and the stakeholder theory (Freeman, 1984), which I suppose will be useful in my academic work as well as in my future career.</w:t>
      </w:r>
    </w:p>
    <w:p w14:paraId="34364463" w14:textId="77777777" w:rsidR="000D1D67" w:rsidRDefault="000D1D67" w:rsidP="00AF768D">
      <w:pPr>
        <w:spacing w:line="360" w:lineRule="auto"/>
        <w:jc w:val="both"/>
        <w:rPr>
          <w:rFonts w:ascii="Arial" w:hAnsi="Arial" w:cs="Arial"/>
          <w:b/>
          <w:bCs/>
          <w:sz w:val="24"/>
          <w:szCs w:val="24"/>
        </w:rPr>
      </w:pPr>
    </w:p>
    <w:p w14:paraId="57309A79" w14:textId="77777777" w:rsidR="00E94C9E" w:rsidRDefault="00E94C9E" w:rsidP="00AF768D">
      <w:pPr>
        <w:spacing w:line="360" w:lineRule="auto"/>
        <w:jc w:val="both"/>
        <w:rPr>
          <w:rFonts w:ascii="Arial" w:hAnsi="Arial" w:cs="Arial"/>
          <w:b/>
          <w:bCs/>
          <w:sz w:val="24"/>
          <w:szCs w:val="24"/>
        </w:rPr>
      </w:pPr>
    </w:p>
    <w:p w14:paraId="4B3EC025" w14:textId="77777777" w:rsidR="00E94C9E" w:rsidRDefault="00E94C9E" w:rsidP="00AF768D">
      <w:pPr>
        <w:spacing w:line="360" w:lineRule="auto"/>
        <w:jc w:val="both"/>
        <w:rPr>
          <w:rFonts w:ascii="Arial" w:hAnsi="Arial" w:cs="Arial"/>
          <w:b/>
          <w:bCs/>
          <w:sz w:val="24"/>
          <w:szCs w:val="24"/>
        </w:rPr>
      </w:pPr>
    </w:p>
    <w:p w14:paraId="52871B50" w14:textId="77777777" w:rsidR="00E94C9E" w:rsidRDefault="00E94C9E" w:rsidP="00AF768D">
      <w:pPr>
        <w:spacing w:line="360" w:lineRule="auto"/>
        <w:jc w:val="both"/>
        <w:rPr>
          <w:rFonts w:ascii="Arial" w:hAnsi="Arial" w:cs="Arial"/>
          <w:b/>
          <w:bCs/>
          <w:sz w:val="24"/>
          <w:szCs w:val="24"/>
        </w:rPr>
      </w:pPr>
    </w:p>
    <w:p w14:paraId="20EA5B1D" w14:textId="77777777" w:rsidR="00735E87" w:rsidRPr="00735E87" w:rsidRDefault="00735E87" w:rsidP="00AF768D">
      <w:pPr>
        <w:spacing w:line="360" w:lineRule="auto"/>
        <w:jc w:val="both"/>
        <w:rPr>
          <w:rFonts w:ascii="Arial" w:hAnsi="Arial" w:cs="Arial"/>
          <w:b/>
          <w:bCs/>
          <w:sz w:val="24"/>
          <w:szCs w:val="24"/>
        </w:rPr>
      </w:pPr>
      <w:r w:rsidRPr="00735E87">
        <w:rPr>
          <w:rFonts w:ascii="Arial" w:hAnsi="Arial" w:cs="Arial"/>
          <w:b/>
          <w:bCs/>
          <w:sz w:val="24"/>
          <w:szCs w:val="24"/>
        </w:rPr>
        <w:t>Reference List</w:t>
      </w:r>
    </w:p>
    <w:p w14:paraId="59B63682" w14:textId="77777777" w:rsidR="00FB673C" w:rsidRPr="00FB673C" w:rsidRDefault="00FB673C" w:rsidP="00FB673C">
      <w:pPr>
        <w:spacing w:after="200" w:line="360" w:lineRule="auto"/>
        <w:rPr>
          <w:rFonts w:ascii="Arial" w:eastAsia="Calibri" w:hAnsi="Arial" w:cs="Arial"/>
          <w:sz w:val="24"/>
          <w:szCs w:val="24"/>
          <w:lang w:bidi="ar-SA"/>
        </w:rPr>
      </w:pPr>
      <w:r w:rsidRPr="00FB673C">
        <w:rPr>
          <w:rFonts w:ascii="Arial" w:eastAsia="Calibri" w:hAnsi="Arial" w:cs="Arial"/>
          <w:bCs/>
          <w:sz w:val="24"/>
          <w:szCs w:val="24"/>
          <w:lang w:bidi="ar-SA"/>
        </w:rPr>
        <w:lastRenderedPageBreak/>
        <w:t>Adidas AG (2023) Annual report 2023. Herzogenaurach: Adidas AG.</w:t>
      </w:r>
    </w:p>
    <w:p w14:paraId="3E56044D"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Allied Market Research (2023) </w:t>
      </w:r>
      <w:r w:rsidRPr="00735E87">
        <w:rPr>
          <w:rFonts w:ascii="Arial" w:hAnsi="Arial" w:cs="Arial"/>
          <w:i/>
          <w:iCs/>
          <w:sz w:val="24"/>
          <w:szCs w:val="24"/>
        </w:rPr>
        <w:t>Women's sportswear market: global opportunity analysis and industry forecast, 2023-2030</w:t>
      </w:r>
      <w:r w:rsidRPr="00735E87">
        <w:rPr>
          <w:rFonts w:ascii="Arial" w:hAnsi="Arial" w:cs="Arial"/>
          <w:sz w:val="24"/>
          <w:szCs w:val="24"/>
        </w:rPr>
        <w:t>. Portland: Allied Market Research.</w:t>
      </w:r>
    </w:p>
    <w:p w14:paraId="04EFC71B"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Ansoff, H.I. (1957) 'Strategies for diversification', </w:t>
      </w:r>
      <w:r w:rsidRPr="00735E87">
        <w:rPr>
          <w:rFonts w:ascii="Arial" w:hAnsi="Arial" w:cs="Arial"/>
          <w:i/>
          <w:iCs/>
          <w:sz w:val="24"/>
          <w:szCs w:val="24"/>
        </w:rPr>
        <w:t>Harvard Business Review</w:t>
      </w:r>
      <w:r w:rsidRPr="00735E87">
        <w:rPr>
          <w:rFonts w:ascii="Arial" w:hAnsi="Arial" w:cs="Arial"/>
          <w:sz w:val="24"/>
          <w:szCs w:val="24"/>
        </w:rPr>
        <w:t>, 35(5), pp. 113-124.</w:t>
      </w:r>
    </w:p>
    <w:p w14:paraId="7DB61512"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Barney, J.B. (1991) 'Firm resources and sustained competitive advantage', </w:t>
      </w:r>
      <w:r w:rsidRPr="00735E87">
        <w:rPr>
          <w:rFonts w:ascii="Arial" w:hAnsi="Arial" w:cs="Arial"/>
          <w:i/>
          <w:iCs/>
          <w:sz w:val="24"/>
          <w:szCs w:val="24"/>
        </w:rPr>
        <w:t>Journal of Management</w:t>
      </w:r>
      <w:r w:rsidRPr="00735E87">
        <w:rPr>
          <w:rFonts w:ascii="Arial" w:hAnsi="Arial" w:cs="Arial"/>
          <w:sz w:val="24"/>
          <w:szCs w:val="24"/>
        </w:rPr>
        <w:t>, 17(1), pp. 99-120.</w:t>
      </w:r>
    </w:p>
    <w:p w14:paraId="4D535191"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Barney, J.B. and Hesterly, W.S. (2019) </w:t>
      </w:r>
      <w:r w:rsidRPr="00735E87">
        <w:rPr>
          <w:rFonts w:ascii="Arial" w:hAnsi="Arial" w:cs="Arial"/>
          <w:i/>
          <w:iCs/>
          <w:sz w:val="24"/>
          <w:szCs w:val="24"/>
        </w:rPr>
        <w:t>Strategic management and competitive advantage: concepts and cases</w:t>
      </w:r>
      <w:r w:rsidRPr="00735E87">
        <w:rPr>
          <w:rFonts w:ascii="Arial" w:hAnsi="Arial" w:cs="Arial"/>
          <w:sz w:val="24"/>
          <w:szCs w:val="24"/>
        </w:rPr>
        <w:t xml:space="preserve">. 6th </w:t>
      </w:r>
      <w:proofErr w:type="spellStart"/>
      <w:r w:rsidRPr="00735E87">
        <w:rPr>
          <w:rFonts w:ascii="Arial" w:hAnsi="Arial" w:cs="Arial"/>
          <w:sz w:val="24"/>
          <w:szCs w:val="24"/>
        </w:rPr>
        <w:t>edn</w:t>
      </w:r>
      <w:proofErr w:type="spellEnd"/>
      <w:r w:rsidRPr="00735E87">
        <w:rPr>
          <w:rFonts w:ascii="Arial" w:hAnsi="Arial" w:cs="Arial"/>
          <w:sz w:val="24"/>
          <w:szCs w:val="24"/>
        </w:rPr>
        <w:t>. New York: Pearson.</w:t>
      </w:r>
    </w:p>
    <w:p w14:paraId="106D1599"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Bloomberg (2021) 'Nike warns of holiday shortages as Vietnam factories remain shut', </w:t>
      </w:r>
      <w:r w:rsidRPr="00735E87">
        <w:rPr>
          <w:rFonts w:ascii="Arial" w:hAnsi="Arial" w:cs="Arial"/>
          <w:i/>
          <w:iCs/>
          <w:sz w:val="24"/>
          <w:szCs w:val="24"/>
        </w:rPr>
        <w:t>Bloomberg News</w:t>
      </w:r>
      <w:r w:rsidRPr="00735E87">
        <w:rPr>
          <w:rFonts w:ascii="Arial" w:hAnsi="Arial" w:cs="Arial"/>
          <w:sz w:val="24"/>
          <w:szCs w:val="24"/>
        </w:rPr>
        <w:t>, 23 September. Available at: </w:t>
      </w:r>
      <w:hyperlink r:id="rId8" w:history="1">
        <w:r w:rsidRPr="00735E87">
          <w:rPr>
            <w:rStyle w:val="Hyperlink"/>
            <w:rFonts w:ascii="Arial" w:hAnsi="Arial" w:cs="Arial"/>
            <w:sz w:val="24"/>
            <w:szCs w:val="24"/>
          </w:rPr>
          <w:t>https://www.bloomberg.com</w:t>
        </w:r>
      </w:hyperlink>
      <w:r w:rsidRPr="00735E87">
        <w:rPr>
          <w:rFonts w:ascii="Arial" w:hAnsi="Arial" w:cs="Arial"/>
          <w:sz w:val="24"/>
          <w:szCs w:val="24"/>
        </w:rPr>
        <w:t> (Accessed: 10 March 2025).</w:t>
      </w:r>
    </w:p>
    <w:p w14:paraId="43E253F7"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Bowman, C. and Ambrosini, V. (2000) 'Value creation versus value capture: towards a coherent definition of value in strategy', </w:t>
      </w:r>
      <w:r w:rsidRPr="00735E87">
        <w:rPr>
          <w:rFonts w:ascii="Arial" w:hAnsi="Arial" w:cs="Arial"/>
          <w:i/>
          <w:iCs/>
          <w:sz w:val="24"/>
          <w:szCs w:val="24"/>
        </w:rPr>
        <w:t>British Journal of Management</w:t>
      </w:r>
      <w:r w:rsidRPr="00735E87">
        <w:rPr>
          <w:rFonts w:ascii="Arial" w:hAnsi="Arial" w:cs="Arial"/>
          <w:sz w:val="24"/>
          <w:szCs w:val="24"/>
        </w:rPr>
        <w:t>, 11(1), pp. 1-15.</w:t>
      </w:r>
    </w:p>
    <w:p w14:paraId="5CBC0C36"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Brand Finance (2023) </w:t>
      </w:r>
      <w:r w:rsidRPr="00735E87">
        <w:rPr>
          <w:rFonts w:ascii="Arial" w:hAnsi="Arial" w:cs="Arial"/>
          <w:i/>
          <w:iCs/>
          <w:sz w:val="24"/>
          <w:szCs w:val="24"/>
        </w:rPr>
        <w:t>Global 500 2023: the annual report on the world's most valuable and strongest brands</w:t>
      </w:r>
      <w:r w:rsidRPr="00735E87">
        <w:rPr>
          <w:rFonts w:ascii="Arial" w:hAnsi="Arial" w:cs="Arial"/>
          <w:sz w:val="24"/>
          <w:szCs w:val="24"/>
        </w:rPr>
        <w:t>. London: Brand Finance.</w:t>
      </w:r>
    </w:p>
    <w:p w14:paraId="352D5985"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Carroll, A.B. (1991) 'The pyramid of corporate social responsibility: toward the moral management of organizational stakeholders', </w:t>
      </w:r>
      <w:r w:rsidRPr="00735E87">
        <w:rPr>
          <w:rFonts w:ascii="Arial" w:hAnsi="Arial" w:cs="Arial"/>
          <w:i/>
          <w:iCs/>
          <w:sz w:val="24"/>
          <w:szCs w:val="24"/>
        </w:rPr>
        <w:t>Business Horizons</w:t>
      </w:r>
      <w:r w:rsidRPr="00735E87">
        <w:rPr>
          <w:rFonts w:ascii="Arial" w:hAnsi="Arial" w:cs="Arial"/>
          <w:sz w:val="24"/>
          <w:szCs w:val="24"/>
        </w:rPr>
        <w:t>, 34(4), pp. 39-48.</w:t>
      </w:r>
    </w:p>
    <w:p w14:paraId="27D01E5B"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Clean Clothes Campaign (2022) </w:t>
      </w:r>
      <w:r w:rsidRPr="00735E87">
        <w:rPr>
          <w:rFonts w:ascii="Arial" w:hAnsi="Arial" w:cs="Arial"/>
          <w:i/>
          <w:iCs/>
          <w:sz w:val="24"/>
          <w:szCs w:val="24"/>
        </w:rPr>
        <w:t>Tailored wages 2022: the state of pay in the global garment industry</w:t>
      </w:r>
      <w:r w:rsidRPr="00735E87">
        <w:rPr>
          <w:rFonts w:ascii="Arial" w:hAnsi="Arial" w:cs="Arial"/>
          <w:sz w:val="24"/>
          <w:szCs w:val="24"/>
        </w:rPr>
        <w:t>. Amsterdam: Clean Clothes Campaign.</w:t>
      </w:r>
    </w:p>
    <w:p w14:paraId="76295722"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Cottrell, S. (2017) </w:t>
      </w:r>
      <w:r w:rsidRPr="00735E87">
        <w:rPr>
          <w:rFonts w:ascii="Arial" w:hAnsi="Arial" w:cs="Arial"/>
          <w:i/>
          <w:iCs/>
          <w:sz w:val="24"/>
          <w:szCs w:val="24"/>
        </w:rPr>
        <w:t>Critical thinking skills: effective analysis, argument and reflection</w:t>
      </w:r>
      <w:r w:rsidRPr="00735E87">
        <w:rPr>
          <w:rFonts w:ascii="Arial" w:hAnsi="Arial" w:cs="Arial"/>
          <w:sz w:val="24"/>
          <w:szCs w:val="24"/>
        </w:rPr>
        <w:t xml:space="preserve">. 3rd </w:t>
      </w:r>
      <w:proofErr w:type="spellStart"/>
      <w:r w:rsidRPr="00735E87">
        <w:rPr>
          <w:rFonts w:ascii="Arial" w:hAnsi="Arial" w:cs="Arial"/>
          <w:sz w:val="24"/>
          <w:szCs w:val="24"/>
        </w:rPr>
        <w:t>edn</w:t>
      </w:r>
      <w:proofErr w:type="spellEnd"/>
      <w:r w:rsidRPr="00735E87">
        <w:rPr>
          <w:rFonts w:ascii="Arial" w:hAnsi="Arial" w:cs="Arial"/>
          <w:sz w:val="24"/>
          <w:szCs w:val="24"/>
        </w:rPr>
        <w:t>. London: Palgrave Macmillan.</w:t>
      </w:r>
    </w:p>
    <w:p w14:paraId="2B009788"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Eccles, R.G., Ioannou, I. and Serafeim, G. (2014) 'The impact of corporate sustainability on organizational processes and performance', </w:t>
      </w:r>
      <w:r w:rsidRPr="00735E87">
        <w:rPr>
          <w:rFonts w:ascii="Arial" w:hAnsi="Arial" w:cs="Arial"/>
          <w:i/>
          <w:iCs/>
          <w:sz w:val="24"/>
          <w:szCs w:val="24"/>
        </w:rPr>
        <w:t>Management Science</w:t>
      </w:r>
      <w:r w:rsidRPr="00735E87">
        <w:rPr>
          <w:rFonts w:ascii="Arial" w:hAnsi="Arial" w:cs="Arial"/>
          <w:sz w:val="24"/>
          <w:szCs w:val="24"/>
        </w:rPr>
        <w:t>, 60(11), pp. 2835-2857.</w:t>
      </w:r>
    </w:p>
    <w:p w14:paraId="50C210B3"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Edison Trends (2018) </w:t>
      </w:r>
      <w:r w:rsidRPr="00735E87">
        <w:rPr>
          <w:rFonts w:ascii="Arial" w:hAnsi="Arial" w:cs="Arial"/>
          <w:i/>
          <w:iCs/>
          <w:sz w:val="24"/>
          <w:szCs w:val="24"/>
        </w:rPr>
        <w:t>Nike online sales grew 31% over Labor Day weekend following Kaepernick campaign</w:t>
      </w:r>
      <w:r w:rsidRPr="00735E87">
        <w:rPr>
          <w:rFonts w:ascii="Arial" w:hAnsi="Arial" w:cs="Arial"/>
          <w:sz w:val="24"/>
          <w:szCs w:val="24"/>
        </w:rPr>
        <w:t>. San Francisco: Edison Trends.</w:t>
      </w:r>
    </w:p>
    <w:p w14:paraId="40078A21"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lastRenderedPageBreak/>
        <w:t>Eisenhardt, K.M. and Martin, J.A. (2000) 'Dynamic capabilities: what are they?', </w:t>
      </w:r>
      <w:r w:rsidRPr="00735E87">
        <w:rPr>
          <w:rFonts w:ascii="Arial" w:hAnsi="Arial" w:cs="Arial"/>
          <w:i/>
          <w:iCs/>
          <w:sz w:val="24"/>
          <w:szCs w:val="24"/>
        </w:rPr>
        <w:t>Strategic Management Journal</w:t>
      </w:r>
      <w:r w:rsidRPr="00735E87">
        <w:rPr>
          <w:rFonts w:ascii="Arial" w:hAnsi="Arial" w:cs="Arial"/>
          <w:sz w:val="24"/>
          <w:szCs w:val="24"/>
        </w:rPr>
        <w:t>, 21(10-11), pp. 1105-1121.</w:t>
      </w:r>
    </w:p>
    <w:p w14:paraId="7C4AEB6D"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Euromonitor International (2023) </w:t>
      </w:r>
      <w:r w:rsidRPr="00735E87">
        <w:rPr>
          <w:rFonts w:ascii="Arial" w:hAnsi="Arial" w:cs="Arial"/>
          <w:i/>
          <w:iCs/>
          <w:sz w:val="24"/>
          <w:szCs w:val="24"/>
        </w:rPr>
        <w:t>Sportswear in 2023: global industry overview</w:t>
      </w:r>
      <w:r w:rsidRPr="00735E87">
        <w:rPr>
          <w:rFonts w:ascii="Arial" w:hAnsi="Arial" w:cs="Arial"/>
          <w:sz w:val="24"/>
          <w:szCs w:val="24"/>
        </w:rPr>
        <w:t>. London: Euromonitor International.</w:t>
      </w:r>
    </w:p>
    <w:p w14:paraId="6136B3D3"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Fletcher, K. (2014) </w:t>
      </w:r>
      <w:r w:rsidRPr="00735E87">
        <w:rPr>
          <w:rFonts w:ascii="Arial" w:hAnsi="Arial" w:cs="Arial"/>
          <w:i/>
          <w:iCs/>
          <w:sz w:val="24"/>
          <w:szCs w:val="24"/>
        </w:rPr>
        <w:t>Sustainable fashion and textiles: design journeys</w:t>
      </w:r>
      <w:r w:rsidRPr="00735E87">
        <w:rPr>
          <w:rFonts w:ascii="Arial" w:hAnsi="Arial" w:cs="Arial"/>
          <w:sz w:val="24"/>
          <w:szCs w:val="24"/>
        </w:rPr>
        <w:t xml:space="preserve">. 2nd </w:t>
      </w:r>
      <w:proofErr w:type="spellStart"/>
      <w:r w:rsidRPr="00735E87">
        <w:rPr>
          <w:rFonts w:ascii="Arial" w:hAnsi="Arial" w:cs="Arial"/>
          <w:sz w:val="24"/>
          <w:szCs w:val="24"/>
        </w:rPr>
        <w:t>edn</w:t>
      </w:r>
      <w:proofErr w:type="spellEnd"/>
      <w:r w:rsidRPr="00735E87">
        <w:rPr>
          <w:rFonts w:ascii="Arial" w:hAnsi="Arial" w:cs="Arial"/>
          <w:sz w:val="24"/>
          <w:szCs w:val="24"/>
        </w:rPr>
        <w:t>. London: Routledge.</w:t>
      </w:r>
    </w:p>
    <w:p w14:paraId="0A9D8FFB"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Freeman, R.E. (1984) </w:t>
      </w:r>
      <w:r w:rsidRPr="00735E87">
        <w:rPr>
          <w:rFonts w:ascii="Arial" w:hAnsi="Arial" w:cs="Arial"/>
          <w:i/>
          <w:iCs/>
          <w:sz w:val="24"/>
          <w:szCs w:val="24"/>
        </w:rPr>
        <w:t>Strategic management: a stakeholder approach</w:t>
      </w:r>
      <w:r w:rsidRPr="00735E87">
        <w:rPr>
          <w:rFonts w:ascii="Arial" w:hAnsi="Arial" w:cs="Arial"/>
          <w:sz w:val="24"/>
          <w:szCs w:val="24"/>
        </w:rPr>
        <w:t>. Boston: Pitman.</w:t>
      </w:r>
    </w:p>
    <w:p w14:paraId="59A939FE"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Gereffi, G. (2018) </w:t>
      </w:r>
      <w:r w:rsidRPr="00735E87">
        <w:rPr>
          <w:rFonts w:ascii="Arial" w:hAnsi="Arial" w:cs="Arial"/>
          <w:i/>
          <w:iCs/>
          <w:sz w:val="24"/>
          <w:szCs w:val="24"/>
        </w:rPr>
        <w:t>Global value chains and development: redefining the contours of 21st century capitalism</w:t>
      </w:r>
      <w:r w:rsidRPr="00735E87">
        <w:rPr>
          <w:rFonts w:ascii="Arial" w:hAnsi="Arial" w:cs="Arial"/>
          <w:sz w:val="24"/>
          <w:szCs w:val="24"/>
        </w:rPr>
        <w:t>. Cambridge: Cambridge University Press.</w:t>
      </w:r>
    </w:p>
    <w:p w14:paraId="4C22ACC0"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Germano, S. (2023) 'Nike's wholesale retreat creates openings for rivals', </w:t>
      </w:r>
      <w:r w:rsidRPr="00735E87">
        <w:rPr>
          <w:rFonts w:ascii="Arial" w:hAnsi="Arial" w:cs="Arial"/>
          <w:i/>
          <w:iCs/>
          <w:sz w:val="24"/>
          <w:szCs w:val="24"/>
        </w:rPr>
        <w:t>The Wall Street Journal</w:t>
      </w:r>
      <w:r w:rsidRPr="00735E87">
        <w:rPr>
          <w:rFonts w:ascii="Arial" w:hAnsi="Arial" w:cs="Arial"/>
          <w:sz w:val="24"/>
          <w:szCs w:val="24"/>
        </w:rPr>
        <w:t>, 15 March. Available at: </w:t>
      </w:r>
      <w:hyperlink r:id="rId9" w:history="1">
        <w:r w:rsidRPr="00735E87">
          <w:rPr>
            <w:rStyle w:val="Hyperlink"/>
            <w:rFonts w:ascii="Arial" w:hAnsi="Arial" w:cs="Arial"/>
            <w:sz w:val="24"/>
            <w:szCs w:val="24"/>
          </w:rPr>
          <w:t>https://www.wsj.com</w:t>
        </w:r>
      </w:hyperlink>
      <w:r w:rsidRPr="00735E87">
        <w:rPr>
          <w:rFonts w:ascii="Arial" w:hAnsi="Arial" w:cs="Arial"/>
          <w:sz w:val="24"/>
          <w:szCs w:val="24"/>
        </w:rPr>
        <w:t> (Accessed: 12 March 2025).</w:t>
      </w:r>
    </w:p>
    <w:p w14:paraId="694A15AB"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Gibbs, G. (1988) </w:t>
      </w:r>
      <w:r w:rsidRPr="00735E87">
        <w:rPr>
          <w:rFonts w:ascii="Arial" w:hAnsi="Arial" w:cs="Arial"/>
          <w:i/>
          <w:iCs/>
          <w:sz w:val="24"/>
          <w:szCs w:val="24"/>
        </w:rPr>
        <w:t>Learning by doing: a guide to teaching and learning methods</w:t>
      </w:r>
      <w:r w:rsidRPr="00735E87">
        <w:rPr>
          <w:rFonts w:ascii="Arial" w:hAnsi="Arial" w:cs="Arial"/>
          <w:sz w:val="24"/>
          <w:szCs w:val="24"/>
        </w:rPr>
        <w:t>. Oxford: Oxford Polytechnic.</w:t>
      </w:r>
    </w:p>
    <w:p w14:paraId="5A2E2BBE"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Grand View Research (2023) </w:t>
      </w:r>
      <w:r w:rsidRPr="00735E87">
        <w:rPr>
          <w:rFonts w:ascii="Arial" w:hAnsi="Arial" w:cs="Arial"/>
          <w:i/>
          <w:iCs/>
          <w:sz w:val="24"/>
          <w:szCs w:val="24"/>
        </w:rPr>
        <w:t>Athletic footwear market size, share and trends analysis report, 2023-2030</w:t>
      </w:r>
      <w:r w:rsidRPr="00735E87">
        <w:rPr>
          <w:rFonts w:ascii="Arial" w:hAnsi="Arial" w:cs="Arial"/>
          <w:sz w:val="24"/>
          <w:szCs w:val="24"/>
        </w:rPr>
        <w:t>. San Francisco: Grand View Research.</w:t>
      </w:r>
    </w:p>
    <w:p w14:paraId="38510412"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Grant, R.M. (2021) </w:t>
      </w:r>
      <w:r w:rsidRPr="00735E87">
        <w:rPr>
          <w:rFonts w:ascii="Arial" w:hAnsi="Arial" w:cs="Arial"/>
          <w:i/>
          <w:iCs/>
          <w:sz w:val="24"/>
          <w:szCs w:val="24"/>
        </w:rPr>
        <w:t>Contemporary strategy analysis</w:t>
      </w:r>
      <w:r w:rsidRPr="00735E87">
        <w:rPr>
          <w:rFonts w:ascii="Arial" w:hAnsi="Arial" w:cs="Arial"/>
          <w:sz w:val="24"/>
          <w:szCs w:val="24"/>
        </w:rPr>
        <w:t xml:space="preserve">. 11th </w:t>
      </w:r>
      <w:proofErr w:type="spellStart"/>
      <w:r w:rsidRPr="00735E87">
        <w:rPr>
          <w:rFonts w:ascii="Arial" w:hAnsi="Arial" w:cs="Arial"/>
          <w:sz w:val="24"/>
          <w:szCs w:val="24"/>
        </w:rPr>
        <w:t>edn</w:t>
      </w:r>
      <w:proofErr w:type="spellEnd"/>
      <w:r w:rsidRPr="00735E87">
        <w:rPr>
          <w:rFonts w:ascii="Arial" w:hAnsi="Arial" w:cs="Arial"/>
          <w:sz w:val="24"/>
          <w:szCs w:val="24"/>
        </w:rPr>
        <w:t>. Hoboken: John Wiley and Sons.</w:t>
      </w:r>
    </w:p>
    <w:p w14:paraId="1715FD89"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Henderson, B.D. (1979) </w:t>
      </w:r>
      <w:r w:rsidRPr="00735E87">
        <w:rPr>
          <w:rFonts w:ascii="Arial" w:hAnsi="Arial" w:cs="Arial"/>
          <w:i/>
          <w:iCs/>
          <w:sz w:val="24"/>
          <w:szCs w:val="24"/>
        </w:rPr>
        <w:t>Henderson on corporate strategy</w:t>
      </w:r>
      <w:r w:rsidRPr="00735E87">
        <w:rPr>
          <w:rFonts w:ascii="Arial" w:hAnsi="Arial" w:cs="Arial"/>
          <w:sz w:val="24"/>
          <w:szCs w:val="24"/>
        </w:rPr>
        <w:t>. Cambridge, MA: Abt Books.</w:t>
      </w:r>
    </w:p>
    <w:p w14:paraId="41AC1FD3"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 xml:space="preserve">Hitt, M.A., Ireland, R.D. and </w:t>
      </w:r>
      <w:proofErr w:type="spellStart"/>
      <w:r w:rsidRPr="00735E87">
        <w:rPr>
          <w:rFonts w:ascii="Arial" w:hAnsi="Arial" w:cs="Arial"/>
          <w:sz w:val="24"/>
          <w:szCs w:val="24"/>
        </w:rPr>
        <w:t>Hoskisson</w:t>
      </w:r>
      <w:proofErr w:type="spellEnd"/>
      <w:r w:rsidRPr="00735E87">
        <w:rPr>
          <w:rFonts w:ascii="Arial" w:hAnsi="Arial" w:cs="Arial"/>
          <w:sz w:val="24"/>
          <w:szCs w:val="24"/>
        </w:rPr>
        <w:t>, R.E. (2020) </w:t>
      </w:r>
      <w:r w:rsidRPr="00735E87">
        <w:rPr>
          <w:rFonts w:ascii="Arial" w:hAnsi="Arial" w:cs="Arial"/>
          <w:i/>
          <w:iCs/>
          <w:sz w:val="24"/>
          <w:szCs w:val="24"/>
        </w:rPr>
        <w:t>Strategic management: competitiveness and globalization</w:t>
      </w:r>
      <w:r w:rsidRPr="00735E87">
        <w:rPr>
          <w:rFonts w:ascii="Arial" w:hAnsi="Arial" w:cs="Arial"/>
          <w:sz w:val="24"/>
          <w:szCs w:val="24"/>
        </w:rPr>
        <w:t xml:space="preserve">. 13th </w:t>
      </w:r>
      <w:proofErr w:type="spellStart"/>
      <w:r w:rsidRPr="00735E87">
        <w:rPr>
          <w:rFonts w:ascii="Arial" w:hAnsi="Arial" w:cs="Arial"/>
          <w:sz w:val="24"/>
          <w:szCs w:val="24"/>
        </w:rPr>
        <w:t>edn</w:t>
      </w:r>
      <w:proofErr w:type="spellEnd"/>
      <w:r w:rsidRPr="00735E87">
        <w:rPr>
          <w:rFonts w:ascii="Arial" w:hAnsi="Arial" w:cs="Arial"/>
          <w:sz w:val="24"/>
          <w:szCs w:val="24"/>
        </w:rPr>
        <w:t>. Boston: Cengage Learning.</w:t>
      </w:r>
    </w:p>
    <w:p w14:paraId="034DBE31"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Hoang, L. (2022) 'How Nike is using data analytics to transform its business', </w:t>
      </w:r>
      <w:r w:rsidRPr="00735E87">
        <w:rPr>
          <w:rFonts w:ascii="Arial" w:hAnsi="Arial" w:cs="Arial"/>
          <w:i/>
          <w:iCs/>
          <w:sz w:val="24"/>
          <w:szCs w:val="24"/>
        </w:rPr>
        <w:t>Business of Fashion</w:t>
      </w:r>
      <w:r w:rsidRPr="00735E87">
        <w:rPr>
          <w:rFonts w:ascii="Arial" w:hAnsi="Arial" w:cs="Arial"/>
          <w:sz w:val="24"/>
          <w:szCs w:val="24"/>
        </w:rPr>
        <w:t>, 8 February. Available at: </w:t>
      </w:r>
      <w:hyperlink r:id="rId10" w:history="1">
        <w:r w:rsidRPr="00735E87">
          <w:rPr>
            <w:rStyle w:val="Hyperlink"/>
            <w:rFonts w:ascii="Arial" w:hAnsi="Arial" w:cs="Arial"/>
            <w:sz w:val="24"/>
            <w:szCs w:val="24"/>
          </w:rPr>
          <w:t>https://www.businessoffashion.com</w:t>
        </w:r>
      </w:hyperlink>
      <w:r w:rsidRPr="00735E87">
        <w:rPr>
          <w:rFonts w:ascii="Arial" w:hAnsi="Arial" w:cs="Arial"/>
          <w:sz w:val="24"/>
          <w:szCs w:val="24"/>
        </w:rPr>
        <w:t> (Accessed: 11 March 2025).</w:t>
      </w:r>
    </w:p>
    <w:p w14:paraId="58861DCA"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Husted, B.W. and Allen, D.B. (2007) 'Strategic corporate social responsibility and value creation among large firms: lessons from the Spanish experience', </w:t>
      </w:r>
      <w:r w:rsidRPr="00735E87">
        <w:rPr>
          <w:rFonts w:ascii="Arial" w:hAnsi="Arial" w:cs="Arial"/>
          <w:i/>
          <w:iCs/>
          <w:sz w:val="24"/>
          <w:szCs w:val="24"/>
        </w:rPr>
        <w:t>Long Range Planning</w:t>
      </w:r>
      <w:r w:rsidRPr="00735E87">
        <w:rPr>
          <w:rFonts w:ascii="Arial" w:hAnsi="Arial" w:cs="Arial"/>
          <w:sz w:val="24"/>
          <w:szCs w:val="24"/>
        </w:rPr>
        <w:t>, 40(6), pp. 594-610.</w:t>
      </w:r>
    </w:p>
    <w:p w14:paraId="2C31ACDF"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lastRenderedPageBreak/>
        <w:t>Interbrand (2023) </w:t>
      </w:r>
      <w:r w:rsidRPr="00735E87">
        <w:rPr>
          <w:rFonts w:ascii="Arial" w:hAnsi="Arial" w:cs="Arial"/>
          <w:i/>
          <w:iCs/>
          <w:sz w:val="24"/>
          <w:szCs w:val="24"/>
        </w:rPr>
        <w:t>Best global brands 2023</w:t>
      </w:r>
      <w:r w:rsidRPr="00735E87">
        <w:rPr>
          <w:rFonts w:ascii="Arial" w:hAnsi="Arial" w:cs="Arial"/>
          <w:sz w:val="24"/>
          <w:szCs w:val="24"/>
        </w:rPr>
        <w:t>. New York: Interbrand.</w:t>
      </w:r>
    </w:p>
    <w:p w14:paraId="08C1B35E"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Johnson, G., Whittington, R. and Scholes, K. (2017) </w:t>
      </w:r>
      <w:r w:rsidRPr="00735E87">
        <w:rPr>
          <w:rFonts w:ascii="Arial" w:hAnsi="Arial" w:cs="Arial"/>
          <w:i/>
          <w:iCs/>
          <w:sz w:val="24"/>
          <w:szCs w:val="24"/>
        </w:rPr>
        <w:t>Exploring strategy: text and cases</w:t>
      </w:r>
      <w:r w:rsidRPr="00735E87">
        <w:rPr>
          <w:rFonts w:ascii="Arial" w:hAnsi="Arial" w:cs="Arial"/>
          <w:sz w:val="24"/>
          <w:szCs w:val="24"/>
        </w:rPr>
        <w:t xml:space="preserve">. 11th </w:t>
      </w:r>
      <w:proofErr w:type="spellStart"/>
      <w:r w:rsidRPr="00735E87">
        <w:rPr>
          <w:rFonts w:ascii="Arial" w:hAnsi="Arial" w:cs="Arial"/>
          <w:sz w:val="24"/>
          <w:szCs w:val="24"/>
        </w:rPr>
        <w:t>edn</w:t>
      </w:r>
      <w:proofErr w:type="spellEnd"/>
      <w:r w:rsidRPr="00735E87">
        <w:rPr>
          <w:rFonts w:ascii="Arial" w:hAnsi="Arial" w:cs="Arial"/>
          <w:sz w:val="24"/>
          <w:szCs w:val="24"/>
        </w:rPr>
        <w:t>. Harlow: Pearson Education.</w:t>
      </w:r>
    </w:p>
    <w:p w14:paraId="0A0AD426"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Kaplan, R.S. and Norton, D.P. (1992) 'The balanced scorecard—measures that drive performance', </w:t>
      </w:r>
      <w:r w:rsidRPr="00735E87">
        <w:rPr>
          <w:rFonts w:ascii="Arial" w:hAnsi="Arial" w:cs="Arial"/>
          <w:i/>
          <w:iCs/>
          <w:sz w:val="24"/>
          <w:szCs w:val="24"/>
        </w:rPr>
        <w:t>Harvard Business Review</w:t>
      </w:r>
      <w:r w:rsidRPr="00735E87">
        <w:rPr>
          <w:rFonts w:ascii="Arial" w:hAnsi="Arial" w:cs="Arial"/>
          <w:sz w:val="24"/>
          <w:szCs w:val="24"/>
        </w:rPr>
        <w:t>, 70(1), pp. 71-79.</w:t>
      </w:r>
    </w:p>
    <w:p w14:paraId="5C7975B8"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Kaplan, R.S. and Norton, D.P. (1996) </w:t>
      </w:r>
      <w:r w:rsidRPr="00735E87">
        <w:rPr>
          <w:rFonts w:ascii="Arial" w:hAnsi="Arial" w:cs="Arial"/>
          <w:i/>
          <w:iCs/>
          <w:sz w:val="24"/>
          <w:szCs w:val="24"/>
        </w:rPr>
        <w:t>The balanced scorecard: translating strategy into action</w:t>
      </w:r>
      <w:r w:rsidRPr="00735E87">
        <w:rPr>
          <w:rFonts w:ascii="Arial" w:hAnsi="Arial" w:cs="Arial"/>
          <w:sz w:val="24"/>
          <w:szCs w:val="24"/>
        </w:rPr>
        <w:t>. Boston: Harvard Business School Press.</w:t>
      </w:r>
    </w:p>
    <w:p w14:paraId="3AA5EB5C"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Kell, J. (2021) 'Nike's radical direct-to-consumer strategy is working', </w:t>
      </w:r>
      <w:r w:rsidRPr="00735E87">
        <w:rPr>
          <w:rFonts w:ascii="Arial" w:hAnsi="Arial" w:cs="Arial"/>
          <w:i/>
          <w:iCs/>
          <w:sz w:val="24"/>
          <w:szCs w:val="24"/>
        </w:rPr>
        <w:t>Fortune</w:t>
      </w:r>
      <w:r w:rsidRPr="00735E87">
        <w:rPr>
          <w:rFonts w:ascii="Arial" w:hAnsi="Arial" w:cs="Arial"/>
          <w:sz w:val="24"/>
          <w:szCs w:val="24"/>
        </w:rPr>
        <w:t>, 24 June. Available at: </w:t>
      </w:r>
      <w:hyperlink r:id="rId11" w:history="1">
        <w:r w:rsidRPr="00735E87">
          <w:rPr>
            <w:rStyle w:val="Hyperlink"/>
            <w:rFonts w:ascii="Arial" w:hAnsi="Arial" w:cs="Arial"/>
            <w:sz w:val="24"/>
            <w:szCs w:val="24"/>
          </w:rPr>
          <w:t>https://www.fortune.com</w:t>
        </w:r>
      </w:hyperlink>
      <w:r w:rsidRPr="00735E87">
        <w:rPr>
          <w:rFonts w:ascii="Arial" w:hAnsi="Arial" w:cs="Arial"/>
          <w:sz w:val="24"/>
          <w:szCs w:val="24"/>
        </w:rPr>
        <w:t> (Accessed: 10 March 2025).</w:t>
      </w:r>
    </w:p>
    <w:p w14:paraId="0A430842"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Knight, P. (2016) </w:t>
      </w:r>
      <w:r w:rsidRPr="00735E87">
        <w:rPr>
          <w:rFonts w:ascii="Arial" w:hAnsi="Arial" w:cs="Arial"/>
          <w:i/>
          <w:iCs/>
          <w:sz w:val="24"/>
          <w:szCs w:val="24"/>
        </w:rPr>
        <w:t>Shoe dog: a memoir by the creator of Nike</w:t>
      </w:r>
      <w:r w:rsidRPr="00735E87">
        <w:rPr>
          <w:rFonts w:ascii="Arial" w:hAnsi="Arial" w:cs="Arial"/>
          <w:sz w:val="24"/>
          <w:szCs w:val="24"/>
        </w:rPr>
        <w:t>. New York: Scribner.</w:t>
      </w:r>
    </w:p>
    <w:p w14:paraId="48A08BAA"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Kotter, J.P. (1996) </w:t>
      </w:r>
      <w:r w:rsidRPr="00735E87">
        <w:rPr>
          <w:rFonts w:ascii="Arial" w:hAnsi="Arial" w:cs="Arial"/>
          <w:i/>
          <w:iCs/>
          <w:sz w:val="24"/>
          <w:szCs w:val="24"/>
        </w:rPr>
        <w:t>Leading change</w:t>
      </w:r>
      <w:r w:rsidRPr="00735E87">
        <w:rPr>
          <w:rFonts w:ascii="Arial" w:hAnsi="Arial" w:cs="Arial"/>
          <w:sz w:val="24"/>
          <w:szCs w:val="24"/>
        </w:rPr>
        <w:t>. Boston: Harvard Business School Press.</w:t>
      </w:r>
    </w:p>
    <w:p w14:paraId="521AE1BB"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Lewin, K. (1951) </w:t>
      </w:r>
      <w:r w:rsidRPr="00735E87">
        <w:rPr>
          <w:rFonts w:ascii="Arial" w:hAnsi="Arial" w:cs="Arial"/>
          <w:i/>
          <w:iCs/>
          <w:sz w:val="24"/>
          <w:szCs w:val="24"/>
        </w:rPr>
        <w:t>Field theory in social science</w:t>
      </w:r>
      <w:r w:rsidRPr="00735E87">
        <w:rPr>
          <w:rFonts w:ascii="Arial" w:hAnsi="Arial" w:cs="Arial"/>
          <w:sz w:val="24"/>
          <w:szCs w:val="24"/>
        </w:rPr>
        <w:t>. New York: Harper and Row.</w:t>
      </w:r>
    </w:p>
    <w:p w14:paraId="6C52AF21"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Locke, R.M. (2003) 'The promise and perils of globalization: the case of Nike', in Kochan, T.A. and Schmalensee, R.L. (eds.) </w:t>
      </w:r>
      <w:r w:rsidRPr="00735E87">
        <w:rPr>
          <w:rFonts w:ascii="Arial" w:hAnsi="Arial" w:cs="Arial"/>
          <w:i/>
          <w:iCs/>
          <w:sz w:val="24"/>
          <w:szCs w:val="24"/>
        </w:rPr>
        <w:t>Management: inventing and delivering its future</w:t>
      </w:r>
      <w:r w:rsidRPr="00735E87">
        <w:rPr>
          <w:rFonts w:ascii="Arial" w:hAnsi="Arial" w:cs="Arial"/>
          <w:sz w:val="24"/>
          <w:szCs w:val="24"/>
        </w:rPr>
        <w:t>. Cambridge, MA: MIT Press, pp. 39-70.</w:t>
      </w:r>
    </w:p>
    <w:p w14:paraId="3B1569EB"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Mahdi, H.A.A. </w:t>
      </w:r>
      <w:r w:rsidRPr="00735E87">
        <w:rPr>
          <w:rFonts w:ascii="Arial" w:hAnsi="Arial" w:cs="Arial"/>
          <w:i/>
          <w:iCs/>
          <w:sz w:val="24"/>
          <w:szCs w:val="24"/>
        </w:rPr>
        <w:t>et al.</w:t>
      </w:r>
      <w:r w:rsidRPr="00735E87">
        <w:rPr>
          <w:rFonts w:ascii="Arial" w:hAnsi="Arial" w:cs="Arial"/>
          <w:sz w:val="24"/>
          <w:szCs w:val="24"/>
        </w:rPr>
        <w:t> (2015) 'A study of the differences in brand positioning strategies between Nike and Adidas', </w:t>
      </w:r>
      <w:r w:rsidRPr="00735E87">
        <w:rPr>
          <w:rFonts w:ascii="Arial" w:hAnsi="Arial" w:cs="Arial"/>
          <w:i/>
          <w:iCs/>
          <w:sz w:val="24"/>
          <w:szCs w:val="24"/>
        </w:rPr>
        <w:t>Journal of Marketing Management</w:t>
      </w:r>
      <w:r w:rsidRPr="00735E87">
        <w:rPr>
          <w:rFonts w:ascii="Arial" w:hAnsi="Arial" w:cs="Arial"/>
          <w:sz w:val="24"/>
          <w:szCs w:val="24"/>
        </w:rPr>
        <w:t>, 3(1), pp. 30-43.</w:t>
      </w:r>
    </w:p>
    <w:p w14:paraId="3F8D299F"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Markides, C.C. (1997) 'To diversify or not to diversify', </w:t>
      </w:r>
      <w:r w:rsidRPr="00735E87">
        <w:rPr>
          <w:rFonts w:ascii="Arial" w:hAnsi="Arial" w:cs="Arial"/>
          <w:i/>
          <w:iCs/>
          <w:sz w:val="24"/>
          <w:szCs w:val="24"/>
        </w:rPr>
        <w:t>Harvard Business Review</w:t>
      </w:r>
      <w:r w:rsidRPr="00735E87">
        <w:rPr>
          <w:rFonts w:ascii="Arial" w:hAnsi="Arial" w:cs="Arial"/>
          <w:sz w:val="24"/>
          <w:szCs w:val="24"/>
        </w:rPr>
        <w:t>, 75(6), pp. 93-99.</w:t>
      </w:r>
    </w:p>
    <w:p w14:paraId="25829D05"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 xml:space="preserve">McDonough, W. and </w:t>
      </w:r>
      <w:proofErr w:type="spellStart"/>
      <w:r w:rsidRPr="00735E87">
        <w:rPr>
          <w:rFonts w:ascii="Arial" w:hAnsi="Arial" w:cs="Arial"/>
          <w:sz w:val="24"/>
          <w:szCs w:val="24"/>
        </w:rPr>
        <w:t>Braungart</w:t>
      </w:r>
      <w:proofErr w:type="spellEnd"/>
      <w:r w:rsidRPr="00735E87">
        <w:rPr>
          <w:rFonts w:ascii="Arial" w:hAnsi="Arial" w:cs="Arial"/>
          <w:sz w:val="24"/>
          <w:szCs w:val="24"/>
        </w:rPr>
        <w:t>, M. (2002) </w:t>
      </w:r>
      <w:r w:rsidRPr="00735E87">
        <w:rPr>
          <w:rFonts w:ascii="Arial" w:hAnsi="Arial" w:cs="Arial"/>
          <w:i/>
          <w:iCs/>
          <w:sz w:val="24"/>
          <w:szCs w:val="24"/>
        </w:rPr>
        <w:t>Cradle to cradle: remaking the way we make things</w:t>
      </w:r>
      <w:r w:rsidRPr="00735E87">
        <w:rPr>
          <w:rFonts w:ascii="Arial" w:hAnsi="Arial" w:cs="Arial"/>
          <w:sz w:val="24"/>
          <w:szCs w:val="24"/>
        </w:rPr>
        <w:t>. New York: North Point Press.</w:t>
      </w:r>
    </w:p>
    <w:p w14:paraId="1ECE7DA5"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McKinsey and Company (2022) </w:t>
      </w:r>
      <w:r w:rsidRPr="00735E87">
        <w:rPr>
          <w:rFonts w:ascii="Arial" w:hAnsi="Arial" w:cs="Arial"/>
          <w:i/>
          <w:iCs/>
          <w:sz w:val="24"/>
          <w:szCs w:val="24"/>
        </w:rPr>
        <w:t>The state of fashion 2023</w:t>
      </w:r>
      <w:r w:rsidRPr="00735E87">
        <w:rPr>
          <w:rFonts w:ascii="Arial" w:hAnsi="Arial" w:cs="Arial"/>
          <w:sz w:val="24"/>
          <w:szCs w:val="24"/>
        </w:rPr>
        <w:t>. New York: McKinsey and Company.</w:t>
      </w:r>
    </w:p>
    <w:p w14:paraId="72B6D896" w14:textId="77777777" w:rsidR="00FB673C" w:rsidRPr="00FB673C" w:rsidRDefault="00FB673C" w:rsidP="00FB673C">
      <w:pPr>
        <w:spacing w:after="200" w:line="360" w:lineRule="auto"/>
        <w:rPr>
          <w:rFonts w:ascii="Arial" w:eastAsia="Calibri" w:hAnsi="Arial" w:cs="Arial"/>
          <w:sz w:val="24"/>
          <w:szCs w:val="24"/>
          <w:lang w:bidi="ar-SA"/>
        </w:rPr>
      </w:pPr>
      <w:r w:rsidRPr="00FB673C">
        <w:rPr>
          <w:rFonts w:ascii="Arial" w:eastAsia="Calibri" w:hAnsi="Arial" w:cs="Arial"/>
          <w:bCs/>
          <w:sz w:val="24"/>
          <w:szCs w:val="24"/>
          <w:lang w:bidi="ar-SA"/>
        </w:rPr>
        <w:t>McKinsey and Company (2023) The state of fashion 2024. New York: McKinsey and Company.</w:t>
      </w:r>
    </w:p>
    <w:p w14:paraId="6B9FF4CA"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Mintzberg, H., Ahlstrand, B. and Lampel, J. (2009) </w:t>
      </w:r>
      <w:r w:rsidRPr="00735E87">
        <w:rPr>
          <w:rFonts w:ascii="Arial" w:hAnsi="Arial" w:cs="Arial"/>
          <w:i/>
          <w:iCs/>
          <w:sz w:val="24"/>
          <w:szCs w:val="24"/>
        </w:rPr>
        <w:t>Strategy safari: the complete guide through the wilds of strategic management</w:t>
      </w:r>
      <w:r w:rsidRPr="00735E87">
        <w:rPr>
          <w:rFonts w:ascii="Arial" w:hAnsi="Arial" w:cs="Arial"/>
          <w:sz w:val="24"/>
          <w:szCs w:val="24"/>
        </w:rPr>
        <w:t xml:space="preserve">. 2nd </w:t>
      </w:r>
      <w:proofErr w:type="spellStart"/>
      <w:r w:rsidRPr="00735E87">
        <w:rPr>
          <w:rFonts w:ascii="Arial" w:hAnsi="Arial" w:cs="Arial"/>
          <w:sz w:val="24"/>
          <w:szCs w:val="24"/>
        </w:rPr>
        <w:t>edn</w:t>
      </w:r>
      <w:proofErr w:type="spellEnd"/>
      <w:r w:rsidRPr="00735E87">
        <w:rPr>
          <w:rFonts w:ascii="Arial" w:hAnsi="Arial" w:cs="Arial"/>
          <w:sz w:val="24"/>
          <w:szCs w:val="24"/>
        </w:rPr>
        <w:t>. Harlow: Pearson Education.</w:t>
      </w:r>
    </w:p>
    <w:p w14:paraId="727EE4C9"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Nike, Inc. (2021) </w:t>
      </w:r>
      <w:r w:rsidRPr="00735E87">
        <w:rPr>
          <w:rFonts w:ascii="Arial" w:hAnsi="Arial" w:cs="Arial"/>
          <w:i/>
          <w:iCs/>
          <w:sz w:val="24"/>
          <w:szCs w:val="24"/>
        </w:rPr>
        <w:t>FY21 Nike, Inc. impact report</w:t>
      </w:r>
      <w:r w:rsidRPr="00735E87">
        <w:rPr>
          <w:rFonts w:ascii="Arial" w:hAnsi="Arial" w:cs="Arial"/>
          <w:sz w:val="24"/>
          <w:szCs w:val="24"/>
        </w:rPr>
        <w:t>. Beaverton: Nike, Inc.</w:t>
      </w:r>
    </w:p>
    <w:p w14:paraId="091BF985"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lastRenderedPageBreak/>
        <w:t>Nike, Inc. (2022) </w:t>
      </w:r>
      <w:r w:rsidRPr="00735E87">
        <w:rPr>
          <w:rFonts w:ascii="Arial" w:hAnsi="Arial" w:cs="Arial"/>
          <w:i/>
          <w:iCs/>
          <w:sz w:val="24"/>
          <w:szCs w:val="24"/>
        </w:rPr>
        <w:t>FY22 Nike, Inc. impact report</w:t>
      </w:r>
      <w:r w:rsidRPr="00735E87">
        <w:rPr>
          <w:rFonts w:ascii="Arial" w:hAnsi="Arial" w:cs="Arial"/>
          <w:sz w:val="24"/>
          <w:szCs w:val="24"/>
        </w:rPr>
        <w:t>. Beaverton: Nike, Inc.</w:t>
      </w:r>
    </w:p>
    <w:p w14:paraId="11401898"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Nike, Inc. (2023a) </w:t>
      </w:r>
      <w:r w:rsidRPr="00735E87">
        <w:rPr>
          <w:rFonts w:ascii="Arial" w:hAnsi="Arial" w:cs="Arial"/>
          <w:i/>
          <w:iCs/>
          <w:sz w:val="24"/>
          <w:szCs w:val="24"/>
        </w:rPr>
        <w:t>Nike, Inc. annual report on Form 10-K for fiscal year ended May 31, 2023</w:t>
      </w:r>
      <w:r w:rsidRPr="00735E87">
        <w:rPr>
          <w:rFonts w:ascii="Arial" w:hAnsi="Arial" w:cs="Arial"/>
          <w:sz w:val="24"/>
          <w:szCs w:val="24"/>
        </w:rPr>
        <w:t>. Beaverton: Nike, Inc.</w:t>
      </w:r>
    </w:p>
    <w:p w14:paraId="62FC3850"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Nike, Inc. (2023b) </w:t>
      </w:r>
      <w:r w:rsidRPr="00735E87">
        <w:rPr>
          <w:rFonts w:ascii="Arial" w:hAnsi="Arial" w:cs="Arial"/>
          <w:i/>
          <w:iCs/>
          <w:sz w:val="24"/>
          <w:szCs w:val="24"/>
        </w:rPr>
        <w:t>About Nike: purpose and mission</w:t>
      </w:r>
      <w:r w:rsidRPr="00735E87">
        <w:rPr>
          <w:rFonts w:ascii="Arial" w:hAnsi="Arial" w:cs="Arial"/>
          <w:sz w:val="24"/>
          <w:szCs w:val="24"/>
        </w:rPr>
        <w:t>. Available at: </w:t>
      </w:r>
      <w:hyperlink r:id="rId12" w:history="1">
        <w:r w:rsidRPr="00735E87">
          <w:rPr>
            <w:rStyle w:val="Hyperlink"/>
            <w:rFonts w:ascii="Arial" w:hAnsi="Arial" w:cs="Arial"/>
            <w:sz w:val="24"/>
            <w:szCs w:val="24"/>
          </w:rPr>
          <w:t>https://about.nike.com</w:t>
        </w:r>
      </w:hyperlink>
      <w:r w:rsidRPr="00735E87">
        <w:rPr>
          <w:rFonts w:ascii="Arial" w:hAnsi="Arial" w:cs="Arial"/>
          <w:sz w:val="24"/>
          <w:szCs w:val="24"/>
        </w:rPr>
        <w:t> (Accessed: 8 March 2025).</w:t>
      </w:r>
    </w:p>
    <w:p w14:paraId="01093EA4"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Nisen, M. (2013) 'How Nike solved its sweatshop problem', </w:t>
      </w:r>
      <w:r w:rsidRPr="00735E87">
        <w:rPr>
          <w:rFonts w:ascii="Arial" w:hAnsi="Arial" w:cs="Arial"/>
          <w:i/>
          <w:iCs/>
          <w:sz w:val="24"/>
          <w:szCs w:val="24"/>
        </w:rPr>
        <w:t>Business Insider</w:t>
      </w:r>
      <w:r w:rsidRPr="00735E87">
        <w:rPr>
          <w:rFonts w:ascii="Arial" w:hAnsi="Arial" w:cs="Arial"/>
          <w:sz w:val="24"/>
          <w:szCs w:val="24"/>
        </w:rPr>
        <w:t>, 9 May. Available at: </w:t>
      </w:r>
      <w:hyperlink r:id="rId13" w:history="1">
        <w:r w:rsidRPr="00735E87">
          <w:rPr>
            <w:rStyle w:val="Hyperlink"/>
            <w:rFonts w:ascii="Arial" w:hAnsi="Arial" w:cs="Arial"/>
            <w:sz w:val="24"/>
            <w:szCs w:val="24"/>
          </w:rPr>
          <w:t>https://www.businessinsider.com</w:t>
        </w:r>
      </w:hyperlink>
      <w:r w:rsidRPr="00735E87">
        <w:rPr>
          <w:rFonts w:ascii="Arial" w:hAnsi="Arial" w:cs="Arial"/>
          <w:sz w:val="24"/>
          <w:szCs w:val="24"/>
        </w:rPr>
        <w:t> (Accessed: 12 March 2025).</w:t>
      </w:r>
    </w:p>
    <w:p w14:paraId="5AB4CA6E"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Peng, M.W. (2021) </w:t>
      </w:r>
      <w:r w:rsidRPr="00735E87">
        <w:rPr>
          <w:rFonts w:ascii="Arial" w:hAnsi="Arial" w:cs="Arial"/>
          <w:i/>
          <w:iCs/>
          <w:sz w:val="24"/>
          <w:szCs w:val="24"/>
        </w:rPr>
        <w:t>Global strategy</w:t>
      </w:r>
      <w:r w:rsidRPr="00735E87">
        <w:rPr>
          <w:rFonts w:ascii="Arial" w:hAnsi="Arial" w:cs="Arial"/>
          <w:sz w:val="24"/>
          <w:szCs w:val="24"/>
        </w:rPr>
        <w:t xml:space="preserve">. 5th </w:t>
      </w:r>
      <w:proofErr w:type="spellStart"/>
      <w:r w:rsidRPr="00735E87">
        <w:rPr>
          <w:rFonts w:ascii="Arial" w:hAnsi="Arial" w:cs="Arial"/>
          <w:sz w:val="24"/>
          <w:szCs w:val="24"/>
        </w:rPr>
        <w:t>edn</w:t>
      </w:r>
      <w:proofErr w:type="spellEnd"/>
      <w:r w:rsidRPr="00735E87">
        <w:rPr>
          <w:rFonts w:ascii="Arial" w:hAnsi="Arial" w:cs="Arial"/>
          <w:sz w:val="24"/>
          <w:szCs w:val="24"/>
        </w:rPr>
        <w:t>. Boston: Cengage Learning.</w:t>
      </w:r>
    </w:p>
    <w:p w14:paraId="64C6C849"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Pine, B.J. (1993) </w:t>
      </w:r>
      <w:r w:rsidRPr="00735E87">
        <w:rPr>
          <w:rFonts w:ascii="Arial" w:hAnsi="Arial" w:cs="Arial"/>
          <w:i/>
          <w:iCs/>
          <w:sz w:val="24"/>
          <w:szCs w:val="24"/>
        </w:rPr>
        <w:t>Mass customization: the new frontier in business competition</w:t>
      </w:r>
      <w:r w:rsidRPr="00735E87">
        <w:rPr>
          <w:rFonts w:ascii="Arial" w:hAnsi="Arial" w:cs="Arial"/>
          <w:sz w:val="24"/>
          <w:szCs w:val="24"/>
        </w:rPr>
        <w:t>. Boston: Harvard Business School Press.</w:t>
      </w:r>
    </w:p>
    <w:p w14:paraId="38FE7428"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Porter, M.E. (1980) </w:t>
      </w:r>
      <w:r w:rsidRPr="00735E87">
        <w:rPr>
          <w:rFonts w:ascii="Arial" w:hAnsi="Arial" w:cs="Arial"/>
          <w:i/>
          <w:iCs/>
          <w:sz w:val="24"/>
          <w:szCs w:val="24"/>
        </w:rPr>
        <w:t>Competitive strategy: techniques for analyzing industries and competitors</w:t>
      </w:r>
      <w:r w:rsidRPr="00735E87">
        <w:rPr>
          <w:rFonts w:ascii="Arial" w:hAnsi="Arial" w:cs="Arial"/>
          <w:sz w:val="24"/>
          <w:szCs w:val="24"/>
        </w:rPr>
        <w:t>. New York: Free Press.</w:t>
      </w:r>
    </w:p>
    <w:p w14:paraId="14BB01FE"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Porter, M.E. (1985) </w:t>
      </w:r>
      <w:r w:rsidRPr="00735E87">
        <w:rPr>
          <w:rFonts w:ascii="Arial" w:hAnsi="Arial" w:cs="Arial"/>
          <w:i/>
          <w:iCs/>
          <w:sz w:val="24"/>
          <w:szCs w:val="24"/>
        </w:rPr>
        <w:t>Competitive advantage: creating and sustaining superior performance</w:t>
      </w:r>
      <w:r w:rsidRPr="00735E87">
        <w:rPr>
          <w:rFonts w:ascii="Arial" w:hAnsi="Arial" w:cs="Arial"/>
          <w:sz w:val="24"/>
          <w:szCs w:val="24"/>
        </w:rPr>
        <w:t>. New York: Free Press.</w:t>
      </w:r>
    </w:p>
    <w:p w14:paraId="6548307B"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Porter, M.E. and Heppelmann, J.E. (2014) 'How smart, connected products are transforming competition', </w:t>
      </w:r>
      <w:r w:rsidRPr="00735E87">
        <w:rPr>
          <w:rFonts w:ascii="Arial" w:hAnsi="Arial" w:cs="Arial"/>
          <w:i/>
          <w:iCs/>
          <w:sz w:val="24"/>
          <w:szCs w:val="24"/>
        </w:rPr>
        <w:t>Harvard Business Review</w:t>
      </w:r>
      <w:r w:rsidRPr="00735E87">
        <w:rPr>
          <w:rFonts w:ascii="Arial" w:hAnsi="Arial" w:cs="Arial"/>
          <w:sz w:val="24"/>
          <w:szCs w:val="24"/>
        </w:rPr>
        <w:t>, 92(11), pp. 64-88.</w:t>
      </w:r>
    </w:p>
    <w:p w14:paraId="1D78DC44"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Prahalad, C.K. and Hamel, G. (1990) 'The core competence of the corporation', </w:t>
      </w:r>
      <w:r w:rsidRPr="00735E87">
        <w:rPr>
          <w:rFonts w:ascii="Arial" w:hAnsi="Arial" w:cs="Arial"/>
          <w:i/>
          <w:iCs/>
          <w:sz w:val="24"/>
          <w:szCs w:val="24"/>
        </w:rPr>
        <w:t>Harvard Business Review</w:t>
      </w:r>
      <w:r w:rsidRPr="00735E87">
        <w:rPr>
          <w:rFonts w:ascii="Arial" w:hAnsi="Arial" w:cs="Arial"/>
          <w:sz w:val="24"/>
          <w:szCs w:val="24"/>
        </w:rPr>
        <w:t>, 68(3), pp. 79-91.</w:t>
      </w:r>
    </w:p>
    <w:p w14:paraId="40A6E0AA" w14:textId="77777777" w:rsidR="00FB673C" w:rsidRPr="00735E87" w:rsidRDefault="00FB673C" w:rsidP="00AF768D">
      <w:pPr>
        <w:spacing w:line="360" w:lineRule="auto"/>
        <w:jc w:val="both"/>
        <w:rPr>
          <w:rFonts w:ascii="Arial" w:hAnsi="Arial" w:cs="Arial"/>
          <w:sz w:val="24"/>
          <w:szCs w:val="24"/>
        </w:rPr>
      </w:pPr>
      <w:proofErr w:type="spellStart"/>
      <w:r w:rsidRPr="00735E87">
        <w:rPr>
          <w:rFonts w:ascii="Arial" w:hAnsi="Arial" w:cs="Arial"/>
          <w:sz w:val="24"/>
          <w:szCs w:val="24"/>
        </w:rPr>
        <w:t>Rumelt</w:t>
      </w:r>
      <w:proofErr w:type="spellEnd"/>
      <w:r w:rsidRPr="00735E87">
        <w:rPr>
          <w:rFonts w:ascii="Arial" w:hAnsi="Arial" w:cs="Arial"/>
          <w:sz w:val="24"/>
          <w:szCs w:val="24"/>
        </w:rPr>
        <w:t>, R.P. (1974) </w:t>
      </w:r>
      <w:r w:rsidRPr="00735E87">
        <w:rPr>
          <w:rFonts w:ascii="Arial" w:hAnsi="Arial" w:cs="Arial"/>
          <w:i/>
          <w:iCs/>
          <w:sz w:val="24"/>
          <w:szCs w:val="24"/>
        </w:rPr>
        <w:t>Strategy, structure, and economic performance</w:t>
      </w:r>
      <w:r w:rsidRPr="00735E87">
        <w:rPr>
          <w:rFonts w:ascii="Arial" w:hAnsi="Arial" w:cs="Arial"/>
          <w:sz w:val="24"/>
          <w:szCs w:val="24"/>
        </w:rPr>
        <w:t>. Boston: Harvard Business School Press.</w:t>
      </w:r>
    </w:p>
    <w:p w14:paraId="5D05A9EE"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Senge, P.M. (1990) </w:t>
      </w:r>
      <w:r w:rsidRPr="00735E87">
        <w:rPr>
          <w:rFonts w:ascii="Arial" w:hAnsi="Arial" w:cs="Arial"/>
          <w:i/>
          <w:iCs/>
          <w:sz w:val="24"/>
          <w:szCs w:val="24"/>
        </w:rPr>
        <w:t>The fifth discipline: the art and practice of the learning organization</w:t>
      </w:r>
      <w:r w:rsidRPr="00735E87">
        <w:rPr>
          <w:rFonts w:ascii="Arial" w:hAnsi="Arial" w:cs="Arial"/>
          <w:sz w:val="24"/>
          <w:szCs w:val="24"/>
        </w:rPr>
        <w:t>. New York: Doubleday.</w:t>
      </w:r>
    </w:p>
    <w:p w14:paraId="3D54F6F0"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Shih, W.C. (2020) 'Global supply chains in a post-pandemic world', </w:t>
      </w:r>
      <w:r w:rsidRPr="00735E87">
        <w:rPr>
          <w:rFonts w:ascii="Arial" w:hAnsi="Arial" w:cs="Arial"/>
          <w:i/>
          <w:iCs/>
          <w:sz w:val="24"/>
          <w:szCs w:val="24"/>
        </w:rPr>
        <w:t>Harvard Business Review</w:t>
      </w:r>
      <w:r w:rsidRPr="00735E87">
        <w:rPr>
          <w:rFonts w:ascii="Arial" w:hAnsi="Arial" w:cs="Arial"/>
          <w:sz w:val="24"/>
          <w:szCs w:val="24"/>
        </w:rPr>
        <w:t>, 98(5), pp. 82-89.</w:t>
      </w:r>
    </w:p>
    <w:p w14:paraId="7F92291B" w14:textId="77777777" w:rsidR="00FB673C" w:rsidRPr="00FB673C" w:rsidRDefault="00FB673C" w:rsidP="00FB673C">
      <w:pPr>
        <w:spacing w:after="200" w:line="360" w:lineRule="auto"/>
        <w:rPr>
          <w:rFonts w:ascii="Arial" w:eastAsia="Calibri" w:hAnsi="Arial" w:cs="Arial"/>
          <w:sz w:val="24"/>
          <w:szCs w:val="24"/>
          <w:lang w:bidi="ar-SA"/>
        </w:rPr>
      </w:pPr>
      <w:r w:rsidRPr="00FB673C">
        <w:rPr>
          <w:rFonts w:ascii="Arial" w:eastAsia="Calibri" w:hAnsi="Arial" w:cs="Arial"/>
          <w:bCs/>
          <w:sz w:val="24"/>
          <w:szCs w:val="24"/>
          <w:lang w:bidi="ar-SA"/>
        </w:rPr>
        <w:t>Skechers U.S.A., Inc. (2023) Annual report 2023. Manhattan Beach, CA: Skechers U.S.A., Inc.</w:t>
      </w:r>
    </w:p>
    <w:p w14:paraId="253FDB6F"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Statista (2023) </w:t>
      </w:r>
      <w:r w:rsidRPr="00735E87">
        <w:rPr>
          <w:rFonts w:ascii="Arial" w:hAnsi="Arial" w:cs="Arial"/>
          <w:i/>
          <w:iCs/>
          <w:sz w:val="24"/>
          <w:szCs w:val="24"/>
        </w:rPr>
        <w:t>Nike's market share in the global athletic footwear market from 2011 to 2023</w:t>
      </w:r>
      <w:r w:rsidRPr="00735E87">
        <w:rPr>
          <w:rFonts w:ascii="Arial" w:hAnsi="Arial" w:cs="Arial"/>
          <w:sz w:val="24"/>
          <w:szCs w:val="24"/>
        </w:rPr>
        <w:t>. Hamburg: Statista.</w:t>
      </w:r>
    </w:p>
    <w:p w14:paraId="1DD1F716"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lastRenderedPageBreak/>
        <w:t xml:space="preserve">Teece, D.J., Pisano, G. and </w:t>
      </w:r>
      <w:proofErr w:type="spellStart"/>
      <w:r w:rsidRPr="00735E87">
        <w:rPr>
          <w:rFonts w:ascii="Arial" w:hAnsi="Arial" w:cs="Arial"/>
          <w:sz w:val="24"/>
          <w:szCs w:val="24"/>
        </w:rPr>
        <w:t>Shuen</w:t>
      </w:r>
      <w:proofErr w:type="spellEnd"/>
      <w:r w:rsidRPr="00735E87">
        <w:rPr>
          <w:rFonts w:ascii="Arial" w:hAnsi="Arial" w:cs="Arial"/>
          <w:sz w:val="24"/>
          <w:szCs w:val="24"/>
        </w:rPr>
        <w:t>, A. (1997) 'Dynamic capabilities and strategic management', </w:t>
      </w:r>
      <w:r w:rsidRPr="00735E87">
        <w:rPr>
          <w:rFonts w:ascii="Arial" w:hAnsi="Arial" w:cs="Arial"/>
          <w:i/>
          <w:iCs/>
          <w:sz w:val="24"/>
          <w:szCs w:val="24"/>
        </w:rPr>
        <w:t>Strategic Management Journal</w:t>
      </w:r>
      <w:r w:rsidRPr="00735E87">
        <w:rPr>
          <w:rFonts w:ascii="Arial" w:hAnsi="Arial" w:cs="Arial"/>
          <w:sz w:val="24"/>
          <w:szCs w:val="24"/>
        </w:rPr>
        <w:t>, 18(7), pp. 509-533.</w:t>
      </w:r>
    </w:p>
    <w:p w14:paraId="1B00BE97"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Thompson, A.A. </w:t>
      </w:r>
      <w:r w:rsidRPr="00735E87">
        <w:rPr>
          <w:rFonts w:ascii="Arial" w:hAnsi="Arial" w:cs="Arial"/>
          <w:i/>
          <w:iCs/>
          <w:sz w:val="24"/>
          <w:szCs w:val="24"/>
        </w:rPr>
        <w:t>et al.</w:t>
      </w:r>
      <w:r w:rsidRPr="00735E87">
        <w:rPr>
          <w:rFonts w:ascii="Arial" w:hAnsi="Arial" w:cs="Arial"/>
          <w:sz w:val="24"/>
          <w:szCs w:val="24"/>
        </w:rPr>
        <w:t> (2021) </w:t>
      </w:r>
      <w:r w:rsidRPr="00735E87">
        <w:rPr>
          <w:rFonts w:ascii="Arial" w:hAnsi="Arial" w:cs="Arial"/>
          <w:i/>
          <w:iCs/>
          <w:sz w:val="24"/>
          <w:szCs w:val="24"/>
        </w:rPr>
        <w:t>Crafting and executing strategy: the quest for competitive advantage</w:t>
      </w:r>
      <w:r w:rsidRPr="00735E87">
        <w:rPr>
          <w:rFonts w:ascii="Arial" w:hAnsi="Arial" w:cs="Arial"/>
          <w:sz w:val="24"/>
          <w:szCs w:val="24"/>
        </w:rPr>
        <w:t xml:space="preserve">. 23rd </w:t>
      </w:r>
      <w:proofErr w:type="spellStart"/>
      <w:r w:rsidRPr="00735E87">
        <w:rPr>
          <w:rFonts w:ascii="Arial" w:hAnsi="Arial" w:cs="Arial"/>
          <w:sz w:val="24"/>
          <w:szCs w:val="24"/>
        </w:rPr>
        <w:t>edn</w:t>
      </w:r>
      <w:proofErr w:type="spellEnd"/>
      <w:r w:rsidRPr="00735E87">
        <w:rPr>
          <w:rFonts w:ascii="Arial" w:hAnsi="Arial" w:cs="Arial"/>
          <w:sz w:val="24"/>
          <w:szCs w:val="24"/>
        </w:rPr>
        <w:t>. New York: McGraw-Hill Education.</w:t>
      </w:r>
    </w:p>
    <w:p w14:paraId="069C7828" w14:textId="77777777" w:rsidR="00FB673C" w:rsidRPr="00735E87" w:rsidRDefault="00FB673C" w:rsidP="00AF768D">
      <w:pPr>
        <w:spacing w:line="360" w:lineRule="auto"/>
        <w:jc w:val="both"/>
        <w:rPr>
          <w:rFonts w:ascii="Arial" w:hAnsi="Arial" w:cs="Arial"/>
          <w:sz w:val="24"/>
          <w:szCs w:val="24"/>
        </w:rPr>
      </w:pPr>
      <w:r w:rsidRPr="00735E87">
        <w:rPr>
          <w:rFonts w:ascii="Arial" w:hAnsi="Arial" w:cs="Arial"/>
          <w:sz w:val="24"/>
          <w:szCs w:val="24"/>
        </w:rPr>
        <w:t>Treacy, M. and Wiersema, F. (1995) </w:t>
      </w:r>
      <w:r w:rsidRPr="00735E87">
        <w:rPr>
          <w:rFonts w:ascii="Arial" w:hAnsi="Arial" w:cs="Arial"/>
          <w:i/>
          <w:iCs/>
          <w:sz w:val="24"/>
          <w:szCs w:val="24"/>
        </w:rPr>
        <w:t>The discipline of market leaders</w:t>
      </w:r>
      <w:r w:rsidRPr="00735E87">
        <w:rPr>
          <w:rFonts w:ascii="Arial" w:hAnsi="Arial" w:cs="Arial"/>
          <w:sz w:val="24"/>
          <w:szCs w:val="24"/>
        </w:rPr>
        <w:t>. Reading, MA: Addison-Wesley.</w:t>
      </w:r>
    </w:p>
    <w:p w14:paraId="3BBA4D14" w14:textId="77777777" w:rsidR="00FB673C" w:rsidRPr="00735E87" w:rsidRDefault="00FB673C" w:rsidP="00AF768D">
      <w:pPr>
        <w:spacing w:line="360" w:lineRule="auto"/>
        <w:jc w:val="both"/>
        <w:rPr>
          <w:rFonts w:ascii="Arial" w:hAnsi="Arial" w:cs="Arial"/>
          <w:sz w:val="24"/>
          <w:szCs w:val="24"/>
        </w:rPr>
      </w:pPr>
      <w:proofErr w:type="spellStart"/>
      <w:r w:rsidRPr="00735E87">
        <w:rPr>
          <w:rFonts w:ascii="Arial" w:hAnsi="Arial" w:cs="Arial"/>
          <w:sz w:val="24"/>
          <w:szCs w:val="24"/>
        </w:rPr>
        <w:t>Trefis</w:t>
      </w:r>
      <w:proofErr w:type="spellEnd"/>
      <w:r w:rsidRPr="00735E87">
        <w:rPr>
          <w:rFonts w:ascii="Arial" w:hAnsi="Arial" w:cs="Arial"/>
          <w:sz w:val="24"/>
          <w:szCs w:val="24"/>
        </w:rPr>
        <w:t xml:space="preserve"> Team (2022) 'How Nike's direct-to-consumer strategy is paying off', </w:t>
      </w:r>
      <w:r w:rsidRPr="00735E87">
        <w:rPr>
          <w:rFonts w:ascii="Arial" w:hAnsi="Arial" w:cs="Arial"/>
          <w:i/>
          <w:iCs/>
          <w:sz w:val="24"/>
          <w:szCs w:val="24"/>
        </w:rPr>
        <w:t>Forbes</w:t>
      </w:r>
      <w:r w:rsidRPr="00735E87">
        <w:rPr>
          <w:rFonts w:ascii="Arial" w:hAnsi="Arial" w:cs="Arial"/>
          <w:sz w:val="24"/>
          <w:szCs w:val="24"/>
        </w:rPr>
        <w:t>, 14 November. Available at: </w:t>
      </w:r>
      <w:hyperlink r:id="rId14" w:history="1">
        <w:r w:rsidRPr="00735E87">
          <w:rPr>
            <w:rStyle w:val="Hyperlink"/>
            <w:rFonts w:ascii="Arial" w:hAnsi="Arial" w:cs="Arial"/>
            <w:sz w:val="24"/>
            <w:szCs w:val="24"/>
          </w:rPr>
          <w:t>https://www.forbes.com</w:t>
        </w:r>
      </w:hyperlink>
      <w:r w:rsidRPr="00735E87">
        <w:rPr>
          <w:rFonts w:ascii="Arial" w:hAnsi="Arial" w:cs="Arial"/>
          <w:sz w:val="24"/>
          <w:szCs w:val="24"/>
        </w:rPr>
        <w:t> (Accessed: 11 March 2025).</w:t>
      </w:r>
    </w:p>
    <w:p w14:paraId="752BDB18" w14:textId="77777777" w:rsidR="00FB673C" w:rsidRDefault="00FB673C" w:rsidP="00AF768D">
      <w:pPr>
        <w:spacing w:line="360" w:lineRule="auto"/>
        <w:jc w:val="both"/>
        <w:rPr>
          <w:rFonts w:ascii="Arial" w:hAnsi="Arial" w:cs="Arial"/>
          <w:sz w:val="24"/>
          <w:szCs w:val="24"/>
        </w:rPr>
      </w:pPr>
      <w:r w:rsidRPr="00735E87">
        <w:rPr>
          <w:rFonts w:ascii="Arial" w:hAnsi="Arial" w:cs="Arial"/>
          <w:sz w:val="24"/>
          <w:szCs w:val="24"/>
        </w:rPr>
        <w:t xml:space="preserve">Voigt, P. and Von dem </w:t>
      </w:r>
      <w:proofErr w:type="spellStart"/>
      <w:r w:rsidRPr="00735E87">
        <w:rPr>
          <w:rFonts w:ascii="Arial" w:hAnsi="Arial" w:cs="Arial"/>
          <w:sz w:val="24"/>
          <w:szCs w:val="24"/>
        </w:rPr>
        <w:t>Bussche</w:t>
      </w:r>
      <w:proofErr w:type="spellEnd"/>
      <w:r w:rsidRPr="00735E87">
        <w:rPr>
          <w:rFonts w:ascii="Arial" w:hAnsi="Arial" w:cs="Arial"/>
          <w:sz w:val="24"/>
          <w:szCs w:val="24"/>
        </w:rPr>
        <w:t>, A. (2017) </w:t>
      </w:r>
      <w:r w:rsidRPr="00735E87">
        <w:rPr>
          <w:rFonts w:ascii="Arial" w:hAnsi="Arial" w:cs="Arial"/>
          <w:i/>
          <w:iCs/>
          <w:sz w:val="24"/>
          <w:szCs w:val="24"/>
        </w:rPr>
        <w:t>The EU General Data Protection Regulation (GDPR): a practical guide</w:t>
      </w:r>
      <w:r w:rsidRPr="00735E87">
        <w:rPr>
          <w:rFonts w:ascii="Arial" w:hAnsi="Arial" w:cs="Arial"/>
          <w:sz w:val="24"/>
          <w:szCs w:val="24"/>
        </w:rPr>
        <w:t>. Cham: Springer.</w:t>
      </w:r>
    </w:p>
    <w:p w14:paraId="2E8117F6" w14:textId="77777777" w:rsidR="00FB673C" w:rsidRPr="00735E87" w:rsidRDefault="00FB673C" w:rsidP="00AF768D">
      <w:pPr>
        <w:spacing w:line="360" w:lineRule="auto"/>
        <w:jc w:val="both"/>
        <w:rPr>
          <w:rFonts w:ascii="Arial" w:hAnsi="Arial" w:cs="Arial"/>
          <w:sz w:val="24"/>
          <w:szCs w:val="24"/>
        </w:rPr>
      </w:pPr>
    </w:p>
    <w:p w14:paraId="2981161B" w14:textId="77777777" w:rsidR="002A5174" w:rsidRPr="00AF768D" w:rsidRDefault="002A5174" w:rsidP="00AF768D">
      <w:pPr>
        <w:spacing w:line="360" w:lineRule="auto"/>
        <w:jc w:val="both"/>
        <w:rPr>
          <w:rFonts w:ascii="Arial" w:hAnsi="Arial" w:cs="Arial"/>
          <w:sz w:val="24"/>
          <w:szCs w:val="24"/>
        </w:rPr>
      </w:pPr>
    </w:p>
    <w:sectPr w:rsidR="002A5174" w:rsidRPr="00AF768D" w:rsidSect="00AF768D">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3F0B8" w14:textId="77777777" w:rsidR="002975A1" w:rsidRDefault="002975A1" w:rsidP="009C04CB">
      <w:pPr>
        <w:spacing w:after="0" w:line="240" w:lineRule="auto"/>
      </w:pPr>
      <w:r>
        <w:separator/>
      </w:r>
    </w:p>
  </w:endnote>
  <w:endnote w:type="continuationSeparator" w:id="0">
    <w:p w14:paraId="7A20802F" w14:textId="77777777" w:rsidR="002975A1" w:rsidRDefault="002975A1" w:rsidP="009C0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Vrinda">
    <w:panose1 w:val="00000400000000000000"/>
    <w:charset w:val="00"/>
    <w:family w:val="swiss"/>
    <w:pitch w:val="variable"/>
    <w:sig w:usb0="00010003" w:usb1="00000000" w:usb2="00000000" w:usb3="00000000" w:csb0="00000001" w:csb1="00000000"/>
  </w:font>
  <w:font w:name="Aptos Display">
    <w:altName w:val="Arial"/>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472367"/>
      <w:docPartObj>
        <w:docPartGallery w:val="Page Numbers (Bottom of Page)"/>
        <w:docPartUnique/>
      </w:docPartObj>
    </w:sdtPr>
    <w:sdtEndPr>
      <w:rPr>
        <w:noProof/>
      </w:rPr>
    </w:sdtEndPr>
    <w:sdtContent>
      <w:p w14:paraId="4E17E6DC" w14:textId="77777777" w:rsidR="00AF768D" w:rsidRDefault="00E21620">
        <w:pPr>
          <w:pStyle w:val="Footer"/>
          <w:jc w:val="center"/>
        </w:pPr>
        <w:r>
          <w:fldChar w:fldCharType="begin"/>
        </w:r>
        <w:r w:rsidR="00AF768D">
          <w:instrText xml:space="preserve"> PAGE   \* MERGEFORMAT </w:instrText>
        </w:r>
        <w:r>
          <w:fldChar w:fldCharType="separate"/>
        </w:r>
        <w:r w:rsidR="008E1F37">
          <w:rPr>
            <w:noProof/>
          </w:rPr>
          <w:t>2</w:t>
        </w:r>
        <w:r>
          <w:rPr>
            <w:noProof/>
          </w:rPr>
          <w:fldChar w:fldCharType="end"/>
        </w:r>
      </w:p>
    </w:sdtContent>
  </w:sdt>
  <w:p w14:paraId="06005DAB" w14:textId="77777777" w:rsidR="00AF768D" w:rsidRDefault="00AF76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0A35B" w14:textId="77777777" w:rsidR="002975A1" w:rsidRDefault="002975A1" w:rsidP="009C04CB">
      <w:pPr>
        <w:spacing w:after="0" w:line="240" w:lineRule="auto"/>
      </w:pPr>
      <w:r>
        <w:separator/>
      </w:r>
    </w:p>
  </w:footnote>
  <w:footnote w:type="continuationSeparator" w:id="0">
    <w:p w14:paraId="60A44F31" w14:textId="77777777" w:rsidR="002975A1" w:rsidRDefault="002975A1" w:rsidP="009C04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00C6B"/>
    <w:multiLevelType w:val="multilevel"/>
    <w:tmpl w:val="CE401D1A"/>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681469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53"/>
    <w:rsid w:val="00090F31"/>
    <w:rsid w:val="000D1D67"/>
    <w:rsid w:val="00157B18"/>
    <w:rsid w:val="002975A1"/>
    <w:rsid w:val="002A5174"/>
    <w:rsid w:val="0033174E"/>
    <w:rsid w:val="003443F1"/>
    <w:rsid w:val="00363744"/>
    <w:rsid w:val="004760EE"/>
    <w:rsid w:val="00492B88"/>
    <w:rsid w:val="004A0743"/>
    <w:rsid w:val="004D083B"/>
    <w:rsid w:val="00555731"/>
    <w:rsid w:val="00564C7B"/>
    <w:rsid w:val="00681A30"/>
    <w:rsid w:val="00735E87"/>
    <w:rsid w:val="00770C4D"/>
    <w:rsid w:val="007F6653"/>
    <w:rsid w:val="00871B2E"/>
    <w:rsid w:val="008E1F37"/>
    <w:rsid w:val="00954CC6"/>
    <w:rsid w:val="009C04CB"/>
    <w:rsid w:val="00A33ACA"/>
    <w:rsid w:val="00A3787F"/>
    <w:rsid w:val="00A61ADD"/>
    <w:rsid w:val="00A66ED2"/>
    <w:rsid w:val="00A72A50"/>
    <w:rsid w:val="00AA69AB"/>
    <w:rsid w:val="00AC3072"/>
    <w:rsid w:val="00AF768D"/>
    <w:rsid w:val="00B40B5A"/>
    <w:rsid w:val="00B7504B"/>
    <w:rsid w:val="00BD3783"/>
    <w:rsid w:val="00C2731F"/>
    <w:rsid w:val="00CC2115"/>
    <w:rsid w:val="00D22286"/>
    <w:rsid w:val="00D373B5"/>
    <w:rsid w:val="00D66759"/>
    <w:rsid w:val="00DE2E95"/>
    <w:rsid w:val="00E21620"/>
    <w:rsid w:val="00E94C9E"/>
    <w:rsid w:val="00FB673C"/>
    <w:rsid w:val="00FC5656"/>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26391"/>
  <w15:docId w15:val="{0294C7D5-8547-4BA9-9BA7-D6D1FE8B2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ADD"/>
    <w:rPr>
      <w:rFonts w:cs="Vrinda"/>
    </w:rPr>
  </w:style>
  <w:style w:type="paragraph" w:styleId="Heading1">
    <w:name w:val="heading 1"/>
    <w:basedOn w:val="Normal"/>
    <w:next w:val="Normal"/>
    <w:link w:val="Heading1Char"/>
    <w:uiPriority w:val="9"/>
    <w:qFormat/>
    <w:rsid w:val="007F6653"/>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7F6653"/>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7F6653"/>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7F66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66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66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66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66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66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653"/>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7F6653"/>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7F6653"/>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7F66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66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66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66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66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6653"/>
    <w:rPr>
      <w:rFonts w:eastAsiaTheme="majorEastAsia" w:cstheme="majorBidi"/>
      <w:color w:val="272727" w:themeColor="text1" w:themeTint="D8"/>
    </w:rPr>
  </w:style>
  <w:style w:type="paragraph" w:styleId="Title">
    <w:name w:val="Title"/>
    <w:basedOn w:val="Normal"/>
    <w:next w:val="Normal"/>
    <w:link w:val="TitleChar"/>
    <w:uiPriority w:val="10"/>
    <w:qFormat/>
    <w:rsid w:val="007F6653"/>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7F6653"/>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7F6653"/>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7F6653"/>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7F6653"/>
    <w:pPr>
      <w:spacing w:before="160"/>
      <w:jc w:val="center"/>
    </w:pPr>
    <w:rPr>
      <w:i/>
      <w:iCs/>
      <w:color w:val="404040" w:themeColor="text1" w:themeTint="BF"/>
    </w:rPr>
  </w:style>
  <w:style w:type="character" w:customStyle="1" w:styleId="QuoteChar">
    <w:name w:val="Quote Char"/>
    <w:basedOn w:val="DefaultParagraphFont"/>
    <w:link w:val="Quote"/>
    <w:uiPriority w:val="29"/>
    <w:rsid w:val="007F6653"/>
    <w:rPr>
      <w:rFonts w:cs="Vrinda"/>
      <w:i/>
      <w:iCs/>
      <w:color w:val="404040" w:themeColor="text1" w:themeTint="BF"/>
    </w:rPr>
  </w:style>
  <w:style w:type="paragraph" w:styleId="ListParagraph">
    <w:name w:val="List Paragraph"/>
    <w:basedOn w:val="Normal"/>
    <w:uiPriority w:val="34"/>
    <w:qFormat/>
    <w:rsid w:val="007F6653"/>
    <w:pPr>
      <w:ind w:left="720"/>
      <w:contextualSpacing/>
    </w:pPr>
  </w:style>
  <w:style w:type="character" w:styleId="IntenseEmphasis">
    <w:name w:val="Intense Emphasis"/>
    <w:basedOn w:val="DefaultParagraphFont"/>
    <w:uiPriority w:val="21"/>
    <w:qFormat/>
    <w:rsid w:val="007F6653"/>
    <w:rPr>
      <w:i/>
      <w:iCs/>
      <w:color w:val="0F4761" w:themeColor="accent1" w:themeShade="BF"/>
    </w:rPr>
  </w:style>
  <w:style w:type="paragraph" w:styleId="IntenseQuote">
    <w:name w:val="Intense Quote"/>
    <w:basedOn w:val="Normal"/>
    <w:next w:val="Normal"/>
    <w:link w:val="IntenseQuoteChar"/>
    <w:uiPriority w:val="30"/>
    <w:qFormat/>
    <w:rsid w:val="007F66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6653"/>
    <w:rPr>
      <w:rFonts w:cs="Vrinda"/>
      <w:i/>
      <w:iCs/>
      <w:color w:val="0F4761" w:themeColor="accent1" w:themeShade="BF"/>
    </w:rPr>
  </w:style>
  <w:style w:type="character" w:styleId="IntenseReference">
    <w:name w:val="Intense Reference"/>
    <w:basedOn w:val="DefaultParagraphFont"/>
    <w:uiPriority w:val="32"/>
    <w:qFormat/>
    <w:rsid w:val="007F6653"/>
    <w:rPr>
      <w:b/>
      <w:bCs/>
      <w:smallCaps/>
      <w:color w:val="0F4761" w:themeColor="accent1" w:themeShade="BF"/>
      <w:spacing w:val="5"/>
    </w:rPr>
  </w:style>
  <w:style w:type="character" w:styleId="Hyperlink">
    <w:name w:val="Hyperlink"/>
    <w:basedOn w:val="DefaultParagraphFont"/>
    <w:uiPriority w:val="99"/>
    <w:unhideWhenUsed/>
    <w:rsid w:val="00735E87"/>
    <w:rPr>
      <w:color w:val="467886" w:themeColor="hyperlink"/>
      <w:u w:val="single"/>
    </w:rPr>
  </w:style>
  <w:style w:type="character" w:customStyle="1" w:styleId="UnresolvedMention1">
    <w:name w:val="Unresolved Mention1"/>
    <w:basedOn w:val="DefaultParagraphFont"/>
    <w:uiPriority w:val="99"/>
    <w:semiHidden/>
    <w:unhideWhenUsed/>
    <w:rsid w:val="00735E87"/>
    <w:rPr>
      <w:color w:val="605E5C"/>
      <w:shd w:val="clear" w:color="auto" w:fill="E1DFDD"/>
    </w:rPr>
  </w:style>
  <w:style w:type="table" w:styleId="TableGrid">
    <w:name w:val="Table Grid"/>
    <w:basedOn w:val="TableNormal"/>
    <w:uiPriority w:val="59"/>
    <w:rsid w:val="00735E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04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04CB"/>
    <w:rPr>
      <w:rFonts w:cs="Vrinda"/>
    </w:rPr>
  </w:style>
  <w:style w:type="paragraph" w:styleId="Footer">
    <w:name w:val="footer"/>
    <w:basedOn w:val="Normal"/>
    <w:link w:val="FooterChar"/>
    <w:uiPriority w:val="99"/>
    <w:unhideWhenUsed/>
    <w:rsid w:val="009C04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04CB"/>
    <w:rPr>
      <w:rFonts w:cs="Vrinda"/>
    </w:rPr>
  </w:style>
  <w:style w:type="paragraph" w:styleId="BalloonText">
    <w:name w:val="Balloon Text"/>
    <w:basedOn w:val="Normal"/>
    <w:link w:val="BalloonTextChar"/>
    <w:uiPriority w:val="99"/>
    <w:semiHidden/>
    <w:unhideWhenUsed/>
    <w:rsid w:val="00090F31"/>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090F31"/>
    <w:rPr>
      <w:rFonts w:ascii="Tahoma" w:hAnsi="Tahoma" w:cs="Tahoma"/>
      <w:sz w:val="16"/>
      <w:szCs w:val="20"/>
    </w:rPr>
  </w:style>
  <w:style w:type="paragraph" w:styleId="NormalWeb">
    <w:name w:val="Normal (Web)"/>
    <w:basedOn w:val="Normal"/>
    <w:uiPriority w:val="99"/>
    <w:semiHidden/>
    <w:unhideWhenUsed/>
    <w:rsid w:val="00B7504B"/>
    <w:pPr>
      <w:spacing w:before="100" w:beforeAutospacing="1" w:after="100" w:afterAutospacing="1" w:line="240" w:lineRule="auto"/>
    </w:pPr>
    <w:rPr>
      <w:rFonts w:ascii="Times New Roman" w:eastAsia="Times New Roman" w:hAnsi="Times New Roman" w:cs="Times New Roman"/>
      <w:sz w:val="24"/>
      <w:szCs w:val="24"/>
      <w:lang w:bidi="ar-SA"/>
    </w:rPr>
  </w:style>
  <w:style w:type="character" w:styleId="CommentReference">
    <w:name w:val="annotation reference"/>
    <w:basedOn w:val="DefaultParagraphFont"/>
    <w:uiPriority w:val="99"/>
    <w:semiHidden/>
    <w:unhideWhenUsed/>
    <w:rsid w:val="00AA69AB"/>
    <w:rPr>
      <w:sz w:val="16"/>
      <w:szCs w:val="16"/>
    </w:rPr>
  </w:style>
  <w:style w:type="paragraph" w:styleId="CommentText">
    <w:name w:val="annotation text"/>
    <w:basedOn w:val="Normal"/>
    <w:link w:val="CommentTextChar"/>
    <w:uiPriority w:val="99"/>
    <w:semiHidden/>
    <w:unhideWhenUsed/>
    <w:rsid w:val="00AA69AB"/>
    <w:pPr>
      <w:spacing w:line="240" w:lineRule="auto"/>
    </w:pPr>
    <w:rPr>
      <w:sz w:val="20"/>
      <w:szCs w:val="25"/>
    </w:rPr>
  </w:style>
  <w:style w:type="character" w:customStyle="1" w:styleId="CommentTextChar">
    <w:name w:val="Comment Text Char"/>
    <w:basedOn w:val="DefaultParagraphFont"/>
    <w:link w:val="CommentText"/>
    <w:uiPriority w:val="99"/>
    <w:semiHidden/>
    <w:rsid w:val="00AA69AB"/>
    <w:rPr>
      <w:rFonts w:cs="Vrinda"/>
      <w:sz w:val="20"/>
      <w:szCs w:val="25"/>
    </w:rPr>
  </w:style>
  <w:style w:type="paragraph" w:styleId="CommentSubject">
    <w:name w:val="annotation subject"/>
    <w:basedOn w:val="CommentText"/>
    <w:next w:val="CommentText"/>
    <w:link w:val="CommentSubjectChar"/>
    <w:uiPriority w:val="99"/>
    <w:semiHidden/>
    <w:unhideWhenUsed/>
    <w:rsid w:val="00AA69AB"/>
    <w:rPr>
      <w:b/>
      <w:bCs/>
    </w:rPr>
  </w:style>
  <w:style w:type="character" w:customStyle="1" w:styleId="CommentSubjectChar">
    <w:name w:val="Comment Subject Char"/>
    <w:basedOn w:val="CommentTextChar"/>
    <w:link w:val="CommentSubject"/>
    <w:uiPriority w:val="99"/>
    <w:semiHidden/>
    <w:rsid w:val="00AA69AB"/>
    <w:rPr>
      <w:rFonts w:cs="Vrinda"/>
      <w:b/>
      <w:bCs/>
      <w:sz w:val="20"/>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99002">
      <w:bodyDiv w:val="1"/>
      <w:marLeft w:val="0"/>
      <w:marRight w:val="0"/>
      <w:marTop w:val="0"/>
      <w:marBottom w:val="0"/>
      <w:divBdr>
        <w:top w:val="none" w:sz="0" w:space="0" w:color="auto"/>
        <w:left w:val="none" w:sz="0" w:space="0" w:color="auto"/>
        <w:bottom w:val="none" w:sz="0" w:space="0" w:color="auto"/>
        <w:right w:val="none" w:sz="0" w:space="0" w:color="auto"/>
      </w:divBdr>
    </w:div>
    <w:div w:id="144974272">
      <w:bodyDiv w:val="1"/>
      <w:marLeft w:val="0"/>
      <w:marRight w:val="0"/>
      <w:marTop w:val="0"/>
      <w:marBottom w:val="0"/>
      <w:divBdr>
        <w:top w:val="none" w:sz="0" w:space="0" w:color="auto"/>
        <w:left w:val="none" w:sz="0" w:space="0" w:color="auto"/>
        <w:bottom w:val="none" w:sz="0" w:space="0" w:color="auto"/>
        <w:right w:val="none" w:sz="0" w:space="0" w:color="auto"/>
      </w:divBdr>
    </w:div>
    <w:div w:id="224798726">
      <w:bodyDiv w:val="1"/>
      <w:marLeft w:val="0"/>
      <w:marRight w:val="0"/>
      <w:marTop w:val="0"/>
      <w:marBottom w:val="0"/>
      <w:divBdr>
        <w:top w:val="none" w:sz="0" w:space="0" w:color="auto"/>
        <w:left w:val="none" w:sz="0" w:space="0" w:color="auto"/>
        <w:bottom w:val="none" w:sz="0" w:space="0" w:color="auto"/>
        <w:right w:val="none" w:sz="0" w:space="0" w:color="auto"/>
      </w:divBdr>
    </w:div>
    <w:div w:id="411464171">
      <w:bodyDiv w:val="1"/>
      <w:marLeft w:val="0"/>
      <w:marRight w:val="0"/>
      <w:marTop w:val="0"/>
      <w:marBottom w:val="0"/>
      <w:divBdr>
        <w:top w:val="none" w:sz="0" w:space="0" w:color="auto"/>
        <w:left w:val="none" w:sz="0" w:space="0" w:color="auto"/>
        <w:bottom w:val="none" w:sz="0" w:space="0" w:color="auto"/>
        <w:right w:val="none" w:sz="0" w:space="0" w:color="auto"/>
      </w:divBdr>
    </w:div>
    <w:div w:id="957175458">
      <w:bodyDiv w:val="1"/>
      <w:marLeft w:val="0"/>
      <w:marRight w:val="0"/>
      <w:marTop w:val="0"/>
      <w:marBottom w:val="0"/>
      <w:divBdr>
        <w:top w:val="none" w:sz="0" w:space="0" w:color="auto"/>
        <w:left w:val="none" w:sz="0" w:space="0" w:color="auto"/>
        <w:bottom w:val="none" w:sz="0" w:space="0" w:color="auto"/>
        <w:right w:val="none" w:sz="0" w:space="0" w:color="auto"/>
      </w:divBdr>
    </w:div>
    <w:div w:id="1417436039">
      <w:bodyDiv w:val="1"/>
      <w:marLeft w:val="0"/>
      <w:marRight w:val="0"/>
      <w:marTop w:val="0"/>
      <w:marBottom w:val="0"/>
      <w:divBdr>
        <w:top w:val="none" w:sz="0" w:space="0" w:color="auto"/>
        <w:left w:val="none" w:sz="0" w:space="0" w:color="auto"/>
        <w:bottom w:val="none" w:sz="0" w:space="0" w:color="auto"/>
        <w:right w:val="none" w:sz="0" w:space="0" w:color="auto"/>
      </w:divBdr>
    </w:div>
    <w:div w:id="1772045801">
      <w:bodyDiv w:val="1"/>
      <w:marLeft w:val="0"/>
      <w:marRight w:val="0"/>
      <w:marTop w:val="0"/>
      <w:marBottom w:val="0"/>
      <w:divBdr>
        <w:top w:val="none" w:sz="0" w:space="0" w:color="auto"/>
        <w:left w:val="none" w:sz="0" w:space="0" w:color="auto"/>
        <w:bottom w:val="none" w:sz="0" w:space="0" w:color="auto"/>
        <w:right w:val="none" w:sz="0" w:space="0" w:color="auto"/>
      </w:divBdr>
    </w:div>
    <w:div w:id="1919557459">
      <w:bodyDiv w:val="1"/>
      <w:marLeft w:val="0"/>
      <w:marRight w:val="0"/>
      <w:marTop w:val="0"/>
      <w:marBottom w:val="0"/>
      <w:divBdr>
        <w:top w:val="none" w:sz="0" w:space="0" w:color="auto"/>
        <w:left w:val="none" w:sz="0" w:space="0" w:color="auto"/>
        <w:bottom w:val="none" w:sz="0" w:space="0" w:color="auto"/>
        <w:right w:val="none" w:sz="0" w:space="0" w:color="auto"/>
      </w:divBdr>
    </w:div>
    <w:div w:id="2095857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oomberg.com/" TargetMode="External"/><Relationship Id="rId13" Type="http://schemas.openxmlformats.org/officeDocument/2006/relationships/hyperlink" Target="https://www.businessinsider.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about.nike.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tune.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businessoffashion.com/" TargetMode="External"/><Relationship Id="rId4" Type="http://schemas.openxmlformats.org/officeDocument/2006/relationships/webSettings" Target="webSettings.xml"/><Relationship Id="rId9" Type="http://schemas.openxmlformats.org/officeDocument/2006/relationships/hyperlink" Target="https://www.wsj.com/" TargetMode="External"/><Relationship Id="rId14" Type="http://schemas.openxmlformats.org/officeDocument/2006/relationships/hyperlink" Target="https://www.forb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6591</Words>
  <Characters>37574</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Sykat Sen</dc:creator>
  <cp:keywords/>
  <dc:description/>
  <cp:lastModifiedBy>DARVIN SABHAYA</cp:lastModifiedBy>
  <cp:revision>2</cp:revision>
  <dcterms:created xsi:type="dcterms:W3CDTF">2026-03-31T23:43:00Z</dcterms:created>
  <dcterms:modified xsi:type="dcterms:W3CDTF">2026-03-31T23:43:00Z</dcterms:modified>
</cp:coreProperties>
</file>