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90A41" w:rsidRDefault="00B90A41" w14:paraId="7A5E9987" w14:textId="77777777">
      <w:pPr>
        <w:rPr>
          <w:b/>
          <w:bCs/>
        </w:rPr>
      </w:pPr>
    </w:p>
    <w:tbl>
      <w:tblPr>
        <w:tblW w:w="1017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42"/>
        <w:gridCol w:w="3795"/>
        <w:gridCol w:w="4533"/>
      </w:tblGrid>
      <w:tr w:rsidRPr="00B90A41" w:rsidR="00B90A41" w14:paraId="049F5B6B" w14:textId="77777777">
        <w:tc>
          <w:tcPr>
            <w:tcW w:w="1843" w:type="dxa"/>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72800BC9" w14:textId="77777777">
            <w:pPr>
              <w:rPr>
                <w:b/>
                <w:bCs/>
              </w:rPr>
            </w:pPr>
            <w:r w:rsidRPr="00B90A41">
              <w:rPr>
                <w:b/>
                <w:bCs/>
              </w:rPr>
              <w:t>Programme:</w:t>
            </w:r>
          </w:p>
        </w:tc>
        <w:tc>
          <w:tcPr>
            <w:tcW w:w="8334" w:type="dxa"/>
            <w:gridSpan w:val="2"/>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35512258" w14:textId="77777777">
            <w:pPr>
              <w:rPr>
                <w:b/>
                <w:bCs/>
              </w:rPr>
            </w:pPr>
            <w:r w:rsidRPr="00B90A41">
              <w:rPr>
                <w:b/>
                <w:bCs/>
              </w:rPr>
              <w:t>BSc Health and Social Care</w:t>
            </w:r>
          </w:p>
        </w:tc>
      </w:tr>
      <w:tr w:rsidRPr="00B90A41" w:rsidR="00B90A41" w14:paraId="797DD001" w14:textId="77777777">
        <w:tc>
          <w:tcPr>
            <w:tcW w:w="1843" w:type="dxa"/>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7082DC5A" w14:textId="77777777">
            <w:pPr>
              <w:rPr>
                <w:b/>
                <w:bCs/>
              </w:rPr>
            </w:pPr>
            <w:r w:rsidRPr="00B90A41">
              <w:rPr>
                <w:b/>
                <w:bCs/>
              </w:rPr>
              <w:t>Module:</w:t>
            </w:r>
          </w:p>
        </w:tc>
        <w:tc>
          <w:tcPr>
            <w:tcW w:w="8334" w:type="dxa"/>
            <w:gridSpan w:val="2"/>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674C69A5" w14:textId="77777777">
            <w:pPr>
              <w:rPr>
                <w:b/>
                <w:bCs/>
              </w:rPr>
            </w:pPr>
            <w:r w:rsidRPr="00B90A41">
              <w:rPr>
                <w:b/>
                <w:bCs/>
              </w:rPr>
              <w:t>Protecting and Supporting Families in Health and Care</w:t>
            </w:r>
          </w:p>
        </w:tc>
      </w:tr>
      <w:tr w:rsidRPr="00B90A41" w:rsidR="00B90A41" w14:paraId="193F365E" w14:textId="77777777">
        <w:trPr>
          <w:gridAfter w:val="1"/>
          <w:wAfter w:w="4536" w:type="dxa"/>
        </w:trPr>
        <w:tc>
          <w:tcPr>
            <w:tcW w:w="1843" w:type="dxa"/>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6AA1BA3C" w14:textId="77777777">
            <w:pPr>
              <w:rPr>
                <w:b/>
                <w:bCs/>
              </w:rPr>
            </w:pPr>
            <w:r w:rsidRPr="00B90A41">
              <w:rPr>
                <w:b/>
                <w:bCs/>
              </w:rPr>
              <w:t>Module code:</w:t>
            </w:r>
          </w:p>
        </w:tc>
        <w:tc>
          <w:tcPr>
            <w:tcW w:w="3798" w:type="dxa"/>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59728402" w14:textId="77777777">
            <w:pPr>
              <w:rPr>
                <w:b/>
                <w:bCs/>
              </w:rPr>
            </w:pPr>
            <w:r w:rsidRPr="00B90A41">
              <w:rPr>
                <w:b/>
                <w:bCs/>
              </w:rPr>
              <w:t>BMHP5021</w:t>
            </w:r>
          </w:p>
        </w:tc>
      </w:tr>
      <w:tr w:rsidRPr="00B90A41" w:rsidR="00B90A41" w14:paraId="1A4543A9" w14:textId="77777777">
        <w:trPr>
          <w:gridAfter w:val="1"/>
          <w:wAfter w:w="4536" w:type="dxa"/>
        </w:trPr>
        <w:tc>
          <w:tcPr>
            <w:tcW w:w="1843" w:type="dxa"/>
            <w:tcBorders>
              <w:top w:val="single" w:color="auto" w:sz="4" w:space="0"/>
              <w:left w:val="single" w:color="auto" w:sz="4" w:space="0"/>
              <w:bottom w:val="single" w:color="auto" w:sz="4" w:space="0"/>
              <w:right w:val="single" w:color="auto" w:sz="4" w:space="0"/>
            </w:tcBorders>
            <w:hideMark/>
          </w:tcPr>
          <w:p w:rsidR="00B90A41" w:rsidP="00B90A41" w:rsidRDefault="00723FFD" w14:paraId="532C3561" w14:textId="021AF2F7">
            <w:pPr>
              <w:rPr>
                <w:b/>
                <w:bCs/>
              </w:rPr>
            </w:pPr>
            <w:r>
              <w:rPr>
                <w:b/>
                <w:bCs/>
              </w:rPr>
              <w:t>N</w:t>
            </w:r>
            <w:r w:rsidR="00B90A41">
              <w:rPr>
                <w:b/>
                <w:bCs/>
              </w:rPr>
              <w:t>ame</w:t>
            </w:r>
          </w:p>
          <w:p w:rsidRPr="00B90A41" w:rsidR="00723FFD" w:rsidP="00B90A41" w:rsidRDefault="00723FFD" w14:paraId="29156E5F" w14:textId="3F230362">
            <w:pPr>
              <w:rPr>
                <w:b/>
                <w:bCs/>
              </w:rPr>
            </w:pPr>
            <w:r>
              <w:rPr>
                <w:b/>
                <w:bCs/>
              </w:rPr>
              <w:t>Student number</w:t>
            </w:r>
          </w:p>
        </w:tc>
        <w:tc>
          <w:tcPr>
            <w:tcW w:w="3798" w:type="dxa"/>
            <w:tcBorders>
              <w:top w:val="single" w:color="auto" w:sz="4" w:space="0"/>
              <w:left w:val="single" w:color="auto" w:sz="4" w:space="0"/>
              <w:bottom w:val="single" w:color="auto" w:sz="4" w:space="0"/>
              <w:right w:val="single" w:color="auto" w:sz="4" w:space="0"/>
            </w:tcBorders>
          </w:tcPr>
          <w:p w:rsidR="00B90A41" w:rsidP="00B90A41" w:rsidRDefault="00B90A41" w14:paraId="743406C2" w14:textId="77777777">
            <w:pPr>
              <w:rPr>
                <w:b/>
                <w:bCs/>
              </w:rPr>
            </w:pPr>
            <w:r>
              <w:rPr>
                <w:b/>
                <w:bCs/>
              </w:rPr>
              <w:t>Kate igbinigie</w:t>
            </w:r>
          </w:p>
          <w:p w:rsidRPr="00B90A41" w:rsidR="00723FFD" w:rsidP="00B90A41" w:rsidRDefault="00723FFD" w14:paraId="3637EB29" w14:textId="77F2167E">
            <w:pPr>
              <w:rPr>
                <w:b/>
                <w:bCs/>
              </w:rPr>
            </w:pPr>
            <w:r>
              <w:rPr>
                <w:b/>
                <w:bCs/>
              </w:rPr>
              <w:t>2334466</w:t>
            </w:r>
          </w:p>
        </w:tc>
      </w:tr>
      <w:tr w:rsidRPr="00B90A41" w:rsidR="00B90A41" w14:paraId="20F9E9C9" w14:textId="77777777">
        <w:trPr>
          <w:gridAfter w:val="1"/>
          <w:wAfter w:w="4536" w:type="dxa"/>
        </w:trPr>
        <w:tc>
          <w:tcPr>
            <w:tcW w:w="1843" w:type="dxa"/>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6E4173F9" w14:textId="77777777">
            <w:pPr>
              <w:rPr>
                <w:b/>
                <w:bCs/>
              </w:rPr>
            </w:pPr>
            <w:r w:rsidRPr="00B90A41">
              <w:rPr>
                <w:b/>
                <w:bCs/>
              </w:rPr>
              <w:t>Assignment Title:</w:t>
            </w:r>
          </w:p>
        </w:tc>
        <w:tc>
          <w:tcPr>
            <w:tcW w:w="3798" w:type="dxa"/>
            <w:tcBorders>
              <w:top w:val="single" w:color="auto" w:sz="4" w:space="0"/>
              <w:left w:val="single" w:color="auto" w:sz="4" w:space="0"/>
              <w:bottom w:val="single" w:color="auto" w:sz="4" w:space="0"/>
              <w:right w:val="single" w:color="auto" w:sz="4" w:space="0"/>
            </w:tcBorders>
            <w:hideMark/>
          </w:tcPr>
          <w:p w:rsidRPr="00B90A41" w:rsidR="00B90A41" w:rsidP="00B90A41" w:rsidRDefault="00B90A41" w14:paraId="600AFF88" w14:textId="77777777">
            <w:pPr>
              <w:rPr>
                <w:b/>
                <w:bCs/>
              </w:rPr>
            </w:pPr>
            <w:r w:rsidRPr="00B90A41">
              <w:rPr>
                <w:b/>
                <w:bCs/>
              </w:rPr>
              <w:t>Component 2: Written Report</w:t>
            </w:r>
          </w:p>
        </w:tc>
      </w:tr>
    </w:tbl>
    <w:p w:rsidR="00B90A41" w:rsidRDefault="00B90A41" w14:paraId="77F4C952" w14:textId="77777777">
      <w:pPr>
        <w:rPr>
          <w:b/>
          <w:bCs/>
        </w:rPr>
      </w:pPr>
    </w:p>
    <w:p w:rsidR="00B90A41" w:rsidRDefault="00B90A41" w14:paraId="0F907D79" w14:textId="77777777">
      <w:pPr>
        <w:rPr>
          <w:b/>
          <w:bCs/>
        </w:rPr>
      </w:pPr>
    </w:p>
    <w:p w:rsidR="00723FFD" w:rsidRDefault="00723FFD" w14:paraId="0289CB0E" w14:textId="77777777">
      <w:pPr>
        <w:rPr>
          <w:b/>
          <w:bCs/>
        </w:rPr>
      </w:pPr>
    </w:p>
    <w:p w:rsidR="00723FFD" w:rsidRDefault="00723FFD" w14:paraId="4E5B9630" w14:textId="77777777">
      <w:pPr>
        <w:rPr>
          <w:b/>
          <w:bCs/>
        </w:rPr>
      </w:pPr>
    </w:p>
    <w:p w:rsidR="00723FFD" w:rsidRDefault="00723FFD" w14:paraId="77F042BD" w14:textId="77777777">
      <w:pPr>
        <w:rPr>
          <w:b/>
          <w:bCs/>
        </w:rPr>
      </w:pPr>
    </w:p>
    <w:p w:rsidR="00723FFD" w:rsidRDefault="00723FFD" w14:paraId="64F15515" w14:textId="77777777">
      <w:pPr>
        <w:rPr>
          <w:b/>
          <w:bCs/>
        </w:rPr>
      </w:pPr>
    </w:p>
    <w:p w:rsidR="00723FFD" w:rsidRDefault="00723FFD" w14:paraId="2BFBDF9D" w14:textId="77777777">
      <w:pPr>
        <w:rPr>
          <w:b/>
          <w:bCs/>
        </w:rPr>
      </w:pPr>
    </w:p>
    <w:p w:rsidR="00723FFD" w:rsidRDefault="00723FFD" w14:paraId="3B6EF585" w14:textId="77777777">
      <w:pPr>
        <w:rPr>
          <w:b/>
          <w:bCs/>
        </w:rPr>
      </w:pPr>
    </w:p>
    <w:p w:rsidR="00723FFD" w:rsidRDefault="00723FFD" w14:paraId="34FE05F2" w14:textId="77777777">
      <w:pPr>
        <w:rPr>
          <w:b/>
          <w:bCs/>
        </w:rPr>
      </w:pPr>
    </w:p>
    <w:p w:rsidR="00723FFD" w:rsidRDefault="00723FFD" w14:paraId="227E614F" w14:textId="77777777">
      <w:pPr>
        <w:rPr>
          <w:b/>
          <w:bCs/>
        </w:rPr>
      </w:pPr>
    </w:p>
    <w:p w:rsidR="00723FFD" w:rsidRDefault="00723FFD" w14:paraId="5DEB65FF" w14:textId="77777777">
      <w:pPr>
        <w:rPr>
          <w:b/>
          <w:bCs/>
        </w:rPr>
      </w:pPr>
    </w:p>
    <w:p w:rsidR="00723FFD" w:rsidRDefault="00723FFD" w14:paraId="731EBA9C" w14:textId="77777777">
      <w:pPr>
        <w:rPr>
          <w:b/>
          <w:bCs/>
        </w:rPr>
      </w:pPr>
    </w:p>
    <w:p w:rsidR="00723FFD" w:rsidRDefault="00723FFD" w14:paraId="36118D62" w14:textId="77777777">
      <w:pPr>
        <w:rPr>
          <w:b/>
          <w:bCs/>
        </w:rPr>
      </w:pPr>
    </w:p>
    <w:p w:rsidR="00723FFD" w:rsidRDefault="00723FFD" w14:paraId="22CEA355" w14:textId="77777777">
      <w:pPr>
        <w:rPr>
          <w:b/>
          <w:bCs/>
        </w:rPr>
      </w:pPr>
    </w:p>
    <w:p w:rsidR="00723FFD" w:rsidRDefault="00723FFD" w14:paraId="3DAEF024" w14:textId="77777777">
      <w:pPr>
        <w:rPr>
          <w:b/>
          <w:bCs/>
        </w:rPr>
      </w:pPr>
    </w:p>
    <w:p w:rsidR="00723FFD" w:rsidRDefault="00723FFD" w14:paraId="4875A2BD" w14:textId="77777777">
      <w:pPr>
        <w:rPr>
          <w:b/>
          <w:bCs/>
        </w:rPr>
      </w:pPr>
    </w:p>
    <w:p w:rsidR="00723FFD" w:rsidRDefault="00723FFD" w14:paraId="2E8245F8" w14:textId="77777777">
      <w:pPr>
        <w:rPr>
          <w:b/>
          <w:bCs/>
        </w:rPr>
      </w:pPr>
    </w:p>
    <w:p w:rsidR="00723FFD" w:rsidRDefault="00723FFD" w14:paraId="139CB6CB" w14:textId="77777777">
      <w:pPr>
        <w:rPr>
          <w:b/>
          <w:bCs/>
        </w:rPr>
      </w:pPr>
    </w:p>
    <w:p w:rsidR="00723FFD" w:rsidRDefault="00723FFD" w14:paraId="45C4E2B8" w14:textId="77777777">
      <w:pPr>
        <w:rPr>
          <w:b/>
          <w:bCs/>
        </w:rPr>
      </w:pPr>
    </w:p>
    <w:p w:rsidR="00723FFD" w:rsidRDefault="00723FFD" w14:paraId="3A78ABCC" w14:textId="77777777">
      <w:pPr>
        <w:rPr>
          <w:b/>
          <w:bCs/>
        </w:rPr>
      </w:pPr>
    </w:p>
    <w:p w:rsidR="00723FFD" w:rsidRDefault="00723FFD" w14:paraId="7EC82A1A" w14:textId="77777777">
      <w:pPr>
        <w:rPr>
          <w:b/>
          <w:bCs/>
        </w:rPr>
      </w:pPr>
    </w:p>
    <w:p w:rsidR="00723FFD" w:rsidRDefault="00723FFD" w14:paraId="0A1E4D2A" w14:textId="77777777">
      <w:pPr>
        <w:rPr>
          <w:b/>
          <w:bCs/>
        </w:rPr>
      </w:pPr>
    </w:p>
    <w:p w:rsidR="00723FFD" w:rsidRDefault="00723FFD" w14:paraId="04758657" w14:textId="77777777">
      <w:pPr>
        <w:rPr>
          <w:b/>
          <w:bCs/>
        </w:rPr>
      </w:pPr>
    </w:p>
    <w:p w:rsidRPr="00601617" w:rsidR="003A3A6C" w:rsidRDefault="003A3A6C" w14:paraId="5BB53CD9" w14:textId="4782EAC6">
      <w:pPr>
        <w:rPr>
          <w:b/>
          <w:bCs/>
        </w:rPr>
      </w:pPr>
      <w:r w:rsidRPr="00601617">
        <w:rPr>
          <w:b/>
          <w:bCs/>
        </w:rPr>
        <w:lastRenderedPageBreak/>
        <w:t>Introduction</w:t>
      </w:r>
    </w:p>
    <w:p w:rsidRPr="00601617" w:rsidR="009659F9" w:rsidRDefault="003A3A6C" w14:paraId="1893824E" w14:textId="2C783A9D">
      <w:r w:rsidRPr="00601617">
        <w:t xml:space="preserve">Early Help is central to contemporary safeguarding policy in England, representing a shift from reactive child protection toward preventative, coordinated intervention (HM Government, 2020). It focuses on identifying emerging needs early and providing proportionate support before issues escalate to statutory intervention (Department for Education, 2023). The rationale for Early Help is both moral and economic: Allen (2011) argues that timely intervention improves </w:t>
      </w:r>
      <w:r w:rsidRPr="00601617" w:rsidR="001A6224">
        <w:t>long term</w:t>
      </w:r>
      <w:r w:rsidRPr="00601617">
        <w:t xml:space="preserve"> outcomes for children while reducing future social and financial costs. Effective Early Help relies not only on policy alignment but also on accessibility. In an increasingly digital society, local authority websites are often the first point of contact for families, particularly those experiencing stress, financial hardship, or social isolation. Websites that are overly technical, complex, or poorly structured risk undermining early engagement. Additionally, the way Early Help is communicated influences families’ understanding of the support available, their confidence in engaging with services, and perceptions of safeguarding as supportive rather than punitive. Clear, transparent information encourages voluntary </w:t>
      </w:r>
      <w:r w:rsidRPr="00601617" w:rsidR="002C39E1">
        <w:t>uptake,</w:t>
      </w:r>
      <w:r w:rsidRPr="00601617">
        <w:t xml:space="preserve"> and fosters trust between families and professionals, which is crucial for effective preventative work (Featherstone, White and Morris, 2014; Munro, 2011). Moreover, the digital presentation of Early Help must consider diverse populations, including those with limited literacy, English as an additional language, or disabilities, ensuring equitable access (Thompson, 2020). This report critically evaluates the Early Help information provided by Leeds City Council, Nottinghamshire County Council, and Southwark Council, examining alignment with statutory guidance, accessibility for families, transparency of multiagency working, and how communication reflects relational, humane safeguarding values.</w:t>
      </w:r>
    </w:p>
    <w:p w:rsidRPr="00601617" w:rsidR="003A3A6C" w:rsidRDefault="00520DD4" w14:paraId="759E8BCE" w14:textId="0AD91EB5">
      <w:pPr>
        <w:rPr>
          <w:b/>
          <w:bCs/>
        </w:rPr>
      </w:pPr>
      <w:r>
        <w:rPr>
          <w:b/>
          <w:bCs/>
        </w:rPr>
        <w:t>Explanation of the early help system</w:t>
      </w:r>
    </w:p>
    <w:p w:rsidRPr="003A3A6C" w:rsidR="003A3A6C" w:rsidP="003A3A6C" w:rsidRDefault="003A3A6C" w14:paraId="77D5401C" w14:textId="61370E42">
      <w:r w:rsidR="1C913191">
        <w:rPr/>
        <w:t xml:space="preserve">Early Help </w:t>
      </w:r>
      <w:r w:rsidR="1C913191">
        <w:rPr/>
        <w:t>emerged</w:t>
      </w:r>
      <w:r w:rsidR="1C913191">
        <w:rPr/>
        <w:t xml:space="preserve"> in response to critiques of fragmented child protection systems that prioritised bureaucratic compliance over meaningful engagement with families (Munro, 2011). Munro recommended a </w:t>
      </w:r>
      <w:r w:rsidR="07C02934">
        <w:rPr/>
        <w:t>child centred</w:t>
      </w:r>
      <w:r w:rsidR="1C913191">
        <w:rPr/>
        <w:t xml:space="preserve">, </w:t>
      </w:r>
      <w:r w:rsidR="021F7E92">
        <w:rPr/>
        <w:t>relationship based</w:t>
      </w:r>
      <w:r w:rsidR="1C913191">
        <w:rPr/>
        <w:t xml:space="preserve"> approach that allows professional judgement within a proportionate framework. Parton (2014) highlights tensions between risk management and supportive intervention, noting that defensive professional cultures can limit early engagement. Early Help addresses this by promoting voluntary, </w:t>
      </w:r>
      <w:r w:rsidR="32BBEDDE">
        <w:rPr/>
        <w:t>strengths-based</w:t>
      </w:r>
      <w:r w:rsidR="1C913191">
        <w:rPr/>
        <w:t xml:space="preserve"> intervention and multiagency collaboration (Frost, 2011). Featherstone, White, and Morris (2014) argue that humane social work emphasises partnership with families rather than surveillance.</w:t>
      </w:r>
    </w:p>
    <w:p w:rsidRPr="003A3A6C" w:rsidR="003A3A6C" w:rsidP="003A3A6C" w:rsidRDefault="003A3A6C" w14:paraId="4B097B37" w14:textId="2453FA53">
      <w:r w:rsidRPr="003A3A6C">
        <w:t xml:space="preserve">The Early Help system is designed to provide coordinated support across multiple sectors, including health, education, social care, police, and voluntary services (HM Government, 2020). Key components include early assessment of need, the development of action plans tailored to families, timely referral pathways, and regular review to monitor progress. Central to the system is the principle of proportionate intervention: support should match the level of need and escalate only when necessary. Effective communication between agencies, guided by Department for Education (2018) </w:t>
      </w:r>
      <w:r w:rsidRPr="003A3A6C" w:rsidR="001A6224">
        <w:t>information sharing</w:t>
      </w:r>
      <w:r w:rsidRPr="003A3A6C">
        <w:t xml:space="preserve"> protocols, ensures that no single service operates in isolation. Digital communication, including online portals and guidance documents, functions as both an entry point for families and a tool for professionals to coordinate support efficiently. Clear explanations of thresholds, roles, and responsibilities online help families understand what support is available and reduce uncertainty or anxiety about engaging with services. Therefore, the Early Help system is not merely a set of procedures but a framework that combines prevention, partnership, and empowerment, aiming to improve outcomes for children while fostering confidence and trust among families and practitioners.</w:t>
      </w:r>
    </w:p>
    <w:p w:rsidRPr="003A3A6C" w:rsidR="003A3A6C" w:rsidP="003A3A6C" w:rsidRDefault="001A6224" w14:paraId="6536AA18" w14:textId="14DE9D9E">
      <w:pPr>
        <w:rPr>
          <w:b/>
          <w:bCs/>
        </w:rPr>
      </w:pPr>
      <w:r w:rsidRPr="003A3A6C">
        <w:rPr>
          <w:b/>
          <w:bCs/>
        </w:rPr>
        <w:lastRenderedPageBreak/>
        <w:t>Multiagency</w:t>
      </w:r>
      <w:r w:rsidRPr="003A3A6C" w:rsidR="003A3A6C">
        <w:rPr>
          <w:b/>
          <w:bCs/>
        </w:rPr>
        <w:t xml:space="preserve"> Working in Early Help</w:t>
      </w:r>
    </w:p>
    <w:p w:rsidRPr="003A3A6C" w:rsidR="003A3A6C" w:rsidP="003A3A6C" w:rsidRDefault="003A3A6C" w14:paraId="7D284723" w14:textId="378B6567">
      <w:r w:rsidRPr="003A3A6C">
        <w:t>Multiagency working is a cornerstone of the Early Help system, ensuring that children and families receive coordinated support from multiple services rather than fragmented, siloed interventions (Frost, 2011). The principle is that no single agency can adequately meet all the complex needs a family may present; therefore, collaboration between social care, education, health services, police, and voluntary organisations is essential. Effective multiagency working relies on clear communication, shared responsibility, and timely information exchange to provide a coherent plan of support that addresses both immediate and underlying needs (Lloyd and Wait, 2006). Within Early Help, this often involves regular multiagency meetings, joint assessments, and the creation of personalised action plans that set clear goals and monitor progress. Department for Education (2018) guidance on information sharing emphasises that agencies must balance confidentiality with the need to share relevant information to safeguard children effectively.</w:t>
      </w:r>
    </w:p>
    <w:p w:rsidRPr="003A3A6C" w:rsidR="003A3A6C" w:rsidP="003A3A6C" w:rsidRDefault="003A3A6C" w14:paraId="0D3E038D" w14:textId="06146039">
      <w:r w:rsidRPr="003A3A6C">
        <w:t>The benefits of multiagency working are both practical and relational. Practically, it prevents duplication of services, reduces gaps in provision, and ensures that interventions are holistic rather than reactive (Baginsky, 2019). Relationally, it fosters trust between professionals, enabling a more nuanced understanding of family contexts, cultural factors, and the lived experiences of children (Featherstone, White and Morris, 2014). However, challenges exist, including differences in organisational culture, priorities, professional language, and approaches to risk management, which can lead to tension or miscommunication (Parton, 2014). Early Help seeks to address these challenges through structured frameworks, clear referral pathways, and guidance on roles and responsibilities, ensuring that multiagency collaboration remains focused on the child’s best interests. Digital communication, such as online portals and shared case management systems, further facilitates coordinated practice, providing a single point of reference for all involved agencies and increasing the transparency and accountability of the support provided (Munro, 2011).</w:t>
      </w:r>
    </w:p>
    <w:p w:rsidRPr="00601617" w:rsidR="003A3A6C" w:rsidP="003A3A6C" w:rsidRDefault="003A3A6C" w14:paraId="1F1AF930" w14:textId="56BC2D78">
      <w:r w:rsidRPr="003A3A6C">
        <w:t>In essence, multiagency working within Early Help is not simply a procedural requirement; it is a strategic and relational mechanism that maximises the effectiveness of early interventions, strengthens professional collaboration, and enhances outcomes for children and families by integrating expertise, resources, and shared responsibility.</w:t>
      </w:r>
    </w:p>
    <w:p w:rsidRPr="003222BB" w:rsidR="003222BB" w:rsidP="003222BB" w:rsidRDefault="003222BB" w14:paraId="67FF1076" w14:textId="6C2DC3C0">
      <w:r w:rsidRPr="003222BB">
        <w:t xml:space="preserve">Leeds City Council demonstrates a highly structured Early Help framework, reflecting strong alignment with statutory expectations (Department for Education, 2023). The website clearly outlines assessment procedures, referral pathways, and multiagency partnership structures, which supports professional accountability and ensures practitioners understand their roles within safeguarding networks (Frost, 2011). Procedural clarity enhances confidence for professionals seeking to refer families early and aligns with Munro’s (2011) emphasis on informed professional judgement. However, the presentation is heavily </w:t>
      </w:r>
      <w:r w:rsidRPr="003222BB" w:rsidR="001A6224">
        <w:t>practitioner focused</w:t>
      </w:r>
      <w:r w:rsidRPr="003222BB">
        <w:t xml:space="preserve">, with extensive documentation and technical language that may overwhelm parents or carers seeking immediate support. This may unintentionally create a barrier to voluntary engagement, particularly for families unfamiliar with safeguarding terminology (Featherstone, White and Morris, 2014). Leeds could improve family engagement by incorporating visual aids such as flowcharts, case examples, and interactive online tools to illustrate the referral process and thresholds. Additionally, the website could include testimonials or anonymised case studies demonstrating the positive impact of Early Help, which would humanise the service and promote trust. Furthermore, accessibility considerations, such as multilingual resources and </w:t>
      </w:r>
      <w:r w:rsidRPr="003222BB" w:rsidR="001A6224">
        <w:t>mobile optimised</w:t>
      </w:r>
      <w:r w:rsidRPr="003222BB">
        <w:t xml:space="preserve"> content, are limited, potentially restricting reach to diverse communities. </w:t>
      </w:r>
      <w:r w:rsidRPr="003222BB">
        <w:lastRenderedPageBreak/>
        <w:t>Overall, Leeds excels in procedural and structural clarity but could enhance relational engagement and digital accessibility to fully realise the preventative ethos of Early Help (Baginsky, 2019; HM Government, 2020).</w:t>
      </w:r>
    </w:p>
    <w:p w:rsidRPr="003222BB" w:rsidR="003222BB" w:rsidP="003222BB" w:rsidRDefault="003222BB" w14:paraId="3F2764FF" w14:textId="4FFE502C"/>
    <w:p w:rsidRPr="008E105F" w:rsidR="008E105F" w:rsidP="008E105F" w:rsidRDefault="008E105F" w14:paraId="0AD96C90" w14:textId="3134655E">
      <w:r w:rsidR="6F7450B2">
        <w:rPr/>
        <w:t xml:space="preserve">outlines assessment procedures, referral pathways, and multiagency partnership structures, which supports professional accountability and ensures practitioners understand their roles within safeguarding networks (Frost, 2011). Procedural clarity enhances confidence for professionals seeking to refer families early and aligns with Munro’s (2011) emphasis on informed professional judgement. However, the presentation is heavily </w:t>
      </w:r>
      <w:r w:rsidR="07C02934">
        <w:rPr/>
        <w:t>practitioner focused</w:t>
      </w:r>
      <w:r w:rsidR="6F7450B2">
        <w:rPr/>
        <w:t xml:space="preserve">, with extensive documentation and technical language that may overwhelm parents or carers seeking immediate support. This may unintentionally create a barrier to voluntary engagement, particularly for families unfamiliar with safeguarding terminology (Featherstone, White and Morris, 2014). Leeds could improve family engagement by incorporating visual aids such as flowcharts, case examples, and interactive online tools to illustrate the referral process and thresholds. Additionally, the website could include testimonials or anonymised case studies </w:t>
      </w:r>
      <w:bookmarkStart w:name="_Int_ngYhrSfR" w:id="2068646202"/>
      <w:r w:rsidR="6F7450B2">
        <w:rPr/>
        <w:t>demonstrating</w:t>
      </w:r>
      <w:bookmarkEnd w:id="2068646202"/>
      <w:r w:rsidR="6F7450B2">
        <w:rPr/>
        <w:t xml:space="preserve"> the positive impact of Early Help, which would humanise the service and promote trust. Furthermore, accessibility considerations, such as multilingual resources and </w:t>
      </w:r>
      <w:r w:rsidR="021F7E92">
        <w:rPr/>
        <w:t>mobile optimised</w:t>
      </w:r>
      <w:r w:rsidR="6F7450B2">
        <w:rPr/>
        <w:t xml:space="preserve"> content, are limited, potentially restricting reach to diverse communities. Overall, Leeds excels in procedural and structural clarity but could enhance relational engagement and digital accessibility to fully realise the preventative ethos of Early Help (</w:t>
      </w:r>
      <w:r w:rsidR="6F7450B2">
        <w:rPr/>
        <w:t>Baginsky</w:t>
      </w:r>
      <w:r w:rsidR="6F7450B2">
        <w:rPr/>
        <w:t>, 2019; HM Government, 2020).</w:t>
      </w:r>
    </w:p>
    <w:p w:rsidRPr="008E105F" w:rsidR="008E105F" w:rsidP="008E105F" w:rsidRDefault="008E105F" w14:paraId="2D2A1092" w14:textId="20114E9E">
      <w:pPr>
        <w:rPr>
          <w:b/>
          <w:bCs/>
        </w:rPr>
      </w:pPr>
      <w:r w:rsidRPr="008E105F">
        <w:rPr>
          <w:b/>
          <w:bCs/>
        </w:rPr>
        <w:t xml:space="preserve"> Evaluation of Nottinghamshire County Council</w:t>
      </w:r>
    </w:p>
    <w:p w:rsidRPr="008E105F" w:rsidR="008E105F" w:rsidP="008E105F" w:rsidRDefault="008E105F" w14:paraId="0F590CC8" w14:textId="47D085A3">
      <w:r w:rsidR="6F7450B2">
        <w:rPr/>
        <w:t xml:space="preserve">Nottinghamshire County Council offers a balanced approach, presenting Early Help services in ways accessible to both professionals and families. Threshold guidance, referral routes, and contact information are clearly presented, aligning with statutory guidance (Department for Education, 2023) and supporting early intervention (Allen, 2011). The inclusion of </w:t>
      </w:r>
      <w:r w:rsidR="4640DAAD">
        <w:rPr/>
        <w:t>community-based</w:t>
      </w:r>
      <w:r w:rsidR="6F7450B2">
        <w:rPr/>
        <w:t xml:space="preserve"> support recognises that Early Help extends beyond statutory services, reflecting </w:t>
      </w:r>
      <w:r w:rsidR="021F7E92">
        <w:rPr/>
        <w:t>strengths based</w:t>
      </w:r>
      <w:r w:rsidR="6F7450B2">
        <w:rPr/>
        <w:t xml:space="preserve"> and integrated practice (Lloyd and Wait, 2006). However, much of the detailed guidance is provided through downloadable PDFs, which can limit accessibility for families with limited digital literacy or inconsistent internet access (Thompson, 2020). While this format supports procedural clarity for professionals, embedding concise explanations and interactive referral pathways directly within web pages would enhance usability and engagement. Nottinghamshire also provides some </w:t>
      </w:r>
      <w:r w:rsidR="021F7E92">
        <w:rPr/>
        <w:t>family focused</w:t>
      </w:r>
      <w:r w:rsidR="6F7450B2">
        <w:rPr/>
        <w:t xml:space="preserve"> resources, including signposting to local community groups, which encourages voluntary engagement and aligns with Featherstone et al.’s (2014) emphasis on working with families collaboratively. </w:t>
      </w:r>
      <w:r w:rsidR="6F7450B2">
        <w:rPr/>
        <w:t>Additional</w:t>
      </w:r>
      <w:r w:rsidR="6F7450B2">
        <w:rPr/>
        <w:t xml:space="preserve"> features, such as videos explaining Early Help in plain language or FAQs addressing common concerns, would further improve digital engagement. By enhancing accessibility and visual presentation while </w:t>
      </w:r>
      <w:r w:rsidR="6F7450B2">
        <w:rPr/>
        <w:t>maintaining</w:t>
      </w:r>
      <w:r w:rsidR="6F7450B2">
        <w:rPr/>
        <w:t xml:space="preserve"> procedural detail, Nottinghamshire could strengthen both relational and operational effectiveness, ensuring </w:t>
      </w:r>
      <w:r w:rsidR="6F7450B2">
        <w:rPr/>
        <w:t>equitable</w:t>
      </w:r>
      <w:r w:rsidR="6F7450B2">
        <w:rPr/>
        <w:t xml:space="preserve"> access for families from diverse backgrounds (Frost, 2011; HM Government, 2020).</w:t>
      </w:r>
    </w:p>
    <w:p w:rsidRPr="008E105F" w:rsidR="008E105F" w:rsidP="008E105F" w:rsidRDefault="008E105F" w14:paraId="664BFCBE" w14:textId="0D54F0DB">
      <w:pPr>
        <w:rPr>
          <w:b/>
          <w:bCs/>
        </w:rPr>
      </w:pPr>
      <w:r w:rsidRPr="008E105F">
        <w:rPr>
          <w:b/>
          <w:bCs/>
        </w:rPr>
        <w:t>Evaluation of Southwark Council</w:t>
      </w:r>
    </w:p>
    <w:p w:rsidR="008E105F" w:rsidP="008E105F" w:rsidRDefault="008E105F" w14:paraId="0C2BE5AF" w14:textId="73D93ABB">
      <w:r w:rsidRPr="008E105F">
        <w:t xml:space="preserve">Southwark Council prioritises </w:t>
      </w:r>
      <w:r w:rsidRPr="008E105F" w:rsidR="002C39E1">
        <w:t>family centred</w:t>
      </w:r>
      <w:r w:rsidRPr="008E105F">
        <w:t xml:space="preserve"> accessibility in its Early Help communication. The website employs plain language, simple navigation, and prominently displays contact information, aligning with inclusive and </w:t>
      </w:r>
      <w:r w:rsidRPr="008E105F" w:rsidR="002C39E1">
        <w:t>ant oppressive</w:t>
      </w:r>
      <w:r w:rsidRPr="008E105F">
        <w:t xml:space="preserve"> practice principles (Thompson, 2020; </w:t>
      </w:r>
      <w:r w:rsidRPr="008E105F">
        <w:lastRenderedPageBreak/>
        <w:t xml:space="preserve">Featherstone, White and Morris, 2014). This approach is particularly valuable in Southwark, an urban borough characterised by high diversity and socioeconomic inequality, supporting voluntary engagement and fostering trust (HM Government, 2020). Southwark emphasises </w:t>
      </w:r>
      <w:r w:rsidRPr="008E105F" w:rsidR="002C39E1">
        <w:t>community based</w:t>
      </w:r>
      <w:r w:rsidRPr="008E105F">
        <w:t xml:space="preserve"> interventions and signposts a wide range of services, helping families understand the breadth of support available. However, procedural detail about multiagency structures and threshold criteria is less visible compared to Leeds and Nottinghamshire, potentially reducing clarity for professionals and families seeking to understand collaborative processes (Frost, 2011). Opportunities exist to enhance the website through visual tools such as flowcharts, diagrams of the Early Help pathway, and case examples demonstrating how agencies work together. Integrating multilingual resources and interactive guides would improve equity of access and strengthen engagement for families facing language or literacy barriers. While Southwark demonstrates a strong commitment to inclusivity and humanised communication, augmenting procedural transparency and structured guidance would improve accountability and ensure consistency across multiagency teams (Munro, 2011; Parton, 2014).</w:t>
      </w:r>
    </w:p>
    <w:p w:rsidRPr="00A43CAA" w:rsidR="00A43CAA" w:rsidP="00A43CAA" w:rsidRDefault="00A43CAA" w14:paraId="762AA55E" w14:textId="77777777">
      <w:pPr>
        <w:rPr>
          <w:b/>
          <w:bCs/>
        </w:rPr>
      </w:pPr>
      <w:r w:rsidRPr="00A43CAA">
        <w:rPr>
          <w:b/>
          <w:bCs/>
        </w:rPr>
        <w:t>Comparative Analysis of Strengths and Weaknesses</w:t>
      </w:r>
    </w:p>
    <w:p w:rsidRPr="00A43CAA" w:rsidR="00A43CAA" w:rsidP="00A43CAA" w:rsidRDefault="00A43CAA" w14:paraId="5D16F31E" w14:textId="51D1FB4C">
      <w:r w:rsidRPr="00A43CAA">
        <w:t xml:space="preserve">A comparative review of Leeds, Nottinghamshire, and Southwark demonstrates differing approaches in communicating Early Help services online. Leeds City Council provides strong procedural clarity and detailed multiagency guidance, supporting professional accountability and alignment with statutory frameworks (Department for Education, 2023). However, technical language and extensive documentation may overwhelm families, limiting accessibility and voluntary engagement (Featherstone, White and Morris, 2014). Nottinghamshire County Council balances clarity with accessibility, clearly signposting thresholds, referral routes, and community resources (Allen, 2011). Its reliance on downloadable PDFs, however, may hinder families with limited digital literacy or internet access (Thompson, 2020). Southwark Council emphasises </w:t>
      </w:r>
      <w:r w:rsidRPr="00A43CAA" w:rsidR="002C39E1">
        <w:t>family centred</w:t>
      </w:r>
      <w:r w:rsidRPr="00A43CAA">
        <w:t xml:space="preserve"> communication, using plain language and simple navigation to enhance engagement, particularly in a diverse urban population (Thompson, 2020). The downside is reduced visibility of procedural details, potentially limiting professional transparency (Frost, 2011). Overall, Leeds excels in structural guidance, Nottinghamshire in balancing clarity and accessibility, and Southwark in humanised communication. Integrating these </w:t>
      </w:r>
      <w:r w:rsidRPr="00A43CAA" w:rsidR="002C39E1">
        <w:t>strengths clear</w:t>
      </w:r>
      <w:r w:rsidRPr="00A43CAA">
        <w:t xml:space="preserve"> procedures, accessible information, and relational </w:t>
      </w:r>
      <w:r w:rsidRPr="00A43CAA" w:rsidR="00EA1A87">
        <w:t>engagement would</w:t>
      </w:r>
      <w:r w:rsidRPr="00A43CAA">
        <w:t xml:space="preserve"> optimise digital communication, encourage early voluntary use of services, and ensure equitable access for families across all three authorities.</w:t>
      </w:r>
    </w:p>
    <w:p w:rsidRPr="008E105F" w:rsidR="00A43CAA" w:rsidP="008E105F" w:rsidRDefault="00A43CAA" w14:paraId="422A3B3F" w14:textId="77777777"/>
    <w:p w:rsidRPr="008E105F" w:rsidR="008E105F" w:rsidP="008E105F" w:rsidRDefault="00CA7738" w14:paraId="0B172A31" w14:textId="4198D8F9">
      <w:pPr>
        <w:rPr>
          <w:b/>
          <w:bCs/>
        </w:rPr>
      </w:pPr>
      <w:r w:rsidRPr="00A43CAA">
        <w:rPr>
          <w:b/>
          <w:bCs/>
        </w:rPr>
        <w:t>Con</w:t>
      </w:r>
      <w:r w:rsidRPr="00A43CAA" w:rsidR="00601617">
        <w:rPr>
          <w:b/>
          <w:bCs/>
        </w:rPr>
        <w:t>clusion</w:t>
      </w:r>
    </w:p>
    <w:p w:rsidRPr="003A3A6C" w:rsidR="003222BB" w:rsidP="003A3A6C" w:rsidRDefault="00CA7738" w14:paraId="07270C10" w14:textId="7B8EC08E">
      <w:r w:rsidRPr="00601617">
        <w:t xml:space="preserve">Early Help is a preventative safeguarding framework designed to support families before concerns escalate to statutory intervention. The evaluation of Leeds, Nottinghamshire, and Southwark demonstrates that each authority has strengths and weaknesses in communicating services online. Leeds excels in procedural clarity, Nottinghamshire balances accessibility and detail, and Southwark prioritises </w:t>
      </w:r>
      <w:r w:rsidRPr="00601617" w:rsidR="00EA1A87">
        <w:t>family centred</w:t>
      </w:r>
      <w:r w:rsidRPr="00601617">
        <w:t>, inclusive communication. Effective Early Help requires combining these strengths by ensuring clear procedures, accessible information, and relational engagement. Enhancing digital communication through simplified language, visual tools, and multilingual resources can improve early engagement, build trust, and promote equitable access, ultimately supporting positive outcomes for children and families.</w:t>
      </w:r>
    </w:p>
    <w:p w:rsidR="003A3A6C" w:rsidRDefault="003A3A6C" w14:paraId="18D37024" w14:textId="3DF9AC37"/>
    <w:p w:rsidR="00153E61" w:rsidRDefault="00153E61" w14:paraId="65A5410D" w14:textId="77777777"/>
    <w:p w:rsidR="00153E61" w:rsidRDefault="00153E61" w14:paraId="7E612C0F" w14:textId="28543B41">
      <w:pPr>
        <w:rPr>
          <w:b/>
          <w:bCs/>
        </w:rPr>
      </w:pPr>
      <w:r w:rsidRPr="00153E61">
        <w:rPr>
          <w:b/>
          <w:bCs/>
        </w:rPr>
        <w:t>Reference</w:t>
      </w:r>
    </w:p>
    <w:p w:rsidR="00153E61" w:rsidRDefault="00153E61" w14:paraId="26669BC1" w14:textId="77777777">
      <w:pPr>
        <w:rPr>
          <w:b/>
          <w:bCs/>
        </w:rPr>
      </w:pPr>
    </w:p>
    <w:p w:rsidRPr="00153E61" w:rsidR="00153E61" w:rsidP="00153E61" w:rsidRDefault="00153E61" w14:paraId="638B93D3" w14:textId="77777777">
      <w:r w:rsidRPr="00153E61">
        <w:t xml:space="preserve">Allen, G. (2011) </w:t>
      </w:r>
      <w:r w:rsidRPr="00153E61">
        <w:rPr>
          <w:i/>
          <w:iCs/>
        </w:rPr>
        <w:t>Early intervention: The next steps</w:t>
      </w:r>
      <w:r w:rsidRPr="00153E61">
        <w:t>. London: HM Government.</w:t>
      </w:r>
    </w:p>
    <w:p w:rsidRPr="00153E61" w:rsidR="00153E61" w:rsidP="00153E61" w:rsidRDefault="00153E61" w14:paraId="7CB300E8" w14:textId="77777777">
      <w:r w:rsidRPr="00153E61">
        <w:t xml:space="preserve">Baginsky, M. (2019) ‘The contested role of early help in child protection reform’, </w:t>
      </w:r>
      <w:r w:rsidRPr="00153E61">
        <w:rPr>
          <w:i/>
          <w:iCs/>
        </w:rPr>
        <w:t>Child &amp; Family Social Work</w:t>
      </w:r>
      <w:r w:rsidRPr="00153E61">
        <w:t>, 24(3), pp. 365–372.</w:t>
      </w:r>
    </w:p>
    <w:p w:rsidRPr="00153E61" w:rsidR="00153E61" w:rsidP="00153E61" w:rsidRDefault="00153E61" w14:paraId="7A36BCC3" w14:textId="77777777">
      <w:r w:rsidRPr="00153E61">
        <w:t xml:space="preserve">Department for Education (2018) </w:t>
      </w:r>
      <w:r w:rsidRPr="00153E61">
        <w:rPr>
          <w:i/>
          <w:iCs/>
        </w:rPr>
        <w:t>Information sharing: Advice for practitioners providing safeguarding services to children, young people, parents and carers</w:t>
      </w:r>
      <w:r w:rsidRPr="00153E61">
        <w:t>. London: DfE.</w:t>
      </w:r>
    </w:p>
    <w:p w:rsidRPr="00153E61" w:rsidR="00153E61" w:rsidP="00153E61" w:rsidRDefault="00153E61" w14:paraId="20F4880B" w14:textId="77777777">
      <w:r w:rsidRPr="00153E61">
        <w:t xml:space="preserve">Department for Education (2023) </w:t>
      </w:r>
      <w:r w:rsidRPr="00153E61">
        <w:rPr>
          <w:i/>
          <w:iCs/>
        </w:rPr>
        <w:t>Working together to safeguard children 2023</w:t>
      </w:r>
      <w:r w:rsidRPr="00153E61">
        <w:t>. London: HM Government.</w:t>
      </w:r>
    </w:p>
    <w:p w:rsidRPr="00153E61" w:rsidR="00153E61" w:rsidP="00153E61" w:rsidRDefault="00153E61" w14:paraId="6013C391" w14:textId="662D756F">
      <w:r w:rsidRPr="00153E61">
        <w:t xml:space="preserve">Featherstone, B., White, S. and Morris, K. (2014) </w:t>
      </w:r>
      <w:r w:rsidRPr="00153E61">
        <w:rPr>
          <w:i/>
          <w:iCs/>
        </w:rPr>
        <w:t>Reimagining child protection: Towards humane social work with families</w:t>
      </w:r>
      <w:r w:rsidRPr="00153E61">
        <w:t>. Bristol: Policy Press.</w:t>
      </w:r>
    </w:p>
    <w:p w:rsidRPr="00153E61" w:rsidR="00153E61" w:rsidP="00153E61" w:rsidRDefault="00153E61" w14:paraId="71428D01" w14:textId="78FEFECF">
      <w:r w:rsidRPr="00153E61">
        <w:t xml:space="preserve">Frost, N. (2011) </w:t>
      </w:r>
      <w:r w:rsidRPr="00153E61">
        <w:rPr>
          <w:i/>
          <w:iCs/>
        </w:rPr>
        <w:t>Child welfare and multiagency working</w:t>
      </w:r>
      <w:r w:rsidRPr="00153E61">
        <w:t>. Bristol: Policy Press.</w:t>
      </w:r>
    </w:p>
    <w:p w:rsidRPr="00153E61" w:rsidR="00153E61" w:rsidP="00153E61" w:rsidRDefault="00153E61" w14:paraId="21285ED2" w14:textId="77777777">
      <w:r w:rsidRPr="00153E61">
        <w:t xml:space="preserve">HM Government (2020) </w:t>
      </w:r>
      <w:r w:rsidRPr="00153E61">
        <w:rPr>
          <w:i/>
          <w:iCs/>
        </w:rPr>
        <w:t>Early help system guide</w:t>
      </w:r>
      <w:r w:rsidRPr="00153E61">
        <w:t>. London: HM Government.</w:t>
      </w:r>
    </w:p>
    <w:p w:rsidRPr="00153E61" w:rsidR="00153E61" w:rsidP="00153E61" w:rsidRDefault="00153E61" w14:paraId="24CA50B8" w14:textId="77777777">
      <w:r w:rsidRPr="00153E61">
        <w:t xml:space="preserve">Leeds City Council (2024) </w:t>
      </w:r>
      <w:r w:rsidRPr="00153E61">
        <w:rPr>
          <w:i/>
          <w:iCs/>
        </w:rPr>
        <w:t>Early help services</w:t>
      </w:r>
      <w:r w:rsidRPr="00153E61">
        <w:t>. Leeds: Leeds City Council.</w:t>
      </w:r>
    </w:p>
    <w:p w:rsidRPr="00153E61" w:rsidR="00153E61" w:rsidP="00153E61" w:rsidRDefault="00153E61" w14:paraId="00875FB1" w14:textId="77777777">
      <w:r w:rsidRPr="00153E61">
        <w:t xml:space="preserve">Lloyd, J. and Wait, S. (2006) </w:t>
      </w:r>
      <w:r w:rsidRPr="00153E61">
        <w:rPr>
          <w:i/>
          <w:iCs/>
        </w:rPr>
        <w:t>Integrated working: A review of the evidence</w:t>
      </w:r>
      <w:r w:rsidRPr="00153E61">
        <w:t>. London: Demos.</w:t>
      </w:r>
    </w:p>
    <w:p w:rsidRPr="00153E61" w:rsidR="00153E61" w:rsidP="00153E61" w:rsidRDefault="00153E61" w14:paraId="04619198" w14:textId="05BCF05D">
      <w:r w:rsidRPr="00153E61">
        <w:t xml:space="preserve">Munro, E. (2011) </w:t>
      </w:r>
      <w:r w:rsidRPr="00153E61">
        <w:rPr>
          <w:i/>
          <w:iCs/>
        </w:rPr>
        <w:t>The Munro review of child protection: Final report</w:t>
      </w:r>
      <w:r w:rsidRPr="00153E61">
        <w:t>. London: Department for Education.</w:t>
      </w:r>
    </w:p>
    <w:p w:rsidRPr="00153E61" w:rsidR="00153E61" w:rsidP="00153E61" w:rsidRDefault="00153E61" w14:paraId="2E1B3003" w14:textId="77777777">
      <w:r w:rsidRPr="00153E61">
        <w:t xml:space="preserve">Parton, N. (2014) </w:t>
      </w:r>
      <w:r w:rsidRPr="00153E61">
        <w:rPr>
          <w:i/>
          <w:iCs/>
        </w:rPr>
        <w:t>The politics of child protection</w:t>
      </w:r>
      <w:r w:rsidRPr="00153E61">
        <w:t>. Basingstoke: Palgrave Macmillan.</w:t>
      </w:r>
    </w:p>
    <w:p w:rsidRPr="002C2B77" w:rsidR="002C1671" w:rsidP="002C1671" w:rsidRDefault="002C1671" w14:paraId="7A543A7F" w14:textId="77777777">
      <w:r w:rsidRPr="002C2B77">
        <w:t xml:space="preserve">Nottinghamshire County Council (2024) </w:t>
      </w:r>
      <w:r w:rsidRPr="002C2B77">
        <w:rPr>
          <w:i/>
          <w:iCs/>
        </w:rPr>
        <w:t>Early help and children’s services</w:t>
      </w:r>
      <w:r w:rsidRPr="002C2B77">
        <w:t xml:space="preserve">. Available at: </w:t>
      </w:r>
      <w:hyperlink w:tgtFrame="_new" w:history="1" r:id="rId4">
        <w:r w:rsidRPr="002C2B77">
          <w:rPr>
            <w:rStyle w:val="Hyperlink"/>
          </w:rPr>
          <w:t>https://www.nottinghamshire.gov.uk</w:t>
        </w:r>
      </w:hyperlink>
      <w:r w:rsidRPr="002C2B77">
        <w:t xml:space="preserve"> (Accessed: 19 February 2026).</w:t>
      </w:r>
    </w:p>
    <w:p w:rsidRPr="00153E61" w:rsidR="00153E61" w:rsidP="00153E61" w:rsidRDefault="002C1671" w14:paraId="640DBAFB" w14:textId="5765F952">
      <w:r w:rsidRPr="002C2B77">
        <w:t xml:space="preserve">Southwark Council (2024) </w:t>
      </w:r>
      <w:r w:rsidRPr="002C2B77">
        <w:rPr>
          <w:i/>
          <w:iCs/>
        </w:rPr>
        <w:t>Early help and family support services</w:t>
      </w:r>
      <w:r w:rsidRPr="002C2B77">
        <w:t xml:space="preserve">. Available at: </w:t>
      </w:r>
      <w:hyperlink w:tgtFrame="_new" w:history="1" r:id="rId5">
        <w:r w:rsidRPr="002C2B77">
          <w:rPr>
            <w:rStyle w:val="Hyperlink"/>
          </w:rPr>
          <w:t>https://www.southwark.gov.uk</w:t>
        </w:r>
      </w:hyperlink>
      <w:r w:rsidRPr="002C2B77">
        <w:t xml:space="preserve"> (Accessed: 19 February 2026).</w:t>
      </w:r>
    </w:p>
    <w:p w:rsidRPr="00153E61" w:rsidR="00153E61" w:rsidP="00153E61" w:rsidRDefault="00153E61" w14:paraId="7DCB0B7E" w14:textId="77777777">
      <w:r w:rsidRPr="00153E61">
        <w:t xml:space="preserve">Thompson, N. (2020) </w:t>
      </w:r>
      <w:r w:rsidRPr="00153E61">
        <w:rPr>
          <w:i/>
          <w:iCs/>
        </w:rPr>
        <w:t>Theories of practice in health and social care</w:t>
      </w:r>
      <w:r w:rsidRPr="00153E61">
        <w:t xml:space="preserve"> (4th edn). London: Open University Press.</w:t>
      </w:r>
    </w:p>
    <w:p w:rsidRPr="00153E61" w:rsidR="00153E61" w:rsidRDefault="00153E61" w14:paraId="3381A107" w14:textId="77777777">
      <w:pPr>
        <w:rPr>
          <w:b/>
          <w:bCs/>
        </w:rPr>
      </w:pPr>
    </w:p>
    <w:sectPr w:rsidRPr="00153E61" w:rsidR="00153E6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ngYhrSfR" int2:invalidationBookmarkName="" int2:hashCode="5NmnYnEbPG7rVG" int2:id="nEXStXg0">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6C"/>
    <w:rsid w:val="00003599"/>
    <w:rsid w:val="00020A0E"/>
    <w:rsid w:val="00153E61"/>
    <w:rsid w:val="001A6224"/>
    <w:rsid w:val="001B786C"/>
    <w:rsid w:val="002C1671"/>
    <w:rsid w:val="002C39E1"/>
    <w:rsid w:val="003222BB"/>
    <w:rsid w:val="003409C5"/>
    <w:rsid w:val="003A3A6C"/>
    <w:rsid w:val="0050526B"/>
    <w:rsid w:val="00520DD4"/>
    <w:rsid w:val="00523C6E"/>
    <w:rsid w:val="00601617"/>
    <w:rsid w:val="006E06F3"/>
    <w:rsid w:val="006F0D8B"/>
    <w:rsid w:val="00723FFD"/>
    <w:rsid w:val="007273CF"/>
    <w:rsid w:val="007F228E"/>
    <w:rsid w:val="008E105F"/>
    <w:rsid w:val="009659F9"/>
    <w:rsid w:val="00A43CAA"/>
    <w:rsid w:val="00AF70BA"/>
    <w:rsid w:val="00B27842"/>
    <w:rsid w:val="00B90A41"/>
    <w:rsid w:val="00CA7738"/>
    <w:rsid w:val="00D56B62"/>
    <w:rsid w:val="00E5013D"/>
    <w:rsid w:val="00E51FFB"/>
    <w:rsid w:val="00EA1A87"/>
    <w:rsid w:val="021F7E92"/>
    <w:rsid w:val="07C02934"/>
    <w:rsid w:val="1C913191"/>
    <w:rsid w:val="2B6B1593"/>
    <w:rsid w:val="32BBEDDE"/>
    <w:rsid w:val="4640DAAD"/>
    <w:rsid w:val="6B6F8216"/>
    <w:rsid w:val="6F745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7450"/>
  <w15:chartTrackingRefBased/>
  <w15:docId w15:val="{43BC359A-2052-4780-9EEB-A4F098976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3A6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3A6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3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A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A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A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A6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3A6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A3A6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A3A6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3A6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3A6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3A6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3A6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3A6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3A6C"/>
    <w:rPr>
      <w:rFonts w:eastAsiaTheme="majorEastAsia" w:cstheme="majorBidi"/>
      <w:color w:val="272727" w:themeColor="text1" w:themeTint="D8"/>
    </w:rPr>
  </w:style>
  <w:style w:type="paragraph" w:styleId="Title">
    <w:name w:val="Title"/>
    <w:basedOn w:val="Normal"/>
    <w:next w:val="Normal"/>
    <w:link w:val="TitleChar"/>
    <w:uiPriority w:val="10"/>
    <w:qFormat/>
    <w:rsid w:val="003A3A6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3A6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3A6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3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A6C"/>
    <w:pPr>
      <w:spacing w:before="160"/>
      <w:jc w:val="center"/>
    </w:pPr>
    <w:rPr>
      <w:i/>
      <w:iCs/>
      <w:color w:val="404040" w:themeColor="text1" w:themeTint="BF"/>
    </w:rPr>
  </w:style>
  <w:style w:type="character" w:styleId="QuoteChar" w:customStyle="1">
    <w:name w:val="Quote Char"/>
    <w:basedOn w:val="DefaultParagraphFont"/>
    <w:link w:val="Quote"/>
    <w:uiPriority w:val="29"/>
    <w:rsid w:val="003A3A6C"/>
    <w:rPr>
      <w:i/>
      <w:iCs/>
      <w:color w:val="404040" w:themeColor="text1" w:themeTint="BF"/>
    </w:rPr>
  </w:style>
  <w:style w:type="paragraph" w:styleId="ListParagraph">
    <w:name w:val="List Paragraph"/>
    <w:basedOn w:val="Normal"/>
    <w:uiPriority w:val="34"/>
    <w:qFormat/>
    <w:rsid w:val="003A3A6C"/>
    <w:pPr>
      <w:ind w:left="720"/>
      <w:contextualSpacing/>
    </w:pPr>
  </w:style>
  <w:style w:type="character" w:styleId="IntenseEmphasis">
    <w:name w:val="Intense Emphasis"/>
    <w:basedOn w:val="DefaultParagraphFont"/>
    <w:uiPriority w:val="21"/>
    <w:qFormat/>
    <w:rsid w:val="003A3A6C"/>
    <w:rPr>
      <w:i/>
      <w:iCs/>
      <w:color w:val="0F4761" w:themeColor="accent1" w:themeShade="BF"/>
    </w:rPr>
  </w:style>
  <w:style w:type="paragraph" w:styleId="IntenseQuote">
    <w:name w:val="Intense Quote"/>
    <w:basedOn w:val="Normal"/>
    <w:next w:val="Normal"/>
    <w:link w:val="IntenseQuoteChar"/>
    <w:uiPriority w:val="30"/>
    <w:qFormat/>
    <w:rsid w:val="003A3A6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3A6C"/>
    <w:rPr>
      <w:i/>
      <w:iCs/>
      <w:color w:val="0F4761" w:themeColor="accent1" w:themeShade="BF"/>
    </w:rPr>
  </w:style>
  <w:style w:type="character" w:styleId="IntenseReference">
    <w:name w:val="Intense Reference"/>
    <w:basedOn w:val="DefaultParagraphFont"/>
    <w:uiPriority w:val="32"/>
    <w:qFormat/>
    <w:rsid w:val="003A3A6C"/>
    <w:rPr>
      <w:b/>
      <w:bCs/>
      <w:smallCaps/>
      <w:color w:val="0F4761" w:themeColor="accent1" w:themeShade="BF"/>
      <w:spacing w:val="5"/>
    </w:rPr>
  </w:style>
  <w:style w:type="character" w:styleId="Hyperlink">
    <w:name w:val="Hyperlink"/>
    <w:basedOn w:val="DefaultParagraphFont"/>
    <w:uiPriority w:val="99"/>
    <w:unhideWhenUsed/>
    <w:rsid w:val="002C1671"/>
    <w:rPr>
      <w:color w:val="467886" w:themeColor="hyperlink"/>
      <w:u w:val="single"/>
    </w:rPr>
  </w:style>
  <w:style w:type="character" w:styleId="FollowedHyperlink">
    <w:name w:val="FollowedHyperlink"/>
    <w:basedOn w:val="DefaultParagraphFont"/>
    <w:uiPriority w:val="99"/>
    <w:semiHidden/>
    <w:unhideWhenUsed/>
    <w:rsid w:val="00E51F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www.southwark.gov.uk" TargetMode="External" Id="rId5" /><Relationship Type="http://schemas.openxmlformats.org/officeDocument/2006/relationships/hyperlink" Target="https://www.nottinghamshire.gov.uk" TargetMode="External" Id="rId4" /><Relationship Type="http://schemas.microsoft.com/office/2020/10/relationships/intelligence" Target="intelligence2.xml" Id="R393831b10846463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Igbinigie (2334466)</dc:creator>
  <keywords/>
  <dc:description/>
  <lastModifiedBy>Kate Igbinigie (2334466)</lastModifiedBy>
  <revision>24</revision>
  <dcterms:created xsi:type="dcterms:W3CDTF">2026-02-19T11:12:00.0000000Z</dcterms:created>
  <dcterms:modified xsi:type="dcterms:W3CDTF">2026-03-13T12:09:51.1708353Z</dcterms:modified>
</coreProperties>
</file>