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FA9A9" w14:textId="77777777" w:rsidR="003B1F02" w:rsidRPr="00A24F11" w:rsidRDefault="003B1F02" w:rsidP="009F5E3B">
      <w:pPr>
        <w:pStyle w:val="Title"/>
        <w:spacing w:line="360" w:lineRule="auto"/>
        <w:jc w:val="center"/>
        <w:rPr>
          <w:rFonts w:ascii="Times New Roman" w:eastAsia="Times New Roman" w:hAnsi="Times New Roman" w:cs="Times New Roman"/>
          <w:b/>
          <w:sz w:val="36"/>
          <w:szCs w:val="36"/>
          <w:lang w:val="en-GB"/>
        </w:rPr>
      </w:pPr>
      <w:bookmarkStart w:id="0" w:name="_u5zzcsgzg" w:colFirst="0" w:colLast="0"/>
      <w:bookmarkEnd w:id="0"/>
    </w:p>
    <w:p w14:paraId="587FA9AA" w14:textId="77777777" w:rsidR="003B1F02" w:rsidRPr="00A24F11" w:rsidRDefault="003B1F02" w:rsidP="009F5E3B">
      <w:pPr>
        <w:pStyle w:val="Title"/>
        <w:spacing w:line="360" w:lineRule="auto"/>
        <w:jc w:val="center"/>
        <w:rPr>
          <w:rFonts w:ascii="Times New Roman" w:eastAsia="Times New Roman" w:hAnsi="Times New Roman" w:cs="Times New Roman"/>
          <w:b/>
          <w:sz w:val="36"/>
          <w:szCs w:val="36"/>
          <w:lang w:val="en-GB"/>
        </w:rPr>
      </w:pPr>
      <w:bookmarkStart w:id="1" w:name="_i4c1oa94pr2i" w:colFirst="0" w:colLast="0"/>
      <w:bookmarkEnd w:id="1"/>
    </w:p>
    <w:p w14:paraId="587FA9AB" w14:textId="77777777" w:rsidR="003B1F02" w:rsidRPr="00A24F11" w:rsidRDefault="003B1F02" w:rsidP="009F5E3B">
      <w:pPr>
        <w:pStyle w:val="Title"/>
        <w:spacing w:line="360" w:lineRule="auto"/>
        <w:jc w:val="center"/>
        <w:rPr>
          <w:rFonts w:ascii="Times New Roman" w:eastAsia="Times New Roman" w:hAnsi="Times New Roman" w:cs="Times New Roman"/>
          <w:b/>
          <w:sz w:val="36"/>
          <w:szCs w:val="36"/>
          <w:lang w:val="en-GB"/>
        </w:rPr>
      </w:pPr>
      <w:bookmarkStart w:id="2" w:name="_rsoru98tjkvx" w:colFirst="0" w:colLast="0"/>
      <w:bookmarkEnd w:id="2"/>
    </w:p>
    <w:p w14:paraId="587FA9AC" w14:textId="77777777" w:rsidR="003B1F02" w:rsidRPr="00A24F11" w:rsidRDefault="003B1F02" w:rsidP="009F5E3B">
      <w:pPr>
        <w:pStyle w:val="Title"/>
        <w:spacing w:line="360" w:lineRule="auto"/>
        <w:jc w:val="center"/>
        <w:rPr>
          <w:rFonts w:ascii="Times New Roman" w:eastAsia="Times New Roman" w:hAnsi="Times New Roman" w:cs="Times New Roman"/>
          <w:b/>
          <w:sz w:val="36"/>
          <w:szCs w:val="36"/>
          <w:lang w:val="en-GB"/>
        </w:rPr>
      </w:pPr>
      <w:bookmarkStart w:id="3" w:name="_ceio2cvzstzl" w:colFirst="0" w:colLast="0"/>
      <w:bookmarkEnd w:id="3"/>
    </w:p>
    <w:p w14:paraId="587FA9AD" w14:textId="77777777" w:rsidR="00172AD8" w:rsidRDefault="00777221" w:rsidP="009F5E3B">
      <w:pPr>
        <w:pStyle w:val="Title"/>
        <w:spacing w:line="360" w:lineRule="auto"/>
        <w:jc w:val="center"/>
        <w:rPr>
          <w:rFonts w:ascii="Times New Roman" w:eastAsia="Times New Roman" w:hAnsi="Times New Roman" w:cs="Times New Roman"/>
          <w:b/>
          <w:sz w:val="36"/>
          <w:szCs w:val="36"/>
          <w:lang w:val="en-GB"/>
        </w:rPr>
      </w:pPr>
      <w:bookmarkStart w:id="4" w:name="_gbpxk2jtk09g" w:colFirst="0" w:colLast="0"/>
      <w:bookmarkEnd w:id="4"/>
      <w:r w:rsidRPr="00A24F11">
        <w:rPr>
          <w:rFonts w:ascii="Times New Roman" w:eastAsia="Times New Roman" w:hAnsi="Times New Roman" w:cs="Times New Roman"/>
          <w:b/>
          <w:sz w:val="36"/>
          <w:szCs w:val="36"/>
          <w:lang w:val="en-GB"/>
        </w:rPr>
        <w:t>Law and Legal Practice</w:t>
      </w:r>
    </w:p>
    <w:p w14:paraId="587FA9AE" w14:textId="7A8E0FC2" w:rsidR="00A24F11" w:rsidRPr="00E068E1" w:rsidRDefault="00A24F11" w:rsidP="00A24F11">
      <w:pPr>
        <w:pStyle w:val="Title"/>
        <w:spacing w:before="240" w:after="240" w:line="360" w:lineRule="auto"/>
        <w:jc w:val="center"/>
        <w:rPr>
          <w:rFonts w:ascii="Times New Roman" w:hAnsi="Times New Roman" w:cs="Times New Roman"/>
          <w:b/>
          <w:i/>
          <w:sz w:val="24"/>
          <w:szCs w:val="24"/>
          <w:lang w:val="en-GB"/>
        </w:rPr>
      </w:pPr>
      <w:r w:rsidRPr="00E068E1">
        <w:rPr>
          <w:rFonts w:ascii="Times New Roman" w:hAnsi="Times New Roman" w:cs="Times New Roman"/>
          <w:b/>
          <w:i/>
          <w:sz w:val="24"/>
          <w:szCs w:val="24"/>
          <w:lang w:val="en-GB"/>
        </w:rPr>
        <w:t>Student Name:</w:t>
      </w:r>
      <w:r w:rsidR="00875744">
        <w:rPr>
          <w:rFonts w:ascii="Times New Roman" w:hAnsi="Times New Roman" w:cs="Times New Roman"/>
          <w:b/>
          <w:i/>
          <w:sz w:val="24"/>
          <w:szCs w:val="24"/>
          <w:lang w:val="en-GB"/>
        </w:rPr>
        <w:t xml:space="preserve"> Carmen Tutu</w:t>
      </w:r>
    </w:p>
    <w:p w14:paraId="587FA9AF" w14:textId="376C1A02" w:rsidR="00A24F11" w:rsidRPr="00E068E1" w:rsidRDefault="00A24F11" w:rsidP="00A24F11">
      <w:pPr>
        <w:pStyle w:val="Title"/>
        <w:spacing w:before="240" w:after="240" w:line="360" w:lineRule="auto"/>
        <w:jc w:val="center"/>
        <w:rPr>
          <w:rFonts w:ascii="Times New Roman" w:hAnsi="Times New Roman" w:cs="Times New Roman"/>
          <w:b/>
          <w:i/>
          <w:sz w:val="24"/>
          <w:szCs w:val="24"/>
          <w:lang w:val="en-GB"/>
        </w:rPr>
      </w:pPr>
      <w:r w:rsidRPr="00E068E1">
        <w:rPr>
          <w:rFonts w:ascii="Times New Roman" w:hAnsi="Times New Roman" w:cs="Times New Roman"/>
          <w:b/>
          <w:i/>
          <w:sz w:val="24"/>
          <w:szCs w:val="24"/>
          <w:lang w:val="en-GB"/>
        </w:rPr>
        <w:t>Student Id:</w:t>
      </w:r>
      <w:r w:rsidR="00875744">
        <w:rPr>
          <w:rFonts w:ascii="Times New Roman" w:hAnsi="Times New Roman" w:cs="Times New Roman"/>
          <w:b/>
          <w:i/>
          <w:sz w:val="24"/>
          <w:szCs w:val="24"/>
          <w:lang w:val="en-GB"/>
        </w:rPr>
        <w:t xml:space="preserve"> 2207381</w:t>
      </w:r>
    </w:p>
    <w:p w14:paraId="587FA9B0" w14:textId="706EE87B" w:rsidR="00A24F11" w:rsidRPr="00E068E1" w:rsidRDefault="00A24F11" w:rsidP="00A24F11">
      <w:pPr>
        <w:pStyle w:val="Title"/>
        <w:spacing w:before="240" w:after="240" w:line="360" w:lineRule="auto"/>
        <w:jc w:val="center"/>
        <w:rPr>
          <w:rFonts w:ascii="Times New Roman" w:hAnsi="Times New Roman" w:cs="Times New Roman"/>
          <w:b/>
          <w:i/>
          <w:sz w:val="24"/>
          <w:szCs w:val="24"/>
          <w:lang w:val="en-GB"/>
        </w:rPr>
      </w:pPr>
      <w:bookmarkStart w:id="5" w:name="_1soz5g3tijvk" w:colFirst="0" w:colLast="0"/>
      <w:bookmarkEnd w:id="5"/>
    </w:p>
    <w:p w14:paraId="587FA9B1" w14:textId="1B732206" w:rsidR="00A24F11" w:rsidRDefault="00A24F11" w:rsidP="002F1ED6">
      <w:pPr>
        <w:spacing w:line="360" w:lineRule="auto"/>
        <w:rPr>
          <w:rFonts w:ascii="Times New Roman" w:hAnsi="Times New Roman"/>
          <w:b/>
          <w:sz w:val="24"/>
          <w:szCs w:val="24"/>
          <w:lang w:val="en-GB"/>
        </w:rPr>
      </w:pPr>
      <w:bookmarkStart w:id="6" w:name="_ajmtf2b7ur33" w:colFirst="0" w:colLast="0"/>
      <w:bookmarkEnd w:id="6"/>
    </w:p>
    <w:p w14:paraId="587FA9B2" w14:textId="77777777" w:rsidR="00A24F11" w:rsidRPr="00D63596" w:rsidRDefault="00A24F11" w:rsidP="00A24F11">
      <w:pPr>
        <w:pStyle w:val="Title"/>
        <w:jc w:val="center"/>
        <w:rPr>
          <w:rFonts w:ascii="Times New Roman" w:eastAsia="Times New Roman" w:hAnsi="Times New Roman" w:cs="Times New Roman"/>
          <w:b/>
          <w:sz w:val="36"/>
          <w:szCs w:val="36"/>
          <w:lang w:val="en-GB"/>
        </w:rPr>
      </w:pPr>
      <w:r w:rsidRPr="00D63596">
        <w:rPr>
          <w:lang w:val="en-GB"/>
        </w:rPr>
        <w:br w:type="page"/>
      </w:r>
    </w:p>
    <w:sdt>
      <w:sdtPr>
        <w:rPr>
          <w:rFonts w:ascii="Arial" w:eastAsia="Arial" w:hAnsi="Arial" w:cs="Arial"/>
          <w:b w:val="0"/>
          <w:bCs w:val="0"/>
          <w:color w:val="auto"/>
          <w:sz w:val="22"/>
          <w:szCs w:val="22"/>
          <w:lang w:val="en-GB"/>
        </w:rPr>
        <w:id w:val="24671657"/>
        <w:docPartObj>
          <w:docPartGallery w:val="Table of Contents"/>
          <w:docPartUnique/>
        </w:docPartObj>
      </w:sdtPr>
      <w:sdtEndPr/>
      <w:sdtContent>
        <w:p w14:paraId="587FA9B3" w14:textId="77777777" w:rsidR="00172AD8" w:rsidRPr="00A24F11" w:rsidRDefault="00172AD8" w:rsidP="00172AD8">
          <w:pPr>
            <w:pStyle w:val="TOCHeading"/>
            <w:spacing w:line="360" w:lineRule="auto"/>
            <w:jc w:val="center"/>
            <w:rPr>
              <w:rFonts w:ascii="Times New Roman" w:hAnsi="Times New Roman" w:cs="Times New Roman"/>
              <w:color w:val="auto"/>
              <w:sz w:val="24"/>
              <w:szCs w:val="24"/>
              <w:lang w:val="en-GB"/>
            </w:rPr>
          </w:pPr>
          <w:r w:rsidRPr="00A24F11">
            <w:rPr>
              <w:rFonts w:ascii="Times New Roman" w:hAnsi="Times New Roman" w:cs="Times New Roman"/>
              <w:color w:val="auto"/>
              <w:sz w:val="24"/>
              <w:szCs w:val="24"/>
              <w:lang w:val="en-GB"/>
            </w:rPr>
            <w:t>Table of Contents</w:t>
          </w:r>
        </w:p>
        <w:p w14:paraId="587FA9B4" w14:textId="77777777" w:rsidR="00172AD8" w:rsidRPr="00A24F11" w:rsidRDefault="00172AD8" w:rsidP="00172AD8">
          <w:pPr>
            <w:pStyle w:val="TOC1"/>
            <w:tabs>
              <w:tab w:val="right" w:leader="dot" w:pos="9019"/>
            </w:tabs>
            <w:spacing w:line="360" w:lineRule="auto"/>
            <w:jc w:val="both"/>
            <w:rPr>
              <w:rFonts w:ascii="Times New Roman" w:hAnsi="Times New Roman" w:cs="Times New Roman"/>
              <w:noProof/>
              <w:sz w:val="24"/>
              <w:szCs w:val="24"/>
              <w:lang w:val="en-GB"/>
            </w:rPr>
          </w:pPr>
          <w:r w:rsidRPr="00A24F11">
            <w:rPr>
              <w:rFonts w:ascii="Times New Roman" w:hAnsi="Times New Roman" w:cs="Times New Roman"/>
              <w:sz w:val="24"/>
              <w:szCs w:val="24"/>
              <w:lang w:val="en-GB"/>
            </w:rPr>
            <w:fldChar w:fldCharType="begin"/>
          </w:r>
          <w:r w:rsidRPr="00A24F11">
            <w:rPr>
              <w:rFonts w:ascii="Times New Roman" w:hAnsi="Times New Roman" w:cs="Times New Roman"/>
              <w:sz w:val="24"/>
              <w:szCs w:val="24"/>
              <w:lang w:val="en-GB"/>
            </w:rPr>
            <w:instrText xml:space="preserve"> TOC \o "1-3" \h \z \u </w:instrText>
          </w:r>
          <w:r w:rsidRPr="00A24F11">
            <w:rPr>
              <w:rFonts w:ascii="Times New Roman" w:hAnsi="Times New Roman" w:cs="Times New Roman"/>
              <w:sz w:val="24"/>
              <w:szCs w:val="24"/>
              <w:lang w:val="en-GB"/>
            </w:rPr>
            <w:fldChar w:fldCharType="separate"/>
          </w:r>
          <w:hyperlink w:anchor="_Toc128151100" w:history="1">
            <w:r w:rsidRPr="00A24F11">
              <w:rPr>
                <w:rStyle w:val="Hyperlink"/>
                <w:rFonts w:ascii="Times New Roman" w:hAnsi="Times New Roman" w:cs="Times New Roman"/>
                <w:noProof/>
                <w:color w:val="auto"/>
                <w:sz w:val="24"/>
                <w:szCs w:val="24"/>
                <w:lang w:val="en-GB"/>
              </w:rPr>
              <w:t>Introduction</w:t>
            </w:r>
            <w:r w:rsidRPr="00A24F11">
              <w:rPr>
                <w:rFonts w:ascii="Times New Roman" w:hAnsi="Times New Roman" w:cs="Times New Roman"/>
                <w:noProof/>
                <w:webHidden/>
                <w:sz w:val="24"/>
                <w:szCs w:val="24"/>
                <w:lang w:val="en-GB"/>
              </w:rPr>
              <w:tab/>
            </w:r>
            <w:r w:rsidRPr="00A24F11">
              <w:rPr>
                <w:rFonts w:ascii="Times New Roman" w:hAnsi="Times New Roman" w:cs="Times New Roman"/>
                <w:noProof/>
                <w:webHidden/>
                <w:sz w:val="24"/>
                <w:szCs w:val="24"/>
                <w:lang w:val="en-GB"/>
              </w:rPr>
              <w:fldChar w:fldCharType="begin"/>
            </w:r>
            <w:r w:rsidRPr="00A24F11">
              <w:rPr>
                <w:rFonts w:ascii="Times New Roman" w:hAnsi="Times New Roman" w:cs="Times New Roman"/>
                <w:noProof/>
                <w:webHidden/>
                <w:sz w:val="24"/>
                <w:szCs w:val="24"/>
                <w:lang w:val="en-GB"/>
              </w:rPr>
              <w:instrText xml:space="preserve"> PAGEREF _Toc128151100 \h </w:instrText>
            </w:r>
            <w:r w:rsidRPr="00A24F11">
              <w:rPr>
                <w:rFonts w:ascii="Times New Roman" w:hAnsi="Times New Roman" w:cs="Times New Roman"/>
                <w:noProof/>
                <w:webHidden/>
                <w:sz w:val="24"/>
                <w:szCs w:val="24"/>
                <w:lang w:val="en-GB"/>
              </w:rPr>
            </w:r>
            <w:r w:rsidRPr="00A24F11">
              <w:rPr>
                <w:rFonts w:ascii="Times New Roman" w:hAnsi="Times New Roman" w:cs="Times New Roman"/>
                <w:noProof/>
                <w:webHidden/>
                <w:sz w:val="24"/>
                <w:szCs w:val="24"/>
                <w:lang w:val="en-GB"/>
              </w:rPr>
              <w:fldChar w:fldCharType="separate"/>
            </w:r>
            <w:r w:rsidRPr="00A24F11">
              <w:rPr>
                <w:rFonts w:ascii="Times New Roman" w:hAnsi="Times New Roman" w:cs="Times New Roman"/>
                <w:noProof/>
                <w:webHidden/>
                <w:sz w:val="24"/>
                <w:szCs w:val="24"/>
                <w:lang w:val="en-GB"/>
              </w:rPr>
              <w:t>3</w:t>
            </w:r>
            <w:r w:rsidRPr="00A24F11">
              <w:rPr>
                <w:rFonts w:ascii="Times New Roman" w:hAnsi="Times New Roman" w:cs="Times New Roman"/>
                <w:noProof/>
                <w:webHidden/>
                <w:sz w:val="24"/>
                <w:szCs w:val="24"/>
                <w:lang w:val="en-GB"/>
              </w:rPr>
              <w:fldChar w:fldCharType="end"/>
            </w:r>
          </w:hyperlink>
        </w:p>
        <w:p w14:paraId="587FA9B5"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1" w:history="1">
            <w:r w:rsidR="00172AD8" w:rsidRPr="00A24F11">
              <w:rPr>
                <w:rStyle w:val="Hyperlink"/>
                <w:rFonts w:ascii="Times New Roman" w:hAnsi="Times New Roman" w:cs="Times New Roman"/>
                <w:noProof/>
                <w:color w:val="auto"/>
                <w:sz w:val="24"/>
                <w:szCs w:val="24"/>
                <w:lang w:val="en-GB"/>
              </w:rPr>
              <w:t>Bill of Rights Bill</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_Toc128151101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3</w:t>
            </w:r>
            <w:r w:rsidR="00172AD8" w:rsidRPr="00A24F11">
              <w:rPr>
                <w:rFonts w:ascii="Times New Roman" w:hAnsi="Times New Roman" w:cs="Times New Roman"/>
                <w:noProof/>
                <w:webHidden/>
                <w:sz w:val="24"/>
                <w:szCs w:val="24"/>
                <w:lang w:val="en-GB"/>
              </w:rPr>
              <w:fldChar w:fldCharType="end"/>
            </w:r>
          </w:hyperlink>
        </w:p>
        <w:p w14:paraId="587FA9B6"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2" w:history="1">
            <w:r w:rsidR="00172AD8" w:rsidRPr="00A24F11">
              <w:rPr>
                <w:rStyle w:val="Hyperlink"/>
                <w:rFonts w:ascii="Times New Roman" w:hAnsi="Times New Roman" w:cs="Times New Roman"/>
                <w:noProof/>
                <w:color w:val="auto"/>
                <w:sz w:val="24"/>
                <w:szCs w:val="24"/>
                <w:lang w:val="en-GB"/>
              </w:rPr>
              <w:t>Human Rights Act 1998</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_Toc128151102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3</w:t>
            </w:r>
            <w:r w:rsidR="00172AD8" w:rsidRPr="00A24F11">
              <w:rPr>
                <w:rFonts w:ascii="Times New Roman" w:hAnsi="Times New Roman" w:cs="Times New Roman"/>
                <w:noProof/>
                <w:webHidden/>
                <w:sz w:val="24"/>
                <w:szCs w:val="24"/>
                <w:lang w:val="en-GB"/>
              </w:rPr>
              <w:fldChar w:fldCharType="end"/>
            </w:r>
          </w:hyperlink>
        </w:p>
        <w:p w14:paraId="587FA9B7"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3" w:history="1">
            <w:r w:rsidR="00172AD8" w:rsidRPr="00A24F11">
              <w:rPr>
                <w:rStyle w:val="Hyperlink"/>
                <w:rFonts w:ascii="Times New Roman" w:hAnsi="Times New Roman" w:cs="Times New Roman"/>
                <w:noProof/>
                <w:color w:val="auto"/>
                <w:sz w:val="24"/>
                <w:szCs w:val="24"/>
                <w:lang w:val="en-GB"/>
              </w:rPr>
              <w:t>Major aims and objectives of the Bill of Rights Bill</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_Toc128151103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4</w:t>
            </w:r>
            <w:r w:rsidR="00172AD8" w:rsidRPr="00A24F11">
              <w:rPr>
                <w:rFonts w:ascii="Times New Roman" w:hAnsi="Times New Roman" w:cs="Times New Roman"/>
                <w:noProof/>
                <w:webHidden/>
                <w:sz w:val="24"/>
                <w:szCs w:val="24"/>
                <w:lang w:val="en-GB"/>
              </w:rPr>
              <w:fldChar w:fldCharType="end"/>
            </w:r>
          </w:hyperlink>
        </w:p>
        <w:p w14:paraId="587FA9B8"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4" w:history="1">
            <w:r w:rsidR="00172AD8" w:rsidRPr="00A24F11">
              <w:rPr>
                <w:rStyle w:val="Hyperlink"/>
                <w:rFonts w:ascii="Times New Roman" w:hAnsi="Times New Roman" w:cs="Times New Roman"/>
                <w:noProof/>
                <w:color w:val="auto"/>
                <w:sz w:val="24"/>
                <w:szCs w:val="24"/>
                <w:lang w:val="en-GB"/>
              </w:rPr>
              <w:t>The reason behind the creation of the bill</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_Toc128151104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4</w:t>
            </w:r>
            <w:r w:rsidR="00172AD8" w:rsidRPr="00A24F11">
              <w:rPr>
                <w:rFonts w:ascii="Times New Roman" w:hAnsi="Times New Roman" w:cs="Times New Roman"/>
                <w:noProof/>
                <w:webHidden/>
                <w:sz w:val="24"/>
                <w:szCs w:val="24"/>
                <w:lang w:val="en-GB"/>
              </w:rPr>
              <w:fldChar w:fldCharType="end"/>
            </w:r>
          </w:hyperlink>
        </w:p>
        <w:p w14:paraId="587FA9B9"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5" w:history="1">
            <w:r w:rsidR="00172AD8" w:rsidRPr="00A24F11">
              <w:rPr>
                <w:rStyle w:val="Hyperlink"/>
                <w:rFonts w:ascii="Times New Roman" w:hAnsi="Times New Roman" w:cs="Times New Roman"/>
                <w:noProof/>
                <w:color w:val="auto"/>
                <w:sz w:val="24"/>
                <w:szCs w:val="24"/>
                <w:lang w:val="en-GB"/>
              </w:rPr>
              <w:t>Changes that the bill made</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_Toc128151105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5</w:t>
            </w:r>
            <w:r w:rsidR="00172AD8" w:rsidRPr="00A24F11">
              <w:rPr>
                <w:rFonts w:ascii="Times New Roman" w:hAnsi="Times New Roman" w:cs="Times New Roman"/>
                <w:noProof/>
                <w:webHidden/>
                <w:sz w:val="24"/>
                <w:szCs w:val="24"/>
                <w:lang w:val="en-GB"/>
              </w:rPr>
              <w:fldChar w:fldCharType="end"/>
            </w:r>
          </w:hyperlink>
        </w:p>
        <w:p w14:paraId="587FA9BA"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6" w:history="1">
            <w:r w:rsidR="00172AD8" w:rsidRPr="00A24F11">
              <w:rPr>
                <w:rStyle w:val="Hyperlink"/>
                <w:rFonts w:ascii="Times New Roman" w:hAnsi="Times New Roman" w:cs="Times New Roman"/>
                <w:noProof/>
                <w:color w:val="auto"/>
                <w:sz w:val="24"/>
                <w:szCs w:val="24"/>
                <w:lang w:val="en-GB"/>
              </w:rPr>
              <w:t>Aspects that would remain the same after the introduction of the Rights Bill</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_Toc128151106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5</w:t>
            </w:r>
            <w:r w:rsidR="00172AD8" w:rsidRPr="00A24F11">
              <w:rPr>
                <w:rFonts w:ascii="Times New Roman" w:hAnsi="Times New Roman" w:cs="Times New Roman"/>
                <w:noProof/>
                <w:webHidden/>
                <w:sz w:val="24"/>
                <w:szCs w:val="24"/>
                <w:lang w:val="en-GB"/>
              </w:rPr>
              <w:fldChar w:fldCharType="end"/>
            </w:r>
          </w:hyperlink>
        </w:p>
        <w:p w14:paraId="587FA9BB"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7" w:history="1">
            <w:r w:rsidR="00172AD8" w:rsidRPr="00A24F11">
              <w:rPr>
                <w:rStyle w:val="Hyperlink"/>
                <w:rFonts w:ascii="Times New Roman" w:hAnsi="Times New Roman" w:cs="Times New Roman"/>
                <w:noProof/>
                <w:color w:val="auto"/>
                <w:sz w:val="24"/>
                <w:szCs w:val="24"/>
                <w:lang w:val="en-GB"/>
              </w:rPr>
              <w:t>Advantages and disadvantages of the aforementioned changes</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_Toc128151107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5</w:t>
            </w:r>
            <w:r w:rsidR="00172AD8" w:rsidRPr="00A24F11">
              <w:rPr>
                <w:rFonts w:ascii="Times New Roman" w:hAnsi="Times New Roman" w:cs="Times New Roman"/>
                <w:noProof/>
                <w:webHidden/>
                <w:sz w:val="24"/>
                <w:szCs w:val="24"/>
                <w:lang w:val="en-GB"/>
              </w:rPr>
              <w:fldChar w:fldCharType="end"/>
            </w:r>
          </w:hyperlink>
        </w:p>
        <w:p w14:paraId="587FA9BC"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8" w:history="1">
            <w:r w:rsidR="00172AD8" w:rsidRPr="00A24F11">
              <w:rPr>
                <w:rStyle w:val="Hyperlink"/>
                <w:rFonts w:ascii="Times New Roman" w:hAnsi="Times New Roman" w:cs="Times New Roman"/>
                <w:noProof/>
                <w:color w:val="auto"/>
                <w:sz w:val="24"/>
                <w:szCs w:val="24"/>
                <w:lang w:val="en-GB"/>
              </w:rPr>
              <w:t>Recommendations for further reforms</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_Toc128151108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6</w:t>
            </w:r>
            <w:r w:rsidR="00172AD8" w:rsidRPr="00A24F11">
              <w:rPr>
                <w:rFonts w:ascii="Times New Roman" w:hAnsi="Times New Roman" w:cs="Times New Roman"/>
                <w:noProof/>
                <w:webHidden/>
                <w:sz w:val="24"/>
                <w:szCs w:val="24"/>
                <w:lang w:val="en-GB"/>
              </w:rPr>
              <w:fldChar w:fldCharType="end"/>
            </w:r>
          </w:hyperlink>
        </w:p>
        <w:p w14:paraId="587FA9BD"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09" w:history="1">
            <w:r w:rsidR="00172AD8" w:rsidRPr="00A24F11">
              <w:rPr>
                <w:rStyle w:val="Hyperlink"/>
                <w:rFonts w:ascii="Times New Roman" w:hAnsi="Times New Roman" w:cs="Times New Roman"/>
                <w:noProof/>
                <w:color w:val="auto"/>
                <w:sz w:val="24"/>
                <w:szCs w:val="24"/>
                <w:lang w:val="en-GB"/>
              </w:rPr>
              <w:t>Conclusion</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_Toc128151109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6</w:t>
            </w:r>
            <w:r w:rsidR="00172AD8" w:rsidRPr="00A24F11">
              <w:rPr>
                <w:rFonts w:ascii="Times New Roman" w:hAnsi="Times New Roman" w:cs="Times New Roman"/>
                <w:noProof/>
                <w:webHidden/>
                <w:sz w:val="24"/>
                <w:szCs w:val="24"/>
                <w:lang w:val="en-GB"/>
              </w:rPr>
              <w:fldChar w:fldCharType="end"/>
            </w:r>
          </w:hyperlink>
        </w:p>
        <w:p w14:paraId="587FA9BE" w14:textId="77777777" w:rsidR="00172AD8" w:rsidRPr="00A24F11" w:rsidRDefault="00B22016" w:rsidP="00172AD8">
          <w:pPr>
            <w:pStyle w:val="TOC1"/>
            <w:tabs>
              <w:tab w:val="right" w:leader="dot" w:pos="9019"/>
            </w:tabs>
            <w:spacing w:line="360" w:lineRule="auto"/>
            <w:jc w:val="both"/>
            <w:rPr>
              <w:rFonts w:ascii="Times New Roman" w:hAnsi="Times New Roman" w:cs="Times New Roman"/>
              <w:noProof/>
              <w:sz w:val="24"/>
              <w:szCs w:val="24"/>
              <w:lang w:val="en-GB"/>
            </w:rPr>
          </w:pPr>
          <w:hyperlink w:anchor="_Toc128151110" w:history="1">
            <w:r w:rsidR="00172AD8" w:rsidRPr="00A24F11">
              <w:rPr>
                <w:rStyle w:val="Hyperlink"/>
                <w:rFonts w:ascii="Times New Roman" w:hAnsi="Times New Roman" w:cs="Times New Roman"/>
                <w:noProof/>
                <w:color w:val="auto"/>
                <w:sz w:val="24"/>
                <w:szCs w:val="24"/>
                <w:lang w:val="en-GB"/>
              </w:rPr>
              <w:t>References</w:t>
            </w:r>
            <w:r w:rsidR="00172AD8" w:rsidRPr="00A24F11">
              <w:rPr>
                <w:rFonts w:ascii="Times New Roman" w:hAnsi="Times New Roman" w:cs="Times New Roman"/>
                <w:noProof/>
                <w:webHidden/>
                <w:sz w:val="24"/>
                <w:szCs w:val="24"/>
                <w:lang w:val="en-GB"/>
              </w:rPr>
              <w:tab/>
            </w:r>
            <w:r w:rsidR="00172AD8" w:rsidRPr="00A24F11">
              <w:rPr>
                <w:rFonts w:ascii="Times New Roman" w:hAnsi="Times New Roman" w:cs="Times New Roman"/>
                <w:noProof/>
                <w:webHidden/>
                <w:sz w:val="24"/>
                <w:szCs w:val="24"/>
                <w:lang w:val="en-GB"/>
              </w:rPr>
              <w:fldChar w:fldCharType="begin"/>
            </w:r>
            <w:r w:rsidR="00172AD8" w:rsidRPr="00A24F11">
              <w:rPr>
                <w:rFonts w:ascii="Times New Roman" w:hAnsi="Times New Roman" w:cs="Times New Roman"/>
                <w:noProof/>
                <w:webHidden/>
                <w:sz w:val="24"/>
                <w:szCs w:val="24"/>
                <w:lang w:val="en-GB"/>
              </w:rPr>
              <w:instrText xml:space="preserve"> PAGEREF _Toc128151110 \h </w:instrText>
            </w:r>
            <w:r w:rsidR="00172AD8" w:rsidRPr="00A24F11">
              <w:rPr>
                <w:rFonts w:ascii="Times New Roman" w:hAnsi="Times New Roman" w:cs="Times New Roman"/>
                <w:noProof/>
                <w:webHidden/>
                <w:sz w:val="24"/>
                <w:szCs w:val="24"/>
                <w:lang w:val="en-GB"/>
              </w:rPr>
            </w:r>
            <w:r w:rsidR="00172AD8" w:rsidRPr="00A24F11">
              <w:rPr>
                <w:rFonts w:ascii="Times New Roman" w:hAnsi="Times New Roman" w:cs="Times New Roman"/>
                <w:noProof/>
                <w:webHidden/>
                <w:sz w:val="24"/>
                <w:szCs w:val="24"/>
                <w:lang w:val="en-GB"/>
              </w:rPr>
              <w:fldChar w:fldCharType="separate"/>
            </w:r>
            <w:r w:rsidR="00172AD8" w:rsidRPr="00A24F11">
              <w:rPr>
                <w:rFonts w:ascii="Times New Roman" w:hAnsi="Times New Roman" w:cs="Times New Roman"/>
                <w:noProof/>
                <w:webHidden/>
                <w:sz w:val="24"/>
                <w:szCs w:val="24"/>
                <w:lang w:val="en-GB"/>
              </w:rPr>
              <w:t>7</w:t>
            </w:r>
            <w:r w:rsidR="00172AD8" w:rsidRPr="00A24F11">
              <w:rPr>
                <w:rFonts w:ascii="Times New Roman" w:hAnsi="Times New Roman" w:cs="Times New Roman"/>
                <w:noProof/>
                <w:webHidden/>
                <w:sz w:val="24"/>
                <w:szCs w:val="24"/>
                <w:lang w:val="en-GB"/>
              </w:rPr>
              <w:fldChar w:fldCharType="end"/>
            </w:r>
          </w:hyperlink>
        </w:p>
        <w:p w14:paraId="587FA9BF" w14:textId="77777777" w:rsidR="00172AD8" w:rsidRPr="00A24F11" w:rsidRDefault="00172AD8" w:rsidP="00172AD8">
          <w:pPr>
            <w:spacing w:line="360" w:lineRule="auto"/>
            <w:jc w:val="both"/>
            <w:rPr>
              <w:lang w:val="en-GB"/>
            </w:rPr>
          </w:pPr>
          <w:r w:rsidRPr="00A24F11">
            <w:rPr>
              <w:rFonts w:ascii="Times New Roman" w:hAnsi="Times New Roman" w:cs="Times New Roman"/>
              <w:sz w:val="24"/>
              <w:szCs w:val="24"/>
              <w:lang w:val="en-GB"/>
            </w:rPr>
            <w:fldChar w:fldCharType="end"/>
          </w:r>
        </w:p>
      </w:sdtContent>
    </w:sdt>
    <w:p w14:paraId="587FA9C0" w14:textId="77777777" w:rsidR="003B1F02" w:rsidRPr="00A24F11" w:rsidRDefault="00777221" w:rsidP="00172AD8">
      <w:pPr>
        <w:pStyle w:val="Title"/>
        <w:spacing w:line="360" w:lineRule="auto"/>
        <w:jc w:val="both"/>
        <w:rPr>
          <w:rFonts w:ascii="Times New Roman" w:eastAsia="Times New Roman" w:hAnsi="Times New Roman" w:cs="Times New Roman"/>
          <w:b/>
          <w:sz w:val="36"/>
          <w:szCs w:val="36"/>
          <w:lang w:val="en-GB"/>
        </w:rPr>
      </w:pPr>
      <w:r w:rsidRPr="00A24F11">
        <w:rPr>
          <w:lang w:val="en-GB"/>
        </w:rPr>
        <w:br w:type="page"/>
      </w:r>
    </w:p>
    <w:p w14:paraId="587FA9C1" w14:textId="77777777" w:rsidR="003B1F02" w:rsidRPr="00A24F11" w:rsidRDefault="00777221" w:rsidP="009F5E3B">
      <w:pPr>
        <w:pStyle w:val="Heading1"/>
        <w:rPr>
          <w:lang w:val="en-GB"/>
        </w:rPr>
      </w:pPr>
      <w:bookmarkStart w:id="7" w:name="_47ua28sqy382" w:colFirst="0" w:colLast="0"/>
      <w:bookmarkStart w:id="8" w:name="_Toc128151100"/>
      <w:bookmarkEnd w:id="7"/>
      <w:r w:rsidRPr="00A24F11">
        <w:rPr>
          <w:lang w:val="en-GB"/>
        </w:rPr>
        <w:lastRenderedPageBreak/>
        <w:t>Introduction</w:t>
      </w:r>
      <w:bookmarkEnd w:id="8"/>
    </w:p>
    <w:p w14:paraId="587FA9C2"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As opined by </w:t>
      </w:r>
      <w:r w:rsidRPr="00A24F11">
        <w:rPr>
          <w:rFonts w:ascii="Times New Roman" w:eastAsia="Times New Roman" w:hAnsi="Times New Roman" w:cs="Times New Roman"/>
          <w:color w:val="222222"/>
          <w:sz w:val="24"/>
          <w:szCs w:val="24"/>
          <w:highlight w:val="white"/>
          <w:lang w:val="en-GB"/>
        </w:rPr>
        <w:t xml:space="preserve">Sunstein and Reisch, (2019), </w:t>
      </w:r>
      <w:r w:rsidRPr="00A24F11">
        <w:rPr>
          <w:rFonts w:ascii="Times New Roman" w:eastAsia="Times New Roman" w:hAnsi="Times New Roman" w:cs="Times New Roman"/>
          <w:sz w:val="24"/>
          <w:szCs w:val="24"/>
          <w:lang w:val="en-GB"/>
        </w:rPr>
        <w:t>human rights are standards that identify and safeguard the protection of the dignity of all human beings. The purpose of the rights is to govern the manner in which individual human beings reside in society and their relevant interaction mechanisms within the society. This is further followed by the elucidation of their relationship with the state and the depiction of the obligations that the state has towards them. Governments across the globe introduce Human rights legislations to enlist the aforementioned concepts and enhance the safeguard mechanisms that the state can deploy for human beings' protection of dignity. Extending upon the same view the curr</w:t>
      </w:r>
      <w:r w:rsidR="008B622D" w:rsidRPr="00A24F11">
        <w:rPr>
          <w:rFonts w:ascii="Times New Roman" w:eastAsia="Times New Roman" w:hAnsi="Times New Roman" w:cs="Times New Roman"/>
          <w:sz w:val="24"/>
          <w:szCs w:val="24"/>
          <w:lang w:val="en-GB"/>
        </w:rPr>
        <w:t>ent study envisages illustration of</w:t>
      </w:r>
      <w:r w:rsidRPr="00A24F11">
        <w:rPr>
          <w:rFonts w:ascii="Times New Roman" w:eastAsia="Times New Roman" w:hAnsi="Times New Roman" w:cs="Times New Roman"/>
          <w:sz w:val="24"/>
          <w:szCs w:val="24"/>
          <w:lang w:val="en-GB"/>
        </w:rPr>
        <w:t xml:space="preserve"> the comparison</w:t>
      </w:r>
      <w:r w:rsidR="008B622D" w:rsidRPr="00A24F11">
        <w:rPr>
          <w:rFonts w:ascii="Times New Roman" w:eastAsia="Times New Roman" w:hAnsi="Times New Roman" w:cs="Times New Roman"/>
          <w:sz w:val="24"/>
          <w:szCs w:val="24"/>
          <w:lang w:val="en-GB"/>
        </w:rPr>
        <w:t xml:space="preserve"> in</w:t>
      </w:r>
      <w:r w:rsidRPr="00A24F11">
        <w:rPr>
          <w:rFonts w:ascii="Times New Roman" w:eastAsia="Times New Roman" w:hAnsi="Times New Roman" w:cs="Times New Roman"/>
          <w:sz w:val="24"/>
          <w:szCs w:val="24"/>
          <w:lang w:val="en-GB"/>
        </w:rPr>
        <w:t xml:space="preserve"> the Bill of Rights </w:t>
      </w:r>
      <w:r w:rsidR="00692393" w:rsidRPr="00A24F11">
        <w:rPr>
          <w:rFonts w:ascii="Times New Roman" w:eastAsia="Times New Roman" w:hAnsi="Times New Roman" w:cs="Times New Roman"/>
          <w:sz w:val="24"/>
          <w:szCs w:val="24"/>
          <w:lang w:val="en-GB"/>
        </w:rPr>
        <w:t xml:space="preserve">introduced </w:t>
      </w:r>
      <w:r w:rsidR="00BC45E9" w:rsidRPr="00A24F11">
        <w:rPr>
          <w:rFonts w:ascii="Times New Roman" w:eastAsia="Times New Roman" w:hAnsi="Times New Roman" w:cs="Times New Roman"/>
          <w:sz w:val="24"/>
          <w:szCs w:val="24"/>
          <w:lang w:val="en-GB"/>
        </w:rPr>
        <w:t>with</w:t>
      </w:r>
      <w:r w:rsidR="00692393" w:rsidRPr="00A24F11">
        <w:rPr>
          <w:rFonts w:ascii="Times New Roman" w:eastAsia="Times New Roman" w:hAnsi="Times New Roman" w:cs="Times New Roman"/>
          <w:sz w:val="24"/>
          <w:szCs w:val="24"/>
          <w:lang w:val="en-GB"/>
        </w:rPr>
        <w:t>in</w:t>
      </w:r>
      <w:r w:rsidRPr="00A24F11">
        <w:rPr>
          <w:rFonts w:ascii="Times New Roman" w:eastAsia="Times New Roman" w:hAnsi="Times New Roman" w:cs="Times New Roman"/>
          <w:sz w:val="24"/>
          <w:szCs w:val="24"/>
          <w:lang w:val="en-GB"/>
        </w:rPr>
        <w:t xml:space="preserve"> UK with the Human Rights Act 1998 </w:t>
      </w:r>
      <w:r w:rsidR="00692393" w:rsidRPr="00A24F11">
        <w:rPr>
          <w:rFonts w:ascii="Times New Roman" w:eastAsia="Times New Roman" w:hAnsi="Times New Roman" w:cs="Times New Roman"/>
          <w:sz w:val="24"/>
          <w:szCs w:val="24"/>
          <w:lang w:val="en-GB"/>
        </w:rPr>
        <w:t xml:space="preserve">which </w:t>
      </w:r>
      <w:r w:rsidRPr="00A24F11">
        <w:rPr>
          <w:rFonts w:ascii="Times New Roman" w:eastAsia="Times New Roman" w:hAnsi="Times New Roman" w:cs="Times New Roman"/>
          <w:sz w:val="24"/>
          <w:szCs w:val="24"/>
          <w:lang w:val="en-GB"/>
        </w:rPr>
        <w:t xml:space="preserve">the bill sets to replace. </w:t>
      </w:r>
    </w:p>
    <w:p w14:paraId="587FA9C3" w14:textId="77777777" w:rsidR="003B1F02" w:rsidRPr="00A24F11" w:rsidRDefault="00777221" w:rsidP="009F5E3B">
      <w:pPr>
        <w:pStyle w:val="Heading1"/>
        <w:rPr>
          <w:lang w:val="en-GB"/>
        </w:rPr>
      </w:pPr>
      <w:bookmarkStart w:id="9" w:name="_72aenopw50c" w:colFirst="0" w:colLast="0"/>
      <w:bookmarkStart w:id="10" w:name="_Toc128151101"/>
      <w:bookmarkEnd w:id="9"/>
      <w:r w:rsidRPr="00A24F11">
        <w:rPr>
          <w:lang w:val="en-GB"/>
        </w:rPr>
        <w:t>Bill of Rights Bill</w:t>
      </w:r>
      <w:bookmarkEnd w:id="10"/>
    </w:p>
    <w:p w14:paraId="587FA9C4"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The government of UK has introduced the Bill of Rights Bill which aims to repeal the Human Rights Act 1998, and subsequently replace it with a new framework in order to abide by the European Convention on Human Rights. The bill was introduced in the House of Commons on 22nd June 2022, moreover, the bill has not witnessed a second reading and currently, no date has been scheduled for it. The Bill of Rights would retain the aspects of the Human Rights Act which the government believes works well while attempting to address the concerns regarding the division of powers between the Parliament and the Court, the balance between responsibilities and rights and the authority of UK courts. The Bill also envisages addressing the longstanding issue related to the deportation of foreign national offenders. The Bill further aims to provide additional </w:t>
      </w:r>
      <w:r w:rsidR="008C37DE" w:rsidRPr="00A24F11">
        <w:rPr>
          <w:rFonts w:ascii="Times New Roman" w:eastAsia="Times New Roman" w:hAnsi="Times New Roman" w:cs="Times New Roman"/>
          <w:sz w:val="24"/>
          <w:szCs w:val="24"/>
          <w:lang w:val="en-GB"/>
        </w:rPr>
        <w:t>weight age</w:t>
      </w:r>
      <w:r w:rsidRPr="00A24F11">
        <w:rPr>
          <w:rFonts w:ascii="Times New Roman" w:eastAsia="Times New Roman" w:hAnsi="Times New Roman" w:cs="Times New Roman"/>
          <w:sz w:val="24"/>
          <w:szCs w:val="24"/>
          <w:lang w:val="en-GB"/>
        </w:rPr>
        <w:t xml:space="preserve"> to essential UK rights such as Freedom of speech and restricted access to courts for unmeritorious claims, (Jack, 2023). </w:t>
      </w:r>
    </w:p>
    <w:p w14:paraId="587FA9C5" w14:textId="77777777" w:rsidR="003B1F02" w:rsidRPr="00A24F11" w:rsidRDefault="00777221" w:rsidP="009F5E3B">
      <w:pPr>
        <w:pStyle w:val="Heading1"/>
        <w:rPr>
          <w:lang w:val="en-GB"/>
        </w:rPr>
      </w:pPr>
      <w:bookmarkStart w:id="11" w:name="_a0vks0z5li0w" w:colFirst="0" w:colLast="0"/>
      <w:bookmarkStart w:id="12" w:name="_Toc128151102"/>
      <w:bookmarkEnd w:id="11"/>
      <w:r w:rsidRPr="00A24F11">
        <w:rPr>
          <w:lang w:val="en-GB"/>
        </w:rPr>
        <w:t>Human Rights Act 1998</w:t>
      </w:r>
      <w:bookmarkEnd w:id="12"/>
    </w:p>
    <w:p w14:paraId="587FA9C6"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According to </w:t>
      </w:r>
      <w:r w:rsidRPr="00A24F11">
        <w:rPr>
          <w:rFonts w:ascii="Times New Roman" w:eastAsia="Times New Roman" w:hAnsi="Times New Roman" w:cs="Times New Roman"/>
          <w:color w:val="222222"/>
          <w:sz w:val="24"/>
          <w:szCs w:val="24"/>
          <w:highlight w:val="white"/>
          <w:lang w:val="en-GB"/>
        </w:rPr>
        <w:t xml:space="preserve">Whyte, (2019), </w:t>
      </w:r>
      <w:r w:rsidRPr="00A24F11">
        <w:rPr>
          <w:rFonts w:ascii="Times New Roman" w:eastAsia="Times New Roman" w:hAnsi="Times New Roman" w:cs="Times New Roman"/>
          <w:sz w:val="24"/>
          <w:szCs w:val="24"/>
          <w:lang w:val="en-GB"/>
        </w:rPr>
        <w:t xml:space="preserve">the Act was passed in UK parliament in 1988 and it enables individuals to safeguard their rights in UK courts. Subsequently, they are directed at compelling governmental organisations, policies and local organisations to treat everyone equally with dignity, fairness and respect. The Act in its original form gives effect to the European Convention on Human Rights which is also known as Convention Rights </w:t>
      </w:r>
      <w:r w:rsidR="006071B6" w:rsidRPr="00A24F11">
        <w:rPr>
          <w:rFonts w:ascii="Times New Roman" w:eastAsia="Times New Roman" w:hAnsi="Times New Roman" w:cs="Times New Roman"/>
          <w:sz w:val="24"/>
          <w:szCs w:val="24"/>
          <w:lang w:val="en-GB"/>
        </w:rPr>
        <w:t>the</w:t>
      </w:r>
      <w:r w:rsidRPr="00A24F11">
        <w:rPr>
          <w:rFonts w:ascii="Times New Roman" w:eastAsia="Times New Roman" w:hAnsi="Times New Roman" w:cs="Times New Roman"/>
          <w:sz w:val="24"/>
          <w:szCs w:val="24"/>
          <w:lang w:val="en-GB"/>
        </w:rPr>
        <w:t xml:space="preserve"> European Convention on Human Rights was enacted in 1950 and was agreed upon by </w:t>
      </w:r>
      <w:r w:rsidR="006071B6" w:rsidRPr="00A24F11">
        <w:rPr>
          <w:rFonts w:ascii="Times New Roman" w:eastAsia="Times New Roman" w:hAnsi="Times New Roman" w:cs="Times New Roman"/>
          <w:sz w:val="24"/>
          <w:szCs w:val="24"/>
          <w:lang w:val="en-GB"/>
        </w:rPr>
        <w:t>the 12</w:t>
      </w:r>
      <w:r w:rsidRPr="00A24F11">
        <w:rPr>
          <w:rFonts w:ascii="Times New Roman" w:eastAsia="Times New Roman" w:hAnsi="Times New Roman" w:cs="Times New Roman"/>
          <w:sz w:val="24"/>
          <w:szCs w:val="24"/>
          <w:lang w:val="en-GB"/>
        </w:rPr>
        <w:t xml:space="preserve"> members of the European Union. The act was a consequence of the Second </w:t>
      </w:r>
      <w:r w:rsidR="006071B6" w:rsidRPr="00A24F11">
        <w:rPr>
          <w:rFonts w:ascii="Times New Roman" w:eastAsia="Times New Roman" w:hAnsi="Times New Roman" w:cs="Times New Roman"/>
          <w:sz w:val="24"/>
          <w:szCs w:val="24"/>
          <w:lang w:val="en-GB"/>
        </w:rPr>
        <w:t>World War</w:t>
      </w:r>
      <w:r w:rsidRPr="00A24F11">
        <w:rPr>
          <w:rFonts w:ascii="Times New Roman" w:eastAsia="Times New Roman" w:hAnsi="Times New Roman" w:cs="Times New Roman"/>
          <w:sz w:val="24"/>
          <w:szCs w:val="24"/>
          <w:lang w:val="en-GB"/>
        </w:rPr>
        <w:t xml:space="preserve"> and the holocaust and envisaged safeguarding the citizens from the state, by ensuring that the atrocities committed are never to be reported and fostering the upholding of fundamental rights. Subsequently, the Act formed the basis on which the Convention Rights have been drawn up </w:t>
      </w:r>
      <w:r w:rsidRPr="00A24F11">
        <w:rPr>
          <w:rFonts w:ascii="Times New Roman" w:eastAsia="Times New Roman" w:hAnsi="Times New Roman" w:cs="Times New Roman"/>
          <w:sz w:val="24"/>
          <w:szCs w:val="24"/>
          <w:lang w:val="en-GB"/>
        </w:rPr>
        <w:lastRenderedPageBreak/>
        <w:t xml:space="preserve">by the distinct member nations of the EU and were implemented to entitle citizens with the right to approach courts in case they feel their convention rights are being breached. </w:t>
      </w:r>
    </w:p>
    <w:p w14:paraId="587FA9C7" w14:textId="77777777" w:rsidR="003B1F02" w:rsidRPr="00A24F11" w:rsidRDefault="00777221" w:rsidP="009F5E3B">
      <w:pPr>
        <w:pStyle w:val="Heading1"/>
        <w:rPr>
          <w:lang w:val="en-GB"/>
        </w:rPr>
      </w:pPr>
      <w:bookmarkStart w:id="13" w:name="_pf0l1a1tjvda" w:colFirst="0" w:colLast="0"/>
      <w:bookmarkStart w:id="14" w:name="_Toc128151103"/>
      <w:bookmarkEnd w:id="13"/>
      <w:r w:rsidRPr="00A24F11">
        <w:rPr>
          <w:lang w:val="en-GB"/>
        </w:rPr>
        <w:t>Major aims and objectives of the Bill of Rights Bill</w:t>
      </w:r>
      <w:bookmarkEnd w:id="14"/>
    </w:p>
    <w:p w14:paraId="587FA9C8" w14:textId="77777777" w:rsidR="003B1F02" w:rsidRPr="00A24F11" w:rsidRDefault="00777221" w:rsidP="009F5E3B">
      <w:pPr>
        <w:pStyle w:val="Normal1"/>
        <w:spacing w:line="360" w:lineRule="auto"/>
        <w:jc w:val="both"/>
        <w:rPr>
          <w:rFonts w:ascii="Times New Roman" w:eastAsia="Times New Roman" w:hAnsi="Times New Roman" w:cs="Times New Roman"/>
          <w:b/>
          <w:i/>
          <w:sz w:val="24"/>
          <w:szCs w:val="24"/>
          <w:lang w:val="en-GB"/>
        </w:rPr>
      </w:pPr>
      <w:r w:rsidRPr="00A24F11">
        <w:rPr>
          <w:rFonts w:ascii="Times New Roman" w:eastAsia="Times New Roman" w:hAnsi="Times New Roman" w:cs="Times New Roman"/>
          <w:b/>
          <w:i/>
          <w:sz w:val="24"/>
          <w:szCs w:val="24"/>
          <w:lang w:val="en-GB"/>
        </w:rPr>
        <w:t>Aim</w:t>
      </w:r>
    </w:p>
    <w:p w14:paraId="587FA9C9"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The aim of the Bill of Rights Bill is to replace the existing Human Rights Act 1988 in a manner that retains its aspects which work well while introducing reforms regarding the aspects that require consideration, (law society,</w:t>
      </w:r>
      <w:r w:rsidR="006071B6" w:rsidRPr="00A24F11">
        <w:rPr>
          <w:rFonts w:ascii="Times New Roman" w:eastAsia="Times New Roman" w:hAnsi="Times New Roman" w:cs="Times New Roman"/>
          <w:sz w:val="24"/>
          <w:szCs w:val="24"/>
          <w:lang w:val="en-GB"/>
        </w:rPr>
        <w:t xml:space="preserve"> </w:t>
      </w:r>
      <w:r w:rsidRPr="00A24F11">
        <w:rPr>
          <w:rFonts w:ascii="Times New Roman" w:eastAsia="Times New Roman" w:hAnsi="Times New Roman" w:cs="Times New Roman"/>
          <w:sz w:val="24"/>
          <w:szCs w:val="24"/>
          <w:lang w:val="en-GB"/>
        </w:rPr>
        <w:t xml:space="preserve">2022). </w:t>
      </w:r>
    </w:p>
    <w:p w14:paraId="587FA9CA" w14:textId="77777777" w:rsidR="003B1F02" w:rsidRPr="00A24F11" w:rsidRDefault="00777221" w:rsidP="009F5E3B">
      <w:pPr>
        <w:pStyle w:val="Normal1"/>
        <w:spacing w:line="360" w:lineRule="auto"/>
        <w:jc w:val="both"/>
        <w:rPr>
          <w:rFonts w:ascii="Times New Roman" w:eastAsia="Times New Roman" w:hAnsi="Times New Roman" w:cs="Times New Roman"/>
          <w:b/>
          <w:i/>
          <w:sz w:val="24"/>
          <w:szCs w:val="24"/>
          <w:lang w:val="en-GB"/>
        </w:rPr>
      </w:pPr>
      <w:r w:rsidRPr="00A24F11">
        <w:rPr>
          <w:rFonts w:ascii="Times New Roman" w:eastAsia="Times New Roman" w:hAnsi="Times New Roman" w:cs="Times New Roman"/>
          <w:b/>
          <w:i/>
          <w:sz w:val="24"/>
          <w:szCs w:val="24"/>
          <w:lang w:val="en-GB"/>
        </w:rPr>
        <w:t xml:space="preserve">Objectives </w:t>
      </w:r>
    </w:p>
    <w:p w14:paraId="587FA9CB" w14:textId="77777777"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Empowers UK courts to implement human rights in the context of UK </w:t>
      </w:r>
    </w:p>
    <w:p w14:paraId="587FA9CC" w14:textId="77777777"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It affirms the independence of the Supreme Court from the Strasbourg Court, by affirming that the Supreme Court is the penultimate judicial arbiter</w:t>
      </w:r>
    </w:p>
    <w:p w14:paraId="587FA9CD" w14:textId="77777777"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enhances democratic insight by extending upon the applicability of fundamental rights of UK citizens </w:t>
      </w:r>
    </w:p>
    <w:p w14:paraId="587FA9CE" w14:textId="186992FD"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envisages balancing the responsibilities, </w:t>
      </w:r>
      <w:r w:rsidR="00773832" w:rsidRPr="00A24F11">
        <w:rPr>
          <w:rFonts w:ascii="Times New Roman" w:eastAsia="Times New Roman" w:hAnsi="Times New Roman" w:cs="Times New Roman"/>
          <w:sz w:val="24"/>
          <w:szCs w:val="24"/>
          <w:lang w:val="en-GB"/>
        </w:rPr>
        <w:t>authorities,</w:t>
      </w:r>
      <w:r w:rsidRPr="00A24F11">
        <w:rPr>
          <w:rFonts w:ascii="Times New Roman" w:eastAsia="Times New Roman" w:hAnsi="Times New Roman" w:cs="Times New Roman"/>
          <w:sz w:val="24"/>
          <w:szCs w:val="24"/>
          <w:lang w:val="en-GB"/>
        </w:rPr>
        <w:t xml:space="preserve"> and rights of UK courts </w:t>
      </w:r>
    </w:p>
    <w:p w14:paraId="587FA9CF" w14:textId="77777777"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intends to address the issue related to the deportation of foreign national offenders </w:t>
      </w:r>
    </w:p>
    <w:p w14:paraId="587FA9D0" w14:textId="77777777"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clarifies the separation of powers between the Parliament and UK courts </w:t>
      </w:r>
    </w:p>
    <w:p w14:paraId="587FA9D1" w14:textId="30749FB8" w:rsidR="003B1F02" w:rsidRPr="00A24F11" w:rsidRDefault="00777221" w:rsidP="009F5E3B">
      <w:pPr>
        <w:pStyle w:val="Normal1"/>
        <w:numPr>
          <w:ilvl w:val="0"/>
          <w:numId w:val="1"/>
        </w:numPr>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upholds the rights of citizens regarding trial by a jury and restricts access to courts for scenarios which are deemed to </w:t>
      </w:r>
      <w:r w:rsidR="003407DB" w:rsidRPr="00A24F11">
        <w:rPr>
          <w:rFonts w:ascii="Times New Roman" w:eastAsia="Times New Roman" w:hAnsi="Times New Roman" w:cs="Times New Roman"/>
          <w:sz w:val="24"/>
          <w:szCs w:val="24"/>
          <w:lang w:val="en-GB"/>
        </w:rPr>
        <w:t>be unmeritorious</w:t>
      </w:r>
      <w:r w:rsidRPr="00A24F11">
        <w:rPr>
          <w:rFonts w:ascii="Times New Roman" w:eastAsia="Times New Roman" w:hAnsi="Times New Roman" w:cs="Times New Roman"/>
          <w:sz w:val="24"/>
          <w:szCs w:val="24"/>
          <w:lang w:val="en-GB"/>
        </w:rPr>
        <w:t xml:space="preserve"> </w:t>
      </w:r>
    </w:p>
    <w:p w14:paraId="587FA9D2" w14:textId="77777777" w:rsidR="003B1F02" w:rsidRPr="00A24F11" w:rsidRDefault="00777221" w:rsidP="009F5E3B">
      <w:pPr>
        <w:pStyle w:val="Heading1"/>
        <w:rPr>
          <w:lang w:val="en-GB"/>
        </w:rPr>
      </w:pPr>
      <w:bookmarkStart w:id="15" w:name="_p00ttefd8mnv" w:colFirst="0" w:colLast="0"/>
      <w:bookmarkStart w:id="16" w:name="_Toc128151104"/>
      <w:bookmarkEnd w:id="15"/>
      <w:r w:rsidRPr="00A24F11">
        <w:rPr>
          <w:lang w:val="en-GB"/>
        </w:rPr>
        <w:t>The reason behind the creation of the bill</w:t>
      </w:r>
      <w:bookmarkEnd w:id="16"/>
    </w:p>
    <w:p w14:paraId="587FA9D3" w14:textId="58EB3534"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According to </w:t>
      </w:r>
      <w:r w:rsidRPr="00A24F11">
        <w:rPr>
          <w:rFonts w:ascii="Times New Roman" w:eastAsia="Times New Roman" w:hAnsi="Times New Roman" w:cs="Times New Roman"/>
          <w:color w:val="222222"/>
          <w:sz w:val="24"/>
          <w:szCs w:val="24"/>
          <w:highlight w:val="white"/>
          <w:lang w:val="en-GB"/>
        </w:rPr>
        <w:t xml:space="preserve">Salman </w:t>
      </w:r>
      <w:r w:rsidRPr="00A24F11">
        <w:rPr>
          <w:rFonts w:ascii="Times New Roman" w:eastAsia="Times New Roman" w:hAnsi="Times New Roman" w:cs="Times New Roman"/>
          <w:i/>
          <w:color w:val="222222"/>
          <w:sz w:val="24"/>
          <w:szCs w:val="24"/>
          <w:highlight w:val="white"/>
          <w:lang w:val="en-GB"/>
        </w:rPr>
        <w:t>et al</w:t>
      </w:r>
      <w:r w:rsidRPr="00A24F11">
        <w:rPr>
          <w:rFonts w:ascii="Times New Roman" w:eastAsia="Times New Roman" w:hAnsi="Times New Roman" w:cs="Times New Roman"/>
          <w:color w:val="222222"/>
          <w:sz w:val="24"/>
          <w:szCs w:val="24"/>
          <w:highlight w:val="white"/>
          <w:lang w:val="en-GB"/>
        </w:rPr>
        <w:t xml:space="preserve">., (2021, p. 651), </w:t>
      </w:r>
      <w:r w:rsidRPr="00A24F11">
        <w:rPr>
          <w:rFonts w:ascii="Times New Roman" w:eastAsia="Times New Roman" w:hAnsi="Times New Roman" w:cs="Times New Roman"/>
          <w:sz w:val="24"/>
          <w:szCs w:val="24"/>
          <w:lang w:val="en-GB"/>
        </w:rPr>
        <w:t xml:space="preserve">the introduction of the Bill of Rights Bill is necessary for upholding the Human rights of UK citizens in contemporary times. The introduction of the Bill in the House of Commons is based on the review operations conducted by the IHRAR or Independent Human Rights Act Review findings which had been submitted to the Government. The findings listed by the IHRAR committee depict that there is an urgent need to update the administrative as well as the Human Rights Act in order to ensure the prevalence of an effective balance between individual rights, government activity and national security. Further, the government's analysis of the findings has led to the introduction of proposals based on the idea which are far more </w:t>
      </w:r>
      <w:r w:rsidR="00837695" w:rsidRPr="00A24F11">
        <w:rPr>
          <w:rFonts w:ascii="Times New Roman" w:eastAsia="Times New Roman" w:hAnsi="Times New Roman" w:cs="Times New Roman"/>
          <w:sz w:val="24"/>
          <w:szCs w:val="24"/>
          <w:lang w:val="en-GB"/>
        </w:rPr>
        <w:t>broad ranging</w:t>
      </w:r>
      <w:r w:rsidRPr="00A24F11">
        <w:rPr>
          <w:rFonts w:ascii="Times New Roman" w:eastAsia="Times New Roman" w:hAnsi="Times New Roman" w:cs="Times New Roman"/>
          <w:sz w:val="24"/>
          <w:szCs w:val="24"/>
          <w:lang w:val="en-GB"/>
        </w:rPr>
        <w:t xml:space="preserve"> than the IHRAR review. They state that the issues with the Human Rights Act lie more with its perception than its reality, thereby recommending an emphasis on human rights education. The aforementioned findings by the government have been accredited as the major reason behind the introduction of the bill. </w:t>
      </w:r>
    </w:p>
    <w:p w14:paraId="587FA9D4" w14:textId="77777777" w:rsidR="003B1F02" w:rsidRPr="00A24F11" w:rsidRDefault="00777221" w:rsidP="009F5E3B">
      <w:pPr>
        <w:pStyle w:val="Heading1"/>
        <w:rPr>
          <w:lang w:val="en-GB"/>
        </w:rPr>
      </w:pPr>
      <w:bookmarkStart w:id="17" w:name="_lovaakt2ldjm" w:colFirst="0" w:colLast="0"/>
      <w:bookmarkStart w:id="18" w:name="_Toc128151105"/>
      <w:bookmarkEnd w:id="17"/>
      <w:r w:rsidRPr="00A24F11">
        <w:rPr>
          <w:lang w:val="en-GB"/>
        </w:rPr>
        <w:t>Changes that the bill made</w:t>
      </w:r>
      <w:bookmarkEnd w:id="18"/>
    </w:p>
    <w:p w14:paraId="587FA9D5" w14:textId="60EFCEBF"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The bill made substantial changes in its purview by clearly listing the power balance between the Parliament and the Courts. Subsequently, it clearly illustrates that UK </w:t>
      </w:r>
      <w:r w:rsidR="008F39DA" w:rsidRPr="00A24F11">
        <w:rPr>
          <w:rFonts w:ascii="Times New Roman" w:eastAsia="Times New Roman" w:hAnsi="Times New Roman" w:cs="Times New Roman"/>
          <w:sz w:val="24"/>
          <w:szCs w:val="24"/>
          <w:lang w:val="en-GB"/>
        </w:rPr>
        <w:t>Supreme Court</w:t>
      </w:r>
      <w:r w:rsidRPr="00A24F11">
        <w:rPr>
          <w:rFonts w:ascii="Times New Roman" w:eastAsia="Times New Roman" w:hAnsi="Times New Roman" w:cs="Times New Roman"/>
          <w:sz w:val="24"/>
          <w:szCs w:val="24"/>
          <w:lang w:val="en-GB"/>
        </w:rPr>
        <w:t xml:space="preserve"> is the </w:t>
      </w:r>
      <w:r w:rsidRPr="00A24F11">
        <w:rPr>
          <w:rFonts w:ascii="Times New Roman" w:eastAsia="Times New Roman" w:hAnsi="Times New Roman" w:cs="Times New Roman"/>
          <w:sz w:val="24"/>
          <w:szCs w:val="24"/>
          <w:lang w:val="en-GB"/>
        </w:rPr>
        <w:lastRenderedPageBreak/>
        <w:t xml:space="preserve">penultimate arbitrator for cases put forward in the </w:t>
      </w:r>
      <w:r w:rsidR="00C840B2" w:rsidRPr="00A24F11">
        <w:rPr>
          <w:rFonts w:ascii="Times New Roman" w:eastAsia="Times New Roman" w:hAnsi="Times New Roman" w:cs="Times New Roman"/>
          <w:sz w:val="24"/>
          <w:szCs w:val="24"/>
          <w:lang w:val="en-GB"/>
        </w:rPr>
        <w:t>district</w:t>
      </w:r>
      <w:r w:rsidRPr="00A24F11">
        <w:rPr>
          <w:rFonts w:ascii="Times New Roman" w:eastAsia="Times New Roman" w:hAnsi="Times New Roman" w:cs="Times New Roman"/>
          <w:sz w:val="24"/>
          <w:szCs w:val="24"/>
          <w:lang w:val="en-GB"/>
        </w:rPr>
        <w:t xml:space="preserve"> of the State. The Human Rights Act is repealed, and minor amendments have been made to the Contempt of Courts Act, 1981 and Scotland Act 1998, (publications. parliament,</w:t>
      </w:r>
      <w:r w:rsidR="008F39DA" w:rsidRPr="00A24F11">
        <w:rPr>
          <w:rFonts w:ascii="Times New Roman" w:eastAsia="Times New Roman" w:hAnsi="Times New Roman" w:cs="Times New Roman"/>
          <w:sz w:val="24"/>
          <w:szCs w:val="24"/>
          <w:lang w:val="en-GB"/>
        </w:rPr>
        <w:t xml:space="preserve"> </w:t>
      </w:r>
      <w:r w:rsidRPr="00A24F11">
        <w:rPr>
          <w:rFonts w:ascii="Times New Roman" w:eastAsia="Times New Roman" w:hAnsi="Times New Roman" w:cs="Times New Roman"/>
          <w:sz w:val="24"/>
          <w:szCs w:val="24"/>
          <w:lang w:val="en-GB"/>
        </w:rPr>
        <w:t xml:space="preserve">2022). This is followed by a power declaration to Chancellors regarding pension-related decision-making, and a declaration of the limit of power of courts. Subsequently, the Bill envisages altering the mechanism of intervention that is entitled to the European Court of Human rights. As opined by </w:t>
      </w:r>
      <w:r w:rsidRPr="00A24F11">
        <w:rPr>
          <w:rFonts w:ascii="Times New Roman" w:eastAsia="Times New Roman" w:hAnsi="Times New Roman" w:cs="Times New Roman"/>
          <w:color w:val="222222"/>
          <w:sz w:val="24"/>
          <w:szCs w:val="24"/>
          <w:highlight w:val="white"/>
          <w:lang w:val="en-GB"/>
        </w:rPr>
        <w:t xml:space="preserve">Smith, (2022), </w:t>
      </w:r>
      <w:r w:rsidRPr="00A24F11">
        <w:rPr>
          <w:rFonts w:ascii="Times New Roman" w:eastAsia="Times New Roman" w:hAnsi="Times New Roman" w:cs="Times New Roman"/>
          <w:sz w:val="24"/>
          <w:szCs w:val="24"/>
          <w:lang w:val="en-GB"/>
        </w:rPr>
        <w:t xml:space="preserve">this is to be achieved through the elimination of the institution's interim measures, </w:t>
      </w:r>
      <w:r w:rsidR="008E54A6" w:rsidRPr="00A24F11">
        <w:rPr>
          <w:rFonts w:ascii="Times New Roman" w:eastAsia="Times New Roman" w:hAnsi="Times New Roman" w:cs="Times New Roman"/>
          <w:sz w:val="24"/>
          <w:szCs w:val="24"/>
          <w:lang w:val="en-GB"/>
        </w:rPr>
        <w:t>decisions,</w:t>
      </w:r>
      <w:r w:rsidRPr="00A24F11">
        <w:rPr>
          <w:rFonts w:ascii="Times New Roman" w:eastAsia="Times New Roman" w:hAnsi="Times New Roman" w:cs="Times New Roman"/>
          <w:sz w:val="24"/>
          <w:szCs w:val="24"/>
          <w:lang w:val="en-GB"/>
        </w:rPr>
        <w:t xml:space="preserve"> and judgements from being a part of the domestic law as well as its subsequent impact on the right of parliament to legislate. The Bill in its premise details Article 8 of the Convention regarding deportation and makes minor amendments to it to manage the current issues being faced by the state. Moreover, the bill was motivated to further support the decision of Brexit by UK as it repeals the European Communities Act 1872. The Act had been enacted to give EU supremacy over UK which would become redundant after the passing of the aforementioned bill. </w:t>
      </w:r>
    </w:p>
    <w:p w14:paraId="587FA9D6" w14:textId="77777777" w:rsidR="003B1F02" w:rsidRPr="00A24F11" w:rsidRDefault="00777221" w:rsidP="009F5E3B">
      <w:pPr>
        <w:pStyle w:val="Heading1"/>
        <w:rPr>
          <w:lang w:val="en-GB"/>
        </w:rPr>
      </w:pPr>
      <w:bookmarkStart w:id="19" w:name="_kf6ljbcqn93a" w:colFirst="0" w:colLast="0"/>
      <w:bookmarkStart w:id="20" w:name="_Toc128151106"/>
      <w:bookmarkEnd w:id="19"/>
      <w:r w:rsidRPr="00A24F11">
        <w:rPr>
          <w:lang w:val="en-GB"/>
        </w:rPr>
        <w:t>Aspects that would remain the same after the introduction of the Rights Bill</w:t>
      </w:r>
      <w:bookmarkEnd w:id="20"/>
    </w:p>
    <w:p w14:paraId="587FA9D7"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Although the Bill Of Rights Bill sets out to introduce several reforms within the Human Rights mechanism of </w:t>
      </w:r>
      <w:r w:rsidR="00C62FA0" w:rsidRPr="00A24F11">
        <w:rPr>
          <w:rFonts w:ascii="Times New Roman" w:eastAsia="Times New Roman" w:hAnsi="Times New Roman" w:cs="Times New Roman"/>
          <w:sz w:val="24"/>
          <w:szCs w:val="24"/>
          <w:lang w:val="en-GB"/>
        </w:rPr>
        <w:t>UK,</w:t>
      </w:r>
      <w:r w:rsidRPr="00A24F11">
        <w:rPr>
          <w:rFonts w:ascii="Times New Roman" w:eastAsia="Times New Roman" w:hAnsi="Times New Roman" w:cs="Times New Roman"/>
          <w:sz w:val="24"/>
          <w:szCs w:val="24"/>
          <w:lang w:val="en-GB"/>
        </w:rPr>
        <w:t xml:space="preserve"> certain aspects of the Human Rights Act 1988 are to remain the same. The Convention Rights as declared in The European Convention on Human Rights are to form the basis of the consequent fundamental rights that the Bill intends to introduce. Further, in a jury trial, the distinct fundamental rights of Article 8 are to remain the same. This is to be followed by the Right of the Crown to intervene which is to remain the same as in the earlier scenario, (</w:t>
      </w:r>
      <w:r w:rsidRPr="00A24F11">
        <w:rPr>
          <w:rFonts w:ascii="Times New Roman" w:eastAsia="Times New Roman" w:hAnsi="Times New Roman" w:cs="Times New Roman"/>
          <w:color w:val="222222"/>
          <w:sz w:val="24"/>
          <w:szCs w:val="24"/>
          <w:highlight w:val="white"/>
          <w:lang w:val="en-GB"/>
        </w:rPr>
        <w:t>Yilma, 2022, p. 713</w:t>
      </w:r>
      <w:r w:rsidRPr="00A24F11">
        <w:rPr>
          <w:rFonts w:ascii="Times New Roman" w:eastAsia="Times New Roman" w:hAnsi="Times New Roman" w:cs="Times New Roman"/>
          <w:sz w:val="24"/>
          <w:szCs w:val="24"/>
          <w:lang w:val="en-GB"/>
        </w:rPr>
        <w:t xml:space="preserve">). </w:t>
      </w:r>
    </w:p>
    <w:p w14:paraId="587FA9D8" w14:textId="77777777" w:rsidR="003B1F02" w:rsidRPr="00A24F11" w:rsidRDefault="00777221" w:rsidP="009F5E3B">
      <w:pPr>
        <w:pStyle w:val="Heading1"/>
        <w:rPr>
          <w:lang w:val="en-GB"/>
        </w:rPr>
      </w:pPr>
      <w:bookmarkStart w:id="21" w:name="_7zq75aoc535f" w:colFirst="0" w:colLast="0"/>
      <w:bookmarkStart w:id="22" w:name="_Toc128151107"/>
      <w:bookmarkEnd w:id="21"/>
      <w:r w:rsidRPr="00A24F11">
        <w:rPr>
          <w:lang w:val="en-GB"/>
        </w:rPr>
        <w:t>Advantages and disadvantages of the aforementioned changes</w:t>
      </w:r>
      <w:bookmarkEnd w:id="22"/>
    </w:p>
    <w:p w14:paraId="587FA9D9" w14:textId="77777777" w:rsidR="003B1F02" w:rsidRPr="00A24F11" w:rsidRDefault="003B1F02" w:rsidP="009F5E3B">
      <w:pPr>
        <w:pStyle w:val="Normal1"/>
        <w:spacing w:line="360" w:lineRule="auto"/>
        <w:jc w:val="both"/>
        <w:rPr>
          <w:rFonts w:ascii="Times New Roman" w:eastAsia="Times New Roman" w:hAnsi="Times New Roman" w:cs="Times New Roman"/>
          <w:sz w:val="24"/>
          <w:szCs w:val="24"/>
          <w:lang w:val="en-GB"/>
        </w:rPr>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B1F02" w:rsidRPr="00A24F11" w14:paraId="587FA9DC" w14:textId="77777777">
        <w:trPr>
          <w:cantSplit/>
          <w:tblHeader/>
        </w:trPr>
        <w:tc>
          <w:tcPr>
            <w:tcW w:w="4514" w:type="dxa"/>
            <w:shd w:val="clear" w:color="auto" w:fill="auto"/>
            <w:tcMar>
              <w:top w:w="100" w:type="dxa"/>
              <w:left w:w="100" w:type="dxa"/>
              <w:bottom w:w="100" w:type="dxa"/>
              <w:right w:w="100" w:type="dxa"/>
            </w:tcMar>
          </w:tcPr>
          <w:p w14:paraId="587FA9DA" w14:textId="77777777" w:rsidR="003B1F02" w:rsidRPr="00D8278C"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D8278C">
              <w:rPr>
                <w:rFonts w:ascii="Times New Roman" w:eastAsia="Times New Roman" w:hAnsi="Times New Roman" w:cs="Times New Roman"/>
                <w:b/>
                <w:sz w:val="24"/>
                <w:szCs w:val="24"/>
                <w:lang w:val="en-GB"/>
              </w:rPr>
              <w:lastRenderedPageBreak/>
              <w:t xml:space="preserve">Advantages </w:t>
            </w:r>
          </w:p>
        </w:tc>
        <w:tc>
          <w:tcPr>
            <w:tcW w:w="4514" w:type="dxa"/>
            <w:shd w:val="clear" w:color="auto" w:fill="auto"/>
            <w:tcMar>
              <w:top w:w="100" w:type="dxa"/>
              <w:left w:w="100" w:type="dxa"/>
              <w:bottom w:w="100" w:type="dxa"/>
              <w:right w:w="100" w:type="dxa"/>
            </w:tcMar>
          </w:tcPr>
          <w:p w14:paraId="587FA9DB" w14:textId="77777777" w:rsidR="003B1F02" w:rsidRPr="00D8278C"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D8278C">
              <w:rPr>
                <w:rFonts w:ascii="Times New Roman" w:eastAsia="Times New Roman" w:hAnsi="Times New Roman" w:cs="Times New Roman"/>
                <w:b/>
                <w:sz w:val="24"/>
                <w:szCs w:val="24"/>
                <w:lang w:val="en-GB"/>
              </w:rPr>
              <w:t xml:space="preserve">Disadvantages </w:t>
            </w:r>
          </w:p>
        </w:tc>
      </w:tr>
      <w:tr w:rsidR="003B1F02" w:rsidRPr="00A24F11" w14:paraId="587FA9DF" w14:textId="77777777">
        <w:trPr>
          <w:cantSplit/>
          <w:tblHeader/>
        </w:trPr>
        <w:tc>
          <w:tcPr>
            <w:tcW w:w="4514" w:type="dxa"/>
            <w:shd w:val="clear" w:color="auto" w:fill="auto"/>
            <w:tcMar>
              <w:top w:w="100" w:type="dxa"/>
              <w:left w:w="100" w:type="dxa"/>
              <w:bottom w:w="100" w:type="dxa"/>
              <w:right w:w="100" w:type="dxa"/>
            </w:tcMar>
          </w:tcPr>
          <w:p w14:paraId="587FA9DD"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It is aligned to meet the contemporary needs of Human rights protection.</w:t>
            </w:r>
          </w:p>
        </w:tc>
        <w:tc>
          <w:tcPr>
            <w:tcW w:w="4514" w:type="dxa"/>
            <w:shd w:val="clear" w:color="auto" w:fill="auto"/>
            <w:tcMar>
              <w:top w:w="100" w:type="dxa"/>
              <w:left w:w="100" w:type="dxa"/>
              <w:bottom w:w="100" w:type="dxa"/>
              <w:right w:w="100" w:type="dxa"/>
            </w:tcMar>
          </w:tcPr>
          <w:p w14:paraId="587FA9DE"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It can create inconsistencies with the convention rights enacted by the EU</w:t>
            </w:r>
          </w:p>
        </w:tc>
      </w:tr>
      <w:tr w:rsidR="003B1F02" w:rsidRPr="00A24F11" w14:paraId="587FA9E2" w14:textId="77777777">
        <w:trPr>
          <w:cantSplit/>
          <w:tblHeader/>
        </w:trPr>
        <w:tc>
          <w:tcPr>
            <w:tcW w:w="4514" w:type="dxa"/>
            <w:shd w:val="clear" w:color="auto" w:fill="auto"/>
            <w:tcMar>
              <w:top w:w="100" w:type="dxa"/>
              <w:left w:w="100" w:type="dxa"/>
              <w:bottom w:w="100" w:type="dxa"/>
              <w:right w:w="100" w:type="dxa"/>
            </w:tcMar>
          </w:tcPr>
          <w:p w14:paraId="587FA9E0"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It is to restrict the UK courts from interpreting the Convention Rights in a manner that creates a positive obligation on the public authorities, (</w:t>
            </w:r>
            <w:r w:rsidRPr="00A24F11">
              <w:rPr>
                <w:rFonts w:ascii="Times New Roman" w:eastAsia="Times New Roman" w:hAnsi="Times New Roman" w:cs="Times New Roman"/>
                <w:color w:val="222222"/>
                <w:sz w:val="24"/>
                <w:szCs w:val="24"/>
                <w:highlight w:val="white"/>
                <w:lang w:val="en-GB"/>
              </w:rPr>
              <w:t xml:space="preserve">Böhnke </w:t>
            </w:r>
            <w:r w:rsidRPr="00A24F11">
              <w:rPr>
                <w:rFonts w:ascii="Times New Roman" w:eastAsia="Times New Roman" w:hAnsi="Times New Roman" w:cs="Times New Roman"/>
                <w:i/>
                <w:color w:val="222222"/>
                <w:sz w:val="24"/>
                <w:szCs w:val="24"/>
                <w:highlight w:val="white"/>
                <w:lang w:val="en-GB"/>
              </w:rPr>
              <w:t>et al</w:t>
            </w:r>
            <w:r w:rsidRPr="00A24F11">
              <w:rPr>
                <w:rFonts w:ascii="Times New Roman" w:eastAsia="Times New Roman" w:hAnsi="Times New Roman" w:cs="Times New Roman"/>
                <w:color w:val="222222"/>
                <w:sz w:val="24"/>
                <w:szCs w:val="24"/>
                <w:highlight w:val="white"/>
                <w:lang w:val="en-GB"/>
              </w:rPr>
              <w:t>., 2018, p. 1197</w:t>
            </w:r>
            <w:r w:rsidRPr="00A24F11">
              <w:rPr>
                <w:rFonts w:ascii="Times New Roman" w:eastAsia="Times New Roman" w:hAnsi="Times New Roman" w:cs="Times New Roman"/>
                <w:sz w:val="24"/>
                <w:szCs w:val="24"/>
                <w:lang w:val="en-GB"/>
              </w:rPr>
              <w:t xml:space="preserve">). </w:t>
            </w:r>
          </w:p>
        </w:tc>
        <w:tc>
          <w:tcPr>
            <w:tcW w:w="4514" w:type="dxa"/>
            <w:shd w:val="clear" w:color="auto" w:fill="auto"/>
            <w:tcMar>
              <w:top w:w="100" w:type="dxa"/>
              <w:left w:w="100" w:type="dxa"/>
              <w:bottom w:w="100" w:type="dxa"/>
              <w:right w:w="100" w:type="dxa"/>
            </w:tcMar>
          </w:tcPr>
          <w:p w14:paraId="587FA9E1"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could lead to the creation of delays as the power of courts is restricted </w:t>
            </w:r>
          </w:p>
        </w:tc>
      </w:tr>
      <w:tr w:rsidR="003B1F02" w:rsidRPr="00A24F11" w14:paraId="587FA9E5" w14:textId="77777777">
        <w:trPr>
          <w:cantSplit/>
          <w:tblHeader/>
        </w:trPr>
        <w:tc>
          <w:tcPr>
            <w:tcW w:w="4514" w:type="dxa"/>
            <w:shd w:val="clear" w:color="auto" w:fill="auto"/>
            <w:tcMar>
              <w:top w:w="100" w:type="dxa"/>
              <w:left w:w="100" w:type="dxa"/>
              <w:bottom w:w="100" w:type="dxa"/>
              <w:right w:w="100" w:type="dxa"/>
            </w:tcMar>
          </w:tcPr>
          <w:p w14:paraId="587FA9E3"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further advocates the fostering and safeguarding of several fundamental rights including freedom of speech and religion. </w:t>
            </w:r>
          </w:p>
        </w:tc>
        <w:tc>
          <w:tcPr>
            <w:tcW w:w="4514" w:type="dxa"/>
            <w:shd w:val="clear" w:color="auto" w:fill="auto"/>
            <w:tcMar>
              <w:top w:w="100" w:type="dxa"/>
              <w:left w:w="100" w:type="dxa"/>
              <w:bottom w:w="100" w:type="dxa"/>
              <w:right w:w="100" w:type="dxa"/>
            </w:tcMar>
          </w:tcPr>
          <w:p w14:paraId="587FA9E4"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It can lead the government to take higher control by attaining higher powers to restrict the courts from implementing a decision.</w:t>
            </w:r>
          </w:p>
        </w:tc>
      </w:tr>
      <w:tr w:rsidR="003B1F02" w:rsidRPr="00A24F11" w14:paraId="587FA9E8" w14:textId="77777777">
        <w:trPr>
          <w:cantSplit/>
          <w:tblHeader/>
        </w:trPr>
        <w:tc>
          <w:tcPr>
            <w:tcW w:w="4514" w:type="dxa"/>
            <w:shd w:val="clear" w:color="auto" w:fill="auto"/>
            <w:tcMar>
              <w:top w:w="100" w:type="dxa"/>
              <w:left w:w="100" w:type="dxa"/>
              <w:bottom w:w="100" w:type="dxa"/>
              <w:right w:w="100" w:type="dxa"/>
            </w:tcMar>
          </w:tcPr>
          <w:p w14:paraId="587FA9E6" w14:textId="77777777" w:rsidR="003B1F02" w:rsidRPr="00A24F11" w:rsidRDefault="00777221" w:rsidP="009F5E3B">
            <w:pPr>
              <w:pStyle w:val="Normal1"/>
              <w:widowControl w:val="0"/>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restricts the courts from adhering to the aspect of the impartial proportionality assessment </w:t>
            </w:r>
          </w:p>
        </w:tc>
        <w:tc>
          <w:tcPr>
            <w:tcW w:w="4514" w:type="dxa"/>
            <w:shd w:val="clear" w:color="auto" w:fill="auto"/>
            <w:tcMar>
              <w:top w:w="100" w:type="dxa"/>
              <w:left w:w="100" w:type="dxa"/>
              <w:bottom w:w="100" w:type="dxa"/>
              <w:right w:w="100" w:type="dxa"/>
            </w:tcMar>
          </w:tcPr>
          <w:p w14:paraId="587FA9E7"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can further complicate the process of human rights access thereby making it difficult for the victims to access justice. </w:t>
            </w:r>
          </w:p>
        </w:tc>
      </w:tr>
      <w:tr w:rsidR="003B1F02" w:rsidRPr="00A24F11" w14:paraId="587FA9EB" w14:textId="77777777">
        <w:trPr>
          <w:cantSplit/>
          <w:tblHeader/>
        </w:trPr>
        <w:tc>
          <w:tcPr>
            <w:tcW w:w="4514" w:type="dxa"/>
            <w:shd w:val="clear" w:color="auto" w:fill="auto"/>
            <w:tcMar>
              <w:top w:w="100" w:type="dxa"/>
              <w:left w:w="100" w:type="dxa"/>
              <w:bottom w:w="100" w:type="dxa"/>
              <w:right w:w="100" w:type="dxa"/>
            </w:tcMar>
          </w:tcPr>
          <w:p w14:paraId="587FA9E9"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intends to reduce the burden on public authorities. </w:t>
            </w:r>
          </w:p>
        </w:tc>
        <w:tc>
          <w:tcPr>
            <w:tcW w:w="4514" w:type="dxa"/>
            <w:shd w:val="clear" w:color="auto" w:fill="auto"/>
            <w:tcMar>
              <w:top w:w="100" w:type="dxa"/>
              <w:left w:w="100" w:type="dxa"/>
              <w:bottom w:w="100" w:type="dxa"/>
              <w:right w:w="100" w:type="dxa"/>
            </w:tcMar>
          </w:tcPr>
          <w:p w14:paraId="587FA9EA" w14:textId="77777777" w:rsidR="003B1F02" w:rsidRPr="00A24F11" w:rsidRDefault="00777221" w:rsidP="009F5E3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It can block the constitutional role of courts in safeguarding human rights and reduce government accountability to a large extent. </w:t>
            </w:r>
          </w:p>
        </w:tc>
      </w:tr>
    </w:tbl>
    <w:p w14:paraId="587FA9EC" w14:textId="77777777" w:rsidR="003B1F02" w:rsidRPr="00A24F11" w:rsidRDefault="003B1F02" w:rsidP="009F5E3B">
      <w:pPr>
        <w:pStyle w:val="Normal1"/>
        <w:spacing w:line="360" w:lineRule="auto"/>
        <w:jc w:val="both"/>
        <w:rPr>
          <w:rFonts w:ascii="Times New Roman" w:eastAsia="Times New Roman" w:hAnsi="Times New Roman" w:cs="Times New Roman"/>
          <w:sz w:val="24"/>
          <w:szCs w:val="24"/>
          <w:lang w:val="en-GB"/>
        </w:rPr>
      </w:pPr>
    </w:p>
    <w:p w14:paraId="587FA9ED" w14:textId="77777777" w:rsidR="003B1F02" w:rsidRPr="00A24F11" w:rsidRDefault="00777221" w:rsidP="009F5E3B">
      <w:pPr>
        <w:pStyle w:val="Heading1"/>
        <w:rPr>
          <w:lang w:val="en-GB"/>
        </w:rPr>
      </w:pPr>
      <w:bookmarkStart w:id="23" w:name="_oyi5baic9nj5" w:colFirst="0" w:colLast="0"/>
      <w:bookmarkStart w:id="24" w:name="_Toc128151108"/>
      <w:bookmarkEnd w:id="23"/>
      <w:r w:rsidRPr="00A24F11">
        <w:rPr>
          <w:lang w:val="en-GB"/>
        </w:rPr>
        <w:t>Recommendations for further reforms</w:t>
      </w:r>
      <w:bookmarkEnd w:id="24"/>
    </w:p>
    <w:p w14:paraId="587FA9EE"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 xml:space="preserve">The Bill Of Rights Bill has several provisions within it which can prove beneficial for the citizens of the state. Moreover, it is a commendable step undertaken by the government to replace the age-old laws with subsequent legislation that cater to the current issues within the Human rights discipline. However, an analysis of the bill has depicted it reduces the autonomy of the courts in UK since they can be superseded by government intervention. Therefore, it is recommended that the relevant amendments made in the regulations of the Bill align with the subsequent aspect and enhance its efficiency in relevance to Human Rights protection. </w:t>
      </w:r>
    </w:p>
    <w:p w14:paraId="587FA9EF" w14:textId="77777777" w:rsidR="003B1F02" w:rsidRPr="00A24F11" w:rsidRDefault="00777221" w:rsidP="009F5E3B">
      <w:pPr>
        <w:pStyle w:val="Heading1"/>
        <w:rPr>
          <w:lang w:val="en-GB"/>
        </w:rPr>
      </w:pPr>
      <w:bookmarkStart w:id="25" w:name="_n8xaht665pdn" w:colFirst="0" w:colLast="0"/>
      <w:bookmarkStart w:id="26" w:name="_Toc128151109"/>
      <w:bookmarkEnd w:id="25"/>
      <w:r w:rsidRPr="00A24F11">
        <w:rPr>
          <w:lang w:val="en-GB"/>
        </w:rPr>
        <w:t>Conclusion</w:t>
      </w:r>
      <w:bookmarkEnd w:id="26"/>
    </w:p>
    <w:p w14:paraId="587FA9F0" w14:textId="77777777" w:rsidR="003B1F02" w:rsidRPr="00A24F11" w:rsidRDefault="00777221" w:rsidP="009F5E3B">
      <w:pPr>
        <w:pStyle w:val="Normal1"/>
        <w:spacing w:line="360" w:lineRule="auto"/>
        <w:jc w:val="both"/>
        <w:rPr>
          <w:rFonts w:ascii="Times New Roman" w:eastAsia="Times New Roman" w:hAnsi="Times New Roman" w:cs="Times New Roman"/>
          <w:sz w:val="24"/>
          <w:szCs w:val="24"/>
          <w:lang w:val="en-GB"/>
        </w:rPr>
      </w:pPr>
      <w:r w:rsidRPr="00A24F11">
        <w:rPr>
          <w:rFonts w:ascii="Times New Roman" w:eastAsia="Times New Roman" w:hAnsi="Times New Roman" w:cs="Times New Roman"/>
          <w:sz w:val="24"/>
          <w:szCs w:val="24"/>
          <w:lang w:val="en-GB"/>
        </w:rPr>
        <w:t>The study in its entirety concerns discussing the various aspects of Human Rights through the use of distinct acts</w:t>
      </w:r>
      <w:r w:rsidR="00375A10" w:rsidRPr="00A24F11">
        <w:rPr>
          <w:rFonts w:ascii="Times New Roman" w:eastAsia="Times New Roman" w:hAnsi="Times New Roman" w:cs="Times New Roman"/>
          <w:sz w:val="24"/>
          <w:szCs w:val="24"/>
          <w:lang w:val="en-GB"/>
        </w:rPr>
        <w:t xml:space="preserve"> and regulations. Subsequently </w:t>
      </w:r>
      <w:r w:rsidRPr="00A24F11">
        <w:rPr>
          <w:rFonts w:ascii="Times New Roman" w:eastAsia="Times New Roman" w:hAnsi="Times New Roman" w:cs="Times New Roman"/>
          <w:sz w:val="24"/>
          <w:szCs w:val="24"/>
          <w:lang w:val="en-GB"/>
        </w:rPr>
        <w:t>the comparison between the earlier Human Rights Act 1988 and the new Bill of Rights Bill</w:t>
      </w:r>
      <w:r w:rsidR="00D73491" w:rsidRPr="00A24F11">
        <w:rPr>
          <w:rFonts w:ascii="Times New Roman" w:eastAsia="Times New Roman" w:hAnsi="Times New Roman" w:cs="Times New Roman"/>
          <w:sz w:val="24"/>
          <w:szCs w:val="24"/>
          <w:lang w:val="en-GB"/>
        </w:rPr>
        <w:t xml:space="preserve"> has also been discussed</w:t>
      </w:r>
      <w:r w:rsidRPr="00A24F11">
        <w:rPr>
          <w:rFonts w:ascii="Times New Roman" w:eastAsia="Times New Roman" w:hAnsi="Times New Roman" w:cs="Times New Roman"/>
          <w:sz w:val="24"/>
          <w:szCs w:val="24"/>
          <w:lang w:val="en-GB"/>
        </w:rPr>
        <w:t xml:space="preserve">. The advantages of the </w:t>
      </w:r>
      <w:r w:rsidRPr="00A24F11">
        <w:rPr>
          <w:rFonts w:ascii="Times New Roman" w:eastAsia="Times New Roman" w:hAnsi="Times New Roman" w:cs="Times New Roman"/>
          <w:sz w:val="24"/>
          <w:szCs w:val="24"/>
          <w:lang w:val="en-GB"/>
        </w:rPr>
        <w:lastRenderedPageBreak/>
        <w:t xml:space="preserve">proposed changes and their disadvantages with subsequent recommendations have been detailed in the above study. </w:t>
      </w:r>
      <w:r w:rsidRPr="00A24F11">
        <w:rPr>
          <w:lang w:val="en-GB"/>
        </w:rPr>
        <w:br w:type="page"/>
      </w:r>
    </w:p>
    <w:p w14:paraId="587FA9F1" w14:textId="77777777" w:rsidR="003B1F02" w:rsidRPr="00A24F11" w:rsidRDefault="00777221" w:rsidP="009F5E3B">
      <w:pPr>
        <w:pStyle w:val="Heading1"/>
        <w:rPr>
          <w:lang w:val="en-GB"/>
        </w:rPr>
      </w:pPr>
      <w:bookmarkStart w:id="27" w:name="_w4x8r5x05j4z" w:colFirst="0" w:colLast="0"/>
      <w:bookmarkStart w:id="28" w:name="_Toc128151110"/>
      <w:bookmarkEnd w:id="27"/>
      <w:r w:rsidRPr="00A24F11">
        <w:rPr>
          <w:lang w:val="en-GB"/>
        </w:rPr>
        <w:lastRenderedPageBreak/>
        <w:t>References</w:t>
      </w:r>
      <w:bookmarkEnd w:id="28"/>
      <w:r w:rsidRPr="00A24F11">
        <w:rPr>
          <w:lang w:val="en-GB"/>
        </w:rPr>
        <w:t xml:space="preserve"> </w:t>
      </w:r>
    </w:p>
    <w:p w14:paraId="587FA9F2" w14:textId="77777777" w:rsidR="009F5E3B" w:rsidRPr="00A24F11" w:rsidRDefault="009F5E3B" w:rsidP="009F5E3B">
      <w:pPr>
        <w:spacing w:line="360" w:lineRule="auto"/>
        <w:jc w:val="both"/>
        <w:rPr>
          <w:rFonts w:ascii="Times New Roman" w:hAnsi="Times New Roman" w:cs="Times New Roman"/>
          <w:b/>
          <w:sz w:val="24"/>
          <w:szCs w:val="24"/>
          <w:lang w:val="en-GB"/>
        </w:rPr>
      </w:pPr>
      <w:r w:rsidRPr="00A24F11">
        <w:rPr>
          <w:rFonts w:ascii="Times New Roman" w:hAnsi="Times New Roman" w:cs="Times New Roman"/>
          <w:b/>
          <w:sz w:val="24"/>
          <w:szCs w:val="24"/>
          <w:lang w:val="en-GB"/>
        </w:rPr>
        <w:t xml:space="preserve">Books </w:t>
      </w:r>
    </w:p>
    <w:p w14:paraId="587FA9F3"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Smith, R.K., 2022. </w:t>
      </w:r>
      <w:r w:rsidRPr="00A24F11">
        <w:rPr>
          <w:rFonts w:ascii="Times New Roman" w:hAnsi="Times New Roman" w:cs="Times New Roman"/>
          <w:i/>
          <w:iCs/>
          <w:color w:val="222222"/>
          <w:sz w:val="24"/>
          <w:szCs w:val="24"/>
          <w:shd w:val="clear" w:color="auto" w:fill="FFFFFF"/>
          <w:lang w:val="en-GB"/>
        </w:rPr>
        <w:t>International human rights law</w:t>
      </w:r>
      <w:r w:rsidRPr="00A24F11">
        <w:rPr>
          <w:rFonts w:ascii="Times New Roman" w:hAnsi="Times New Roman" w:cs="Times New Roman"/>
          <w:color w:val="222222"/>
          <w:sz w:val="24"/>
          <w:szCs w:val="24"/>
          <w:shd w:val="clear" w:color="auto" w:fill="FFFFFF"/>
          <w:lang w:val="en-GB"/>
        </w:rPr>
        <w:t xml:space="preserve">. Oxford University Press. </w:t>
      </w:r>
      <w:hyperlink r:id="rId8" w:history="1">
        <w:r w:rsidRPr="00A24F11">
          <w:rPr>
            <w:rStyle w:val="Hyperlink"/>
            <w:rFonts w:ascii="Times New Roman" w:hAnsi="Times New Roman" w:cs="Times New Roman"/>
            <w:sz w:val="24"/>
            <w:szCs w:val="24"/>
            <w:shd w:val="clear" w:color="auto" w:fill="FFFFFF"/>
            <w:lang w:val="en-GB"/>
          </w:rPr>
          <w:t>https://books.google.com/books?hl=en&amp;lr=&amp;id=EIRSEAAAQBAJ&amp;oi=fnd&amp;pg=PP1&amp;dq=bill+of+rights+uk+human+rights&amp;ots=v4oXlGnXWN&amp;sig=LyHw5TwjMujRTppMy334CX33f_0</w:t>
        </w:r>
      </w:hyperlink>
    </w:p>
    <w:p w14:paraId="587FA9F4"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Sunstein, C.R. and Reisch, L.A., 2019. </w:t>
      </w:r>
      <w:r w:rsidRPr="00A24F11">
        <w:rPr>
          <w:rFonts w:ascii="Times New Roman" w:hAnsi="Times New Roman" w:cs="Times New Roman"/>
          <w:i/>
          <w:iCs/>
          <w:color w:val="222222"/>
          <w:sz w:val="24"/>
          <w:szCs w:val="24"/>
          <w:shd w:val="clear" w:color="auto" w:fill="FFFFFF"/>
          <w:lang w:val="en-GB"/>
        </w:rPr>
        <w:t>Trusting nudges: Toward a bill of rights for nudging</w:t>
      </w:r>
      <w:r w:rsidRPr="00A24F11">
        <w:rPr>
          <w:rFonts w:ascii="Times New Roman" w:hAnsi="Times New Roman" w:cs="Times New Roman"/>
          <w:color w:val="222222"/>
          <w:sz w:val="24"/>
          <w:szCs w:val="24"/>
          <w:shd w:val="clear" w:color="auto" w:fill="FFFFFF"/>
          <w:lang w:val="en-GB"/>
        </w:rPr>
        <w:t xml:space="preserve">. Routledge. </w:t>
      </w:r>
      <w:hyperlink r:id="rId9" w:history="1">
        <w:r w:rsidRPr="00A24F11">
          <w:rPr>
            <w:rStyle w:val="Hyperlink"/>
            <w:rFonts w:ascii="Times New Roman" w:hAnsi="Times New Roman" w:cs="Times New Roman"/>
            <w:sz w:val="24"/>
            <w:szCs w:val="24"/>
            <w:shd w:val="clear" w:color="auto" w:fill="FFFFFF"/>
            <w:lang w:val="en-GB"/>
          </w:rPr>
          <w:t>https://www.taylorfrancis.com/books/mono/10.4324/9780429451645/trusting-nudges-cass-sunstein-lucia-reisch</w:t>
        </w:r>
      </w:hyperlink>
    </w:p>
    <w:p w14:paraId="587FA9F5"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Whyte, J., 2019. </w:t>
      </w:r>
      <w:r w:rsidRPr="00A24F11">
        <w:rPr>
          <w:rFonts w:ascii="Times New Roman" w:hAnsi="Times New Roman" w:cs="Times New Roman"/>
          <w:i/>
          <w:iCs/>
          <w:color w:val="222222"/>
          <w:sz w:val="24"/>
          <w:szCs w:val="24"/>
          <w:shd w:val="clear" w:color="auto" w:fill="FFFFFF"/>
          <w:lang w:val="en-GB"/>
        </w:rPr>
        <w:t>The morals of the market: Human rights and the rise of neoliberalism</w:t>
      </w:r>
      <w:r w:rsidRPr="00A24F11">
        <w:rPr>
          <w:rFonts w:ascii="Times New Roman" w:hAnsi="Times New Roman" w:cs="Times New Roman"/>
          <w:color w:val="222222"/>
          <w:sz w:val="24"/>
          <w:szCs w:val="24"/>
          <w:shd w:val="clear" w:color="auto" w:fill="FFFFFF"/>
          <w:lang w:val="en-GB"/>
        </w:rPr>
        <w:t xml:space="preserve">. Verso Books. </w:t>
      </w:r>
      <w:hyperlink r:id="rId10" w:history="1">
        <w:r w:rsidRPr="00A24F11">
          <w:rPr>
            <w:rStyle w:val="Hyperlink"/>
            <w:rFonts w:ascii="Times New Roman" w:hAnsi="Times New Roman" w:cs="Times New Roman"/>
            <w:sz w:val="24"/>
            <w:szCs w:val="24"/>
            <w:shd w:val="clear" w:color="auto" w:fill="FFFFFF"/>
            <w:lang w:val="en-GB"/>
          </w:rPr>
          <w:t>https://books.google.com/books?hl=en&amp;lr=&amp;id=TG_nDwAAQBAJ&amp;oi=fnd&amp;pg=PT6&amp;dq=bill+of+rights+uk+human+rights&amp;ots=R6E0BphrGb&amp;sig=xF8EMw7JgCSGK-riXtsl2hxvOq4</w:t>
        </w:r>
      </w:hyperlink>
    </w:p>
    <w:p w14:paraId="587FA9F6" w14:textId="77777777" w:rsidR="009F5E3B" w:rsidRPr="00A24F11" w:rsidRDefault="009F5E3B" w:rsidP="009F5E3B">
      <w:pPr>
        <w:spacing w:line="360" w:lineRule="auto"/>
        <w:jc w:val="both"/>
        <w:rPr>
          <w:rFonts w:ascii="Times New Roman" w:hAnsi="Times New Roman" w:cs="Times New Roman"/>
          <w:b/>
          <w:sz w:val="24"/>
          <w:szCs w:val="24"/>
          <w:lang w:val="en-GB"/>
        </w:rPr>
      </w:pPr>
      <w:r w:rsidRPr="00A24F11">
        <w:rPr>
          <w:rFonts w:ascii="Times New Roman" w:hAnsi="Times New Roman" w:cs="Times New Roman"/>
          <w:b/>
          <w:sz w:val="24"/>
          <w:szCs w:val="24"/>
          <w:lang w:val="en-GB"/>
        </w:rPr>
        <w:t xml:space="preserve">Journals </w:t>
      </w:r>
    </w:p>
    <w:p w14:paraId="587FA9F7"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Böhnke, J., Dellermann, T., Celik, M.A., Krummenacher, I., Dewhurst, R.D., Demeshko, S., Ewing, W.C., Hammond, K., Heß, M., Bill, E. and Welz, E., 2018. Isolation of diborenes and their 90-twisted diradical congeners. </w:t>
      </w:r>
      <w:r w:rsidRPr="00A24F11">
        <w:rPr>
          <w:rFonts w:ascii="Times New Roman" w:hAnsi="Times New Roman" w:cs="Times New Roman"/>
          <w:i/>
          <w:iCs/>
          <w:color w:val="222222"/>
          <w:sz w:val="24"/>
          <w:szCs w:val="24"/>
          <w:shd w:val="clear" w:color="auto" w:fill="FFFFFF"/>
          <w:lang w:val="en-GB"/>
        </w:rPr>
        <w:t>Nature Communications</w:t>
      </w:r>
      <w:r w:rsidRPr="00A24F11">
        <w:rPr>
          <w:rFonts w:ascii="Times New Roman" w:hAnsi="Times New Roman" w:cs="Times New Roman"/>
          <w:color w:val="222222"/>
          <w:sz w:val="24"/>
          <w:szCs w:val="24"/>
          <w:shd w:val="clear" w:color="auto" w:fill="FFFFFF"/>
          <w:lang w:val="en-GB"/>
        </w:rPr>
        <w:t>, </w:t>
      </w:r>
      <w:r w:rsidRPr="00A24F11">
        <w:rPr>
          <w:rFonts w:ascii="Times New Roman" w:hAnsi="Times New Roman" w:cs="Times New Roman"/>
          <w:i/>
          <w:iCs/>
          <w:color w:val="222222"/>
          <w:sz w:val="24"/>
          <w:szCs w:val="24"/>
          <w:shd w:val="clear" w:color="auto" w:fill="FFFFFF"/>
          <w:lang w:val="en-GB"/>
        </w:rPr>
        <w:t>9</w:t>
      </w:r>
      <w:r w:rsidRPr="00A24F11">
        <w:rPr>
          <w:rFonts w:ascii="Times New Roman" w:hAnsi="Times New Roman" w:cs="Times New Roman"/>
          <w:color w:val="222222"/>
          <w:sz w:val="24"/>
          <w:szCs w:val="24"/>
          <w:shd w:val="clear" w:color="auto" w:fill="FFFFFF"/>
          <w:lang w:val="en-GB"/>
        </w:rPr>
        <w:t>(1), p.1197.</w:t>
      </w:r>
      <w:r w:rsidRPr="00A24F11">
        <w:rPr>
          <w:rFonts w:ascii="Times New Roman" w:hAnsi="Times New Roman" w:cs="Times New Roman"/>
          <w:sz w:val="24"/>
          <w:szCs w:val="24"/>
          <w:lang w:val="en-GB"/>
        </w:rPr>
        <w:t xml:space="preserve"> </w:t>
      </w:r>
      <w:hyperlink r:id="rId11" w:history="1">
        <w:r w:rsidRPr="00A24F11">
          <w:rPr>
            <w:rStyle w:val="Hyperlink"/>
            <w:rFonts w:ascii="Times New Roman" w:hAnsi="Times New Roman" w:cs="Times New Roman"/>
            <w:sz w:val="24"/>
            <w:szCs w:val="24"/>
            <w:shd w:val="clear" w:color="auto" w:fill="FFFFFF"/>
            <w:lang w:val="en-GB"/>
          </w:rPr>
          <w:t>https://www.nature.com/articles/s41467-018-02998-3</w:t>
        </w:r>
      </w:hyperlink>
    </w:p>
    <w:p w14:paraId="587FA9F8"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Salman, M.M., Kitchen, P., Iliff, J.J. and Bill, R.M., 2021. Aquaporin 4 and glymphatic flow have central roles in brain fluid homeostasis. </w:t>
      </w:r>
      <w:r w:rsidRPr="00A24F11">
        <w:rPr>
          <w:rFonts w:ascii="Times New Roman" w:hAnsi="Times New Roman" w:cs="Times New Roman"/>
          <w:i/>
          <w:iCs/>
          <w:color w:val="222222"/>
          <w:sz w:val="24"/>
          <w:szCs w:val="24"/>
          <w:shd w:val="clear" w:color="auto" w:fill="FFFFFF"/>
          <w:lang w:val="en-GB"/>
        </w:rPr>
        <w:t>Nature Reviews Neuroscience</w:t>
      </w:r>
      <w:r w:rsidRPr="00A24F11">
        <w:rPr>
          <w:rFonts w:ascii="Times New Roman" w:hAnsi="Times New Roman" w:cs="Times New Roman"/>
          <w:color w:val="222222"/>
          <w:sz w:val="24"/>
          <w:szCs w:val="24"/>
          <w:shd w:val="clear" w:color="auto" w:fill="FFFFFF"/>
          <w:lang w:val="en-GB"/>
        </w:rPr>
        <w:t>, </w:t>
      </w:r>
      <w:r w:rsidRPr="00A24F11">
        <w:rPr>
          <w:rFonts w:ascii="Times New Roman" w:hAnsi="Times New Roman" w:cs="Times New Roman"/>
          <w:i/>
          <w:iCs/>
          <w:color w:val="222222"/>
          <w:sz w:val="24"/>
          <w:szCs w:val="24"/>
          <w:shd w:val="clear" w:color="auto" w:fill="FFFFFF"/>
          <w:lang w:val="en-GB"/>
        </w:rPr>
        <w:t>22</w:t>
      </w:r>
      <w:r w:rsidRPr="00A24F11">
        <w:rPr>
          <w:rFonts w:ascii="Times New Roman" w:hAnsi="Times New Roman" w:cs="Times New Roman"/>
          <w:color w:val="222222"/>
          <w:sz w:val="24"/>
          <w:szCs w:val="24"/>
          <w:shd w:val="clear" w:color="auto" w:fill="FFFFFF"/>
          <w:lang w:val="en-GB"/>
        </w:rPr>
        <w:t>(10), pp.650-651.</w:t>
      </w:r>
      <w:r w:rsidRPr="00A24F11">
        <w:rPr>
          <w:rFonts w:ascii="Times New Roman" w:hAnsi="Times New Roman" w:cs="Times New Roman"/>
          <w:sz w:val="24"/>
          <w:szCs w:val="24"/>
          <w:lang w:val="en-GB"/>
        </w:rPr>
        <w:t xml:space="preserve"> </w:t>
      </w:r>
      <w:hyperlink r:id="rId12" w:history="1">
        <w:r w:rsidRPr="00A24F11">
          <w:rPr>
            <w:rStyle w:val="Hyperlink"/>
            <w:rFonts w:ascii="Times New Roman" w:hAnsi="Times New Roman" w:cs="Times New Roman"/>
            <w:sz w:val="24"/>
            <w:szCs w:val="24"/>
            <w:shd w:val="clear" w:color="auto" w:fill="FFFFFF"/>
            <w:lang w:val="en-GB"/>
          </w:rPr>
          <w:t>https://www.nature.com/articles/s41583-021-00514-z</w:t>
        </w:r>
      </w:hyperlink>
    </w:p>
    <w:p w14:paraId="587FA9F9" w14:textId="77777777" w:rsidR="00A222A9" w:rsidRPr="00A24F11" w:rsidRDefault="00A222A9" w:rsidP="009F5E3B">
      <w:pPr>
        <w:spacing w:line="360" w:lineRule="auto"/>
        <w:jc w:val="both"/>
        <w:rPr>
          <w:rFonts w:ascii="Times New Roman" w:hAnsi="Times New Roman" w:cs="Times New Roman"/>
          <w:color w:val="222222"/>
          <w:sz w:val="24"/>
          <w:szCs w:val="24"/>
          <w:shd w:val="clear" w:color="auto" w:fill="FFFFFF"/>
          <w:lang w:val="en-GB"/>
        </w:rPr>
      </w:pPr>
      <w:r w:rsidRPr="00A24F11">
        <w:rPr>
          <w:rFonts w:ascii="Times New Roman" w:hAnsi="Times New Roman" w:cs="Times New Roman"/>
          <w:color w:val="222222"/>
          <w:sz w:val="24"/>
          <w:szCs w:val="24"/>
          <w:shd w:val="clear" w:color="auto" w:fill="FFFFFF"/>
          <w:lang w:val="en-GB"/>
        </w:rPr>
        <w:t>Yilma, K.M., 2022. Bill of rights for the 21st century: some lessons from the Internet Bill of Rights movement. </w:t>
      </w:r>
      <w:r w:rsidRPr="00A24F11">
        <w:rPr>
          <w:rFonts w:ascii="Times New Roman" w:hAnsi="Times New Roman" w:cs="Times New Roman"/>
          <w:i/>
          <w:iCs/>
          <w:color w:val="222222"/>
          <w:sz w:val="24"/>
          <w:szCs w:val="24"/>
          <w:shd w:val="clear" w:color="auto" w:fill="FFFFFF"/>
          <w:lang w:val="en-GB"/>
        </w:rPr>
        <w:t>The International Journal of Human Rights</w:t>
      </w:r>
      <w:r w:rsidRPr="00A24F11">
        <w:rPr>
          <w:rFonts w:ascii="Times New Roman" w:hAnsi="Times New Roman" w:cs="Times New Roman"/>
          <w:color w:val="222222"/>
          <w:sz w:val="24"/>
          <w:szCs w:val="24"/>
          <w:shd w:val="clear" w:color="auto" w:fill="FFFFFF"/>
          <w:lang w:val="en-GB"/>
        </w:rPr>
        <w:t>, </w:t>
      </w:r>
      <w:r w:rsidRPr="00A24F11">
        <w:rPr>
          <w:rFonts w:ascii="Times New Roman" w:hAnsi="Times New Roman" w:cs="Times New Roman"/>
          <w:i/>
          <w:iCs/>
          <w:color w:val="222222"/>
          <w:sz w:val="24"/>
          <w:szCs w:val="24"/>
          <w:shd w:val="clear" w:color="auto" w:fill="FFFFFF"/>
          <w:lang w:val="en-GB"/>
        </w:rPr>
        <w:t>26</w:t>
      </w:r>
      <w:r w:rsidRPr="00A24F11">
        <w:rPr>
          <w:rFonts w:ascii="Times New Roman" w:hAnsi="Times New Roman" w:cs="Times New Roman"/>
          <w:color w:val="222222"/>
          <w:sz w:val="24"/>
          <w:szCs w:val="24"/>
          <w:shd w:val="clear" w:color="auto" w:fill="FFFFFF"/>
          <w:lang w:val="en-GB"/>
        </w:rPr>
        <w:t xml:space="preserve">(4), pp.701-716. </w:t>
      </w:r>
      <w:hyperlink r:id="rId13" w:history="1">
        <w:r w:rsidRPr="00A24F11">
          <w:rPr>
            <w:rStyle w:val="Hyperlink"/>
            <w:rFonts w:ascii="Times New Roman" w:hAnsi="Times New Roman" w:cs="Times New Roman"/>
            <w:sz w:val="24"/>
            <w:szCs w:val="24"/>
            <w:shd w:val="clear" w:color="auto" w:fill="FFFFFF"/>
            <w:lang w:val="en-GB"/>
          </w:rPr>
          <w:t>https://www.tandfonline.com/doi/abs/10.1080/13642987.2021.1961752</w:t>
        </w:r>
      </w:hyperlink>
    </w:p>
    <w:p w14:paraId="587FA9FA" w14:textId="77777777" w:rsidR="009F5E3B" w:rsidRPr="00A24F11" w:rsidRDefault="009F5E3B" w:rsidP="009F5E3B">
      <w:pPr>
        <w:spacing w:line="360" w:lineRule="auto"/>
        <w:jc w:val="both"/>
        <w:rPr>
          <w:rFonts w:ascii="Times New Roman" w:hAnsi="Times New Roman" w:cs="Times New Roman"/>
          <w:b/>
          <w:sz w:val="24"/>
          <w:szCs w:val="24"/>
          <w:lang w:val="en-GB"/>
        </w:rPr>
      </w:pPr>
      <w:r w:rsidRPr="00A24F11">
        <w:rPr>
          <w:rFonts w:ascii="Times New Roman" w:hAnsi="Times New Roman" w:cs="Times New Roman"/>
          <w:b/>
          <w:sz w:val="24"/>
          <w:szCs w:val="24"/>
          <w:lang w:val="en-GB"/>
        </w:rPr>
        <w:t xml:space="preserve">Websites </w:t>
      </w:r>
    </w:p>
    <w:p w14:paraId="587FA9FB" w14:textId="77777777" w:rsidR="00A222A9" w:rsidRPr="00A24F11" w:rsidRDefault="00A222A9" w:rsidP="009F5E3B">
      <w:pPr>
        <w:pStyle w:val="NormalWeb"/>
        <w:spacing w:line="360" w:lineRule="auto"/>
        <w:jc w:val="both"/>
        <w:rPr>
          <w:lang w:val="en-GB"/>
        </w:rPr>
      </w:pPr>
      <w:r w:rsidRPr="00A24F11">
        <w:rPr>
          <w:lang w:val="en-GB"/>
        </w:rPr>
        <w:t xml:space="preserve">Jack, M.T. (2023) </w:t>
      </w:r>
      <w:r w:rsidRPr="00A24F11">
        <w:rPr>
          <w:i/>
          <w:iCs/>
          <w:lang w:val="en-GB"/>
        </w:rPr>
        <w:t>European Communities Act 1972</w:t>
      </w:r>
      <w:r w:rsidRPr="00A24F11">
        <w:rPr>
          <w:lang w:val="en-GB"/>
        </w:rPr>
        <w:t xml:space="preserve">, </w:t>
      </w:r>
      <w:r w:rsidRPr="00A24F11">
        <w:rPr>
          <w:i/>
          <w:iCs/>
          <w:lang w:val="en-GB"/>
        </w:rPr>
        <w:t>Institute for Government</w:t>
      </w:r>
      <w:r w:rsidRPr="00A24F11">
        <w:rPr>
          <w:lang w:val="en-GB"/>
        </w:rPr>
        <w:t xml:space="preserve">. Available at: https://www.instituteforgovernment.org.uk/article/explainer/european-communities-act-1972#:~:text=What%20is%20the%20European%20Communities,relies%20on%20the%201972%20Act. (Accessed: February 24, 2023). </w:t>
      </w:r>
    </w:p>
    <w:p w14:paraId="587FA9FC" w14:textId="77777777" w:rsidR="00A222A9" w:rsidRPr="00A24F11" w:rsidRDefault="00A222A9" w:rsidP="009F5E3B">
      <w:pPr>
        <w:pStyle w:val="NormalWeb"/>
        <w:spacing w:line="360" w:lineRule="auto"/>
        <w:jc w:val="both"/>
        <w:rPr>
          <w:lang w:val="en-GB"/>
        </w:rPr>
      </w:pPr>
      <w:r w:rsidRPr="00A24F11">
        <w:rPr>
          <w:lang w:val="en-GB"/>
        </w:rPr>
        <w:t>lawsociety</w:t>
      </w:r>
      <w:r w:rsidRPr="00A24F11">
        <w:rPr>
          <w:i/>
          <w:iCs/>
          <w:lang w:val="en-GB"/>
        </w:rPr>
        <w:t xml:space="preserve"> </w:t>
      </w:r>
      <w:r w:rsidRPr="00A24F11">
        <w:rPr>
          <w:iCs/>
          <w:lang w:val="en-GB"/>
        </w:rPr>
        <w:t xml:space="preserve">2022 </w:t>
      </w:r>
      <w:r w:rsidRPr="00A24F11">
        <w:rPr>
          <w:i/>
          <w:iCs/>
          <w:lang w:val="en-GB"/>
        </w:rPr>
        <w:t>5 ways the Bill of Rights could affect our everyday freedoms</w:t>
      </w:r>
      <w:r w:rsidRPr="00A24F11">
        <w:rPr>
          <w:lang w:val="en-GB"/>
        </w:rPr>
        <w:t xml:space="preserve">, </w:t>
      </w:r>
      <w:r w:rsidRPr="00A24F11">
        <w:rPr>
          <w:i/>
          <w:iCs/>
          <w:lang w:val="en-GB"/>
        </w:rPr>
        <w:t>The Law Society</w:t>
      </w:r>
      <w:r w:rsidRPr="00A24F11">
        <w:rPr>
          <w:lang w:val="en-GB"/>
        </w:rPr>
        <w:t xml:space="preserve">. Available at: https://www.lawsociety.org.uk/topics/human-rights/5-ways-the-bill-of-rights-could-affect-our-everyday-freedoms (Accessed: February 24, 2023). </w:t>
      </w:r>
    </w:p>
    <w:p w14:paraId="587FA9FD" w14:textId="3400654B" w:rsidR="00A222A9" w:rsidRPr="00A24F11" w:rsidRDefault="00B22016" w:rsidP="009F5E3B">
      <w:pPr>
        <w:pStyle w:val="NormalWeb"/>
        <w:spacing w:line="360" w:lineRule="auto"/>
        <w:jc w:val="both"/>
        <w:rPr>
          <w:lang w:val="en-GB"/>
        </w:rPr>
      </w:pPr>
      <w:r w:rsidRPr="00A24F11">
        <w:rPr>
          <w:lang w:val="en-GB"/>
        </w:rPr>
        <w:lastRenderedPageBreak/>
        <w:t>publications. parliament</w:t>
      </w:r>
      <w:r w:rsidR="00A222A9" w:rsidRPr="00A24F11">
        <w:rPr>
          <w:lang w:val="en-GB"/>
        </w:rPr>
        <w:t>,</w:t>
      </w:r>
      <w:r w:rsidR="00A222A9" w:rsidRPr="00A24F11">
        <w:rPr>
          <w:i/>
          <w:iCs/>
          <w:lang w:val="en-GB"/>
        </w:rPr>
        <w:t xml:space="preserve"> </w:t>
      </w:r>
      <w:r w:rsidR="00A222A9" w:rsidRPr="00A24F11">
        <w:rPr>
          <w:iCs/>
          <w:lang w:val="en-GB"/>
        </w:rPr>
        <w:t xml:space="preserve">2022 </w:t>
      </w:r>
      <w:r w:rsidR="00A222A9" w:rsidRPr="00A24F11">
        <w:rPr>
          <w:i/>
          <w:iCs/>
          <w:lang w:val="en-GB"/>
        </w:rPr>
        <w:t>United Kingdom Parliament Home Page</w:t>
      </w:r>
      <w:r w:rsidR="00A222A9" w:rsidRPr="00A24F11">
        <w:rPr>
          <w:lang w:val="en-GB"/>
        </w:rPr>
        <w:t xml:space="preserve"> Available at: https://publications.parliament.uk/pa/bills/cbill/58-03/0117/220117.pdf (Accessed: February 24, 2023). </w:t>
      </w:r>
    </w:p>
    <w:p w14:paraId="587FA9FE" w14:textId="77777777" w:rsidR="009F5E3B" w:rsidRPr="00A24F11" w:rsidRDefault="009F5E3B" w:rsidP="009F5E3B">
      <w:pPr>
        <w:pStyle w:val="NormalWeb"/>
        <w:spacing w:line="360" w:lineRule="auto"/>
        <w:jc w:val="both"/>
        <w:rPr>
          <w:lang w:val="en-GB"/>
        </w:rPr>
      </w:pPr>
    </w:p>
    <w:p w14:paraId="587FA9FF" w14:textId="77777777" w:rsidR="009F5E3B" w:rsidRPr="00A24F11" w:rsidRDefault="009F5E3B" w:rsidP="009F5E3B">
      <w:pPr>
        <w:pStyle w:val="NormalWeb"/>
        <w:spacing w:line="360" w:lineRule="auto"/>
        <w:jc w:val="both"/>
        <w:rPr>
          <w:lang w:val="en-GB"/>
        </w:rPr>
      </w:pPr>
    </w:p>
    <w:p w14:paraId="587FAA00" w14:textId="77777777" w:rsidR="009F5E3B" w:rsidRPr="00A24F11" w:rsidRDefault="009F5E3B" w:rsidP="009F5E3B">
      <w:pPr>
        <w:spacing w:line="360" w:lineRule="auto"/>
        <w:jc w:val="both"/>
        <w:rPr>
          <w:rFonts w:ascii="Times New Roman" w:hAnsi="Times New Roman" w:cs="Times New Roman"/>
          <w:sz w:val="24"/>
          <w:szCs w:val="24"/>
          <w:lang w:val="en-GB"/>
        </w:rPr>
      </w:pPr>
    </w:p>
    <w:p w14:paraId="587FAA01" w14:textId="77777777" w:rsidR="003B1F02" w:rsidRPr="00A24F11" w:rsidRDefault="003B1F02" w:rsidP="009F5E3B">
      <w:pPr>
        <w:pStyle w:val="Normal1"/>
        <w:spacing w:line="360" w:lineRule="auto"/>
        <w:jc w:val="both"/>
        <w:rPr>
          <w:rFonts w:ascii="Times New Roman" w:eastAsia="Times New Roman" w:hAnsi="Times New Roman" w:cs="Times New Roman"/>
          <w:sz w:val="24"/>
          <w:szCs w:val="24"/>
          <w:lang w:val="en-GB"/>
        </w:rPr>
      </w:pPr>
    </w:p>
    <w:sectPr w:rsidR="003B1F02" w:rsidRPr="00A24F11" w:rsidSect="003B1F02">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E61E0" w14:textId="77777777" w:rsidR="003738CA" w:rsidRDefault="003738CA" w:rsidP="003B1F02">
      <w:pPr>
        <w:spacing w:line="240" w:lineRule="auto"/>
      </w:pPr>
      <w:r>
        <w:separator/>
      </w:r>
    </w:p>
  </w:endnote>
  <w:endnote w:type="continuationSeparator" w:id="0">
    <w:p w14:paraId="16DFFDD9" w14:textId="77777777" w:rsidR="003738CA" w:rsidRDefault="003738CA" w:rsidP="003B1F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FAA06" w14:textId="77777777" w:rsidR="003B1F02" w:rsidRDefault="003B1F02">
    <w:pPr>
      <w:pStyle w:val="Normal1"/>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sidR="00777221">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A222A9">
      <w:rPr>
        <w:rFonts w:ascii="Times New Roman" w:eastAsia="Times New Roman" w:hAnsi="Times New Roman" w:cs="Times New Roman"/>
        <w:noProof/>
        <w:sz w:val="24"/>
        <w:szCs w:val="24"/>
      </w:rPr>
      <w:t>3</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600D5" w14:textId="77777777" w:rsidR="003738CA" w:rsidRDefault="003738CA" w:rsidP="003B1F02">
      <w:pPr>
        <w:spacing w:line="240" w:lineRule="auto"/>
      </w:pPr>
      <w:r>
        <w:separator/>
      </w:r>
    </w:p>
  </w:footnote>
  <w:footnote w:type="continuationSeparator" w:id="0">
    <w:p w14:paraId="22EC550B" w14:textId="77777777" w:rsidR="003738CA" w:rsidRDefault="003738CA" w:rsidP="003B1F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AD738"/>
    <w:multiLevelType w:val="hybridMultilevel"/>
    <w:tmpl w:val="00000000"/>
    <w:lvl w:ilvl="0" w:tplc="BF70CF3E">
      <w:start w:val="1"/>
      <w:numFmt w:val="bullet"/>
      <w:lvlText w:val="●"/>
      <w:lvlJc w:val="left"/>
      <w:pPr>
        <w:ind w:left="720" w:hanging="360"/>
      </w:pPr>
      <w:rPr>
        <w:u w:val="none"/>
      </w:rPr>
    </w:lvl>
    <w:lvl w:ilvl="1" w:tplc="29A635FA">
      <w:start w:val="1"/>
      <w:numFmt w:val="bullet"/>
      <w:lvlText w:val="○"/>
      <w:lvlJc w:val="left"/>
      <w:pPr>
        <w:ind w:left="1440" w:hanging="360"/>
      </w:pPr>
      <w:rPr>
        <w:u w:val="none"/>
      </w:rPr>
    </w:lvl>
    <w:lvl w:ilvl="2" w:tplc="05A25138">
      <w:start w:val="1"/>
      <w:numFmt w:val="bullet"/>
      <w:lvlText w:val="■"/>
      <w:lvlJc w:val="left"/>
      <w:pPr>
        <w:ind w:left="2160" w:hanging="360"/>
      </w:pPr>
      <w:rPr>
        <w:u w:val="none"/>
      </w:rPr>
    </w:lvl>
    <w:lvl w:ilvl="3" w:tplc="2F3A33DA">
      <w:start w:val="1"/>
      <w:numFmt w:val="bullet"/>
      <w:lvlText w:val="●"/>
      <w:lvlJc w:val="left"/>
      <w:pPr>
        <w:ind w:left="2880" w:hanging="360"/>
      </w:pPr>
      <w:rPr>
        <w:u w:val="none"/>
      </w:rPr>
    </w:lvl>
    <w:lvl w:ilvl="4" w:tplc="A2C02E08">
      <w:start w:val="1"/>
      <w:numFmt w:val="bullet"/>
      <w:lvlText w:val="○"/>
      <w:lvlJc w:val="left"/>
      <w:pPr>
        <w:ind w:left="3600" w:hanging="360"/>
      </w:pPr>
      <w:rPr>
        <w:u w:val="none"/>
      </w:rPr>
    </w:lvl>
    <w:lvl w:ilvl="5" w:tplc="572EE8D4">
      <w:start w:val="1"/>
      <w:numFmt w:val="bullet"/>
      <w:lvlText w:val="■"/>
      <w:lvlJc w:val="left"/>
      <w:pPr>
        <w:ind w:left="4320" w:hanging="360"/>
      </w:pPr>
      <w:rPr>
        <w:u w:val="none"/>
      </w:rPr>
    </w:lvl>
    <w:lvl w:ilvl="6" w:tplc="A78640F0">
      <w:start w:val="1"/>
      <w:numFmt w:val="bullet"/>
      <w:lvlText w:val="●"/>
      <w:lvlJc w:val="left"/>
      <w:pPr>
        <w:ind w:left="5040" w:hanging="360"/>
      </w:pPr>
      <w:rPr>
        <w:u w:val="none"/>
      </w:rPr>
    </w:lvl>
    <w:lvl w:ilvl="7" w:tplc="B4AEF4CC">
      <w:start w:val="1"/>
      <w:numFmt w:val="bullet"/>
      <w:lvlText w:val="○"/>
      <w:lvlJc w:val="left"/>
      <w:pPr>
        <w:ind w:left="5760" w:hanging="360"/>
      </w:pPr>
      <w:rPr>
        <w:u w:val="none"/>
      </w:rPr>
    </w:lvl>
    <w:lvl w:ilvl="8" w:tplc="DE18BD38">
      <w:start w:val="1"/>
      <w:numFmt w:val="bullet"/>
      <w:lvlText w:val="■"/>
      <w:lvlJc w:val="left"/>
      <w:pPr>
        <w:ind w:left="6480" w:hanging="360"/>
      </w:pPr>
      <w:rPr>
        <w:u w:val="none"/>
      </w:rPr>
    </w:lvl>
  </w:abstractNum>
  <w:num w:numId="1" w16cid:durableId="241716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1F02"/>
    <w:rsid w:val="00172AD8"/>
    <w:rsid w:val="002F1ED6"/>
    <w:rsid w:val="003407DB"/>
    <w:rsid w:val="003738CA"/>
    <w:rsid w:val="00375A10"/>
    <w:rsid w:val="003B1F02"/>
    <w:rsid w:val="00490672"/>
    <w:rsid w:val="006071B6"/>
    <w:rsid w:val="00692393"/>
    <w:rsid w:val="00773832"/>
    <w:rsid w:val="00777221"/>
    <w:rsid w:val="00837695"/>
    <w:rsid w:val="00875744"/>
    <w:rsid w:val="008B622D"/>
    <w:rsid w:val="008C37DE"/>
    <w:rsid w:val="008E54A6"/>
    <w:rsid w:val="008F39DA"/>
    <w:rsid w:val="009732E6"/>
    <w:rsid w:val="009F5E3B"/>
    <w:rsid w:val="00A222A9"/>
    <w:rsid w:val="00A24F11"/>
    <w:rsid w:val="00B22016"/>
    <w:rsid w:val="00BC45E9"/>
    <w:rsid w:val="00C43C8D"/>
    <w:rsid w:val="00C62FA0"/>
    <w:rsid w:val="00C840B2"/>
    <w:rsid w:val="00D73491"/>
    <w:rsid w:val="00D827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FA9A9"/>
  <w15:docId w15:val="{77ED5226-EBA6-47D4-BA18-06525575D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3B1F02"/>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3B1F02"/>
    <w:pPr>
      <w:keepNext/>
      <w:keepLines/>
      <w:spacing w:before="360" w:after="120"/>
      <w:outlineLvl w:val="1"/>
    </w:pPr>
    <w:rPr>
      <w:sz w:val="32"/>
      <w:szCs w:val="32"/>
    </w:rPr>
  </w:style>
  <w:style w:type="paragraph" w:styleId="Heading3">
    <w:name w:val="heading 3"/>
    <w:basedOn w:val="Normal1"/>
    <w:next w:val="Normal1"/>
    <w:rsid w:val="003B1F02"/>
    <w:pPr>
      <w:keepNext/>
      <w:keepLines/>
      <w:spacing w:before="320" w:after="80"/>
      <w:outlineLvl w:val="2"/>
    </w:pPr>
    <w:rPr>
      <w:color w:val="434343"/>
      <w:sz w:val="28"/>
      <w:szCs w:val="28"/>
    </w:rPr>
  </w:style>
  <w:style w:type="paragraph" w:styleId="Heading4">
    <w:name w:val="heading 4"/>
    <w:basedOn w:val="Normal1"/>
    <w:next w:val="Normal1"/>
    <w:rsid w:val="003B1F02"/>
    <w:pPr>
      <w:keepNext/>
      <w:keepLines/>
      <w:spacing w:before="280" w:after="80"/>
      <w:outlineLvl w:val="3"/>
    </w:pPr>
    <w:rPr>
      <w:color w:val="666666"/>
      <w:sz w:val="24"/>
      <w:szCs w:val="24"/>
    </w:rPr>
  </w:style>
  <w:style w:type="paragraph" w:styleId="Heading5">
    <w:name w:val="heading 5"/>
    <w:basedOn w:val="Normal1"/>
    <w:next w:val="Normal1"/>
    <w:rsid w:val="003B1F02"/>
    <w:pPr>
      <w:keepNext/>
      <w:keepLines/>
      <w:spacing w:before="240" w:after="80"/>
      <w:outlineLvl w:val="4"/>
    </w:pPr>
    <w:rPr>
      <w:color w:val="666666"/>
    </w:rPr>
  </w:style>
  <w:style w:type="paragraph" w:styleId="Heading6">
    <w:name w:val="heading 6"/>
    <w:basedOn w:val="Normal1"/>
    <w:next w:val="Normal1"/>
    <w:rsid w:val="003B1F0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1F02"/>
  </w:style>
  <w:style w:type="table" w:customStyle="1" w:styleId="TableNormal1">
    <w:name w:val="Table Normal1"/>
    <w:rsid w:val="003B1F02"/>
    <w:tblPr>
      <w:tblCellMar>
        <w:top w:w="0" w:type="dxa"/>
        <w:left w:w="0" w:type="dxa"/>
        <w:bottom w:w="0" w:type="dxa"/>
        <w:right w:w="0" w:type="dxa"/>
      </w:tblCellMar>
    </w:tblPr>
  </w:style>
  <w:style w:type="paragraph" w:styleId="Title">
    <w:name w:val="Title"/>
    <w:basedOn w:val="Normal1"/>
    <w:next w:val="Normal1"/>
    <w:link w:val="TitleChar"/>
    <w:rsid w:val="003B1F02"/>
    <w:pPr>
      <w:keepNext/>
      <w:keepLines/>
      <w:spacing w:after="60"/>
    </w:pPr>
    <w:rPr>
      <w:sz w:val="52"/>
      <w:szCs w:val="52"/>
    </w:rPr>
  </w:style>
  <w:style w:type="paragraph" w:styleId="Subtitle">
    <w:name w:val="Subtitle"/>
    <w:basedOn w:val="Normal1"/>
    <w:next w:val="Normal1"/>
    <w:rsid w:val="003B1F02"/>
    <w:pPr>
      <w:keepNext/>
      <w:keepLines/>
      <w:spacing w:after="320"/>
    </w:pPr>
    <w:rPr>
      <w:color w:val="666666"/>
      <w:sz w:val="30"/>
      <w:szCs w:val="30"/>
    </w:rPr>
  </w:style>
  <w:style w:type="table" w:customStyle="1" w:styleId="Table1">
    <w:name w:val="Table1"/>
    <w:basedOn w:val="TableNormal1"/>
    <w:rsid w:val="003B1F02"/>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9F5E3B"/>
    <w:rPr>
      <w:color w:val="0000FF" w:themeColor="hyperlink"/>
      <w:u w:val="single"/>
    </w:rPr>
  </w:style>
  <w:style w:type="paragraph" w:styleId="NormalWeb">
    <w:name w:val="Normal (Web)"/>
    <w:basedOn w:val="Normal"/>
    <w:uiPriority w:val="99"/>
    <w:semiHidden/>
    <w:unhideWhenUsed/>
    <w:rsid w:val="009F5E3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semiHidden/>
    <w:unhideWhenUsed/>
    <w:qFormat/>
    <w:rsid w:val="00172AD8"/>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72AD8"/>
    <w:pPr>
      <w:spacing w:after="100"/>
    </w:pPr>
  </w:style>
  <w:style w:type="paragraph" w:styleId="BalloonText">
    <w:name w:val="Balloon Text"/>
    <w:basedOn w:val="Normal"/>
    <w:link w:val="BalloonTextChar"/>
    <w:uiPriority w:val="99"/>
    <w:semiHidden/>
    <w:unhideWhenUsed/>
    <w:rsid w:val="00172A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2AD8"/>
    <w:rPr>
      <w:rFonts w:ascii="Tahoma" w:hAnsi="Tahoma" w:cs="Tahoma"/>
      <w:sz w:val="16"/>
      <w:szCs w:val="16"/>
    </w:rPr>
  </w:style>
  <w:style w:type="character" w:customStyle="1" w:styleId="TitleChar">
    <w:name w:val="Title Char"/>
    <w:basedOn w:val="DefaultParagraphFont"/>
    <w:link w:val="Title"/>
    <w:rsid w:val="00A24F11"/>
    <w:rPr>
      <w:sz w:val="52"/>
      <w:szCs w:val="52"/>
    </w:rPr>
  </w:style>
  <w:style w:type="character" w:styleId="FollowedHyperlink">
    <w:name w:val="FollowedHyperlink"/>
    <w:basedOn w:val="DefaultParagraphFont"/>
    <w:uiPriority w:val="99"/>
    <w:semiHidden/>
    <w:unhideWhenUsed/>
    <w:rsid w:val="0077383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EIRSEAAAQBAJ&amp;oi=fnd&amp;pg=PP1&amp;dq=bill+of+rights+uk+human+rights&amp;ots=v4oXlGnXWN&amp;sig=LyHw5TwjMujRTppMy334CX33f_0" TargetMode="External"/><Relationship Id="rId13" Type="http://schemas.openxmlformats.org/officeDocument/2006/relationships/hyperlink" Target="https://www.tandfonline.com/doi/abs/10.1080/13642987.2021.196175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ure.com/articles/s41583-021-00514-z"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467-018-02998-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oks.google.com/books?hl=en&amp;lr=&amp;id=TG_nDwAAQBAJ&amp;oi=fnd&amp;pg=PT6&amp;dq=bill+of+rights+uk+human+rights&amp;ots=R6E0BphrGb&amp;sig=xF8EMw7JgCSGK-riXtsl2hxvOq4" TargetMode="External"/><Relationship Id="rId4" Type="http://schemas.openxmlformats.org/officeDocument/2006/relationships/settings" Target="settings.xml"/><Relationship Id="rId9" Type="http://schemas.openxmlformats.org/officeDocument/2006/relationships/hyperlink" Target="https://www.taylorfrancis.com/books/mono/10.4324/9780429451645/trusting-nudges-cass-sunstein-lucia-reisch"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E0B2F6-FB2A-4920-9B21-C627EF794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2025</Words>
  <Characters>11547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 Tutu</cp:lastModifiedBy>
  <cp:revision>11</cp:revision>
  <dcterms:created xsi:type="dcterms:W3CDTF">2023-02-26T15:47:00Z</dcterms:created>
  <dcterms:modified xsi:type="dcterms:W3CDTF">2023-03-02T18:58:00Z</dcterms:modified>
</cp:coreProperties>
</file>