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5924D4" w14:textId="77777777" w:rsidR="00247AE9" w:rsidRPr="007251BE" w:rsidRDefault="00247AE9">
      <w:pPr>
        <w:spacing w:after="80"/>
      </w:pPr>
    </w:p>
    <w:p w14:paraId="0AE6A1ED" w14:textId="77777777" w:rsidR="00247AE9" w:rsidRPr="000F08C7" w:rsidRDefault="00247AE9">
      <w:pPr>
        <w:spacing w:after="80"/>
        <w:rPr>
          <w:rFonts w:ascii="Arial" w:hAnsi="Arial" w:cs="Arial"/>
          <w:sz w:val="22"/>
          <w:szCs w:val="22"/>
        </w:rPr>
      </w:pPr>
    </w:p>
    <w:p w14:paraId="4CDEAA75" w14:textId="77777777" w:rsidR="00247AE9" w:rsidRPr="000F08C7" w:rsidRDefault="00110E27">
      <w:pPr>
        <w:spacing w:after="200"/>
        <w:jc w:val="center"/>
        <w:rPr>
          <w:rFonts w:ascii="Arial" w:hAnsi="Arial" w:cs="Arial"/>
          <w:sz w:val="22"/>
          <w:szCs w:val="22"/>
        </w:rPr>
      </w:pPr>
      <w:r w:rsidRPr="000F08C7">
        <w:rPr>
          <w:rFonts w:ascii="Arial" w:eastAsia="Arial" w:hAnsi="Arial" w:cs="Arial"/>
          <w:sz w:val="22"/>
          <w:szCs w:val="22"/>
        </w:rPr>
        <w:t>University of Wales Trinity Saint David</w:t>
      </w:r>
    </w:p>
    <w:p w14:paraId="153E2E89" w14:textId="77777777" w:rsidR="00247AE9" w:rsidRPr="000F08C7" w:rsidRDefault="00110E27">
      <w:pPr>
        <w:spacing w:after="400"/>
        <w:jc w:val="center"/>
        <w:rPr>
          <w:rFonts w:ascii="Arial" w:hAnsi="Arial" w:cs="Arial"/>
          <w:sz w:val="22"/>
          <w:szCs w:val="22"/>
        </w:rPr>
      </w:pPr>
      <w:r w:rsidRPr="000F08C7">
        <w:rPr>
          <w:rFonts w:ascii="Arial" w:eastAsia="Arial" w:hAnsi="Arial" w:cs="Arial"/>
          <w:sz w:val="22"/>
          <w:szCs w:val="22"/>
        </w:rPr>
        <w:t>LCHS4003 – Introduction to Health and Social Care</w:t>
      </w:r>
    </w:p>
    <w:p w14:paraId="0D8C040E" w14:textId="7348E833" w:rsidR="00247AE9" w:rsidRPr="000F08C7" w:rsidRDefault="00110E27">
      <w:pPr>
        <w:spacing w:after="600"/>
        <w:jc w:val="center"/>
        <w:rPr>
          <w:rFonts w:ascii="Arial" w:eastAsia="Arial" w:hAnsi="Arial" w:cs="Arial"/>
          <w:sz w:val="22"/>
          <w:szCs w:val="22"/>
        </w:rPr>
      </w:pPr>
      <w:r w:rsidRPr="000F08C7">
        <w:rPr>
          <w:rFonts w:ascii="Arial" w:eastAsia="Arial" w:hAnsi="Arial" w:cs="Arial"/>
          <w:sz w:val="22"/>
          <w:szCs w:val="22"/>
        </w:rPr>
        <w:t>Written Assignment</w:t>
      </w:r>
    </w:p>
    <w:p w14:paraId="24BA0C0E" w14:textId="1FF98416" w:rsidR="00771355" w:rsidRPr="000F08C7" w:rsidRDefault="00D60654">
      <w:pPr>
        <w:spacing w:after="600"/>
        <w:jc w:val="center"/>
        <w:rPr>
          <w:rFonts w:ascii="Arial" w:eastAsia="Arial" w:hAnsi="Arial" w:cs="Arial"/>
          <w:sz w:val="22"/>
          <w:szCs w:val="22"/>
        </w:rPr>
      </w:pPr>
      <w:r w:rsidRPr="000F08C7">
        <w:rPr>
          <w:rFonts w:ascii="Arial" w:eastAsia="Arial" w:hAnsi="Arial" w:cs="Arial"/>
          <w:sz w:val="22"/>
          <w:szCs w:val="22"/>
        </w:rPr>
        <w:t xml:space="preserve">Student Name: </w:t>
      </w:r>
      <w:proofErr w:type="spellStart"/>
      <w:r w:rsidRPr="000F08C7">
        <w:rPr>
          <w:rFonts w:ascii="Arial" w:eastAsia="Arial" w:hAnsi="Arial" w:cs="Arial"/>
          <w:sz w:val="22"/>
          <w:szCs w:val="22"/>
        </w:rPr>
        <w:t>Iara</w:t>
      </w:r>
      <w:proofErr w:type="spellEnd"/>
      <w:r w:rsidRPr="000F08C7">
        <w:rPr>
          <w:rFonts w:ascii="Arial" w:eastAsia="Arial" w:hAnsi="Arial" w:cs="Arial"/>
          <w:sz w:val="22"/>
          <w:szCs w:val="22"/>
        </w:rPr>
        <w:t xml:space="preserve"> </w:t>
      </w:r>
      <w:proofErr w:type="spellStart"/>
      <w:r w:rsidRPr="000F08C7">
        <w:rPr>
          <w:rFonts w:ascii="Arial" w:eastAsia="Arial" w:hAnsi="Arial" w:cs="Arial"/>
          <w:sz w:val="22"/>
          <w:szCs w:val="22"/>
        </w:rPr>
        <w:t>Baio</w:t>
      </w:r>
      <w:proofErr w:type="spellEnd"/>
    </w:p>
    <w:p w14:paraId="1674A621" w14:textId="77777777" w:rsidR="00FE3C81" w:rsidRPr="000F08C7" w:rsidRDefault="00844D4F" w:rsidP="00FE3C81">
      <w:pPr>
        <w:spacing w:after="600"/>
        <w:jc w:val="center"/>
        <w:rPr>
          <w:rFonts w:ascii="Arial" w:eastAsia="Arial" w:hAnsi="Arial" w:cs="Arial"/>
          <w:sz w:val="22"/>
          <w:szCs w:val="22"/>
        </w:rPr>
      </w:pPr>
      <w:r w:rsidRPr="000F08C7">
        <w:rPr>
          <w:rFonts w:ascii="Arial" w:eastAsia="Arial" w:hAnsi="Arial" w:cs="Arial"/>
          <w:sz w:val="22"/>
          <w:szCs w:val="22"/>
        </w:rPr>
        <w:t>Student ID</w:t>
      </w:r>
      <w:r w:rsidR="00AF14CC" w:rsidRPr="000F08C7">
        <w:rPr>
          <w:rFonts w:ascii="Arial" w:eastAsia="Arial" w:hAnsi="Arial" w:cs="Arial"/>
          <w:sz w:val="22"/>
          <w:szCs w:val="22"/>
        </w:rPr>
        <w:t xml:space="preserve"> Number</w:t>
      </w:r>
      <w:r w:rsidR="006416A5" w:rsidRPr="000F08C7">
        <w:rPr>
          <w:rFonts w:ascii="Arial" w:eastAsia="Arial" w:hAnsi="Arial" w:cs="Arial"/>
          <w:sz w:val="22"/>
          <w:szCs w:val="22"/>
        </w:rPr>
        <w:t>:</w:t>
      </w:r>
      <w:r w:rsidR="00AB5FF1" w:rsidRPr="000F08C7">
        <w:rPr>
          <w:rFonts w:ascii="Arial" w:eastAsia="Arial" w:hAnsi="Arial" w:cs="Arial"/>
          <w:sz w:val="22"/>
          <w:szCs w:val="22"/>
        </w:rPr>
        <w:t xml:space="preserve"> </w:t>
      </w:r>
      <w:r w:rsidR="00BD65DE" w:rsidRPr="000F08C7">
        <w:rPr>
          <w:rFonts w:ascii="Arial" w:eastAsia="Arial" w:hAnsi="Arial" w:cs="Arial"/>
          <w:sz w:val="22"/>
          <w:szCs w:val="22"/>
        </w:rPr>
        <w:t>2415600</w:t>
      </w:r>
    </w:p>
    <w:p w14:paraId="13E88578" w14:textId="5814D3D4" w:rsidR="00BD65DE" w:rsidRPr="000F08C7" w:rsidRDefault="0025215E" w:rsidP="00FE3C81">
      <w:pPr>
        <w:spacing w:after="600"/>
        <w:jc w:val="center"/>
        <w:rPr>
          <w:rFonts w:ascii="Arial" w:eastAsia="Arial" w:hAnsi="Arial" w:cs="Arial"/>
          <w:sz w:val="22"/>
          <w:szCs w:val="22"/>
        </w:rPr>
      </w:pPr>
      <w:r w:rsidRPr="000F08C7">
        <w:rPr>
          <w:rFonts w:ascii="Arial" w:eastAsia="Arial" w:hAnsi="Arial" w:cs="Arial"/>
          <w:sz w:val="22"/>
          <w:szCs w:val="22"/>
        </w:rPr>
        <w:t>Module Code</w:t>
      </w:r>
      <w:r w:rsidR="000266D9" w:rsidRPr="000F08C7">
        <w:rPr>
          <w:rFonts w:ascii="Arial" w:eastAsia="Arial" w:hAnsi="Arial" w:cs="Arial"/>
          <w:sz w:val="22"/>
          <w:szCs w:val="22"/>
        </w:rPr>
        <w:t>: LCHS40</w:t>
      </w:r>
      <w:r w:rsidR="008076BD">
        <w:rPr>
          <w:rFonts w:ascii="Arial" w:eastAsia="Arial" w:hAnsi="Arial" w:cs="Arial"/>
          <w:sz w:val="22"/>
          <w:szCs w:val="22"/>
        </w:rPr>
        <w:t>03</w:t>
      </w:r>
    </w:p>
    <w:p w14:paraId="52D521DF" w14:textId="3661BCCE" w:rsidR="004E49BF" w:rsidRPr="000F08C7" w:rsidRDefault="00E657C3" w:rsidP="00FE3C81">
      <w:pPr>
        <w:spacing w:after="600"/>
        <w:jc w:val="center"/>
        <w:rPr>
          <w:rFonts w:ascii="Arial" w:eastAsia="Arial" w:hAnsi="Arial" w:cs="Arial"/>
          <w:sz w:val="22"/>
          <w:szCs w:val="22"/>
        </w:rPr>
      </w:pPr>
      <w:r w:rsidRPr="000F08C7">
        <w:rPr>
          <w:rFonts w:ascii="Arial" w:eastAsia="Arial" w:hAnsi="Arial" w:cs="Arial"/>
          <w:sz w:val="22"/>
          <w:szCs w:val="22"/>
        </w:rPr>
        <w:t xml:space="preserve"> </w:t>
      </w:r>
    </w:p>
    <w:p w14:paraId="4F844F19" w14:textId="77777777" w:rsidR="00247AE9" w:rsidRPr="000F08C7" w:rsidRDefault="00247AE9">
      <w:pPr>
        <w:spacing w:after="80"/>
        <w:rPr>
          <w:rFonts w:ascii="Arial" w:hAnsi="Arial" w:cs="Arial"/>
          <w:sz w:val="22"/>
          <w:szCs w:val="22"/>
        </w:rPr>
      </w:pPr>
    </w:p>
    <w:p w14:paraId="6F2C9E59" w14:textId="77777777" w:rsidR="00247AE9" w:rsidRPr="000F08C7" w:rsidRDefault="00247AE9">
      <w:pPr>
        <w:rPr>
          <w:rFonts w:ascii="Arial" w:hAnsi="Arial" w:cs="Arial"/>
          <w:sz w:val="22"/>
          <w:szCs w:val="22"/>
        </w:rPr>
        <w:sectPr w:rsidR="00247AE9" w:rsidRPr="000F08C7">
          <w:headerReference w:type="even" r:id="rId7"/>
          <w:headerReference w:type="default" r:id="rId8"/>
          <w:pgSz w:w="11906" w:h="16838"/>
          <w:pgMar w:top="1440" w:right="1440" w:bottom="1440" w:left="1440" w:header="708" w:footer="708" w:gutter="0"/>
          <w:cols w:space="720"/>
          <w:docGrid w:linePitch="360"/>
        </w:sectPr>
      </w:pPr>
    </w:p>
    <w:p w14:paraId="1DC3B711" w14:textId="77777777" w:rsidR="00247AE9" w:rsidRPr="000F08C7" w:rsidRDefault="00110E27">
      <w:pPr>
        <w:pBdr>
          <w:bottom w:val="single" w:sz="4" w:space="0" w:color="4A7FC1"/>
        </w:pBdr>
        <w:spacing w:before="280" w:after="140"/>
        <w:rPr>
          <w:rFonts w:ascii="Arial" w:hAnsi="Arial" w:cs="Arial"/>
          <w:sz w:val="22"/>
          <w:szCs w:val="22"/>
        </w:rPr>
      </w:pPr>
      <w:r w:rsidRPr="000F08C7">
        <w:rPr>
          <w:rFonts w:ascii="Arial" w:eastAsia="Arial" w:hAnsi="Arial" w:cs="Arial"/>
          <w:sz w:val="22"/>
          <w:szCs w:val="22"/>
        </w:rPr>
        <w:lastRenderedPageBreak/>
        <w:t>Introduction</w:t>
      </w:r>
    </w:p>
    <w:p w14:paraId="1D41C6DD" w14:textId="08EAEDE5"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The report looks at three key areas of the work of health and social care professionals – with this case study of Mr Ahmed, presents a 68-year-old Bengali-speaking man who has recently been discharged from hospital following a stroke. Mr Ahmed receives domiciliary care three times a day and is supported by a multidisciplinary team (MDT) which includes a GP, District nurse and speech and language therapist (SALT). Failure of the care agency to attend on the medication visit identifies flaws in the system of the agency. This report covers: (1) the importance of equality and effective communication; (2) administrative and record keeping duties for the Data Protection Act 2018; (3) the benefit of collaborative working between two or more agencies. They apply legislation and policy frameworks and appropriate academic models to the case and illustrate how person-centred care can be delivered in practice, in each section.</w:t>
      </w:r>
    </w:p>
    <w:p w14:paraId="1BDD472A" w14:textId="77777777" w:rsidR="00247AE9" w:rsidRPr="000F08C7" w:rsidRDefault="00247AE9">
      <w:pPr>
        <w:spacing w:after="80"/>
        <w:rPr>
          <w:rFonts w:ascii="Arial" w:hAnsi="Arial" w:cs="Arial"/>
          <w:sz w:val="22"/>
          <w:szCs w:val="22"/>
        </w:rPr>
      </w:pPr>
    </w:p>
    <w:p w14:paraId="12FFE769" w14:textId="77777777" w:rsidR="00247AE9" w:rsidRPr="000F08C7" w:rsidRDefault="00110E27">
      <w:pPr>
        <w:pBdr>
          <w:bottom w:val="single" w:sz="4" w:space="0" w:color="4A7FC1"/>
        </w:pBdr>
        <w:spacing w:before="280" w:after="140"/>
        <w:rPr>
          <w:rFonts w:ascii="Arial" w:hAnsi="Arial" w:cs="Arial"/>
          <w:sz w:val="22"/>
          <w:szCs w:val="22"/>
        </w:rPr>
      </w:pPr>
      <w:r w:rsidRPr="000F08C7">
        <w:rPr>
          <w:rFonts w:ascii="Arial" w:eastAsia="Arial" w:hAnsi="Arial" w:cs="Arial"/>
          <w:sz w:val="22"/>
          <w:szCs w:val="22"/>
        </w:rPr>
        <w:t>Section 1: Effective Communication in Mr Ahmed's Care</w:t>
      </w:r>
    </w:p>
    <w:p w14:paraId="7E5D4FC1" w14:textId="77777777" w:rsidR="00247AE9" w:rsidRPr="000F08C7" w:rsidRDefault="00110E27">
      <w:pPr>
        <w:spacing w:before="200" w:after="100"/>
        <w:rPr>
          <w:rFonts w:ascii="Arial" w:hAnsi="Arial" w:cs="Arial"/>
          <w:sz w:val="22"/>
          <w:szCs w:val="22"/>
        </w:rPr>
      </w:pPr>
      <w:r w:rsidRPr="000F08C7">
        <w:rPr>
          <w:rFonts w:ascii="Arial" w:eastAsia="Arial" w:hAnsi="Arial" w:cs="Arial"/>
          <w:sz w:val="22"/>
          <w:szCs w:val="22"/>
        </w:rPr>
        <w:t>Applying the Shannon-Weaver Communication Model</w:t>
      </w:r>
    </w:p>
    <w:p w14:paraId="3AB5D57E" w14:textId="601DB3A4"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 xml:space="preserve">Communication is key to safe and person-centred health and social care. In the case of Mr Ahmed, communications is even more difficult: Mr Ahmed's first language is Bengali; his English is limited; Mr Ahmed's wife is often acting as interpreter and Mr Ahmed may have suffered impaired oral expression as a result of his stroke. It is a linear model that </w:t>
      </w:r>
      <w:proofErr w:type="spellStart"/>
      <w:r w:rsidRPr="000F08C7">
        <w:rPr>
          <w:rFonts w:ascii="Arial" w:eastAsia="Arial" w:hAnsi="Arial" w:cs="Arial"/>
          <w:sz w:val="22"/>
          <w:szCs w:val="22"/>
        </w:rPr>
        <w:t>recognizes</w:t>
      </w:r>
      <w:proofErr w:type="spellEnd"/>
      <w:r w:rsidRPr="000F08C7">
        <w:rPr>
          <w:rFonts w:ascii="Arial" w:eastAsia="Arial" w:hAnsi="Arial" w:cs="Arial"/>
          <w:sz w:val="22"/>
          <w:szCs w:val="22"/>
        </w:rPr>
        <w:t xml:space="preserve"> five elements: sender, message, channel, receiver and feedback, as well as emphasising noise – the risks which affect the message and therefore distort it. (</w:t>
      </w:r>
      <w:proofErr w:type="spellStart"/>
      <w:r w:rsidRPr="000F08C7">
        <w:rPr>
          <w:rFonts w:ascii="Arial" w:eastAsia="Arial" w:hAnsi="Arial" w:cs="Arial"/>
          <w:sz w:val="22"/>
          <w:szCs w:val="22"/>
        </w:rPr>
        <w:t>Shannon-Wheaver</w:t>
      </w:r>
      <w:proofErr w:type="spellEnd"/>
      <w:r w:rsidRPr="000F08C7">
        <w:rPr>
          <w:rFonts w:ascii="Arial" w:eastAsia="Arial" w:hAnsi="Arial" w:cs="Arial"/>
          <w:sz w:val="22"/>
          <w:szCs w:val="22"/>
        </w:rPr>
        <w:t xml:space="preserve"> Communication Model 1949) Consider some of the sources of ‘noise' in Mr Ahmed's case: language difference, cognitive disability following stroke, and the use of a family interpreter – all of these are important and should be managed proactively by the care system (Ellis and Bach, 2015).</w:t>
      </w:r>
    </w:p>
    <w:p w14:paraId="3AC71CA5" w14:textId="77777777" w:rsidR="00247AE9" w:rsidRPr="000F08C7" w:rsidRDefault="00247AE9">
      <w:pPr>
        <w:spacing w:after="80"/>
        <w:rPr>
          <w:rFonts w:ascii="Arial" w:hAnsi="Arial" w:cs="Arial"/>
          <w:sz w:val="22"/>
          <w:szCs w:val="22"/>
        </w:rPr>
      </w:pPr>
    </w:p>
    <w:p w14:paraId="03A2AB2E" w14:textId="77777777" w:rsidR="00247AE9" w:rsidRPr="000F08C7" w:rsidRDefault="00110E27">
      <w:pPr>
        <w:spacing w:before="100" w:after="60"/>
        <w:jc w:val="center"/>
        <w:rPr>
          <w:rFonts w:ascii="Arial" w:hAnsi="Arial" w:cs="Arial"/>
          <w:sz w:val="22"/>
          <w:szCs w:val="22"/>
        </w:rPr>
      </w:pPr>
      <w:r w:rsidRPr="000F08C7">
        <w:rPr>
          <w:rFonts w:ascii="Arial" w:eastAsia="Arial" w:hAnsi="Arial" w:cs="Arial"/>
          <w:i/>
          <w:iCs/>
          <w:sz w:val="22"/>
          <w:szCs w:val="22"/>
        </w:rPr>
        <w:t>Figure 1: Shannon-Weaver Communication Model Applied to Mr Ahmed's Care</w:t>
      </w:r>
    </w:p>
    <w:p w14:paraId="770002AE" w14:textId="1BF66F56"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When communicating verbally, care workers need to use short, simple sentences and to use visual support like picture boards as well as written summaries (where possible) in Bengali language. Although his wife helps to bridge the gap in many respects, the NHS Constitution (Department of Health and Social Care 2021) states clearly that patients have a right to be communicated with in a way that addresses their individual needs. Using just a family member can be a problem for confidentiality and accuracy, therefore professional interpreters must be considered when planning formal care choices.</w:t>
      </w:r>
    </w:p>
    <w:p w14:paraId="63B2060B" w14:textId="77777777" w:rsidR="00247AE9" w:rsidRPr="000F08C7" w:rsidRDefault="00247AE9">
      <w:pPr>
        <w:spacing w:after="80"/>
        <w:rPr>
          <w:rFonts w:ascii="Arial" w:hAnsi="Arial" w:cs="Arial"/>
          <w:sz w:val="22"/>
          <w:szCs w:val="22"/>
        </w:rPr>
      </w:pPr>
    </w:p>
    <w:p w14:paraId="3F9EC43D" w14:textId="77777777" w:rsidR="00247AE9" w:rsidRPr="000F08C7" w:rsidRDefault="00110E27">
      <w:pPr>
        <w:spacing w:before="200" w:after="100"/>
        <w:rPr>
          <w:rFonts w:ascii="Arial" w:hAnsi="Arial" w:cs="Arial"/>
          <w:sz w:val="22"/>
          <w:szCs w:val="22"/>
        </w:rPr>
      </w:pPr>
      <w:r w:rsidRPr="000F08C7">
        <w:rPr>
          <w:rFonts w:ascii="Arial" w:eastAsia="Arial" w:hAnsi="Arial" w:cs="Arial"/>
          <w:sz w:val="22"/>
          <w:szCs w:val="22"/>
        </w:rPr>
        <w:lastRenderedPageBreak/>
        <w:t>Equality Act 2010 and Core Principles</w:t>
      </w:r>
    </w:p>
    <w:p w14:paraId="759264BA" w14:textId="18979DA2"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The Equality Act 2010 brings together the earlier legislation and outlines nine areas that individuals are protected under the Act – some of which directly affect Mr Ahmed, such as being older, having a disability and a different ethnic and language background. There is a duty on service providers to take reasonable steps to prevent disabled people and people with communication barriers being "substantially disadvantaged" (Equality Act 2010, s.20). In practice, this means the care agency would need to make sure that they have bilingual written care plans, train care workers in communication skills and make professional language support available (Thompson, 2016). If not; as demonstrated in this medication visit that was not made; which may partly relate to communication breakdown; consequences of going missing can have serious ramifications for health outcomes.</w:t>
      </w:r>
    </w:p>
    <w:p w14:paraId="1CA9B535" w14:textId="77777777" w:rsidR="00247AE9" w:rsidRPr="000F08C7" w:rsidRDefault="00247AE9">
      <w:pPr>
        <w:spacing w:after="80"/>
        <w:rPr>
          <w:rFonts w:ascii="Arial" w:hAnsi="Arial" w:cs="Arial"/>
          <w:sz w:val="22"/>
          <w:szCs w:val="22"/>
        </w:rPr>
      </w:pPr>
    </w:p>
    <w:p w14:paraId="35997D68" w14:textId="77777777" w:rsidR="00247AE9" w:rsidRPr="000F08C7" w:rsidRDefault="00110E27">
      <w:pPr>
        <w:pBdr>
          <w:bottom w:val="single" w:sz="4" w:space="0" w:color="4A7FC1"/>
        </w:pBdr>
        <w:spacing w:before="280" w:after="140"/>
        <w:rPr>
          <w:rFonts w:ascii="Arial" w:hAnsi="Arial" w:cs="Arial"/>
          <w:sz w:val="22"/>
          <w:szCs w:val="22"/>
        </w:rPr>
      </w:pPr>
      <w:r w:rsidRPr="000F08C7">
        <w:rPr>
          <w:rFonts w:ascii="Arial" w:eastAsia="Arial" w:hAnsi="Arial" w:cs="Arial"/>
          <w:sz w:val="22"/>
          <w:szCs w:val="22"/>
        </w:rPr>
        <w:t>Section 2: Administrative Skills and Record-Keeping</w:t>
      </w:r>
    </w:p>
    <w:p w14:paraId="5C6CDFBD" w14:textId="77777777" w:rsidR="00247AE9" w:rsidRPr="000F08C7" w:rsidRDefault="00110E27">
      <w:pPr>
        <w:spacing w:before="200" w:after="100"/>
        <w:rPr>
          <w:rFonts w:ascii="Arial" w:hAnsi="Arial" w:cs="Arial"/>
          <w:sz w:val="22"/>
          <w:szCs w:val="22"/>
        </w:rPr>
      </w:pPr>
      <w:r w:rsidRPr="000F08C7">
        <w:rPr>
          <w:rFonts w:ascii="Arial" w:eastAsia="Arial" w:hAnsi="Arial" w:cs="Arial"/>
          <w:sz w:val="22"/>
          <w:szCs w:val="22"/>
        </w:rPr>
        <w:t>Importance of Record-Keeping in Professional Practice</w:t>
      </w:r>
    </w:p>
    <w:p w14:paraId="577A6976" w14:textId="701CE1D9"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Ensuring that records are kept well and at the correct time are fundamental to the effective management of safe health and social care. Records make a continual history of the service user, the care provided and any changes and incidents. For Mr Ahmed, good records would include medication schedules, visit records, readings of blood pressure by the district nurse, progress records or attendance at SALT sessions and the status of his wounds. This missed home-visit and subsequent lack of medication shows the consequences of not receiving good administrative practice, as without a clear and up-to-date record the incident could be difficult to investigate, identify accountability, and make changes, if necessary (Nursing and Midwifery Council, 2018).</w:t>
      </w:r>
    </w:p>
    <w:p w14:paraId="68FA5053" w14:textId="77777777" w:rsidR="00247AE9" w:rsidRPr="000F08C7" w:rsidRDefault="00247AE9">
      <w:pPr>
        <w:spacing w:after="80"/>
        <w:rPr>
          <w:rFonts w:ascii="Arial" w:hAnsi="Arial" w:cs="Arial"/>
          <w:sz w:val="22"/>
          <w:szCs w:val="22"/>
        </w:rPr>
      </w:pPr>
    </w:p>
    <w:p w14:paraId="65E871F7" w14:textId="77777777" w:rsidR="00247AE9" w:rsidRPr="000F08C7" w:rsidRDefault="00110E27">
      <w:pPr>
        <w:spacing w:before="200" w:after="100"/>
        <w:rPr>
          <w:rFonts w:ascii="Arial" w:hAnsi="Arial" w:cs="Arial"/>
          <w:sz w:val="22"/>
          <w:szCs w:val="22"/>
        </w:rPr>
      </w:pPr>
      <w:r w:rsidRPr="000F08C7">
        <w:rPr>
          <w:rFonts w:ascii="Arial" w:eastAsia="Arial" w:hAnsi="Arial" w:cs="Arial"/>
          <w:sz w:val="22"/>
          <w:szCs w:val="22"/>
        </w:rPr>
        <w:t>Data Protection Act 2018 and GDPR Principles</w:t>
      </w:r>
    </w:p>
    <w:p w14:paraId="7258F972" w14:textId="2FBE5804"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In health and social care, the key legislation is the Data Protection Act 2018 (DPA 2018) which applies GDPR in the United Kingdom. Below are the 6 principles of DPA 2018 which guide the processing of personal data (Information Commissioner's Office, 2023):</w:t>
      </w:r>
    </w:p>
    <w:p w14:paraId="20571603" w14:textId="77777777" w:rsidR="006E7ED2" w:rsidRPr="000F08C7" w:rsidRDefault="00110E27" w:rsidP="006E7ED2">
      <w:pPr>
        <w:pStyle w:val="ListParagraph"/>
        <w:numPr>
          <w:ilvl w:val="0"/>
          <w:numId w:val="1"/>
        </w:numPr>
        <w:spacing w:after="80" w:line="360" w:lineRule="auto"/>
        <w:rPr>
          <w:rFonts w:ascii="Arial" w:eastAsia="Arial" w:hAnsi="Arial" w:cs="Arial"/>
          <w:sz w:val="22"/>
          <w:szCs w:val="22"/>
        </w:rPr>
      </w:pPr>
      <w:r w:rsidRPr="000F08C7">
        <w:rPr>
          <w:rFonts w:ascii="Arial" w:eastAsia="Arial" w:hAnsi="Arial" w:cs="Arial"/>
          <w:sz w:val="22"/>
          <w:szCs w:val="22"/>
        </w:rPr>
        <w:t xml:space="preserve">Lawfulness, fairness, and transparency – </w:t>
      </w:r>
      <w:r w:rsidR="006E7ED2" w:rsidRPr="000F08C7">
        <w:rPr>
          <w:rFonts w:ascii="Arial" w:eastAsia="Arial" w:hAnsi="Arial" w:cs="Arial"/>
          <w:sz w:val="22"/>
          <w:szCs w:val="22"/>
        </w:rPr>
        <w:t>The processing has to be on the correct legal basis, and the subjects have to be informed how their data will be processed.</w:t>
      </w:r>
    </w:p>
    <w:p w14:paraId="74A2F863" w14:textId="77777777" w:rsidR="006E7ED2" w:rsidRPr="000F08C7" w:rsidRDefault="00110E27" w:rsidP="006E7ED2">
      <w:pPr>
        <w:pStyle w:val="ListParagraph"/>
        <w:numPr>
          <w:ilvl w:val="0"/>
          <w:numId w:val="1"/>
        </w:numPr>
        <w:spacing w:after="80" w:line="360" w:lineRule="auto"/>
        <w:rPr>
          <w:rFonts w:ascii="Arial" w:eastAsia="Arial" w:hAnsi="Arial" w:cs="Arial"/>
          <w:sz w:val="22"/>
          <w:szCs w:val="22"/>
        </w:rPr>
      </w:pPr>
      <w:r w:rsidRPr="000F08C7">
        <w:rPr>
          <w:rFonts w:ascii="Arial" w:eastAsia="Arial" w:hAnsi="Arial" w:cs="Arial"/>
          <w:sz w:val="22"/>
          <w:szCs w:val="22"/>
        </w:rPr>
        <w:t xml:space="preserve">Purpose limitation – </w:t>
      </w:r>
      <w:r w:rsidR="006E7ED2" w:rsidRPr="000F08C7">
        <w:rPr>
          <w:rFonts w:ascii="Arial" w:eastAsia="Arial" w:hAnsi="Arial" w:cs="Arial"/>
          <w:sz w:val="22"/>
          <w:szCs w:val="22"/>
        </w:rPr>
        <w:t>All data collected in relation to the care of Mr Ahmed shall be processed only for this particular use.</w:t>
      </w:r>
    </w:p>
    <w:p w14:paraId="27082F25" w14:textId="42066013" w:rsidR="00247AE9" w:rsidRPr="000F08C7" w:rsidRDefault="00110E27" w:rsidP="006E7ED2">
      <w:pPr>
        <w:pStyle w:val="ListParagraph"/>
        <w:numPr>
          <w:ilvl w:val="0"/>
          <w:numId w:val="1"/>
        </w:numPr>
        <w:spacing w:after="80" w:line="360" w:lineRule="auto"/>
        <w:rPr>
          <w:rFonts w:ascii="Arial" w:eastAsia="Arial" w:hAnsi="Arial" w:cs="Arial"/>
          <w:sz w:val="22"/>
          <w:szCs w:val="22"/>
        </w:rPr>
      </w:pPr>
      <w:r w:rsidRPr="000F08C7">
        <w:rPr>
          <w:rFonts w:ascii="Arial" w:eastAsia="Arial" w:hAnsi="Arial" w:cs="Arial"/>
          <w:sz w:val="22"/>
          <w:szCs w:val="22"/>
        </w:rPr>
        <w:t xml:space="preserve">Data minimisation – </w:t>
      </w:r>
      <w:r w:rsidR="006E7ED2" w:rsidRPr="000F08C7">
        <w:rPr>
          <w:rFonts w:ascii="Arial" w:eastAsia="Arial" w:hAnsi="Arial" w:cs="Arial"/>
          <w:sz w:val="22"/>
          <w:szCs w:val="22"/>
        </w:rPr>
        <w:t>Process only those data that are essential for rendering care.</w:t>
      </w:r>
    </w:p>
    <w:p w14:paraId="00056F38" w14:textId="656DBB89" w:rsidR="00247AE9" w:rsidRPr="000F08C7" w:rsidRDefault="00110E27" w:rsidP="006E7ED2">
      <w:pPr>
        <w:pStyle w:val="ListParagraph"/>
        <w:numPr>
          <w:ilvl w:val="0"/>
          <w:numId w:val="1"/>
        </w:numPr>
        <w:spacing w:after="80" w:line="360" w:lineRule="auto"/>
        <w:rPr>
          <w:rFonts w:ascii="Arial" w:eastAsia="Arial" w:hAnsi="Arial" w:cs="Arial"/>
          <w:sz w:val="22"/>
          <w:szCs w:val="22"/>
        </w:rPr>
      </w:pPr>
      <w:r w:rsidRPr="000F08C7">
        <w:rPr>
          <w:rFonts w:ascii="Arial" w:eastAsia="Arial" w:hAnsi="Arial" w:cs="Arial"/>
          <w:sz w:val="22"/>
          <w:szCs w:val="22"/>
        </w:rPr>
        <w:t xml:space="preserve">Accuracy – </w:t>
      </w:r>
      <w:r w:rsidR="006E7ED2" w:rsidRPr="000F08C7">
        <w:rPr>
          <w:rFonts w:ascii="Arial" w:eastAsia="Arial" w:hAnsi="Arial" w:cs="Arial"/>
          <w:sz w:val="22"/>
          <w:szCs w:val="22"/>
        </w:rPr>
        <w:t>Outdated medicines and care information pose a clinical risk.</w:t>
      </w:r>
    </w:p>
    <w:p w14:paraId="6B886379" w14:textId="3CF07711" w:rsidR="00247AE9" w:rsidRPr="000F08C7" w:rsidRDefault="00110E27" w:rsidP="006E7ED2">
      <w:pPr>
        <w:pStyle w:val="ListParagraph"/>
        <w:numPr>
          <w:ilvl w:val="0"/>
          <w:numId w:val="1"/>
        </w:numPr>
        <w:spacing w:after="80" w:line="360" w:lineRule="auto"/>
        <w:rPr>
          <w:rFonts w:ascii="Arial" w:eastAsia="Arial" w:hAnsi="Arial" w:cs="Arial"/>
          <w:sz w:val="22"/>
          <w:szCs w:val="22"/>
        </w:rPr>
      </w:pPr>
      <w:r w:rsidRPr="000F08C7">
        <w:rPr>
          <w:rFonts w:ascii="Arial" w:eastAsia="Arial" w:hAnsi="Arial" w:cs="Arial"/>
          <w:sz w:val="22"/>
          <w:szCs w:val="22"/>
        </w:rPr>
        <w:lastRenderedPageBreak/>
        <w:t xml:space="preserve">Storage limitation – </w:t>
      </w:r>
      <w:r w:rsidR="006E7ED2" w:rsidRPr="000F08C7">
        <w:rPr>
          <w:rFonts w:ascii="Arial" w:eastAsia="Arial" w:hAnsi="Arial" w:cs="Arial"/>
          <w:sz w:val="22"/>
          <w:szCs w:val="22"/>
        </w:rPr>
        <w:t>records should not be stored longer than required.</w:t>
      </w:r>
    </w:p>
    <w:p w14:paraId="1086FA69" w14:textId="613ADE1A" w:rsidR="00247AE9" w:rsidRPr="000F08C7" w:rsidRDefault="00110E27" w:rsidP="006E7ED2">
      <w:pPr>
        <w:pStyle w:val="ListParagraph"/>
        <w:numPr>
          <w:ilvl w:val="0"/>
          <w:numId w:val="1"/>
        </w:numPr>
        <w:spacing w:after="80" w:line="360" w:lineRule="auto"/>
        <w:rPr>
          <w:rFonts w:ascii="Arial" w:eastAsia="Arial" w:hAnsi="Arial" w:cs="Arial"/>
          <w:sz w:val="22"/>
          <w:szCs w:val="22"/>
        </w:rPr>
      </w:pPr>
      <w:r w:rsidRPr="000F08C7">
        <w:rPr>
          <w:rFonts w:ascii="Arial" w:eastAsia="Arial" w:hAnsi="Arial" w:cs="Arial"/>
          <w:sz w:val="22"/>
          <w:szCs w:val="22"/>
        </w:rPr>
        <w:t xml:space="preserve">Integrity and confidentiality – </w:t>
      </w:r>
      <w:r w:rsidR="006E7ED2" w:rsidRPr="000F08C7">
        <w:rPr>
          <w:rFonts w:ascii="Arial" w:eastAsia="Arial" w:hAnsi="Arial" w:cs="Arial"/>
          <w:sz w:val="22"/>
          <w:szCs w:val="22"/>
        </w:rPr>
        <w:t xml:space="preserve">Mr Ahmed's care records should be stored securely in order to prevent access by any </w:t>
      </w:r>
      <w:proofErr w:type="spellStart"/>
      <w:r w:rsidR="006E7ED2" w:rsidRPr="000F08C7">
        <w:rPr>
          <w:rFonts w:ascii="Arial" w:eastAsia="Arial" w:hAnsi="Arial" w:cs="Arial"/>
          <w:sz w:val="22"/>
          <w:szCs w:val="22"/>
        </w:rPr>
        <w:t>unauthorized</w:t>
      </w:r>
      <w:proofErr w:type="spellEnd"/>
      <w:r w:rsidR="006E7ED2" w:rsidRPr="000F08C7">
        <w:rPr>
          <w:rFonts w:ascii="Arial" w:eastAsia="Arial" w:hAnsi="Arial" w:cs="Arial"/>
          <w:sz w:val="22"/>
          <w:szCs w:val="22"/>
        </w:rPr>
        <w:t xml:space="preserve"> persons.</w:t>
      </w:r>
    </w:p>
    <w:p w14:paraId="5B497754" w14:textId="77777777" w:rsidR="006E7ED2" w:rsidRPr="000F08C7" w:rsidRDefault="006E7ED2" w:rsidP="006E7ED2">
      <w:pPr>
        <w:spacing w:after="80" w:line="360" w:lineRule="auto"/>
        <w:rPr>
          <w:rFonts w:ascii="Arial" w:eastAsia="Arial" w:hAnsi="Arial" w:cs="Arial"/>
          <w:sz w:val="22"/>
          <w:szCs w:val="22"/>
          <w:lang w:val="en-US"/>
        </w:rPr>
      </w:pPr>
    </w:p>
    <w:p w14:paraId="23F9AD17" w14:textId="3C04D092"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 xml:space="preserve">Registered providers are also required to keep accurate, complete and </w:t>
      </w:r>
      <w:proofErr w:type="spellStart"/>
      <w:r w:rsidRPr="000F08C7">
        <w:rPr>
          <w:rFonts w:ascii="Arial" w:eastAsia="Arial" w:hAnsi="Arial" w:cs="Arial"/>
          <w:sz w:val="22"/>
          <w:szCs w:val="22"/>
        </w:rPr>
        <w:t>contemporised</w:t>
      </w:r>
      <w:proofErr w:type="spellEnd"/>
      <w:r w:rsidRPr="000F08C7">
        <w:rPr>
          <w:rFonts w:ascii="Arial" w:eastAsia="Arial" w:hAnsi="Arial" w:cs="Arial"/>
          <w:sz w:val="22"/>
          <w:szCs w:val="22"/>
        </w:rPr>
        <w:t xml:space="preserve"> records under Regulation 17 (Good Governance) under the Care Quality Commission (CQC). There should be a formal record of the missed visit as an incident, it should be investigated through the provider's safeguarding and complaints procedures and reviewed against the duty of candour (Duty of Candour) – (Health and Social Care Act 2008 (Regulated Activities) Regulations 2014) – Regulation 20. In this case transparent record keeping is more than just an administrative course of action, it is a professional and legal responsibility which is beneficial for both Mr Ahmed and the care workers.</w:t>
      </w:r>
    </w:p>
    <w:p w14:paraId="56847FA5" w14:textId="77777777" w:rsidR="00247AE9" w:rsidRPr="000F08C7" w:rsidRDefault="00247AE9">
      <w:pPr>
        <w:spacing w:after="80"/>
        <w:rPr>
          <w:rFonts w:ascii="Arial" w:hAnsi="Arial" w:cs="Arial"/>
          <w:sz w:val="22"/>
          <w:szCs w:val="22"/>
        </w:rPr>
      </w:pPr>
    </w:p>
    <w:p w14:paraId="3421BA4E" w14:textId="77777777" w:rsidR="00247AE9" w:rsidRPr="000F08C7" w:rsidRDefault="00110E27">
      <w:pPr>
        <w:pBdr>
          <w:bottom w:val="single" w:sz="4" w:space="0" w:color="4A7FC1"/>
        </w:pBdr>
        <w:spacing w:before="280" w:after="140"/>
        <w:rPr>
          <w:rFonts w:ascii="Arial" w:hAnsi="Arial" w:cs="Arial"/>
          <w:sz w:val="22"/>
          <w:szCs w:val="22"/>
        </w:rPr>
      </w:pPr>
      <w:r w:rsidRPr="000F08C7">
        <w:rPr>
          <w:rFonts w:ascii="Arial" w:eastAsia="Arial" w:hAnsi="Arial" w:cs="Arial"/>
          <w:sz w:val="22"/>
          <w:szCs w:val="22"/>
        </w:rPr>
        <w:t>Section 3: Collaborative and Multi-Agency Working</w:t>
      </w:r>
    </w:p>
    <w:p w14:paraId="0CF50241" w14:textId="77777777" w:rsidR="00247AE9" w:rsidRPr="000F08C7" w:rsidRDefault="00110E27">
      <w:pPr>
        <w:spacing w:before="200" w:after="100"/>
        <w:rPr>
          <w:rFonts w:ascii="Arial" w:hAnsi="Arial" w:cs="Arial"/>
          <w:sz w:val="22"/>
          <w:szCs w:val="22"/>
        </w:rPr>
      </w:pPr>
      <w:r w:rsidRPr="000F08C7">
        <w:rPr>
          <w:rFonts w:ascii="Arial" w:eastAsia="Arial" w:hAnsi="Arial" w:cs="Arial"/>
          <w:sz w:val="22"/>
          <w:szCs w:val="22"/>
        </w:rPr>
        <w:t>The Multidisciplinary Team Around Mr Ahmed</w:t>
      </w:r>
    </w:p>
    <w:p w14:paraId="7A9478DB" w14:textId="4B9E3440"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Coordinated and holistic care requires team working with others. Mr Ahmed is part of a MDT, which consists of the GP (responsible for the overall management), the District nurse (caring for his blood pressure and wound care), the SALT (caring for any communication and swallowing problems) and Domiciliary care workers (caring for his day to day care requirements and medication needs). Specially trained people contribute their expertise and when working collaboratively can combine and utilise expert knowledge, which isn't duplicated or duplicated at too high a level (</w:t>
      </w:r>
      <w:proofErr w:type="spellStart"/>
      <w:r w:rsidRPr="000F08C7">
        <w:rPr>
          <w:rFonts w:ascii="Arial" w:eastAsia="Arial" w:hAnsi="Arial" w:cs="Arial"/>
          <w:sz w:val="22"/>
          <w:szCs w:val="22"/>
        </w:rPr>
        <w:t>Glasby</w:t>
      </w:r>
      <w:proofErr w:type="spellEnd"/>
      <w:r w:rsidRPr="000F08C7">
        <w:rPr>
          <w:rFonts w:ascii="Arial" w:eastAsia="Arial" w:hAnsi="Arial" w:cs="Arial"/>
          <w:sz w:val="22"/>
          <w:szCs w:val="22"/>
        </w:rPr>
        <w:t>, 2017).</w:t>
      </w:r>
    </w:p>
    <w:p w14:paraId="0CAF66C4" w14:textId="77777777" w:rsidR="00247AE9" w:rsidRPr="000F08C7" w:rsidRDefault="00110E27">
      <w:pPr>
        <w:spacing w:before="200" w:after="100"/>
        <w:rPr>
          <w:rFonts w:ascii="Arial" w:hAnsi="Arial" w:cs="Arial"/>
          <w:sz w:val="22"/>
          <w:szCs w:val="22"/>
        </w:rPr>
      </w:pPr>
      <w:r w:rsidRPr="000F08C7">
        <w:rPr>
          <w:rFonts w:ascii="Arial" w:eastAsia="Arial" w:hAnsi="Arial" w:cs="Arial"/>
          <w:sz w:val="22"/>
          <w:szCs w:val="22"/>
        </w:rPr>
        <w:t>Strategies for Effective Collaboration</w:t>
      </w:r>
    </w:p>
    <w:p w14:paraId="2EEFA4B6" w14:textId="77777777" w:rsidR="006E7ED2" w:rsidRPr="000F08C7" w:rsidRDefault="006E7ED2" w:rsidP="006E7ED2">
      <w:pPr>
        <w:spacing w:after="120" w:line="360" w:lineRule="auto"/>
        <w:jc w:val="both"/>
        <w:rPr>
          <w:rFonts w:ascii="Arial" w:eastAsia="Arial" w:hAnsi="Arial" w:cs="Arial"/>
          <w:sz w:val="22"/>
          <w:szCs w:val="22"/>
        </w:rPr>
      </w:pPr>
      <w:r w:rsidRPr="000F08C7">
        <w:rPr>
          <w:rFonts w:ascii="Arial" w:eastAsia="Arial" w:hAnsi="Arial" w:cs="Arial"/>
          <w:sz w:val="22"/>
          <w:szCs w:val="22"/>
        </w:rPr>
        <w:t>Relationship working or working together in health and social care needs some mechanisms as well as a commitment between the people involved. This involves regular MDT meetings to provide updates on Mr. Ahmed's condition; shared care plans – these can be made available to all professionals involved; and lines of communication and escalation. The Care Act 2014 puts a statutory obligation on local authorities to encourage enhanced cooperation and integration between health and social care providers, instead of working within silos (DOHSC, 2014).</w:t>
      </w:r>
    </w:p>
    <w:p w14:paraId="478AB496" w14:textId="77777777" w:rsidR="00247AE9" w:rsidRPr="000F08C7" w:rsidRDefault="00247AE9">
      <w:pPr>
        <w:spacing w:after="80"/>
        <w:rPr>
          <w:rFonts w:ascii="Arial" w:hAnsi="Arial" w:cs="Arial"/>
          <w:sz w:val="22"/>
          <w:szCs w:val="22"/>
          <w:lang w:val="en-US"/>
        </w:rPr>
      </w:pPr>
    </w:p>
    <w:p w14:paraId="2F3EC9B7" w14:textId="77777777" w:rsidR="00247AE9" w:rsidRPr="000F08C7" w:rsidRDefault="00110E27">
      <w:pPr>
        <w:spacing w:before="200" w:after="100"/>
        <w:rPr>
          <w:rFonts w:ascii="Arial" w:hAnsi="Arial" w:cs="Arial"/>
          <w:sz w:val="22"/>
          <w:szCs w:val="22"/>
        </w:rPr>
      </w:pPr>
      <w:r w:rsidRPr="000F08C7">
        <w:rPr>
          <w:rFonts w:ascii="Arial" w:eastAsia="Arial" w:hAnsi="Arial" w:cs="Arial"/>
          <w:sz w:val="22"/>
          <w:szCs w:val="22"/>
        </w:rPr>
        <w:t>Overcoming Common Challenges in Multi-Agency Working</w:t>
      </w:r>
    </w:p>
    <w:p w14:paraId="1BCD74CC" w14:textId="3DB12304" w:rsidR="006E7ED2" w:rsidRPr="000F08C7" w:rsidRDefault="006E7ED2">
      <w:pPr>
        <w:spacing w:after="120" w:line="360" w:lineRule="auto"/>
        <w:jc w:val="both"/>
        <w:rPr>
          <w:rFonts w:ascii="Arial" w:eastAsia="Arial" w:hAnsi="Arial" w:cs="Arial"/>
          <w:sz w:val="22"/>
          <w:szCs w:val="22"/>
          <w:lang w:val="en-US"/>
        </w:rPr>
      </w:pPr>
      <w:r w:rsidRPr="000F08C7">
        <w:rPr>
          <w:rFonts w:ascii="Arial" w:eastAsia="Arial" w:hAnsi="Arial" w:cs="Arial"/>
          <w:sz w:val="22"/>
          <w:szCs w:val="22"/>
        </w:rPr>
        <w:t xml:space="preserve">The issues faced by multi-agency working can include role ambiguities, lack of information sharing, different organisational cultures, and so on. In Mr Ahmed's case, the missed </w:t>
      </w:r>
      <w:r w:rsidRPr="000F08C7">
        <w:rPr>
          <w:rFonts w:ascii="Arial" w:eastAsia="Arial" w:hAnsi="Arial" w:cs="Arial"/>
          <w:sz w:val="22"/>
          <w:szCs w:val="22"/>
        </w:rPr>
        <w:lastRenderedPageBreak/>
        <w:t>medication visit highlights the dangers of poor handover and lack of accountability within the clinical team and between the clinical team and the domiciliary agency. The authors from Hudson et al. (2019) suggest that these elements contribute to effective multi-agency collaboration—the mutual trust, shared goals and clarity of roles among each other. Organisations can meet the challenges by incorporating common EHRs, establishing common handover procedures like the SBAR tool (Situation, Background, Assessment, Recommendation) and including everyone involved with care in the review process. Cultural competence training is also crucial because all staff members in the care team that support Mr Ahmed have to communicate equally with him and his family (</w:t>
      </w:r>
      <w:proofErr w:type="spellStart"/>
      <w:r w:rsidRPr="000F08C7">
        <w:rPr>
          <w:rFonts w:ascii="Arial" w:eastAsia="Arial" w:hAnsi="Arial" w:cs="Arial"/>
          <w:sz w:val="22"/>
          <w:szCs w:val="22"/>
        </w:rPr>
        <w:t>Papadopoulos</w:t>
      </w:r>
      <w:proofErr w:type="spellEnd"/>
      <w:r w:rsidRPr="000F08C7">
        <w:rPr>
          <w:rFonts w:ascii="Arial" w:eastAsia="Arial" w:hAnsi="Arial" w:cs="Arial"/>
          <w:sz w:val="22"/>
          <w:szCs w:val="22"/>
        </w:rPr>
        <w:t>, 2018) and need to be attuned to his language background to ensure that they can communicate with him appropriately.</w:t>
      </w:r>
    </w:p>
    <w:p w14:paraId="5C64FF3F" w14:textId="77777777" w:rsidR="00247AE9" w:rsidRPr="000F08C7" w:rsidRDefault="00247AE9">
      <w:pPr>
        <w:spacing w:after="80"/>
        <w:rPr>
          <w:rFonts w:ascii="Arial" w:hAnsi="Arial" w:cs="Arial"/>
          <w:sz w:val="22"/>
          <w:szCs w:val="22"/>
        </w:rPr>
      </w:pPr>
    </w:p>
    <w:p w14:paraId="29A0EC4E" w14:textId="77777777" w:rsidR="00247AE9" w:rsidRPr="000F08C7" w:rsidRDefault="00110E27">
      <w:pPr>
        <w:pBdr>
          <w:bottom w:val="single" w:sz="4" w:space="0" w:color="4A7FC1"/>
        </w:pBdr>
        <w:spacing w:before="280" w:after="140"/>
        <w:rPr>
          <w:rFonts w:ascii="Arial" w:hAnsi="Arial" w:cs="Arial"/>
          <w:sz w:val="22"/>
          <w:szCs w:val="22"/>
        </w:rPr>
      </w:pPr>
      <w:r w:rsidRPr="000F08C7">
        <w:rPr>
          <w:rFonts w:ascii="Arial" w:eastAsia="Arial" w:hAnsi="Arial" w:cs="Arial"/>
          <w:sz w:val="22"/>
          <w:szCs w:val="22"/>
        </w:rPr>
        <w:t>Conclusion</w:t>
      </w:r>
    </w:p>
    <w:p w14:paraId="3D3CBF18" w14:textId="77777777" w:rsidR="006E7ED2" w:rsidRPr="000F08C7" w:rsidRDefault="006E7ED2" w:rsidP="006E7ED2">
      <w:pPr>
        <w:spacing w:after="120" w:line="360" w:lineRule="auto"/>
        <w:jc w:val="both"/>
        <w:rPr>
          <w:rFonts w:ascii="Arial" w:eastAsia="Arial" w:hAnsi="Arial" w:cs="Arial"/>
          <w:sz w:val="22"/>
          <w:szCs w:val="22"/>
        </w:rPr>
      </w:pPr>
      <w:r w:rsidRPr="000F08C7">
        <w:rPr>
          <w:rFonts w:ascii="Arial" w:eastAsia="Arial" w:hAnsi="Arial" w:cs="Arial"/>
          <w:sz w:val="22"/>
          <w:szCs w:val="22"/>
        </w:rPr>
        <w:t>This report has illustrated how effective communication, meticulous record keeping and multi-agency working are deeply intertwined elements of good health and social care. Applying the Shannon-Weaver model and the principles of the Equality Act 2010, will help make sure that Mr Ahmed's linguistic needs and disability needs are met to understand his needs in a way that's dignifying and equitable to him. He trusts that the Data Protection Act 2018 is adhered to, so his personal data is kept secure while at the same time being transparent and held accountable. Finally, a structured MDT approach can be implemented with the aid of the Care Act 2014 and guided by common tools and protocols to help minimise the risk of the type of failure this has prevented, i.e., coordination of care. These values are combined to form the principles of person centred care that can be used to guide practice to improve throughout the duration of care.</w:t>
      </w:r>
    </w:p>
    <w:p w14:paraId="3F40B037" w14:textId="77777777" w:rsidR="006E7ED2" w:rsidRPr="000F08C7" w:rsidRDefault="006E7ED2">
      <w:pPr>
        <w:spacing w:after="120" w:line="360" w:lineRule="auto"/>
        <w:jc w:val="both"/>
        <w:rPr>
          <w:rFonts w:ascii="Arial" w:hAnsi="Arial" w:cs="Arial"/>
          <w:sz w:val="22"/>
          <w:szCs w:val="22"/>
          <w:lang w:val="en-US"/>
        </w:rPr>
      </w:pPr>
    </w:p>
    <w:p w14:paraId="253DA9FE" w14:textId="77777777" w:rsidR="00247AE9" w:rsidRPr="000F08C7" w:rsidRDefault="00247AE9">
      <w:pPr>
        <w:spacing w:after="80"/>
        <w:rPr>
          <w:rFonts w:ascii="Arial" w:hAnsi="Arial" w:cs="Arial"/>
          <w:sz w:val="22"/>
          <w:szCs w:val="22"/>
        </w:rPr>
      </w:pPr>
    </w:p>
    <w:p w14:paraId="49AF3C61" w14:textId="77777777" w:rsidR="00247AE9" w:rsidRPr="000F08C7" w:rsidRDefault="00110E27">
      <w:pPr>
        <w:rPr>
          <w:rFonts w:ascii="Arial" w:hAnsi="Arial" w:cs="Arial"/>
          <w:sz w:val="22"/>
          <w:szCs w:val="22"/>
        </w:rPr>
      </w:pPr>
      <w:r w:rsidRPr="000F08C7">
        <w:rPr>
          <w:rFonts w:ascii="Arial" w:hAnsi="Arial" w:cs="Arial"/>
          <w:sz w:val="22"/>
          <w:szCs w:val="22"/>
        </w:rPr>
        <w:br w:type="page"/>
      </w:r>
    </w:p>
    <w:p w14:paraId="62AC3D89" w14:textId="77777777" w:rsidR="00247AE9" w:rsidRPr="007251BE" w:rsidRDefault="00110E27">
      <w:pPr>
        <w:pBdr>
          <w:bottom w:val="single" w:sz="4" w:space="0" w:color="4A7FC1"/>
        </w:pBdr>
        <w:spacing w:before="280" w:after="140"/>
      </w:pPr>
      <w:r w:rsidRPr="007251BE">
        <w:rPr>
          <w:rFonts w:ascii="Arial" w:eastAsia="Arial" w:hAnsi="Arial" w:cs="Arial"/>
          <w:b/>
          <w:bCs/>
          <w:sz w:val="26"/>
          <w:szCs w:val="26"/>
        </w:rPr>
        <w:lastRenderedPageBreak/>
        <w:t>Reference List</w:t>
      </w:r>
    </w:p>
    <w:p w14:paraId="04C1AAFB" w14:textId="63A79E26" w:rsidR="00247AE9" w:rsidRPr="007251BE" w:rsidRDefault="00110E27">
      <w:pPr>
        <w:spacing w:after="100" w:line="360" w:lineRule="auto"/>
        <w:ind w:left="720" w:hanging="720"/>
      </w:pPr>
      <w:r w:rsidRPr="007251BE">
        <w:rPr>
          <w:rFonts w:ascii="Arial" w:eastAsia="Arial" w:hAnsi="Arial" w:cs="Arial"/>
          <w:sz w:val="22"/>
          <w:szCs w:val="22"/>
        </w:rPr>
        <w:t xml:space="preserve">Care Quality Commission (CQC) (2022) Regulation 17: Good Governance. Available at: https://www.cqc.org.uk/guidance-providers/regulations/regulation-17-good-governance (Accessed: </w:t>
      </w:r>
      <w:r w:rsidR="00D47A7C">
        <w:rPr>
          <w:rFonts w:ascii="Arial" w:eastAsia="Arial" w:hAnsi="Arial" w:cs="Arial"/>
          <w:sz w:val="22"/>
          <w:szCs w:val="22"/>
        </w:rPr>
        <w:t xml:space="preserve">4 </w:t>
      </w:r>
      <w:r w:rsidRPr="007251BE">
        <w:rPr>
          <w:rFonts w:ascii="Arial" w:eastAsia="Arial" w:hAnsi="Arial" w:cs="Arial"/>
          <w:sz w:val="22"/>
          <w:szCs w:val="22"/>
        </w:rPr>
        <w:t>August 2026).</w:t>
      </w:r>
    </w:p>
    <w:p w14:paraId="14C91C7A" w14:textId="3458C18C" w:rsidR="00247AE9" w:rsidRPr="007251BE" w:rsidRDefault="00110E27">
      <w:pPr>
        <w:spacing w:after="100" w:line="360" w:lineRule="auto"/>
        <w:ind w:left="720" w:hanging="720"/>
      </w:pPr>
      <w:r w:rsidRPr="007251BE">
        <w:rPr>
          <w:rFonts w:ascii="Arial" w:eastAsia="Arial" w:hAnsi="Arial" w:cs="Arial"/>
          <w:sz w:val="22"/>
          <w:szCs w:val="22"/>
        </w:rPr>
        <w:t xml:space="preserve">Department of Health and Social Care (2014) Care Act 2014. London: HMSO. Available at: https://www.legislation.gov.uk/ukpga/2014/23/contents (Accessed: </w:t>
      </w:r>
      <w:r w:rsidR="00AE055F">
        <w:rPr>
          <w:rFonts w:ascii="Arial" w:eastAsia="Arial" w:hAnsi="Arial" w:cs="Arial"/>
          <w:sz w:val="22"/>
          <w:szCs w:val="22"/>
        </w:rPr>
        <w:t>7</w:t>
      </w:r>
      <w:r w:rsidRPr="007251BE">
        <w:rPr>
          <w:rFonts w:ascii="Arial" w:eastAsia="Arial" w:hAnsi="Arial" w:cs="Arial"/>
          <w:sz w:val="22"/>
          <w:szCs w:val="22"/>
        </w:rPr>
        <w:t xml:space="preserve"> August 2026).</w:t>
      </w:r>
    </w:p>
    <w:p w14:paraId="02563E21" w14:textId="6F8E4FDB" w:rsidR="00247AE9" w:rsidRPr="007251BE" w:rsidRDefault="00110E27">
      <w:pPr>
        <w:spacing w:after="100" w:line="360" w:lineRule="auto"/>
        <w:ind w:left="720" w:hanging="720"/>
      </w:pPr>
      <w:r w:rsidRPr="007251BE">
        <w:rPr>
          <w:rFonts w:ascii="Arial" w:eastAsia="Arial" w:hAnsi="Arial" w:cs="Arial"/>
          <w:sz w:val="22"/>
          <w:szCs w:val="22"/>
        </w:rPr>
        <w:t>Department of Health and Social Care (2021) The NHS Constitution for England. London: HMSO. Available at: https://www.gov.uk/government/publications/the-nhs-constitution-for-england (Accessed:</w:t>
      </w:r>
      <w:r w:rsidR="00D47A7C">
        <w:rPr>
          <w:rFonts w:ascii="Arial" w:eastAsia="Arial" w:hAnsi="Arial" w:cs="Arial"/>
          <w:sz w:val="22"/>
          <w:szCs w:val="22"/>
        </w:rPr>
        <w:t xml:space="preserve"> 4</w:t>
      </w:r>
      <w:r w:rsidRPr="007251BE">
        <w:rPr>
          <w:rFonts w:ascii="Arial" w:eastAsia="Arial" w:hAnsi="Arial" w:cs="Arial"/>
          <w:sz w:val="22"/>
          <w:szCs w:val="22"/>
        </w:rPr>
        <w:t xml:space="preserve"> August 2026).</w:t>
      </w:r>
    </w:p>
    <w:p w14:paraId="419A283E" w14:textId="77777777" w:rsidR="00247AE9" w:rsidRPr="007251BE" w:rsidRDefault="00110E27">
      <w:pPr>
        <w:spacing w:after="100" w:line="360" w:lineRule="auto"/>
        <w:ind w:left="720" w:hanging="720"/>
      </w:pPr>
      <w:r w:rsidRPr="007251BE">
        <w:rPr>
          <w:rFonts w:ascii="Arial" w:eastAsia="Arial" w:hAnsi="Arial" w:cs="Arial"/>
          <w:sz w:val="22"/>
          <w:szCs w:val="22"/>
        </w:rPr>
        <w:t xml:space="preserve">Ellis, R. and Bach, S. (2015) Leadership, Management and Team Working in Nursing. 3rd </w:t>
      </w:r>
      <w:proofErr w:type="spellStart"/>
      <w:r w:rsidRPr="007251BE">
        <w:rPr>
          <w:rFonts w:ascii="Arial" w:eastAsia="Arial" w:hAnsi="Arial" w:cs="Arial"/>
          <w:sz w:val="22"/>
          <w:szCs w:val="22"/>
        </w:rPr>
        <w:t>edn</w:t>
      </w:r>
      <w:proofErr w:type="spellEnd"/>
      <w:r w:rsidRPr="007251BE">
        <w:rPr>
          <w:rFonts w:ascii="Arial" w:eastAsia="Arial" w:hAnsi="Arial" w:cs="Arial"/>
          <w:sz w:val="22"/>
          <w:szCs w:val="22"/>
        </w:rPr>
        <w:t>. London: SAGE.</w:t>
      </w:r>
    </w:p>
    <w:p w14:paraId="5206AB77" w14:textId="77777777" w:rsidR="00247AE9" w:rsidRPr="007251BE" w:rsidRDefault="00110E27">
      <w:pPr>
        <w:spacing w:after="100" w:line="360" w:lineRule="auto"/>
        <w:ind w:left="720" w:hanging="720"/>
      </w:pPr>
      <w:r w:rsidRPr="007251BE">
        <w:rPr>
          <w:rFonts w:ascii="Arial" w:eastAsia="Arial" w:hAnsi="Arial" w:cs="Arial"/>
          <w:sz w:val="22"/>
          <w:szCs w:val="22"/>
        </w:rPr>
        <w:t>Equality Act 2010. Available at: https://www.legislation.gov.uk/ukpga/2010/15/contents (Accessed: 5 August 2026).</w:t>
      </w:r>
    </w:p>
    <w:p w14:paraId="64ECD603" w14:textId="77777777" w:rsidR="00247AE9" w:rsidRPr="007251BE" w:rsidRDefault="00110E27">
      <w:pPr>
        <w:spacing w:after="100" w:line="360" w:lineRule="auto"/>
        <w:ind w:left="720" w:hanging="720"/>
      </w:pPr>
      <w:proofErr w:type="spellStart"/>
      <w:r w:rsidRPr="007251BE">
        <w:rPr>
          <w:rFonts w:ascii="Arial" w:eastAsia="Arial" w:hAnsi="Arial" w:cs="Arial"/>
          <w:sz w:val="22"/>
          <w:szCs w:val="22"/>
        </w:rPr>
        <w:t>Glasby</w:t>
      </w:r>
      <w:proofErr w:type="spellEnd"/>
      <w:r w:rsidRPr="007251BE">
        <w:rPr>
          <w:rFonts w:ascii="Arial" w:eastAsia="Arial" w:hAnsi="Arial" w:cs="Arial"/>
          <w:sz w:val="22"/>
          <w:szCs w:val="22"/>
        </w:rPr>
        <w:t xml:space="preserve">, J. (2017) Understanding Health and Social Care. 3rd </w:t>
      </w:r>
      <w:proofErr w:type="spellStart"/>
      <w:r w:rsidRPr="007251BE">
        <w:rPr>
          <w:rFonts w:ascii="Arial" w:eastAsia="Arial" w:hAnsi="Arial" w:cs="Arial"/>
          <w:sz w:val="22"/>
          <w:szCs w:val="22"/>
        </w:rPr>
        <w:t>edn</w:t>
      </w:r>
      <w:proofErr w:type="spellEnd"/>
      <w:r w:rsidRPr="007251BE">
        <w:rPr>
          <w:rFonts w:ascii="Arial" w:eastAsia="Arial" w:hAnsi="Arial" w:cs="Arial"/>
          <w:sz w:val="22"/>
          <w:szCs w:val="22"/>
        </w:rPr>
        <w:t>. Bristol: Policy Press.</w:t>
      </w:r>
    </w:p>
    <w:p w14:paraId="6CDB0C80" w14:textId="77777777" w:rsidR="00247AE9" w:rsidRPr="007251BE" w:rsidRDefault="00110E27">
      <w:pPr>
        <w:spacing w:after="100" w:line="360" w:lineRule="auto"/>
        <w:ind w:left="720" w:hanging="720"/>
      </w:pPr>
      <w:r w:rsidRPr="007251BE">
        <w:rPr>
          <w:rFonts w:ascii="Arial" w:eastAsia="Arial" w:hAnsi="Arial" w:cs="Arial"/>
          <w:sz w:val="22"/>
          <w:szCs w:val="22"/>
        </w:rPr>
        <w:t xml:space="preserve">Health and Social Care Act 2008 (Regulated Activities) Regulations 2014, </w:t>
      </w:r>
      <w:proofErr w:type="spellStart"/>
      <w:r w:rsidRPr="007251BE">
        <w:rPr>
          <w:rFonts w:ascii="Arial" w:eastAsia="Arial" w:hAnsi="Arial" w:cs="Arial"/>
          <w:sz w:val="22"/>
          <w:szCs w:val="22"/>
        </w:rPr>
        <w:t>SI</w:t>
      </w:r>
      <w:proofErr w:type="spellEnd"/>
      <w:r w:rsidRPr="007251BE">
        <w:rPr>
          <w:rFonts w:ascii="Arial" w:eastAsia="Arial" w:hAnsi="Arial" w:cs="Arial"/>
          <w:sz w:val="22"/>
          <w:szCs w:val="22"/>
        </w:rPr>
        <w:t xml:space="preserve"> 2014/2936. Available at: https://www.legislation.gov.uk/uksi/2014/2936/contents (Accessed: 5 August 2026).</w:t>
      </w:r>
    </w:p>
    <w:p w14:paraId="2A7B7B6B" w14:textId="77777777" w:rsidR="00247AE9" w:rsidRPr="007251BE" w:rsidRDefault="00110E27">
      <w:pPr>
        <w:spacing w:after="100" w:line="360" w:lineRule="auto"/>
        <w:ind w:left="720" w:hanging="720"/>
      </w:pPr>
      <w:r w:rsidRPr="007251BE">
        <w:rPr>
          <w:rFonts w:ascii="Arial" w:eastAsia="Arial" w:hAnsi="Arial" w:cs="Arial"/>
          <w:sz w:val="22"/>
          <w:szCs w:val="22"/>
        </w:rPr>
        <w:t>Hudson, B., Hunter, D. and Peckham, S. (2019) 'Policy failure and the policy-implementation gap: can policy support programs help?', Policy Design and Practice, 2(1), pp. 1–14. DOI: https://doi.org/10.1080/25741292.2018.1540378.</w:t>
      </w:r>
    </w:p>
    <w:p w14:paraId="5E3A8785" w14:textId="4BC4756C" w:rsidR="00247AE9" w:rsidRPr="007251BE" w:rsidRDefault="00110E27">
      <w:pPr>
        <w:spacing w:after="100" w:line="360" w:lineRule="auto"/>
        <w:ind w:left="720" w:hanging="720"/>
      </w:pPr>
      <w:r w:rsidRPr="007251BE">
        <w:rPr>
          <w:rFonts w:ascii="Arial" w:eastAsia="Arial" w:hAnsi="Arial" w:cs="Arial"/>
          <w:sz w:val="22"/>
          <w:szCs w:val="22"/>
        </w:rPr>
        <w:t xml:space="preserve">Information Commissioner's Office (ICO) (2023) Guide to the UK GDPR: Principles. Available at: https://ico.org.uk/for-organisations/uk-gdpr-guidance-and-resources/data-protection-principles/ (Accessed: </w:t>
      </w:r>
      <w:r w:rsidR="00863D2B">
        <w:rPr>
          <w:rFonts w:ascii="Arial" w:eastAsia="Arial" w:hAnsi="Arial" w:cs="Arial"/>
          <w:sz w:val="22"/>
          <w:szCs w:val="22"/>
        </w:rPr>
        <w:t xml:space="preserve">6 </w:t>
      </w:r>
      <w:r w:rsidRPr="007251BE">
        <w:rPr>
          <w:rFonts w:ascii="Arial" w:eastAsia="Arial" w:hAnsi="Arial" w:cs="Arial"/>
          <w:sz w:val="22"/>
          <w:szCs w:val="22"/>
        </w:rPr>
        <w:t>August 2026).</w:t>
      </w:r>
    </w:p>
    <w:p w14:paraId="066DD662" w14:textId="4085E359" w:rsidR="00247AE9" w:rsidRPr="007251BE" w:rsidRDefault="00110E27">
      <w:pPr>
        <w:spacing w:after="100" w:line="360" w:lineRule="auto"/>
        <w:ind w:left="720" w:hanging="720"/>
      </w:pPr>
      <w:r w:rsidRPr="007251BE">
        <w:rPr>
          <w:rFonts w:ascii="Arial" w:eastAsia="Arial" w:hAnsi="Arial" w:cs="Arial"/>
          <w:sz w:val="22"/>
          <w:szCs w:val="22"/>
        </w:rPr>
        <w:t xml:space="preserve">Nursing and Midwifery Council (NMC) (2018) The Code: Professional Standards of Practice and Behaviour for Nurses, Midwives and Nursing Associates. London: NMC. Available at: https://www.nmc.org.uk/standards/code/ (Accessed: </w:t>
      </w:r>
      <w:r w:rsidR="006E67AE">
        <w:rPr>
          <w:rFonts w:ascii="Arial" w:eastAsia="Arial" w:hAnsi="Arial" w:cs="Arial"/>
          <w:sz w:val="22"/>
          <w:szCs w:val="22"/>
        </w:rPr>
        <w:t>6</w:t>
      </w:r>
      <w:r w:rsidRPr="007251BE">
        <w:rPr>
          <w:rFonts w:ascii="Arial" w:eastAsia="Arial" w:hAnsi="Arial" w:cs="Arial"/>
          <w:sz w:val="22"/>
          <w:szCs w:val="22"/>
        </w:rPr>
        <w:t xml:space="preserve"> August 2026).</w:t>
      </w:r>
    </w:p>
    <w:p w14:paraId="3EC611A4" w14:textId="77777777" w:rsidR="00247AE9" w:rsidRPr="007251BE" w:rsidRDefault="00110E27">
      <w:pPr>
        <w:spacing w:after="100" w:line="360" w:lineRule="auto"/>
        <w:ind w:left="720" w:hanging="720"/>
      </w:pPr>
      <w:proofErr w:type="spellStart"/>
      <w:r w:rsidRPr="007251BE">
        <w:rPr>
          <w:rFonts w:ascii="Arial" w:eastAsia="Arial" w:hAnsi="Arial" w:cs="Arial"/>
          <w:sz w:val="22"/>
          <w:szCs w:val="22"/>
        </w:rPr>
        <w:t>Papadopoulos</w:t>
      </w:r>
      <w:proofErr w:type="spellEnd"/>
      <w:r w:rsidRPr="007251BE">
        <w:rPr>
          <w:rFonts w:ascii="Arial" w:eastAsia="Arial" w:hAnsi="Arial" w:cs="Arial"/>
          <w:sz w:val="22"/>
          <w:szCs w:val="22"/>
        </w:rPr>
        <w:t xml:space="preserve">, I. (2018) Culturally Competent Compassion: A Guide for Healthcare Students and Practitioners. London: </w:t>
      </w:r>
      <w:proofErr w:type="spellStart"/>
      <w:r w:rsidRPr="007251BE">
        <w:rPr>
          <w:rFonts w:ascii="Arial" w:eastAsia="Arial" w:hAnsi="Arial" w:cs="Arial"/>
          <w:sz w:val="22"/>
          <w:szCs w:val="22"/>
        </w:rPr>
        <w:t>Routledge</w:t>
      </w:r>
      <w:proofErr w:type="spellEnd"/>
      <w:r w:rsidRPr="007251BE">
        <w:rPr>
          <w:rFonts w:ascii="Arial" w:eastAsia="Arial" w:hAnsi="Arial" w:cs="Arial"/>
          <w:sz w:val="22"/>
          <w:szCs w:val="22"/>
        </w:rPr>
        <w:t>.</w:t>
      </w:r>
    </w:p>
    <w:p w14:paraId="4F9FA894" w14:textId="77777777" w:rsidR="00247AE9" w:rsidRPr="007251BE" w:rsidRDefault="00110E27">
      <w:pPr>
        <w:spacing w:after="100" w:line="360" w:lineRule="auto"/>
        <w:ind w:left="720" w:hanging="720"/>
      </w:pPr>
      <w:r w:rsidRPr="007251BE">
        <w:rPr>
          <w:rFonts w:ascii="Arial" w:eastAsia="Arial" w:hAnsi="Arial" w:cs="Arial"/>
          <w:sz w:val="22"/>
          <w:szCs w:val="22"/>
        </w:rPr>
        <w:t>Shannon, C.E. and Weaver, W. (1949) The Mathematical Theory of Communication. Urbana: University of Illinois Press.</w:t>
      </w:r>
    </w:p>
    <w:p w14:paraId="3B13141A" w14:textId="77777777" w:rsidR="00247AE9" w:rsidRPr="007251BE" w:rsidRDefault="00110E27">
      <w:pPr>
        <w:spacing w:after="100" w:line="360" w:lineRule="auto"/>
        <w:ind w:left="720" w:hanging="720"/>
      </w:pPr>
      <w:r w:rsidRPr="007251BE">
        <w:rPr>
          <w:rFonts w:ascii="Arial" w:eastAsia="Arial" w:hAnsi="Arial" w:cs="Arial"/>
          <w:sz w:val="22"/>
          <w:szCs w:val="22"/>
        </w:rPr>
        <w:t xml:space="preserve">Thompson, N. (2016) Anti-Discriminatory Practice: Equality, Diversity and Social Justice. 6th </w:t>
      </w:r>
      <w:proofErr w:type="spellStart"/>
      <w:r w:rsidRPr="007251BE">
        <w:rPr>
          <w:rFonts w:ascii="Arial" w:eastAsia="Arial" w:hAnsi="Arial" w:cs="Arial"/>
          <w:sz w:val="22"/>
          <w:szCs w:val="22"/>
        </w:rPr>
        <w:t>edn</w:t>
      </w:r>
      <w:proofErr w:type="spellEnd"/>
      <w:r w:rsidRPr="007251BE">
        <w:rPr>
          <w:rFonts w:ascii="Arial" w:eastAsia="Arial" w:hAnsi="Arial" w:cs="Arial"/>
          <w:sz w:val="22"/>
          <w:szCs w:val="22"/>
        </w:rPr>
        <w:t xml:space="preserve">. London: </w:t>
      </w:r>
      <w:proofErr w:type="spellStart"/>
      <w:r w:rsidRPr="007251BE">
        <w:rPr>
          <w:rFonts w:ascii="Arial" w:eastAsia="Arial" w:hAnsi="Arial" w:cs="Arial"/>
          <w:sz w:val="22"/>
          <w:szCs w:val="22"/>
        </w:rPr>
        <w:t>Palgrave</w:t>
      </w:r>
      <w:proofErr w:type="spellEnd"/>
      <w:r w:rsidRPr="007251BE">
        <w:rPr>
          <w:rFonts w:ascii="Arial" w:eastAsia="Arial" w:hAnsi="Arial" w:cs="Arial"/>
          <w:sz w:val="22"/>
          <w:szCs w:val="22"/>
        </w:rPr>
        <w:t xml:space="preserve"> Macmillan.</w:t>
      </w:r>
    </w:p>
    <w:p w14:paraId="65F6F738" w14:textId="77777777" w:rsidR="00247AE9" w:rsidRPr="007251BE" w:rsidRDefault="00247AE9">
      <w:pPr>
        <w:spacing w:after="80"/>
      </w:pPr>
    </w:p>
    <w:sectPr w:rsidR="00247AE9" w:rsidRPr="007251BE">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01B770" w14:textId="77777777" w:rsidR="00BD14A5" w:rsidRDefault="00BD14A5">
      <w:r>
        <w:separator/>
      </w:r>
    </w:p>
  </w:endnote>
  <w:endnote w:type="continuationSeparator" w:id="0">
    <w:p w14:paraId="6AC6D3D8" w14:textId="77777777" w:rsidR="00BD14A5" w:rsidRDefault="00BD14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BF9D25F" w14:textId="77777777" w:rsidR="00247AE9" w:rsidRDefault="00110E27">
    <w:pPr>
      <w:jc w:val="center"/>
    </w:pPr>
    <w:r>
      <w:rPr>
        <w:rFonts w:ascii="Arial" w:eastAsia="Arial" w:hAnsi="Arial" w:cs="Arial"/>
        <w:color w:val="888888"/>
        <w:sz w:val="18"/>
        <w:szCs w:val="18"/>
      </w:rPr>
      <w:t xml:space="preserve">Page </w:t>
    </w:r>
    <w:r>
      <w:rPr>
        <w:rFonts w:ascii="Arial" w:eastAsia="Arial" w:hAnsi="Arial" w:cs="Arial"/>
        <w:color w:val="888888"/>
        <w:sz w:val="18"/>
        <w:szCs w:val="18"/>
      </w:rPr>
      <w:fldChar w:fldCharType="begin"/>
    </w:r>
    <w:r>
      <w:rPr>
        <w:rFonts w:ascii="Arial" w:eastAsia="Arial" w:hAnsi="Arial" w:cs="Arial"/>
        <w:color w:val="888888"/>
        <w:sz w:val="18"/>
        <w:szCs w:val="18"/>
      </w:rPr>
      <w:instrText>PAGE</w:instrText>
    </w:r>
    <w:r>
      <w:rPr>
        <w:rFonts w:ascii="Arial" w:eastAsia="Arial" w:hAnsi="Arial" w:cs="Arial"/>
        <w:color w:val="888888"/>
        <w:sz w:val="18"/>
        <w:szCs w:val="18"/>
      </w:rPr>
      <w:fldChar w:fldCharType="separate"/>
    </w:r>
    <w:r w:rsidR="006E7ED2">
      <w:rPr>
        <w:rFonts w:ascii="Arial" w:eastAsia="Arial" w:hAnsi="Arial" w:cs="Arial"/>
        <w:noProof/>
        <w:color w:val="888888"/>
        <w:sz w:val="18"/>
        <w:szCs w:val="18"/>
      </w:rPr>
      <w:t>2</w:t>
    </w:r>
    <w:r>
      <w:rPr>
        <w:rFonts w:ascii="Arial" w:eastAsia="Arial" w:hAnsi="Arial" w:cs="Arial"/>
        <w:color w:val="888888"/>
        <w:sz w:val="18"/>
        <w:szCs w:val="18"/>
      </w:rPr>
      <w:fldChar w:fldCharType="end"/>
    </w:r>
    <w:r>
      <w:rPr>
        <w:rFonts w:ascii="Arial" w:eastAsia="Arial" w:hAnsi="Arial" w:cs="Arial"/>
        <w:color w:val="888888"/>
        <w:sz w:val="18"/>
        <w:szCs w:val="18"/>
      </w:rPr>
      <w:t xml:space="preserve"> of </w:t>
    </w:r>
    <w:r>
      <w:rPr>
        <w:rFonts w:ascii="Arial" w:eastAsia="Arial" w:hAnsi="Arial" w:cs="Arial"/>
        <w:color w:val="888888"/>
        <w:sz w:val="18"/>
        <w:szCs w:val="18"/>
      </w:rPr>
      <w:fldChar w:fldCharType="begin"/>
    </w:r>
    <w:r>
      <w:rPr>
        <w:rFonts w:ascii="Arial" w:eastAsia="Arial" w:hAnsi="Arial" w:cs="Arial"/>
        <w:color w:val="888888"/>
        <w:sz w:val="18"/>
        <w:szCs w:val="18"/>
      </w:rPr>
      <w:instrText>NUMPAGES</w:instrText>
    </w:r>
    <w:r>
      <w:rPr>
        <w:rFonts w:ascii="Arial" w:eastAsia="Arial" w:hAnsi="Arial" w:cs="Arial"/>
        <w:color w:val="888888"/>
        <w:sz w:val="18"/>
        <w:szCs w:val="18"/>
      </w:rPr>
      <w:fldChar w:fldCharType="separate"/>
    </w:r>
    <w:r w:rsidR="006E7ED2">
      <w:rPr>
        <w:rFonts w:ascii="Arial" w:eastAsia="Arial" w:hAnsi="Arial" w:cs="Arial"/>
        <w:noProof/>
        <w:color w:val="888888"/>
        <w:sz w:val="18"/>
        <w:szCs w:val="18"/>
      </w:rPr>
      <w:t>3</w:t>
    </w:r>
    <w:r>
      <w:rPr>
        <w:rFonts w:ascii="Arial" w:eastAsia="Arial" w:hAnsi="Arial" w:cs="Arial"/>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1738991" w14:textId="77777777" w:rsidR="00BD14A5" w:rsidRDefault="00BD14A5">
      <w:r>
        <w:separator/>
      </w:r>
    </w:p>
  </w:footnote>
  <w:footnote w:type="continuationSeparator" w:id="0">
    <w:p w14:paraId="6AE0C409" w14:textId="77777777" w:rsidR="00BD14A5" w:rsidRDefault="00BD14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9288512"/>
      <w:docPartObj>
        <w:docPartGallery w:val="Page Numbers (Top of Page)"/>
        <w:docPartUnique/>
      </w:docPartObj>
    </w:sdtPr>
    <w:sdtContent>
      <w:p w14:paraId="5695C6B3" w14:textId="2783CA30" w:rsidR="0076263A" w:rsidRDefault="0076263A" w:rsidP="00F44669">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8D84DA" w14:textId="77777777" w:rsidR="0076263A" w:rsidRDefault="0076263A" w:rsidP="0076263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09927028"/>
      <w:docPartObj>
        <w:docPartGallery w:val="Page Numbers (Top of Page)"/>
        <w:docPartUnique/>
      </w:docPartObj>
    </w:sdtPr>
    <w:sdtContent>
      <w:p w14:paraId="5F7A14EA" w14:textId="1D838C53" w:rsidR="0076263A" w:rsidRDefault="0076263A" w:rsidP="00F44669">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1EC3CE" w14:textId="77777777" w:rsidR="0076263A" w:rsidRDefault="0076263A" w:rsidP="0076263A">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8BFCC29" w14:textId="41C9DB9E" w:rsidR="00247AE9" w:rsidRPr="00E5217F" w:rsidRDefault="00247AE9" w:rsidP="00E521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FD01D87"/>
    <w:multiLevelType w:val="hybridMultilevel"/>
    <w:tmpl w:val="FEE08CB4"/>
    <w:lvl w:ilvl="0" w:tplc="6C1E3C38">
      <w:start w:val="1"/>
      <w:numFmt w:val="bullet"/>
      <w:lvlText w:val="•"/>
      <w:lvlJc w:val="left"/>
      <w:pPr>
        <w:ind w:left="720" w:hanging="360"/>
      </w:pPr>
    </w:lvl>
    <w:lvl w:ilvl="1" w:tplc="7E46DEB4">
      <w:numFmt w:val="decimal"/>
      <w:lvlText w:val=""/>
      <w:lvlJc w:val="left"/>
    </w:lvl>
    <w:lvl w:ilvl="2" w:tplc="3950166C">
      <w:numFmt w:val="decimal"/>
      <w:lvlText w:val=""/>
      <w:lvlJc w:val="left"/>
    </w:lvl>
    <w:lvl w:ilvl="3" w:tplc="8C0624B8">
      <w:numFmt w:val="decimal"/>
      <w:lvlText w:val=""/>
      <w:lvlJc w:val="left"/>
    </w:lvl>
    <w:lvl w:ilvl="4" w:tplc="16D64D74">
      <w:numFmt w:val="decimal"/>
      <w:lvlText w:val=""/>
      <w:lvlJc w:val="left"/>
    </w:lvl>
    <w:lvl w:ilvl="5" w:tplc="C646054A">
      <w:numFmt w:val="decimal"/>
      <w:lvlText w:val=""/>
      <w:lvlJc w:val="left"/>
    </w:lvl>
    <w:lvl w:ilvl="6" w:tplc="65E8D28E">
      <w:numFmt w:val="decimal"/>
      <w:lvlText w:val=""/>
      <w:lvlJc w:val="left"/>
    </w:lvl>
    <w:lvl w:ilvl="7" w:tplc="41F47BA8">
      <w:numFmt w:val="decimal"/>
      <w:lvlText w:val=""/>
      <w:lvlJc w:val="left"/>
    </w:lvl>
    <w:lvl w:ilvl="8" w:tplc="5EB4A1B8">
      <w:numFmt w:val="decimal"/>
      <w:lvlText w:val=""/>
      <w:lvlJc w:val="left"/>
    </w:lvl>
  </w:abstractNum>
  <w:abstractNum w:abstractNumId="1" w15:restartNumberingAfterBreak="0">
    <w:nsid w:val="4B2F0BA7"/>
    <w:multiLevelType w:val="hybridMultilevel"/>
    <w:tmpl w:val="D814FBFC"/>
    <w:lvl w:ilvl="0" w:tplc="7EAE6E34">
      <w:start w:val="1"/>
      <w:numFmt w:val="bullet"/>
      <w:lvlText w:val="●"/>
      <w:lvlJc w:val="left"/>
      <w:pPr>
        <w:ind w:left="720" w:hanging="360"/>
      </w:pPr>
    </w:lvl>
    <w:lvl w:ilvl="1" w:tplc="2292B982">
      <w:start w:val="1"/>
      <w:numFmt w:val="bullet"/>
      <w:lvlText w:val="○"/>
      <w:lvlJc w:val="left"/>
      <w:pPr>
        <w:ind w:left="1440" w:hanging="360"/>
      </w:pPr>
    </w:lvl>
    <w:lvl w:ilvl="2" w:tplc="46D6DFD2">
      <w:start w:val="1"/>
      <w:numFmt w:val="bullet"/>
      <w:lvlText w:val="■"/>
      <w:lvlJc w:val="left"/>
      <w:pPr>
        <w:ind w:left="2160" w:hanging="360"/>
      </w:pPr>
    </w:lvl>
    <w:lvl w:ilvl="3" w:tplc="03BCB1FC">
      <w:start w:val="1"/>
      <w:numFmt w:val="bullet"/>
      <w:lvlText w:val="●"/>
      <w:lvlJc w:val="left"/>
      <w:pPr>
        <w:ind w:left="2880" w:hanging="360"/>
      </w:pPr>
    </w:lvl>
    <w:lvl w:ilvl="4" w:tplc="7E343874">
      <w:start w:val="1"/>
      <w:numFmt w:val="bullet"/>
      <w:lvlText w:val="○"/>
      <w:lvlJc w:val="left"/>
      <w:pPr>
        <w:ind w:left="3600" w:hanging="360"/>
      </w:pPr>
    </w:lvl>
    <w:lvl w:ilvl="5" w:tplc="27AEA32A">
      <w:start w:val="1"/>
      <w:numFmt w:val="bullet"/>
      <w:lvlText w:val="■"/>
      <w:lvlJc w:val="left"/>
      <w:pPr>
        <w:ind w:left="4320" w:hanging="360"/>
      </w:pPr>
    </w:lvl>
    <w:lvl w:ilvl="6" w:tplc="FD184966">
      <w:start w:val="1"/>
      <w:numFmt w:val="bullet"/>
      <w:lvlText w:val="●"/>
      <w:lvlJc w:val="left"/>
      <w:pPr>
        <w:ind w:left="5040" w:hanging="360"/>
      </w:pPr>
    </w:lvl>
    <w:lvl w:ilvl="7" w:tplc="4016E412">
      <w:start w:val="1"/>
      <w:numFmt w:val="bullet"/>
      <w:lvlText w:val="●"/>
      <w:lvlJc w:val="left"/>
      <w:pPr>
        <w:ind w:left="5760" w:hanging="360"/>
      </w:pPr>
    </w:lvl>
    <w:lvl w:ilvl="8" w:tplc="1BA6F858">
      <w:start w:val="1"/>
      <w:numFmt w:val="bullet"/>
      <w:lvlText w:val="●"/>
      <w:lvlJc w:val="left"/>
      <w:pPr>
        <w:ind w:left="6480" w:hanging="360"/>
      </w:pPr>
    </w:lvl>
  </w:abstractNum>
  <w:num w:numId="1" w16cid:durableId="852308187">
    <w:abstractNumId w:val="1"/>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9"/>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AE9"/>
    <w:rsid w:val="00022BED"/>
    <w:rsid w:val="000266D9"/>
    <w:rsid w:val="000431D0"/>
    <w:rsid w:val="000564D9"/>
    <w:rsid w:val="000F08C7"/>
    <w:rsid w:val="00110E27"/>
    <w:rsid w:val="001427C2"/>
    <w:rsid w:val="00155438"/>
    <w:rsid w:val="001B6820"/>
    <w:rsid w:val="001D1843"/>
    <w:rsid w:val="00247AE9"/>
    <w:rsid w:val="0025215E"/>
    <w:rsid w:val="00305939"/>
    <w:rsid w:val="00396F5F"/>
    <w:rsid w:val="00436429"/>
    <w:rsid w:val="004B6EFC"/>
    <w:rsid w:val="004E49BF"/>
    <w:rsid w:val="006416A5"/>
    <w:rsid w:val="00697F72"/>
    <w:rsid w:val="006B3E4C"/>
    <w:rsid w:val="006E67AE"/>
    <w:rsid w:val="006E7ED2"/>
    <w:rsid w:val="007251BE"/>
    <w:rsid w:val="0076263A"/>
    <w:rsid w:val="00771355"/>
    <w:rsid w:val="00771FF5"/>
    <w:rsid w:val="007C5BBD"/>
    <w:rsid w:val="007D079A"/>
    <w:rsid w:val="008076BD"/>
    <w:rsid w:val="00844D4F"/>
    <w:rsid w:val="008564A4"/>
    <w:rsid w:val="00863D2B"/>
    <w:rsid w:val="008D3F93"/>
    <w:rsid w:val="009345D6"/>
    <w:rsid w:val="0094282E"/>
    <w:rsid w:val="00972538"/>
    <w:rsid w:val="00A424E4"/>
    <w:rsid w:val="00A44889"/>
    <w:rsid w:val="00A87879"/>
    <w:rsid w:val="00AB5FF1"/>
    <w:rsid w:val="00AE055F"/>
    <w:rsid w:val="00AF14CC"/>
    <w:rsid w:val="00B03F08"/>
    <w:rsid w:val="00B11BBE"/>
    <w:rsid w:val="00B17CE8"/>
    <w:rsid w:val="00B261BF"/>
    <w:rsid w:val="00B63BBC"/>
    <w:rsid w:val="00BA35D7"/>
    <w:rsid w:val="00BD14A5"/>
    <w:rsid w:val="00BD65DE"/>
    <w:rsid w:val="00BE5730"/>
    <w:rsid w:val="00BF447F"/>
    <w:rsid w:val="00C127AF"/>
    <w:rsid w:val="00CB17DD"/>
    <w:rsid w:val="00D034A2"/>
    <w:rsid w:val="00D47A7C"/>
    <w:rsid w:val="00D60654"/>
    <w:rsid w:val="00D90129"/>
    <w:rsid w:val="00DE2B54"/>
    <w:rsid w:val="00DE3E23"/>
    <w:rsid w:val="00DE7E83"/>
    <w:rsid w:val="00DF1326"/>
    <w:rsid w:val="00E5217F"/>
    <w:rsid w:val="00E657C3"/>
    <w:rsid w:val="00E96B06"/>
    <w:rsid w:val="00F375E2"/>
    <w:rsid w:val="00FB000F"/>
    <w:rsid w:val="00FE3C81"/>
    <w:rsid w:val="00FF6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54003"/>
  <w15:docId w15:val="{713176D9-15FC-48A1-9273-38D5C9139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6E7ED2"/>
    <w:rPr>
      <w:sz w:val="24"/>
      <w:szCs w:val="24"/>
    </w:rPr>
  </w:style>
  <w:style w:type="paragraph" w:styleId="Header">
    <w:name w:val="header"/>
    <w:basedOn w:val="Normal"/>
    <w:link w:val="HeaderChar"/>
    <w:uiPriority w:val="99"/>
    <w:unhideWhenUsed/>
    <w:rsid w:val="00E5217F"/>
    <w:pPr>
      <w:tabs>
        <w:tab w:val="center" w:pos="4513"/>
        <w:tab w:val="right" w:pos="9026"/>
      </w:tabs>
    </w:pPr>
  </w:style>
  <w:style w:type="character" w:customStyle="1" w:styleId="HeaderChar">
    <w:name w:val="Header Char"/>
    <w:basedOn w:val="DefaultParagraphFont"/>
    <w:link w:val="Header"/>
    <w:uiPriority w:val="99"/>
    <w:rsid w:val="00E5217F"/>
  </w:style>
  <w:style w:type="paragraph" w:styleId="Footer">
    <w:name w:val="footer"/>
    <w:basedOn w:val="Normal"/>
    <w:link w:val="FooterChar"/>
    <w:uiPriority w:val="99"/>
    <w:unhideWhenUsed/>
    <w:rsid w:val="00E5217F"/>
    <w:pPr>
      <w:tabs>
        <w:tab w:val="center" w:pos="4513"/>
        <w:tab w:val="right" w:pos="9026"/>
      </w:tabs>
    </w:pPr>
  </w:style>
  <w:style w:type="character" w:customStyle="1" w:styleId="FooterChar">
    <w:name w:val="Footer Char"/>
    <w:basedOn w:val="DefaultParagraphFont"/>
    <w:link w:val="Footer"/>
    <w:uiPriority w:val="99"/>
    <w:rsid w:val="00E5217F"/>
  </w:style>
  <w:style w:type="character" w:styleId="PageNumber">
    <w:name w:val="page number"/>
    <w:basedOn w:val="DefaultParagraphFont"/>
    <w:uiPriority w:val="99"/>
    <w:semiHidden/>
    <w:unhideWhenUsed/>
    <w:rsid w:val="0076263A"/>
  </w:style>
  <w:style w:type="paragraph" w:styleId="TOCHeading">
    <w:name w:val="TOC Heading"/>
    <w:basedOn w:val="Heading1"/>
    <w:next w:val="Normal"/>
    <w:uiPriority w:val="39"/>
    <w:unhideWhenUsed/>
    <w:qFormat/>
    <w:rsid w:val="00F375E2"/>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1735</Words>
  <Characters>9894</Characters>
  <Application>Microsoft Office Word</Application>
  <DocSecurity>0</DocSecurity>
  <Lines>82</Lines>
  <Paragraphs>23</Paragraphs>
  <ScaleCrop>false</ScaleCrop>
  <Company/>
  <LinksUpToDate>false</LinksUpToDate>
  <CharactersWithSpaces>11606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Iara Rafaela Paquete Paquete Da Mata Baio (2415600)</cp:lastModifiedBy>
  <cp:revision>61</cp:revision>
  <dcterms:created xsi:type="dcterms:W3CDTF">2026-08-14T04:11:00Z</dcterms:created>
  <dcterms:modified xsi:type="dcterms:W3CDTF">2026-08-14T04:42:00Z</dcterms:modified>
</cp:coreProperties>
</file>