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288F" w:rsidRDefault="000E288F" w:rsidP="000E288F">
      <w:pPr>
        <w:jc w:val="center"/>
        <w:rPr>
          <w:i/>
        </w:rPr>
      </w:pPr>
      <w:r>
        <w:rPr>
          <w:i/>
        </w:rPr>
        <w:t>‘Critically examine how effective literary and artistic representations of deities are in the Gr</w:t>
      </w:r>
      <w:r w:rsidR="00C77EFB">
        <w:rPr>
          <w:i/>
        </w:rPr>
        <w:t>a</w:t>
      </w:r>
      <w:r>
        <w:rPr>
          <w:i/>
        </w:rPr>
        <w:t>eco-Roman world to a modern audience’</w:t>
      </w:r>
    </w:p>
    <w:p w:rsidR="000E288F" w:rsidRDefault="000E288F" w:rsidP="000E288F">
      <w:pPr>
        <w:rPr>
          <w:i/>
          <w:color w:val="538135" w:themeColor="accent6" w:themeShade="BF"/>
        </w:rPr>
      </w:pPr>
      <w:bookmarkStart w:id="0" w:name="_GoBack"/>
      <w:bookmarkEnd w:id="0"/>
    </w:p>
    <w:p w:rsidR="000E288F" w:rsidRDefault="000E288F" w:rsidP="000E288F">
      <w:r>
        <w:t>In order to critically examine and analyse depictions of Greco-Roman deities, a range of sources have to be looked at, both from an artistic and literary view. There is all manner of deities depicted in both the artistic and literature-based fields. However, it can be argued that it is easier to depict a deity through literature than it is to show them through an artistic medium. This is due to the more in-depth nature which can be used when describing someone through a literary source.</w:t>
      </w:r>
    </w:p>
    <w:p w:rsidR="006A1632" w:rsidRDefault="000E288F" w:rsidP="000E288F">
      <w:r>
        <w:t xml:space="preserve">Firstly, looking at the head of the pantheon of Greco-Roman gods, we have Zeus or Jupiter. Some of his artistic representation is ambiguous due to the fact that we have lost sections of art over time. We can see this in the statue of Zeus or Poseidon from the Early Classical period – around 450 BC [Rodgers. 2012. Pg. 85]. The imposing figure stands over 2 meters tall, giving it a grandeur, which should be saved only for the most important of gods [Woodford. 1982. Pg. 15]. The figure’s arms are raised in a traditional throwing stance used for spears or javelins. This is where the modern identification issue comes about for, we do not know whether the object in the figure’s throwing hand would have been a lightning bolt, used to represent Zeus, or a trident, used to represent Poseidon. Most scholars, such as John Boardman [Boardman. 1964. Pg. 147] and Susan Woodford [Woodford. 1986. Pg. 88] prefer to regard the figure as Zeus, likely due to the size of the figure. The scale of the statue is used in order to amplify his authority, in seeing the statue there is a distinct dominant energy. This energy is aided by the span of the arms, which are not actually proportional to his body but are used so that the statue may take up even more room, making it just that more imposing [Rodgers. 2012. Pg. 85]. The positioning of the arms is made possible due to the use of bronze casting, had this been made in marble the arms would have surely dropped off, having no bridges to support them [Woodford. 1986. Pg. 88]. Other depictions of Zeus, such as the fifth century, Athenian, red-figure bell krater appear as more ambiguous due to the symbols to identify him still surviving – in this case, it is his height, beard, garland and spear which betray his identity to an onlooker [Osborne. 1998. Pg. 147-148]. As such, we can see that the test of time is degrading our ability to attribute these statues accurately to their likenesses due to the lack of symbols to indicate such. </w:t>
      </w:r>
    </w:p>
    <w:p w:rsidR="000E288F" w:rsidRDefault="000E288F" w:rsidP="000E288F">
      <w:r>
        <w:t xml:space="preserve">As opposed to this, in literature, we can gather a much more accurate and lasting depiction of Zeus. To give an example, in Homer’s </w:t>
      </w:r>
      <w:proofErr w:type="gramStart"/>
      <w:r>
        <w:rPr>
          <w:i/>
        </w:rPr>
        <w:t>The</w:t>
      </w:r>
      <w:proofErr w:type="gramEnd"/>
      <w:r>
        <w:rPr>
          <w:i/>
        </w:rPr>
        <w:t xml:space="preserve"> Odyssey </w:t>
      </w:r>
      <w:r>
        <w:t xml:space="preserve">the gods play a large part in Odysseus’ return to Ithaca. In book 15, an eagle swooping down upon its prey foreshadows the fate of the suitors that plague the house of Odysseus. The eagle is often used as a symbol for Zeus in literature and art, much in the way that his thunderbolt – also used in book 20 of </w:t>
      </w:r>
      <w:r>
        <w:rPr>
          <w:i/>
        </w:rPr>
        <w:t>The Odyssey</w:t>
      </w:r>
      <w:r>
        <w:t xml:space="preserve"> – is [</w:t>
      </w:r>
      <w:proofErr w:type="spellStart"/>
      <w:r>
        <w:t>Mylonas</w:t>
      </w:r>
      <w:proofErr w:type="spellEnd"/>
      <w:r>
        <w:t xml:space="preserve">. 1946. Pg. 203]. Furthermore, it is easier to describe the god and his role in a literary medium, than it is to shape an unknown likeness with no inscription. From the first book of </w:t>
      </w:r>
      <w:r>
        <w:rPr>
          <w:i/>
        </w:rPr>
        <w:t>The Odyssey,</w:t>
      </w:r>
      <w:r>
        <w:t xml:space="preserve"> we are given a detailed account of Zeus [The Odyssey. Bk 1. Pg. 3]. Another way in which Zeus can be seen in his imposing glory is in Virgil’s </w:t>
      </w:r>
      <w:r>
        <w:rPr>
          <w:i/>
        </w:rPr>
        <w:t>The Aeneid.</w:t>
      </w:r>
      <w:r>
        <w:t xml:space="preserve"> Within </w:t>
      </w:r>
      <w:proofErr w:type="gramStart"/>
      <w:r>
        <w:rPr>
          <w:i/>
        </w:rPr>
        <w:t>The</w:t>
      </w:r>
      <w:proofErr w:type="gramEnd"/>
      <w:r>
        <w:rPr>
          <w:i/>
        </w:rPr>
        <w:t xml:space="preserve"> Aeneid</w:t>
      </w:r>
      <w:r>
        <w:t xml:space="preserve">, Zeus is referred to as Jupiter/Jove, the Roman equivalent of Zeus. However, even with the name change from the Greek to the Roman version, we can clearly see his role as the head of the gods [Wilson. 1979. Pg. 361]. In book four of </w:t>
      </w:r>
      <w:r>
        <w:rPr>
          <w:i/>
        </w:rPr>
        <w:t>The Aeneid,</w:t>
      </w:r>
      <w:r>
        <w:t xml:space="preserve"> we see divine intervention from Jupiter, through the medium of Mercury in order to continue Aeneas’ fate [The Aeneid. Bk 4. </w:t>
      </w:r>
      <w:proofErr w:type="spellStart"/>
      <w:r>
        <w:t>Pg</w:t>
      </w:r>
      <w:proofErr w:type="spellEnd"/>
      <w:r>
        <w:t xml:space="preserve"> 79]. His commanding presence over the other gods is seen in both Homer’s work and Virgil’s work, which branches off of Homer’s [Wilson. 1979. Pg. 361]. Through these examples of both artistic and literary mediums, we can gather that it is easier to define a deity with such a large number of things to encompass through text. Furthermore, if we are looking at art from a modern perspective, some of the details are lost to us, making it harder to define. Whilst the </w:t>
      </w:r>
      <w:r>
        <w:lastRenderedPageBreak/>
        <w:t xml:space="preserve">use of symbols and taking up large amounts of space is </w:t>
      </w:r>
      <w:proofErr w:type="gramStart"/>
      <w:r>
        <w:t>useful,</w:t>
      </w:r>
      <w:proofErr w:type="gramEnd"/>
      <w:r>
        <w:t xml:space="preserve"> the meaning can still be lost to a modern audience. To a classical audience, it would likely be easier to gather from nuances and additions who is being shown but in the case of the free-standing sculpture Zeus or Poseidon, we have to make an educated guess.</w:t>
      </w:r>
    </w:p>
    <w:p w:rsidR="006A1632" w:rsidRDefault="000E288F" w:rsidP="000E288F">
      <w:r>
        <w:t>Athena stands as a very important goddess to the Greek world, especially in Athens. In Athens, resides the Parthenon. The Parthenon is an impressive piece of architectural work that took over a decade and a collaboration of many different artists and sculptors to create [Woodford. 1986. Pg. 112]. The building stands to honour Athena, the name-sake of Athens, who, in legend, quarrelled with Poseidon over who would be the god of the town [Herington.1963. Pg. 61] – covered on the west pediment which you see upon approach [Woodford. 1986. Pg. 111-112]. The frieze is dedicated to the Panathenaic procession to honour Athena which was held every four years [</w:t>
      </w:r>
      <w:proofErr w:type="spellStart"/>
      <w:r>
        <w:t>Castriota</w:t>
      </w:r>
      <w:proofErr w:type="spellEnd"/>
      <w:r>
        <w:t>. 1992. Pg. 184], and the East Pediment to the birth of Athena, this would have been what you saw before you walked into the structure [Woodford. 1986. Pg. 111]. The frieze, with its plethora of bodies in action, gives the illusion of movement (along the north, south and west sides where the horsemen and moving figures were [Woodford. 1986. Pg. 111], displaying the excitement and urgency that was experienced during the procession [Woodford. 1986. Pg. 116]. The east side of the frieze depicted the incredibly important and symbolic process of adorning the statue of the goddess in golden robes [</w:t>
      </w:r>
      <w:proofErr w:type="spellStart"/>
      <w:r>
        <w:t>Castriota</w:t>
      </w:r>
      <w:proofErr w:type="spellEnd"/>
      <w:r>
        <w:t xml:space="preserve">. 1992. Pg. 191]. Inside of the structure there used to reside a massive sculpture of Athena made of ivory and gold [Anon. 2013. Pg. 69]. This statue has since been lost and only descriptions of the statue remain in literary accounts [Anon. 2013. Pg. 69-70]. Furthermore, there has been a selection of Roman, marble copies made of the sculpture, but scaled down [Woodford. 1985. Pg. 129]. The depiction is said to have been austere, as most Early Classical sculptures were. Her upright stance and forward-facing manner, surrounded by the symbols associated with her, made her look every bit of the fearsome warrior goddess that she was [Woodford. 1985. Pg. 129]. However, without these copies, made from the literary descriptions, and those descriptions themselves, we would never know what the Athena Parthenos looked like [Anon. 2013. Pg. 70]. This is yet another way in which it can be seen that the artistic medium of depicting deities is inferior, for, without those literary depictions, we may have lost record of what the Athena Parthenos looked like all together. </w:t>
      </w:r>
    </w:p>
    <w:p w:rsidR="000E288F" w:rsidRDefault="000E288F" w:rsidP="000E288F">
      <w:r>
        <w:t xml:space="preserve">Another literary depiction of Athena which has stood the test of time is in Homer’s work. Throughout the entirety of the epic </w:t>
      </w:r>
      <w:r>
        <w:rPr>
          <w:i/>
        </w:rPr>
        <w:t>The Odyssey</w:t>
      </w:r>
      <w:r>
        <w:t xml:space="preserve">, Athena is seen to be helping Odysseus to fulfil his destiny and Telemachus to learn how to be a man [Gregory. 2018. Ch. 5]. Albeit, the tale was originally passed orally from person to person, so there is the possibility of </w:t>
      </w:r>
      <w:r w:rsidRPr="00DF73BE">
        <w:t>inconsistencies</w:t>
      </w:r>
      <w:r>
        <w:t>. However, the main, overarching plot and point of the epic will have remained consistent [Rutherford. 2005. Pg. 22]. Those, such as Richard Rutherford argue that whilst the Homeric question will always be up for discussion, there is no need to dispute over whether the overarching plot or character indicators have remained consistent, due to their frequent use by the masses during Ancient times [Rutherford. 2005. Pg. 22-23]. Her importance in the work is obvious with the amount of work she does to aid Odysseus on his quest home to Ithaca, even convincing Zeus, who acts as a mediator between her and Poseidon in the epic, when necessary [Murrin. 2007. Pg. 511-512]. And whilst she is prolific in her help in the tale of Odysseus, she also aids Heracles in Euripides’ drama. Her ability to do this is often attributed to how close she is with Zeus [</w:t>
      </w:r>
      <w:r w:rsidRPr="008F0B80">
        <w:t>Lefkowitz</w:t>
      </w:r>
      <w:r>
        <w:t xml:space="preserve">. 2016. Pg. 1] – likely due to both the manner of her birth [Young. 2017. Pg. 42]. The efficiency of her portrayal in </w:t>
      </w:r>
      <w:r>
        <w:rPr>
          <w:i/>
        </w:rPr>
        <w:t>The Odyssey</w:t>
      </w:r>
      <w:r>
        <w:t xml:space="preserve"> is also seen through the consistent use of epithets such as “bright-eyed” or “flashing-eyed” which emphasise her knowledge and quick thinking but also her ferocity. Therefore, from a modern viewpoint, it is easier to gather knowledge and descriptions of Athena from a Homeric work than it would be from the Parthenon. However, that does not make the Parthenon meaningless or any less </w:t>
      </w:r>
      <w:r>
        <w:lastRenderedPageBreak/>
        <w:t xml:space="preserve">of an honour to Athena. In this sense, we can see that whilst literature can give a modern audience a better depiction of a deity, temples and places of worship also leave behind a long-standing memory of that specific deity which is easy for us to gauge the importance of a deity. This can also be seen with the temple of Zeus, which stands to honour that god. However, the issue we still run into is the fact that these productions do not stand the test of time. The Parthenon, has seen a lot of damage and pillaging throughout the years, which means that features and attributes of the building have been taken, lost, or destroyed [Rodgers. 2012. Pg. 31]. As such, whilst the temples can still stand as a spectacular place of worship, literature is still superior in defining the nuances and symbols of the deities. </w:t>
      </w:r>
    </w:p>
    <w:p w:rsidR="006A1632" w:rsidRDefault="000E288F" w:rsidP="000E288F">
      <w:r>
        <w:t xml:space="preserve">Aphrodite can be seen as a somewhat problematic goddess to depict, both in art and literature. This comes forth a more in art than it would in literature. For example, the Knidian Aphrodite sculpture by Praxiteles. This sculpture was originally rejected from its primary destination because of the fact that it was nude – seemingly the first female nude to have been sculpted [Boardman. 1955. Pg. 13]. In its rejection, Praxiteles gave Kos a clothed version of the sculpture which he had also made [Osborne. 1998. Pg. 230]. The statue became controversial due to its nakedness, promoting what was seen as an erotic aesthetic to many [Boardman. 1955. Pg. 15]. Praxiteles introduced what is known as the ‘S’ Curve, a form of contrapposto used to create fluid movement and also aids in giving her a sensual look, the dichotomy of opposites giving her a lifelike look [Woodford. 1986. Pg. 154]. It has been remarked by modern scholars such as Mary Beard [Beard and Henderson. 2001. </w:t>
      </w:r>
      <w:proofErr w:type="spellStart"/>
      <w:r>
        <w:t>Pg</w:t>
      </w:r>
      <w:proofErr w:type="spellEnd"/>
      <w:r>
        <w:t xml:space="preserve"> 127] and also Woodford [Woodford. 1986. Pg. 155] that the body of Knidian Aphrodite is viewed and sculpted through the male gaze, an idea that links to the sexualisation of the female form. Boardman also makes this connection, commenting on how, whilst she is still a goddess and should be treated as such, she is treated no differently to how any naked woman would have been [Boardman. 1964. Pg. 168]. This sparks the question of whether depicting the goddess of love in such a manner was really a wise choice. Admittedly, the symbolic meaning of depicting her in such a fashion helps convey the fact that she is the embodiment of sexuality and love [Rodgers. 2012. Pg. 95], but it could be said that Praxiteles was a little ahead of his time by making the unclothed Aphrodite [Osborne. 1998. Pg. 231] For, whilst we had the clinging, blown back drapery of Nike of </w:t>
      </w:r>
      <w:proofErr w:type="spellStart"/>
      <w:r>
        <w:t>Paionios</w:t>
      </w:r>
      <w:proofErr w:type="spellEnd"/>
      <w:r>
        <w:t xml:space="preserve">, which left little to the imagination, she was not as badly received and viewed as sexually as the Knidian Aphrodite [Boardman. 1955. Pg. 54]. Our knowledge of the statue only survives in Roman copies, which sometimes augment the statue to attempt further decency by covering the breasts too [Boardman. 1955. Pg. 53], writings by poets [Woodford. 1986. Pg. 154-155] and those such as Pliny’s writings [Osborne. 1998. Pg. 230-231]. This again brings us back to the importance of literary sources for the modern audience. </w:t>
      </w:r>
    </w:p>
    <w:p w:rsidR="000E288F" w:rsidRPr="00D948FF" w:rsidRDefault="000E288F" w:rsidP="000E288F">
      <w:r>
        <w:t xml:space="preserve">An example of fine literary works portraying the goddess Aphrodite is the </w:t>
      </w:r>
      <w:proofErr w:type="spellStart"/>
      <w:r>
        <w:t>E</w:t>
      </w:r>
      <w:r w:rsidRPr="006916B4">
        <w:t>uripidean</w:t>
      </w:r>
      <w:proofErr w:type="spellEnd"/>
      <w:r w:rsidRPr="006916B4">
        <w:t xml:space="preserve"> tragedy</w:t>
      </w:r>
      <w:r>
        <w:t xml:space="preserve"> </w:t>
      </w:r>
      <w:r>
        <w:rPr>
          <w:i/>
        </w:rPr>
        <w:t xml:space="preserve">Hippolytus </w:t>
      </w:r>
      <w:r>
        <w:t xml:space="preserve">and Virgil’s </w:t>
      </w:r>
      <w:r>
        <w:rPr>
          <w:i/>
        </w:rPr>
        <w:t>The Aeneid</w:t>
      </w:r>
      <w:r>
        <w:t xml:space="preserve">. These two works have very contrasting views of Aphrodite. </w:t>
      </w:r>
      <w:r>
        <w:rPr>
          <w:i/>
        </w:rPr>
        <w:t>Hippolytus</w:t>
      </w:r>
      <w:r>
        <w:t xml:space="preserve"> follows her antics as a somewhat petty and scorned goddess, trying to get back at Hippolytus for not choosing to worship her, due to the conflicting virtues of her and Artemis, a look at a petulant portrayal of the gods. On the flip side, we see Aphrodite, labelled Venus, as a mother who wants the best for her son, for him to carry out his fate without too many issues. Those, such as Young, argue that Virgil’s portrayal of her in </w:t>
      </w:r>
      <w:r>
        <w:rPr>
          <w:i/>
        </w:rPr>
        <w:t>The Aeneid</w:t>
      </w:r>
      <w:r>
        <w:t xml:space="preserve"> is a much truer account of how she is viewed from other sources, such as the poet Sappho, who similarly depicts her to be a kind and caring, motherly force that guides others to the loves [Young. 2017. Pg. 49-50]. She is first and foremost, the embodiment of love and fertility, not a warrior goddess [Young. 2017. Pg. 49]. However, like all gods scorned, she is likely to let her emotions get the better of her and act out rashly, as we see with Juno in </w:t>
      </w:r>
      <w:r>
        <w:rPr>
          <w:i/>
        </w:rPr>
        <w:t>The Aeneid</w:t>
      </w:r>
      <w:r>
        <w:t xml:space="preserve">. This is the reason for her malicious actions in </w:t>
      </w:r>
      <w:r>
        <w:rPr>
          <w:i/>
        </w:rPr>
        <w:t>Hippolytus</w:t>
      </w:r>
      <w:r>
        <w:t xml:space="preserve"> and whilst it can seem out of character for the goddess, it follows Euripides’ idea that conflict simply breeds more conflict, for all </w:t>
      </w:r>
      <w:r>
        <w:lastRenderedPageBreak/>
        <w:t>become tied into her chaotic ways in some manner during the tragedy [Rutherford. 2005. Pg. 59]. This brings into light the fact that, through literature, we can gain more intimate knowledge of a deity, not just of their primary qualities that define them, but also the nuances in their character as those of the Greco-Roman world saw them, such as how an author believes they might react to different situations based off their existing knowledge of the deity. With art, we simply cannot always gain this knowledge, especially in the austere style of the fifth century and early fourth century when sculptors were not experimenting with emotions yet. Due to these factors, it would be best to suggest that modern audiences could gain a truer and fuller understanding of deities through the literary works which depict them in their fullest.</w:t>
      </w:r>
    </w:p>
    <w:p w:rsidR="000E288F" w:rsidRDefault="000E288F" w:rsidP="000E288F">
      <w:r>
        <w:t>In conclusion, it can be inferred that, to a modern audience, it is easier to define a deity through a literary medium. That way you can use common epithets, characteristics and symbols to define the character. These depictions, unlike the often-lost marble and bronze sculptures of the classical age, tend to last longer and survive to reach a modern audience. However, the legacy of deities which is left behind by architectural means is very long standing, being as important as some of them were. Even then, though, attributes tying works to certain gods can be lost (this can especially be seen with older pieces such as the Berlin and Peplos Kore which lost defining symbols that we can only guess to have been a pomegranate and bow respectively defining them as Persephone and Artemis). This is again where literary works come in handy, for modern historians have had to rely on literary accounts in order to gain knowledge of lost artefacts. As such, taking in multiple variables, we can see that it is easier for a modern audience to learn of a better-rounded representation of a deity through literary means.</w:t>
      </w:r>
    </w:p>
    <w:p w:rsidR="000E288F" w:rsidRDefault="000E288F" w:rsidP="000E288F"/>
    <w:p w:rsidR="000E288F" w:rsidRDefault="000E288F" w:rsidP="000E288F">
      <w:r>
        <w:t>Word Count: 2</w:t>
      </w:r>
      <w:r w:rsidR="006A1632">
        <w:t>604</w:t>
      </w:r>
    </w:p>
    <w:p w:rsidR="000E288F" w:rsidRPr="00D51451"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0E288F" w:rsidRDefault="000E288F" w:rsidP="000E288F"/>
    <w:p w:rsidR="006A1632" w:rsidRDefault="006A1632" w:rsidP="000E288F"/>
    <w:p w:rsidR="000E288F" w:rsidRDefault="000E288F" w:rsidP="000E288F">
      <w:r w:rsidRPr="002C1095">
        <w:rPr>
          <w:u w:val="single"/>
        </w:rPr>
        <w:lastRenderedPageBreak/>
        <w:t>Bibliography</w:t>
      </w:r>
    </w:p>
    <w:p w:rsidR="000E288F" w:rsidRDefault="000E288F" w:rsidP="000E288F">
      <w:pPr>
        <w:rPr>
          <w:rFonts w:cstheme="minorHAnsi"/>
          <w:color w:val="3A3A3A"/>
          <w:shd w:val="clear" w:color="auto" w:fill="FFFFFF"/>
        </w:rPr>
      </w:pPr>
      <w:r w:rsidRPr="00C3516F">
        <w:rPr>
          <w:rFonts w:cstheme="minorHAnsi"/>
          <w:color w:val="3A3A3A"/>
          <w:shd w:val="clear" w:color="auto" w:fill="FFFFFF"/>
        </w:rPr>
        <w:t>Anon, 2013. 6. ATHENA PARTHENOS. </w:t>
      </w:r>
      <w:r w:rsidRPr="00C3516F">
        <w:rPr>
          <w:rFonts w:cstheme="minorHAnsi"/>
          <w:i/>
          <w:iCs/>
          <w:color w:val="3A3A3A"/>
          <w:shd w:val="clear" w:color="auto" w:fill="FFFFFF"/>
        </w:rPr>
        <w:t>Bulletin of the Institute of Classical Studies</w:t>
      </w:r>
      <w:r w:rsidRPr="00C3516F">
        <w:rPr>
          <w:rFonts w:cstheme="minorHAnsi"/>
          <w:color w:val="3A3A3A"/>
          <w:shd w:val="clear" w:color="auto" w:fill="FFFFFF"/>
        </w:rPr>
        <w:t>, 56, pp.69–273.</w:t>
      </w:r>
    </w:p>
    <w:p w:rsidR="000E288F" w:rsidRDefault="000E288F" w:rsidP="000E288F">
      <w:pPr>
        <w:rPr>
          <w:rFonts w:cstheme="minorHAnsi"/>
          <w:color w:val="3A3A3A"/>
          <w:shd w:val="clear" w:color="auto" w:fill="FFFFFF"/>
        </w:rPr>
      </w:pPr>
      <w:r w:rsidRPr="00F51B47">
        <w:rPr>
          <w:rFonts w:cstheme="minorHAnsi"/>
          <w:color w:val="3A3A3A"/>
          <w:shd w:val="clear" w:color="auto" w:fill="FFFFFF"/>
        </w:rPr>
        <w:t>Beard</w:t>
      </w:r>
      <w:r>
        <w:rPr>
          <w:rFonts w:cstheme="minorHAnsi"/>
          <w:color w:val="3A3A3A"/>
          <w:shd w:val="clear" w:color="auto" w:fill="FFFFFF"/>
        </w:rPr>
        <w:t>, M. &amp;</w:t>
      </w:r>
      <w:r w:rsidRPr="00F51B47">
        <w:rPr>
          <w:rFonts w:cstheme="minorHAnsi"/>
          <w:color w:val="3A3A3A"/>
          <w:shd w:val="clear" w:color="auto" w:fill="FFFFFF"/>
        </w:rPr>
        <w:t xml:space="preserve"> Henders</w:t>
      </w:r>
      <w:r>
        <w:rPr>
          <w:rFonts w:cstheme="minorHAnsi"/>
          <w:color w:val="3A3A3A"/>
          <w:shd w:val="clear" w:color="auto" w:fill="FFFFFF"/>
        </w:rPr>
        <w:t>on, J.,</w:t>
      </w:r>
      <w:r w:rsidRPr="00F51B47">
        <w:rPr>
          <w:rFonts w:cstheme="minorHAnsi"/>
          <w:color w:val="3A3A3A"/>
          <w:shd w:val="clear" w:color="auto" w:fill="FFFFFF"/>
        </w:rPr>
        <w:t xml:space="preserve"> 2001. </w:t>
      </w:r>
      <w:r w:rsidRPr="00F51B47">
        <w:rPr>
          <w:rFonts w:cstheme="minorHAnsi"/>
          <w:i/>
          <w:iCs/>
          <w:color w:val="3A3A3A"/>
          <w:shd w:val="clear" w:color="auto" w:fill="FFFFFF"/>
        </w:rPr>
        <w:t>Classical art from Greece to Rome</w:t>
      </w:r>
      <w:r w:rsidRPr="00F51B47">
        <w:rPr>
          <w:rFonts w:cstheme="minorHAnsi"/>
          <w:color w:val="3A3A3A"/>
          <w:shd w:val="clear" w:color="auto" w:fill="FFFFFF"/>
        </w:rPr>
        <w:t>, Oxford: Oxford University Press.</w:t>
      </w:r>
    </w:p>
    <w:p w:rsidR="000E288F" w:rsidRDefault="000E288F" w:rsidP="000E288F">
      <w:r>
        <w:t xml:space="preserve">Boardman, J., 1955. </w:t>
      </w:r>
      <w:r w:rsidRPr="00053F4A">
        <w:rPr>
          <w:i/>
        </w:rPr>
        <w:t>Greek Sculpture: The Late Classical Period</w:t>
      </w:r>
      <w:r>
        <w:t>. Thames and Hudson: World of Art.</w:t>
      </w:r>
    </w:p>
    <w:p w:rsidR="000E288F" w:rsidRDefault="000E288F" w:rsidP="000E288F">
      <w:r>
        <w:t xml:space="preserve">Boardman, J., 1964. </w:t>
      </w:r>
      <w:r w:rsidRPr="00C742BE">
        <w:rPr>
          <w:i/>
        </w:rPr>
        <w:t>Greek Art</w:t>
      </w:r>
      <w:r>
        <w:rPr>
          <w:i/>
        </w:rPr>
        <w:t xml:space="preserve">. </w:t>
      </w:r>
      <w:r>
        <w:t>Thames and Hudson: World of Art.</w:t>
      </w:r>
    </w:p>
    <w:p w:rsidR="000E288F" w:rsidRDefault="000E288F" w:rsidP="000E288F">
      <w:pPr>
        <w:rPr>
          <w:rFonts w:cstheme="minorHAnsi"/>
          <w:color w:val="3A3A3A"/>
          <w:shd w:val="clear" w:color="auto" w:fill="FFFFFF"/>
        </w:rPr>
      </w:pPr>
      <w:proofErr w:type="spellStart"/>
      <w:r>
        <w:rPr>
          <w:rFonts w:cstheme="minorHAnsi"/>
        </w:rPr>
        <w:t>Castriota</w:t>
      </w:r>
      <w:proofErr w:type="spellEnd"/>
      <w:r>
        <w:rPr>
          <w:rFonts w:cstheme="minorHAnsi"/>
        </w:rPr>
        <w:t xml:space="preserve">, D., 1992. </w:t>
      </w:r>
      <w:r>
        <w:rPr>
          <w:rFonts w:cstheme="minorHAnsi"/>
          <w:i/>
        </w:rPr>
        <w:t>Myth, Ethos and Actuality: Official Art in Fifth-Century B.C Athens</w:t>
      </w:r>
      <w:r>
        <w:rPr>
          <w:rFonts w:cstheme="minorHAnsi"/>
        </w:rPr>
        <w:t xml:space="preserve">. </w:t>
      </w:r>
      <w:r w:rsidRPr="00130DCC">
        <w:rPr>
          <w:rFonts w:cstheme="minorHAnsi"/>
          <w:color w:val="3A3A3A"/>
          <w:shd w:val="clear" w:color="auto" w:fill="FFFFFF"/>
        </w:rPr>
        <w:t xml:space="preserve">Madison, </w:t>
      </w:r>
      <w:proofErr w:type="spellStart"/>
      <w:r w:rsidRPr="00130DCC">
        <w:rPr>
          <w:rFonts w:cstheme="minorHAnsi"/>
          <w:color w:val="3A3A3A"/>
          <w:shd w:val="clear" w:color="auto" w:fill="FFFFFF"/>
        </w:rPr>
        <w:t>Wis</w:t>
      </w:r>
      <w:proofErr w:type="spellEnd"/>
      <w:r w:rsidRPr="00130DCC">
        <w:rPr>
          <w:rFonts w:cstheme="minorHAnsi"/>
          <w:color w:val="3A3A3A"/>
          <w:shd w:val="clear" w:color="auto" w:fill="FFFFFF"/>
        </w:rPr>
        <w:t>: University of Wisconsin Press.</w:t>
      </w:r>
    </w:p>
    <w:p w:rsidR="000E288F" w:rsidRDefault="000E288F" w:rsidP="000E288F">
      <w:r w:rsidRPr="008F0B80">
        <w:t xml:space="preserve">Gregory, J., 2018. Odyssey. </w:t>
      </w:r>
      <w:r w:rsidRPr="008D1448">
        <w:rPr>
          <w:i/>
        </w:rPr>
        <w:t xml:space="preserve">In </w:t>
      </w:r>
      <w:proofErr w:type="spellStart"/>
      <w:r w:rsidRPr="008D1448">
        <w:rPr>
          <w:i/>
        </w:rPr>
        <w:t>Cheiron's</w:t>
      </w:r>
      <w:proofErr w:type="spellEnd"/>
      <w:r w:rsidRPr="008D1448">
        <w:rPr>
          <w:i/>
        </w:rPr>
        <w:t xml:space="preserve"> Way</w:t>
      </w:r>
      <w:r w:rsidRPr="008F0B80">
        <w:t xml:space="preserve">. Oxford University Press, pp. </w:t>
      </w:r>
      <w:proofErr w:type="spellStart"/>
      <w:r w:rsidRPr="008F0B80">
        <w:t>Cheiron's</w:t>
      </w:r>
      <w:proofErr w:type="spellEnd"/>
      <w:r w:rsidRPr="008F0B80">
        <w:t xml:space="preserve"> Way, Chapter 5.</w:t>
      </w:r>
    </w:p>
    <w:p w:rsidR="000E288F" w:rsidRDefault="000E288F" w:rsidP="000E288F">
      <w:r w:rsidRPr="002C1095">
        <w:t xml:space="preserve">Herington, C.J., 1963. Athena in Athenian Literature and Cult. </w:t>
      </w:r>
      <w:r w:rsidRPr="008D1448">
        <w:rPr>
          <w:i/>
        </w:rPr>
        <w:t>Greece &amp; Rome</w:t>
      </w:r>
      <w:r w:rsidRPr="002C1095">
        <w:t>, 10, pp.61–73.</w:t>
      </w:r>
    </w:p>
    <w:p w:rsidR="000E288F" w:rsidRDefault="000E288F" w:rsidP="000E288F">
      <w:r w:rsidRPr="008F0B80">
        <w:t>Lefkowitz, M., 2016. Athena</w:t>
      </w:r>
      <w:r w:rsidRPr="008D1448">
        <w:rPr>
          <w:i/>
        </w:rPr>
        <w:t>. In Euripides and the Gods</w:t>
      </w:r>
      <w:r w:rsidRPr="008F0B80">
        <w:t>. Oxford University Press, pp. Euripides and the Gods, Chapter 4.</w:t>
      </w:r>
    </w:p>
    <w:p w:rsidR="000E288F" w:rsidRDefault="000E288F" w:rsidP="000E288F">
      <w:r w:rsidRPr="006D0B62">
        <w:t xml:space="preserve">Motte, A. &amp; </w:t>
      </w:r>
      <w:proofErr w:type="spellStart"/>
      <w:r w:rsidRPr="006D0B62">
        <w:t>Pirenne-Delforge</w:t>
      </w:r>
      <w:proofErr w:type="spellEnd"/>
      <w:r w:rsidRPr="006D0B62">
        <w:t xml:space="preserve">, V., 2014. Hera. The Oxford Companion to Classical Civilization, </w:t>
      </w:r>
      <w:proofErr w:type="spellStart"/>
      <w:proofErr w:type="gramStart"/>
      <w:r w:rsidRPr="006D0B62">
        <w:t>pp.The</w:t>
      </w:r>
      <w:proofErr w:type="spellEnd"/>
      <w:proofErr w:type="gramEnd"/>
      <w:r w:rsidRPr="006D0B62">
        <w:t xml:space="preserve"> Oxford Companion to Classical Civilization.</w:t>
      </w:r>
    </w:p>
    <w:p w:rsidR="000E288F" w:rsidRDefault="000E288F" w:rsidP="000E288F">
      <w:r w:rsidRPr="002C1095">
        <w:t xml:space="preserve">Murrin, Michael, 2007. Athena and Telemachus. </w:t>
      </w:r>
      <w:r w:rsidRPr="008D1448">
        <w:rPr>
          <w:i/>
        </w:rPr>
        <w:t>International Journal of the Classical Tradition</w:t>
      </w:r>
      <w:r w:rsidRPr="002C1095">
        <w:t>, 13(4), pp.499–516.</w:t>
      </w:r>
    </w:p>
    <w:p w:rsidR="000E288F" w:rsidRDefault="000E288F" w:rsidP="000E288F">
      <w:pPr>
        <w:rPr>
          <w:rFonts w:cstheme="minorHAnsi"/>
        </w:rPr>
      </w:pPr>
      <w:proofErr w:type="spellStart"/>
      <w:r w:rsidRPr="00183981">
        <w:rPr>
          <w:rFonts w:cstheme="minorHAnsi"/>
        </w:rPr>
        <w:t>Mylonas</w:t>
      </w:r>
      <w:proofErr w:type="spellEnd"/>
      <w:r w:rsidRPr="00183981">
        <w:rPr>
          <w:rFonts w:cstheme="minorHAnsi"/>
        </w:rPr>
        <w:t xml:space="preserve">, G.E., 1946. </w:t>
      </w:r>
      <w:r w:rsidRPr="00B6589F">
        <w:rPr>
          <w:rFonts w:cstheme="minorHAnsi"/>
          <w:i/>
        </w:rPr>
        <w:t>The Eagle of Zeus</w:t>
      </w:r>
      <w:r w:rsidRPr="00183981">
        <w:rPr>
          <w:rFonts w:cstheme="minorHAnsi"/>
        </w:rPr>
        <w:t>. The Classical Journal, 41(5), pp.203–207.</w:t>
      </w:r>
    </w:p>
    <w:p w:rsidR="000E288F" w:rsidRDefault="000E288F" w:rsidP="000E288F">
      <w:r>
        <w:t xml:space="preserve">Osborne, R., 1998. </w:t>
      </w:r>
      <w:r>
        <w:rPr>
          <w:i/>
        </w:rPr>
        <w:t>Archaic and Classical Greek Art</w:t>
      </w:r>
      <w:r>
        <w:t>. Oxford History of Art: Oxford University Press.</w:t>
      </w:r>
    </w:p>
    <w:p w:rsidR="000E288F" w:rsidRDefault="000E288F" w:rsidP="000E288F">
      <w:r>
        <w:t xml:space="preserve">Rodgers, N., 2012. </w:t>
      </w:r>
      <w:r>
        <w:rPr>
          <w:i/>
        </w:rPr>
        <w:t>The Art and Architecture of Ancient Greece</w:t>
      </w:r>
      <w:r>
        <w:t xml:space="preserve">. </w:t>
      </w:r>
      <w:proofErr w:type="spellStart"/>
      <w:r>
        <w:t>Anness</w:t>
      </w:r>
      <w:proofErr w:type="spellEnd"/>
      <w:r>
        <w:t xml:space="preserve"> Publishing Ltd: Leicestershire.</w:t>
      </w:r>
    </w:p>
    <w:p w:rsidR="000E288F" w:rsidRDefault="000E288F" w:rsidP="000E288F">
      <w:r>
        <w:t xml:space="preserve">Rutherford, R. (2005). </w:t>
      </w:r>
      <w:r>
        <w:rPr>
          <w:i/>
        </w:rPr>
        <w:t xml:space="preserve">Blackwell Introduction to the Classical World: Classical Literature </w:t>
      </w:r>
      <w:proofErr w:type="gramStart"/>
      <w:r>
        <w:rPr>
          <w:i/>
        </w:rPr>
        <w:t>A</w:t>
      </w:r>
      <w:proofErr w:type="gramEnd"/>
      <w:r>
        <w:rPr>
          <w:i/>
        </w:rPr>
        <w:t xml:space="preserve"> </w:t>
      </w:r>
      <w:proofErr w:type="spellStart"/>
      <w:r>
        <w:rPr>
          <w:i/>
        </w:rPr>
        <w:t>Consise</w:t>
      </w:r>
      <w:proofErr w:type="spellEnd"/>
      <w:r>
        <w:rPr>
          <w:i/>
        </w:rPr>
        <w:t xml:space="preserve"> History</w:t>
      </w:r>
      <w:r>
        <w:t>. Blackwell Publishing.</w:t>
      </w:r>
    </w:p>
    <w:p w:rsidR="000E288F" w:rsidRDefault="000E288F" w:rsidP="000E288F">
      <w:pPr>
        <w:rPr>
          <w:rFonts w:cstheme="minorHAnsi"/>
        </w:rPr>
      </w:pPr>
      <w:r w:rsidRPr="00276877">
        <w:rPr>
          <w:rFonts w:cstheme="minorHAnsi"/>
        </w:rPr>
        <w:t xml:space="preserve">Wilson, C. H., 1979. </w:t>
      </w:r>
      <w:r w:rsidRPr="00B6589F">
        <w:rPr>
          <w:rFonts w:cstheme="minorHAnsi"/>
          <w:i/>
        </w:rPr>
        <w:t>Jupiter and the fates in the Aeneid</w:t>
      </w:r>
      <w:r w:rsidRPr="00276877">
        <w:rPr>
          <w:rFonts w:cstheme="minorHAnsi"/>
        </w:rPr>
        <w:t>. Classical Quarterly, 29(2), pp.361–372.</w:t>
      </w:r>
    </w:p>
    <w:p w:rsidR="000E288F" w:rsidRDefault="000E288F" w:rsidP="000E288F">
      <w:pPr>
        <w:rPr>
          <w:rFonts w:cstheme="minorHAnsi"/>
          <w:shd w:val="clear" w:color="auto" w:fill="FFFFFF"/>
        </w:rPr>
      </w:pPr>
      <w:r w:rsidRPr="00F13D5C">
        <w:rPr>
          <w:rFonts w:cstheme="minorHAnsi"/>
          <w:color w:val="222222"/>
          <w:shd w:val="clear" w:color="auto" w:fill="FFFFFF"/>
        </w:rPr>
        <w:t>Woodford, S., 1982. </w:t>
      </w:r>
      <w:r w:rsidRPr="00F13D5C">
        <w:rPr>
          <w:rFonts w:cstheme="minorHAnsi"/>
          <w:i/>
          <w:iCs/>
          <w:color w:val="222222"/>
          <w:shd w:val="clear" w:color="auto" w:fill="FFFFFF"/>
        </w:rPr>
        <w:t>The Art of Greece and Rome</w:t>
      </w:r>
      <w:r w:rsidRPr="00F13D5C">
        <w:rPr>
          <w:rFonts w:cstheme="minorHAnsi"/>
          <w:color w:val="222222"/>
          <w:shd w:val="clear" w:color="auto" w:fill="FFFFFF"/>
        </w:rPr>
        <w:t>. Cambridge: </w:t>
      </w:r>
      <w:r w:rsidRPr="00F13D5C">
        <w:rPr>
          <w:rFonts w:cstheme="minorHAnsi"/>
          <w:shd w:val="clear" w:color="auto" w:fill="FFFFFF"/>
        </w:rPr>
        <w:t>Cambridge University Press</w:t>
      </w:r>
    </w:p>
    <w:p w:rsidR="000E288F" w:rsidRDefault="000E288F" w:rsidP="000E288F">
      <w:pPr>
        <w:rPr>
          <w:rFonts w:cstheme="minorHAnsi"/>
        </w:rPr>
      </w:pPr>
      <w:r w:rsidRPr="007446D6">
        <w:rPr>
          <w:rFonts w:cstheme="minorHAnsi"/>
        </w:rPr>
        <w:t xml:space="preserve">Woodford, S., 1986. </w:t>
      </w:r>
      <w:r w:rsidRPr="00B6589F">
        <w:rPr>
          <w:rFonts w:cstheme="minorHAnsi"/>
          <w:i/>
        </w:rPr>
        <w:t>An introduction to Greek art</w:t>
      </w:r>
      <w:r w:rsidRPr="007446D6">
        <w:rPr>
          <w:rFonts w:cstheme="minorHAnsi"/>
        </w:rPr>
        <w:t xml:space="preserve">, London: </w:t>
      </w:r>
      <w:r>
        <w:rPr>
          <w:rFonts w:cstheme="minorHAnsi"/>
        </w:rPr>
        <w:t>Cornell.</w:t>
      </w:r>
    </w:p>
    <w:p w:rsidR="000E288F" w:rsidRDefault="000E288F" w:rsidP="000E288F">
      <w:r w:rsidRPr="008F0B80">
        <w:t>Young, S., 2017</w:t>
      </w:r>
      <w:r w:rsidRPr="008D1448">
        <w:rPr>
          <w:i/>
        </w:rPr>
        <w:t xml:space="preserve">. Women who </w:t>
      </w:r>
      <w:proofErr w:type="gramStart"/>
      <w:r w:rsidRPr="008D1448">
        <w:rPr>
          <w:i/>
        </w:rPr>
        <w:t>fly :</w:t>
      </w:r>
      <w:proofErr w:type="gramEnd"/>
      <w:r w:rsidRPr="008D1448">
        <w:rPr>
          <w:i/>
        </w:rPr>
        <w:t xml:space="preserve"> goddesses, witches, mystics, and other airborne females</w:t>
      </w:r>
      <w:r>
        <w:t xml:space="preserve">. </w:t>
      </w:r>
      <w:r w:rsidRPr="006916B4">
        <w:rPr>
          <w:i/>
        </w:rPr>
        <w:t>Part 1.2</w:t>
      </w:r>
      <w:r>
        <w:rPr>
          <w:i/>
        </w:rPr>
        <w:t>,</w:t>
      </w:r>
      <w:r>
        <w:t xml:space="preserve"> Oxford University Press.</w:t>
      </w:r>
    </w:p>
    <w:p w:rsidR="000E288F" w:rsidRDefault="000E288F" w:rsidP="000E288F"/>
    <w:p w:rsidR="000E288F" w:rsidRPr="002C1095" w:rsidRDefault="000E288F" w:rsidP="000E288F">
      <w:pPr>
        <w:rPr>
          <w:u w:val="single"/>
        </w:rPr>
      </w:pPr>
      <w:r w:rsidRPr="002C1095">
        <w:rPr>
          <w:u w:val="single"/>
        </w:rPr>
        <w:t>Ancient Sources</w:t>
      </w:r>
    </w:p>
    <w:p w:rsidR="000E288F" w:rsidRDefault="000E288F" w:rsidP="000E288F">
      <w:pPr>
        <w:rPr>
          <w:rFonts w:cstheme="minorHAnsi"/>
          <w:color w:val="3A3A3A"/>
          <w:shd w:val="clear" w:color="auto" w:fill="FFFFFF"/>
        </w:rPr>
      </w:pPr>
      <w:r>
        <w:rPr>
          <w:rFonts w:cstheme="minorHAnsi"/>
          <w:color w:val="3A3A3A"/>
          <w:shd w:val="clear" w:color="auto" w:fill="FFFFFF"/>
        </w:rPr>
        <w:t>Anon, The Berlin Kore, c. 675 BCE</w:t>
      </w:r>
    </w:p>
    <w:p w:rsidR="000E288F" w:rsidRDefault="000E288F" w:rsidP="000E288F">
      <w:pPr>
        <w:rPr>
          <w:rFonts w:cstheme="minorHAnsi"/>
          <w:color w:val="3A3A3A"/>
          <w:shd w:val="clear" w:color="auto" w:fill="FFFFFF"/>
        </w:rPr>
      </w:pPr>
      <w:r>
        <w:rPr>
          <w:rFonts w:cstheme="minorHAnsi"/>
          <w:color w:val="3A3A3A"/>
          <w:shd w:val="clear" w:color="auto" w:fill="FFFFFF"/>
        </w:rPr>
        <w:t>Anon, The Peplos Kore, c. 530 BCE</w:t>
      </w:r>
    </w:p>
    <w:p w:rsidR="000E288F" w:rsidRDefault="000E288F" w:rsidP="000E288F">
      <w:pPr>
        <w:rPr>
          <w:rFonts w:cstheme="minorHAnsi"/>
          <w:color w:val="3A3A3A"/>
          <w:shd w:val="clear" w:color="auto" w:fill="FFFFFF"/>
        </w:rPr>
      </w:pPr>
      <w:r>
        <w:rPr>
          <w:rFonts w:cstheme="minorHAnsi"/>
          <w:color w:val="3A3A3A"/>
          <w:shd w:val="clear" w:color="auto" w:fill="FFFFFF"/>
        </w:rPr>
        <w:t>Anon, Zeus or Poseidon, c. 450 BCE</w:t>
      </w:r>
    </w:p>
    <w:p w:rsidR="000E288F" w:rsidRDefault="000E288F" w:rsidP="000E288F">
      <w:pPr>
        <w:rPr>
          <w:rFonts w:cstheme="minorHAnsi"/>
          <w:color w:val="3A3A3A"/>
          <w:shd w:val="clear" w:color="auto" w:fill="FFFFFF"/>
        </w:rPr>
      </w:pPr>
      <w:r w:rsidRPr="002C1095">
        <w:rPr>
          <w:rFonts w:cstheme="minorHAnsi"/>
          <w:color w:val="3A3A3A"/>
          <w:shd w:val="clear" w:color="auto" w:fill="FFFFFF"/>
        </w:rPr>
        <w:t>English School, </w:t>
      </w:r>
      <w:r w:rsidRPr="002C1095">
        <w:rPr>
          <w:rFonts w:cstheme="minorHAnsi"/>
          <w:i/>
          <w:iCs/>
          <w:color w:val="3A3A3A"/>
          <w:shd w:val="clear" w:color="auto" w:fill="FFFFFF"/>
        </w:rPr>
        <w:t>The Great Ivory and Gold Statue of Athena in the Parthenon (engraving)</w:t>
      </w:r>
      <w:r w:rsidRPr="002C1095">
        <w:rPr>
          <w:rFonts w:cstheme="minorHAnsi"/>
          <w:color w:val="3A3A3A"/>
          <w:shd w:val="clear" w:color="auto" w:fill="FFFFFF"/>
        </w:rPr>
        <w:t>.</w:t>
      </w:r>
    </w:p>
    <w:p w:rsidR="000E288F" w:rsidRPr="007E3C82" w:rsidRDefault="000E288F" w:rsidP="000E288F">
      <w:pPr>
        <w:rPr>
          <w:rFonts w:cstheme="minorHAnsi"/>
          <w:color w:val="3A3A3A"/>
          <w:shd w:val="clear" w:color="auto" w:fill="FFFFFF"/>
        </w:rPr>
      </w:pPr>
      <w:r>
        <w:rPr>
          <w:rFonts w:cstheme="minorHAnsi"/>
          <w:color w:val="000000"/>
        </w:rPr>
        <w:t>Euripides, Heracles. E.P. Coleridge (trans). 1938. New York.</w:t>
      </w:r>
    </w:p>
    <w:p w:rsidR="000E288F" w:rsidRDefault="000E288F" w:rsidP="000E288F">
      <w:pPr>
        <w:rPr>
          <w:rFonts w:cstheme="minorHAnsi"/>
          <w:color w:val="3A3A3A"/>
          <w:shd w:val="clear" w:color="auto" w:fill="FFFFFF"/>
        </w:rPr>
      </w:pPr>
      <w:r>
        <w:rPr>
          <w:rFonts w:cstheme="minorHAnsi"/>
          <w:color w:val="3A3A3A"/>
          <w:shd w:val="clear" w:color="auto" w:fill="FFFFFF"/>
        </w:rPr>
        <w:t xml:space="preserve">Euripides, Hippolytus. James </w:t>
      </w:r>
      <w:proofErr w:type="spellStart"/>
      <w:r>
        <w:rPr>
          <w:rFonts w:cstheme="minorHAnsi"/>
          <w:color w:val="3A3A3A"/>
          <w:shd w:val="clear" w:color="auto" w:fill="FFFFFF"/>
        </w:rPr>
        <w:t>Morwood</w:t>
      </w:r>
      <w:proofErr w:type="spellEnd"/>
      <w:r>
        <w:rPr>
          <w:rFonts w:cstheme="minorHAnsi"/>
          <w:color w:val="3A3A3A"/>
          <w:shd w:val="clear" w:color="auto" w:fill="FFFFFF"/>
        </w:rPr>
        <w:t xml:space="preserve"> (trans). 1997. Oxford University Press.</w:t>
      </w:r>
    </w:p>
    <w:p w:rsidR="000E288F" w:rsidRDefault="000E288F" w:rsidP="000E288F">
      <w:pPr>
        <w:rPr>
          <w:rFonts w:cstheme="minorHAnsi"/>
          <w:color w:val="3A3A3A"/>
          <w:shd w:val="clear" w:color="auto" w:fill="FFFFFF"/>
        </w:rPr>
      </w:pPr>
      <w:r w:rsidRPr="002C1095">
        <w:rPr>
          <w:rFonts w:cstheme="minorHAnsi"/>
          <w:color w:val="3A3A3A"/>
          <w:shd w:val="clear" w:color="auto" w:fill="FFFFFF"/>
        </w:rPr>
        <w:lastRenderedPageBreak/>
        <w:t>French School, </w:t>
      </w:r>
      <w:r w:rsidRPr="002C1095">
        <w:rPr>
          <w:rFonts w:cstheme="minorHAnsi"/>
          <w:i/>
          <w:iCs/>
          <w:color w:val="3A3A3A"/>
          <w:shd w:val="clear" w:color="auto" w:fill="FFFFFF"/>
        </w:rPr>
        <w:t>Athena Parthenos, statue from the Parthenon, Athens (colour engraving)</w:t>
      </w:r>
      <w:r w:rsidRPr="002C1095">
        <w:rPr>
          <w:rFonts w:cstheme="minorHAnsi"/>
          <w:color w:val="3A3A3A"/>
          <w:shd w:val="clear" w:color="auto" w:fill="FFFFFF"/>
        </w:rPr>
        <w:t>.</w:t>
      </w:r>
    </w:p>
    <w:p w:rsidR="000E288F" w:rsidRDefault="000E288F" w:rsidP="000E288F">
      <w:r>
        <w:t xml:space="preserve">Homer, The </w:t>
      </w:r>
      <w:proofErr w:type="spellStart"/>
      <w:r>
        <w:t>Illiad</w:t>
      </w:r>
      <w:proofErr w:type="spellEnd"/>
      <w:r>
        <w:t xml:space="preserve">. E.V. </w:t>
      </w:r>
      <w:proofErr w:type="spellStart"/>
      <w:r>
        <w:t>Rieu</w:t>
      </w:r>
      <w:proofErr w:type="spellEnd"/>
      <w:r>
        <w:t xml:space="preserve"> (trans). 1950. London: Penguin Group.</w:t>
      </w:r>
    </w:p>
    <w:p w:rsidR="000E288F" w:rsidRDefault="000E288F" w:rsidP="000E288F">
      <w:r>
        <w:t xml:space="preserve">Homer, The Odyssey. E.V. </w:t>
      </w:r>
      <w:proofErr w:type="spellStart"/>
      <w:r>
        <w:t>Rieu</w:t>
      </w:r>
      <w:proofErr w:type="spellEnd"/>
      <w:r>
        <w:t xml:space="preserve"> (trans). 1946. London: Penguin Group.</w:t>
      </w:r>
    </w:p>
    <w:p w:rsidR="000E288F" w:rsidRPr="00E20E64" w:rsidRDefault="000E288F" w:rsidP="000E288F">
      <w:proofErr w:type="spellStart"/>
      <w:r w:rsidRPr="00E20E64">
        <w:t>Paionios</w:t>
      </w:r>
      <w:proofErr w:type="spellEnd"/>
      <w:r w:rsidRPr="00E20E64">
        <w:t xml:space="preserve">, </w:t>
      </w:r>
      <w:r w:rsidRPr="00E20E64">
        <w:rPr>
          <w:i/>
        </w:rPr>
        <w:t xml:space="preserve">Nike of </w:t>
      </w:r>
      <w:proofErr w:type="spellStart"/>
      <w:r w:rsidRPr="00E20E64">
        <w:rPr>
          <w:i/>
        </w:rPr>
        <w:t>Paionios</w:t>
      </w:r>
      <w:proofErr w:type="spellEnd"/>
      <w:r w:rsidRPr="00E20E64">
        <w:rPr>
          <w:i/>
        </w:rPr>
        <w:t>, c. 420 BCE</w:t>
      </w:r>
    </w:p>
    <w:p w:rsidR="000E288F" w:rsidRDefault="000E288F" w:rsidP="000E288F">
      <w:pPr>
        <w:rPr>
          <w:rFonts w:cstheme="minorHAnsi"/>
          <w:color w:val="3A3A3A"/>
          <w:shd w:val="clear" w:color="auto" w:fill="FFFFFF"/>
        </w:rPr>
      </w:pPr>
      <w:proofErr w:type="spellStart"/>
      <w:r w:rsidRPr="005B68E1">
        <w:rPr>
          <w:rFonts w:cstheme="minorHAnsi"/>
          <w:color w:val="3A3A3A"/>
          <w:shd w:val="clear" w:color="auto" w:fill="FFFFFF"/>
        </w:rPr>
        <w:t>Pheidias</w:t>
      </w:r>
      <w:proofErr w:type="spellEnd"/>
      <w:r w:rsidRPr="005B68E1">
        <w:rPr>
          <w:rFonts w:cstheme="minorHAnsi"/>
          <w:color w:val="3A3A3A"/>
          <w:shd w:val="clear" w:color="auto" w:fill="FFFFFF"/>
        </w:rPr>
        <w:t>, Athena Parthenos</w:t>
      </w:r>
      <w:r>
        <w:rPr>
          <w:rFonts w:cstheme="minorHAnsi"/>
          <w:color w:val="3A3A3A"/>
          <w:shd w:val="clear" w:color="auto" w:fill="FFFFFF"/>
        </w:rPr>
        <w:t>,</w:t>
      </w:r>
      <w:r w:rsidRPr="005B68E1">
        <w:rPr>
          <w:rFonts w:cstheme="minorHAnsi"/>
          <w:color w:val="3A3A3A"/>
          <w:shd w:val="clear" w:color="auto" w:fill="FFFFFF"/>
        </w:rPr>
        <w:t xml:space="preserve"> </w:t>
      </w:r>
      <w:r>
        <w:rPr>
          <w:rFonts w:cstheme="minorHAnsi"/>
          <w:color w:val="3A3A3A"/>
          <w:shd w:val="clear" w:color="auto" w:fill="FFFFFF"/>
        </w:rPr>
        <w:t xml:space="preserve">c. </w:t>
      </w:r>
      <w:r w:rsidRPr="005B68E1">
        <w:rPr>
          <w:rFonts w:cstheme="minorHAnsi"/>
          <w:color w:val="3A3A3A"/>
          <w:shd w:val="clear" w:color="auto" w:fill="FFFFFF"/>
        </w:rPr>
        <w:t>447-438 BC</w:t>
      </w:r>
      <w:r>
        <w:rPr>
          <w:rFonts w:cstheme="minorHAnsi"/>
          <w:color w:val="3A3A3A"/>
          <w:shd w:val="clear" w:color="auto" w:fill="FFFFFF"/>
        </w:rPr>
        <w:t>E</w:t>
      </w:r>
    </w:p>
    <w:p w:rsidR="000E288F" w:rsidRDefault="000E288F" w:rsidP="000E288F">
      <w:pPr>
        <w:rPr>
          <w:rFonts w:cstheme="minorHAnsi"/>
          <w:color w:val="3A3A3A"/>
          <w:shd w:val="clear" w:color="auto" w:fill="FFFFFF"/>
        </w:rPr>
      </w:pPr>
      <w:r>
        <w:rPr>
          <w:rFonts w:cstheme="minorHAnsi"/>
          <w:color w:val="3A3A3A"/>
          <w:shd w:val="clear" w:color="auto" w:fill="FFFFFF"/>
        </w:rPr>
        <w:t>Praxiteles, Knidian Aphrodite, c. 350 BCE</w:t>
      </w:r>
    </w:p>
    <w:p w:rsidR="000E288F" w:rsidRPr="005B68E1" w:rsidRDefault="000E288F" w:rsidP="000E288F">
      <w:pPr>
        <w:rPr>
          <w:rFonts w:cstheme="minorHAnsi"/>
          <w:color w:val="3A3A3A"/>
          <w:shd w:val="clear" w:color="auto" w:fill="FFFFFF"/>
        </w:rPr>
      </w:pPr>
      <w:proofErr w:type="spellStart"/>
      <w:r w:rsidRPr="005B68E1">
        <w:rPr>
          <w:rFonts w:cstheme="minorHAnsi"/>
          <w:color w:val="3A3A3A"/>
          <w:shd w:val="clear" w:color="auto" w:fill="FFFFFF"/>
        </w:rPr>
        <w:t>Sougioultzoglou-Seraidari</w:t>
      </w:r>
      <w:proofErr w:type="spellEnd"/>
      <w:r w:rsidRPr="005B68E1">
        <w:rPr>
          <w:rFonts w:cstheme="minorHAnsi"/>
          <w:color w:val="3A3A3A"/>
          <w:shd w:val="clear" w:color="auto" w:fill="FFFFFF"/>
        </w:rPr>
        <w:t>, E., </w:t>
      </w:r>
      <w:r w:rsidRPr="005B68E1">
        <w:rPr>
          <w:rFonts w:cstheme="minorHAnsi"/>
          <w:i/>
          <w:iCs/>
          <w:color w:val="3A3A3A"/>
          <w:shd w:val="clear" w:color="auto" w:fill="FFFFFF"/>
        </w:rPr>
        <w:t xml:space="preserve">Poseidon or Zeus of </w:t>
      </w:r>
      <w:proofErr w:type="spellStart"/>
      <w:r w:rsidRPr="005B68E1">
        <w:rPr>
          <w:rFonts w:cstheme="minorHAnsi"/>
          <w:i/>
          <w:iCs/>
          <w:color w:val="3A3A3A"/>
          <w:shd w:val="clear" w:color="auto" w:fill="FFFFFF"/>
        </w:rPr>
        <w:t>Artemision</w:t>
      </w:r>
      <w:proofErr w:type="spellEnd"/>
      <w:r w:rsidRPr="005B68E1">
        <w:rPr>
          <w:rFonts w:cstheme="minorHAnsi"/>
          <w:i/>
          <w:iCs/>
          <w:color w:val="3A3A3A"/>
          <w:shd w:val="clear" w:color="auto" w:fill="FFFFFF"/>
        </w:rPr>
        <w:t>, National Museum, Athens, c.1932 (b/w photo)</w:t>
      </w:r>
      <w:r w:rsidRPr="005B68E1">
        <w:rPr>
          <w:rFonts w:cstheme="minorHAnsi"/>
          <w:color w:val="3A3A3A"/>
          <w:shd w:val="clear" w:color="auto" w:fill="FFFFFF"/>
        </w:rPr>
        <w:t>.</w:t>
      </w:r>
    </w:p>
    <w:p w:rsidR="000E288F" w:rsidRDefault="000E288F"/>
    <w:sectPr w:rsidR="000E288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345E" w:rsidRDefault="001B345E" w:rsidP="000E288F">
      <w:pPr>
        <w:spacing w:after="0" w:line="240" w:lineRule="auto"/>
      </w:pPr>
      <w:r>
        <w:separator/>
      </w:r>
    </w:p>
  </w:endnote>
  <w:endnote w:type="continuationSeparator" w:id="0">
    <w:p w:rsidR="001B345E" w:rsidRDefault="001B345E" w:rsidP="000E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18"/>
        <w:szCs w:val="28"/>
      </w:rPr>
      <w:id w:val="-1519765948"/>
      <w:docPartObj>
        <w:docPartGallery w:val="Page Numbers (Bottom of Page)"/>
        <w:docPartUnique/>
      </w:docPartObj>
    </w:sdtPr>
    <w:sdtEndPr>
      <w:rPr>
        <w:noProof/>
      </w:rPr>
    </w:sdtEndPr>
    <w:sdtContent>
      <w:p w:rsidR="000E288F" w:rsidRPr="000E288F" w:rsidRDefault="000E288F">
        <w:pPr>
          <w:pStyle w:val="Footer"/>
          <w:jc w:val="right"/>
          <w:rPr>
            <w:rFonts w:asciiTheme="majorHAnsi" w:eastAsiaTheme="majorEastAsia" w:hAnsiTheme="majorHAnsi" w:cstheme="majorBidi"/>
            <w:sz w:val="18"/>
            <w:szCs w:val="28"/>
          </w:rPr>
        </w:pPr>
        <w:r w:rsidRPr="000E288F">
          <w:rPr>
            <w:rFonts w:asciiTheme="majorHAnsi" w:eastAsiaTheme="majorEastAsia" w:hAnsiTheme="majorHAnsi" w:cstheme="majorBidi"/>
            <w:sz w:val="18"/>
            <w:szCs w:val="28"/>
          </w:rPr>
          <w:t xml:space="preserve">pg. </w:t>
        </w:r>
        <w:r w:rsidRPr="000E288F">
          <w:rPr>
            <w:rFonts w:eastAsiaTheme="minorEastAsia" w:cs="Times New Roman"/>
            <w:sz w:val="14"/>
          </w:rPr>
          <w:fldChar w:fldCharType="begin"/>
        </w:r>
        <w:r w:rsidRPr="000E288F">
          <w:rPr>
            <w:sz w:val="14"/>
          </w:rPr>
          <w:instrText xml:space="preserve"> PAGE    \* MERGEFORMAT </w:instrText>
        </w:r>
        <w:r w:rsidRPr="000E288F">
          <w:rPr>
            <w:rFonts w:eastAsiaTheme="minorEastAsia" w:cs="Times New Roman"/>
            <w:sz w:val="14"/>
          </w:rPr>
          <w:fldChar w:fldCharType="separate"/>
        </w:r>
        <w:r w:rsidRPr="000E288F">
          <w:rPr>
            <w:rFonts w:asciiTheme="majorHAnsi" w:eastAsiaTheme="majorEastAsia" w:hAnsiTheme="majorHAnsi" w:cstheme="majorBidi"/>
            <w:noProof/>
            <w:sz w:val="18"/>
            <w:szCs w:val="28"/>
          </w:rPr>
          <w:t>2</w:t>
        </w:r>
        <w:r w:rsidRPr="000E288F">
          <w:rPr>
            <w:rFonts w:asciiTheme="majorHAnsi" w:eastAsiaTheme="majorEastAsia" w:hAnsiTheme="majorHAnsi" w:cstheme="majorBidi"/>
            <w:noProof/>
            <w:sz w:val="18"/>
            <w:szCs w:val="28"/>
          </w:rPr>
          <w:fldChar w:fldCharType="end"/>
        </w:r>
      </w:p>
    </w:sdtContent>
  </w:sdt>
  <w:p w:rsidR="000E288F" w:rsidRDefault="000E2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345E" w:rsidRDefault="001B345E" w:rsidP="000E288F">
      <w:pPr>
        <w:spacing w:after="0" w:line="240" w:lineRule="auto"/>
      </w:pPr>
      <w:r>
        <w:separator/>
      </w:r>
    </w:p>
  </w:footnote>
  <w:footnote w:type="continuationSeparator" w:id="0">
    <w:p w:rsidR="001B345E" w:rsidRDefault="001B345E" w:rsidP="000E2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88F" w:rsidRDefault="000E288F">
    <w:pPr>
      <w:pStyle w:val="Header"/>
    </w:pPr>
    <w:r>
      <w:t>CARTER – Assignment 1 – Due 28/05/2019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88F"/>
    <w:rsid w:val="000E288F"/>
    <w:rsid w:val="001B345E"/>
    <w:rsid w:val="002D0D27"/>
    <w:rsid w:val="006A1632"/>
    <w:rsid w:val="00A968F8"/>
    <w:rsid w:val="00C77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114E4"/>
  <w15:chartTrackingRefBased/>
  <w15:docId w15:val="{8EBD361A-EDF0-45AE-9F2E-C36A227A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8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88F"/>
  </w:style>
  <w:style w:type="paragraph" w:styleId="Footer">
    <w:name w:val="footer"/>
    <w:basedOn w:val="Normal"/>
    <w:link w:val="FooterChar"/>
    <w:uiPriority w:val="99"/>
    <w:unhideWhenUsed/>
    <w:rsid w:val="000E2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3</cp:revision>
  <dcterms:created xsi:type="dcterms:W3CDTF">2019-05-24T17:44:00Z</dcterms:created>
  <dcterms:modified xsi:type="dcterms:W3CDTF">2019-05-24T18:09:00Z</dcterms:modified>
</cp:coreProperties>
</file>