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30D75" w14:textId="77777777" w:rsidR="000F3C7B" w:rsidRPr="00997841" w:rsidRDefault="000F3C7B" w:rsidP="00997841">
      <w:pPr>
        <w:spacing w:line="360" w:lineRule="auto"/>
        <w:jc w:val="center"/>
        <w:rPr>
          <w:rFonts w:ascii="Arial" w:hAnsi="Arial" w:cs="Arial"/>
          <w:b/>
          <w:sz w:val="28"/>
          <w:szCs w:val="28"/>
        </w:rPr>
      </w:pPr>
      <w:r w:rsidRPr="00997841">
        <w:rPr>
          <w:rFonts w:ascii="Arial" w:hAnsi="Arial" w:cs="Arial"/>
          <w:b/>
          <w:sz w:val="28"/>
          <w:szCs w:val="28"/>
        </w:rPr>
        <w:t>Programme: Master of Business Administration</w:t>
      </w:r>
    </w:p>
    <w:p w14:paraId="1C284A67" w14:textId="77777777" w:rsidR="000F3C7B" w:rsidRPr="00997841" w:rsidRDefault="000F3C7B" w:rsidP="00997841">
      <w:pPr>
        <w:spacing w:line="360" w:lineRule="auto"/>
        <w:jc w:val="center"/>
        <w:rPr>
          <w:rFonts w:ascii="Arial" w:hAnsi="Arial" w:cs="Arial"/>
          <w:b/>
          <w:sz w:val="28"/>
          <w:szCs w:val="28"/>
        </w:rPr>
      </w:pPr>
      <w:r w:rsidRPr="00997841">
        <w:rPr>
          <w:rFonts w:ascii="Arial" w:hAnsi="Arial" w:cs="Arial"/>
          <w:b/>
          <w:sz w:val="28"/>
          <w:szCs w:val="28"/>
        </w:rPr>
        <w:t>Module: Financial Management</w:t>
      </w:r>
    </w:p>
    <w:p w14:paraId="50BAFF80" w14:textId="77777777" w:rsidR="000F3C7B" w:rsidRPr="00997841" w:rsidRDefault="000F3C7B" w:rsidP="00997841">
      <w:pPr>
        <w:spacing w:line="360" w:lineRule="auto"/>
        <w:jc w:val="center"/>
        <w:rPr>
          <w:rFonts w:ascii="Arial" w:hAnsi="Arial" w:cs="Arial"/>
          <w:b/>
          <w:sz w:val="28"/>
          <w:szCs w:val="28"/>
        </w:rPr>
      </w:pPr>
      <w:r w:rsidRPr="00997841">
        <w:rPr>
          <w:rFonts w:ascii="Arial" w:hAnsi="Arial" w:cs="Arial"/>
          <w:b/>
          <w:sz w:val="28"/>
          <w:szCs w:val="28"/>
        </w:rPr>
        <w:t>Module code: LCMB7002</w:t>
      </w:r>
    </w:p>
    <w:p w14:paraId="30E8A02D" w14:textId="77777777" w:rsidR="000F3C7B" w:rsidRPr="00997841" w:rsidRDefault="000F3C7B" w:rsidP="00997841">
      <w:pPr>
        <w:spacing w:line="360" w:lineRule="auto"/>
        <w:jc w:val="center"/>
        <w:rPr>
          <w:rFonts w:ascii="Arial" w:hAnsi="Arial" w:cs="Arial"/>
          <w:b/>
          <w:sz w:val="28"/>
          <w:szCs w:val="28"/>
        </w:rPr>
      </w:pPr>
    </w:p>
    <w:p w14:paraId="6755AD8B" w14:textId="77777777" w:rsidR="000F3C7B" w:rsidRPr="00997841" w:rsidRDefault="000F3C7B" w:rsidP="00997841">
      <w:pPr>
        <w:spacing w:line="360" w:lineRule="auto"/>
        <w:jc w:val="center"/>
        <w:rPr>
          <w:rFonts w:ascii="Arial" w:hAnsi="Arial" w:cs="Arial"/>
          <w:b/>
          <w:sz w:val="28"/>
          <w:szCs w:val="28"/>
        </w:rPr>
      </w:pPr>
    </w:p>
    <w:p w14:paraId="5CEFAD79" w14:textId="77777777" w:rsidR="000F3C7B" w:rsidRPr="00997841" w:rsidRDefault="000F3C7B" w:rsidP="00997841">
      <w:pPr>
        <w:spacing w:line="360" w:lineRule="auto"/>
        <w:jc w:val="center"/>
        <w:rPr>
          <w:rFonts w:ascii="Arial" w:hAnsi="Arial" w:cs="Arial"/>
          <w:b/>
          <w:sz w:val="28"/>
          <w:szCs w:val="28"/>
        </w:rPr>
      </w:pPr>
    </w:p>
    <w:p w14:paraId="71DEDE16" w14:textId="77777777" w:rsidR="000F3C7B" w:rsidRPr="00997841" w:rsidRDefault="000F3C7B" w:rsidP="00997841">
      <w:pPr>
        <w:spacing w:line="360" w:lineRule="auto"/>
        <w:jc w:val="center"/>
        <w:rPr>
          <w:rFonts w:ascii="Arial" w:hAnsi="Arial" w:cs="Arial"/>
          <w:b/>
          <w:sz w:val="28"/>
          <w:szCs w:val="28"/>
        </w:rPr>
      </w:pPr>
      <w:r w:rsidRPr="00997841">
        <w:rPr>
          <w:rFonts w:ascii="Arial" w:hAnsi="Arial" w:cs="Arial"/>
          <w:b/>
          <w:sz w:val="28"/>
          <w:szCs w:val="28"/>
        </w:rPr>
        <w:t>Assignment Title: Assessment component: Financial performance and management</w:t>
      </w:r>
    </w:p>
    <w:p w14:paraId="0DFAD7C0" w14:textId="77777777" w:rsidR="000F3C7B" w:rsidRPr="00997841" w:rsidRDefault="000F3C7B" w:rsidP="00997841">
      <w:pPr>
        <w:spacing w:line="360" w:lineRule="auto"/>
        <w:jc w:val="center"/>
        <w:rPr>
          <w:rFonts w:ascii="Arial" w:hAnsi="Arial" w:cs="Arial"/>
          <w:b/>
          <w:sz w:val="28"/>
          <w:szCs w:val="28"/>
        </w:rPr>
      </w:pPr>
    </w:p>
    <w:p w14:paraId="6B3387A3" w14:textId="77777777" w:rsidR="000F3C7B" w:rsidRPr="00997841" w:rsidRDefault="000F3C7B" w:rsidP="00997841">
      <w:pPr>
        <w:spacing w:line="360" w:lineRule="auto"/>
        <w:jc w:val="center"/>
        <w:rPr>
          <w:rFonts w:ascii="Arial" w:hAnsi="Arial" w:cs="Arial"/>
          <w:b/>
          <w:sz w:val="28"/>
          <w:szCs w:val="28"/>
        </w:rPr>
      </w:pPr>
    </w:p>
    <w:p w14:paraId="32E75C78" w14:textId="77777777" w:rsidR="000F3C7B" w:rsidRPr="00997841" w:rsidRDefault="000F3C7B" w:rsidP="00997841">
      <w:pPr>
        <w:spacing w:line="360" w:lineRule="auto"/>
        <w:jc w:val="center"/>
        <w:rPr>
          <w:rFonts w:ascii="Arial" w:hAnsi="Arial" w:cs="Arial"/>
          <w:b/>
          <w:sz w:val="28"/>
          <w:szCs w:val="28"/>
        </w:rPr>
      </w:pPr>
    </w:p>
    <w:p w14:paraId="70D342EE" w14:textId="77777777" w:rsidR="000F3C7B" w:rsidRPr="00997841" w:rsidRDefault="000F3C7B" w:rsidP="00997841">
      <w:pPr>
        <w:spacing w:line="360" w:lineRule="auto"/>
        <w:jc w:val="center"/>
        <w:rPr>
          <w:rFonts w:ascii="Arial" w:hAnsi="Arial" w:cs="Arial"/>
          <w:b/>
          <w:sz w:val="28"/>
          <w:szCs w:val="28"/>
        </w:rPr>
      </w:pPr>
    </w:p>
    <w:p w14:paraId="73BB8E68" w14:textId="77777777" w:rsidR="000F3C7B" w:rsidRPr="00997841" w:rsidRDefault="000F3C7B" w:rsidP="00997841">
      <w:pPr>
        <w:spacing w:line="360" w:lineRule="auto"/>
        <w:jc w:val="center"/>
        <w:rPr>
          <w:rFonts w:ascii="Arial" w:hAnsi="Arial" w:cs="Arial"/>
          <w:b/>
          <w:sz w:val="28"/>
          <w:szCs w:val="28"/>
        </w:rPr>
      </w:pPr>
    </w:p>
    <w:p w14:paraId="7D5325FC" w14:textId="77777777" w:rsidR="000F3C7B" w:rsidRPr="00997841" w:rsidRDefault="000F3C7B" w:rsidP="00997841">
      <w:pPr>
        <w:spacing w:line="360" w:lineRule="auto"/>
        <w:jc w:val="center"/>
        <w:rPr>
          <w:rFonts w:ascii="Arial" w:hAnsi="Arial" w:cs="Arial"/>
          <w:b/>
          <w:sz w:val="28"/>
          <w:szCs w:val="28"/>
        </w:rPr>
      </w:pPr>
    </w:p>
    <w:p w14:paraId="79E53EA3" w14:textId="77777777" w:rsidR="000F3C7B" w:rsidRPr="00997841" w:rsidRDefault="000F3C7B" w:rsidP="00997841">
      <w:pPr>
        <w:spacing w:line="360" w:lineRule="auto"/>
        <w:jc w:val="center"/>
        <w:rPr>
          <w:rFonts w:ascii="Arial" w:hAnsi="Arial" w:cs="Arial"/>
          <w:b/>
          <w:sz w:val="28"/>
          <w:szCs w:val="28"/>
        </w:rPr>
      </w:pPr>
      <w:r w:rsidRPr="00997841">
        <w:rPr>
          <w:rFonts w:ascii="Arial" w:hAnsi="Arial" w:cs="Arial"/>
          <w:b/>
          <w:sz w:val="28"/>
          <w:szCs w:val="28"/>
        </w:rPr>
        <w:t>Name of the student:</w:t>
      </w:r>
    </w:p>
    <w:p w14:paraId="6AA0EA6C" w14:textId="77777777" w:rsidR="000F3C7B" w:rsidRPr="00997841" w:rsidRDefault="000F3C7B" w:rsidP="00997841">
      <w:pPr>
        <w:spacing w:line="360" w:lineRule="auto"/>
        <w:jc w:val="center"/>
        <w:rPr>
          <w:rFonts w:ascii="Arial" w:hAnsi="Arial" w:cs="Arial"/>
          <w:b/>
          <w:sz w:val="24"/>
          <w:szCs w:val="24"/>
        </w:rPr>
      </w:pPr>
      <w:r w:rsidRPr="00997841">
        <w:rPr>
          <w:rFonts w:ascii="Arial" w:hAnsi="Arial" w:cs="Arial"/>
          <w:b/>
          <w:sz w:val="28"/>
          <w:szCs w:val="28"/>
        </w:rPr>
        <w:t>Student ID:</w:t>
      </w:r>
      <w:r w:rsidRPr="00997841">
        <w:rPr>
          <w:rFonts w:ascii="Arial" w:hAnsi="Arial" w:cs="Arial"/>
          <w:b/>
          <w:sz w:val="24"/>
          <w:szCs w:val="24"/>
        </w:rPr>
        <w:br w:type="page"/>
      </w:r>
    </w:p>
    <w:sdt>
      <w:sdtPr>
        <w:rPr>
          <w:rFonts w:asciiTheme="minorHAnsi" w:eastAsiaTheme="minorHAnsi" w:hAnsiTheme="minorHAnsi" w:cstheme="minorBidi"/>
          <w:color w:val="auto"/>
          <w:sz w:val="22"/>
          <w:szCs w:val="22"/>
          <w:lang w:val="en-GB"/>
        </w:rPr>
        <w:id w:val="1314292144"/>
        <w:docPartObj>
          <w:docPartGallery w:val="Table of Contents"/>
          <w:docPartUnique/>
        </w:docPartObj>
      </w:sdtPr>
      <w:sdtEndPr>
        <w:rPr>
          <w:b/>
          <w:bCs/>
          <w:noProof/>
        </w:rPr>
      </w:sdtEndPr>
      <w:sdtContent>
        <w:p w14:paraId="3A4E3123" w14:textId="77777777" w:rsidR="000F3C7B" w:rsidRPr="00997841" w:rsidRDefault="000F3C7B" w:rsidP="000F3C7B">
          <w:pPr>
            <w:pStyle w:val="TOCHeading"/>
            <w:spacing w:line="360" w:lineRule="auto"/>
            <w:jc w:val="both"/>
            <w:rPr>
              <w:rFonts w:ascii="Arial" w:hAnsi="Arial" w:cs="Arial"/>
              <w:b/>
              <w:color w:val="auto"/>
              <w:sz w:val="24"/>
              <w:szCs w:val="24"/>
            </w:rPr>
          </w:pPr>
          <w:r w:rsidRPr="00997841">
            <w:rPr>
              <w:rFonts w:ascii="Arial" w:hAnsi="Arial" w:cs="Arial"/>
              <w:b/>
              <w:color w:val="auto"/>
              <w:sz w:val="24"/>
              <w:szCs w:val="24"/>
            </w:rPr>
            <w:t>Table of Contents</w:t>
          </w:r>
        </w:p>
        <w:p w14:paraId="64BFE7E0" w14:textId="42B1E110" w:rsidR="00A6289C" w:rsidRPr="00A6289C" w:rsidRDefault="000F3C7B" w:rsidP="00A6289C">
          <w:pPr>
            <w:pStyle w:val="TOC1"/>
            <w:tabs>
              <w:tab w:val="right" w:leader="dot" w:pos="9016"/>
            </w:tabs>
            <w:spacing w:line="360" w:lineRule="auto"/>
            <w:jc w:val="both"/>
            <w:rPr>
              <w:rFonts w:eastAsiaTheme="minorEastAsia"/>
              <w:noProof/>
              <w:sz w:val="24"/>
              <w:szCs w:val="24"/>
              <w:lang w:val="en-IN" w:eastAsia="en-IN"/>
            </w:rPr>
          </w:pPr>
          <w:r w:rsidRPr="00A6289C">
            <w:rPr>
              <w:rFonts w:ascii="Arial" w:hAnsi="Arial" w:cs="Arial"/>
              <w:sz w:val="24"/>
              <w:szCs w:val="24"/>
            </w:rPr>
            <w:fldChar w:fldCharType="begin"/>
          </w:r>
          <w:r w:rsidRPr="00A6289C">
            <w:rPr>
              <w:rFonts w:ascii="Arial" w:hAnsi="Arial" w:cs="Arial"/>
              <w:sz w:val="24"/>
              <w:szCs w:val="24"/>
            </w:rPr>
            <w:instrText xml:space="preserve"> TOC \o "1-3" \h \z \u </w:instrText>
          </w:r>
          <w:r w:rsidRPr="00A6289C">
            <w:rPr>
              <w:rFonts w:ascii="Arial" w:hAnsi="Arial" w:cs="Arial"/>
              <w:sz w:val="24"/>
              <w:szCs w:val="24"/>
            </w:rPr>
            <w:fldChar w:fldCharType="separate"/>
          </w:r>
          <w:hyperlink w:anchor="_Toc236846120" w:history="1">
            <w:r w:rsidR="00A6289C" w:rsidRPr="00A6289C">
              <w:rPr>
                <w:rStyle w:val="Hyperlink"/>
                <w:rFonts w:ascii="Arial" w:hAnsi="Arial" w:cs="Arial"/>
                <w:noProof/>
                <w:sz w:val="24"/>
                <w:szCs w:val="24"/>
              </w:rPr>
              <w:t>1. Financial Health Check</w:t>
            </w:r>
            <w:r w:rsidR="00A6289C" w:rsidRPr="00A6289C">
              <w:rPr>
                <w:noProof/>
                <w:webHidden/>
                <w:sz w:val="24"/>
                <w:szCs w:val="24"/>
              </w:rPr>
              <w:tab/>
            </w:r>
            <w:r w:rsidR="00A6289C" w:rsidRPr="00A6289C">
              <w:rPr>
                <w:noProof/>
                <w:webHidden/>
                <w:sz w:val="24"/>
                <w:szCs w:val="24"/>
              </w:rPr>
              <w:fldChar w:fldCharType="begin"/>
            </w:r>
            <w:r w:rsidR="00A6289C" w:rsidRPr="00A6289C">
              <w:rPr>
                <w:noProof/>
                <w:webHidden/>
                <w:sz w:val="24"/>
                <w:szCs w:val="24"/>
              </w:rPr>
              <w:instrText xml:space="preserve"> PAGEREF _Toc236846120 \h </w:instrText>
            </w:r>
            <w:r w:rsidR="00A6289C" w:rsidRPr="00A6289C">
              <w:rPr>
                <w:noProof/>
                <w:webHidden/>
                <w:sz w:val="24"/>
                <w:szCs w:val="24"/>
              </w:rPr>
            </w:r>
            <w:r w:rsidR="00A6289C" w:rsidRPr="00A6289C">
              <w:rPr>
                <w:noProof/>
                <w:webHidden/>
                <w:sz w:val="24"/>
                <w:szCs w:val="24"/>
              </w:rPr>
              <w:fldChar w:fldCharType="separate"/>
            </w:r>
            <w:r w:rsidR="0042479A">
              <w:rPr>
                <w:noProof/>
                <w:webHidden/>
                <w:sz w:val="24"/>
                <w:szCs w:val="24"/>
              </w:rPr>
              <w:t>4</w:t>
            </w:r>
            <w:r w:rsidR="00A6289C" w:rsidRPr="00A6289C">
              <w:rPr>
                <w:noProof/>
                <w:webHidden/>
                <w:sz w:val="24"/>
                <w:szCs w:val="24"/>
              </w:rPr>
              <w:fldChar w:fldCharType="end"/>
            </w:r>
          </w:hyperlink>
        </w:p>
        <w:p w14:paraId="312F6640" w14:textId="7D46DF98"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21" w:history="1">
            <w:r w:rsidRPr="00A6289C">
              <w:rPr>
                <w:rStyle w:val="Hyperlink"/>
                <w:rFonts w:ascii="Arial" w:hAnsi="Arial" w:cs="Arial"/>
                <w:noProof/>
                <w:sz w:val="24"/>
                <w:szCs w:val="24"/>
              </w:rPr>
              <w:t>1.1 Firm’s financial statements over the past five years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_Toc236846121 \h </w:instrText>
            </w:r>
            <w:r w:rsidRPr="00A6289C">
              <w:rPr>
                <w:noProof/>
                <w:webHidden/>
                <w:sz w:val="24"/>
                <w:szCs w:val="24"/>
              </w:rPr>
            </w:r>
            <w:r w:rsidRPr="00A6289C">
              <w:rPr>
                <w:noProof/>
                <w:webHidden/>
                <w:sz w:val="24"/>
                <w:szCs w:val="24"/>
              </w:rPr>
              <w:fldChar w:fldCharType="separate"/>
            </w:r>
            <w:r w:rsidR="0042479A">
              <w:rPr>
                <w:noProof/>
                <w:webHidden/>
                <w:sz w:val="24"/>
                <w:szCs w:val="24"/>
              </w:rPr>
              <w:t>4</w:t>
            </w:r>
            <w:r w:rsidRPr="00A6289C">
              <w:rPr>
                <w:noProof/>
                <w:webHidden/>
                <w:sz w:val="24"/>
                <w:szCs w:val="24"/>
              </w:rPr>
              <w:fldChar w:fldCharType="end"/>
            </w:r>
          </w:hyperlink>
        </w:p>
        <w:p w14:paraId="027271FB" w14:textId="3F3A4469"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22" w:history="1">
            <w:r w:rsidRPr="00A6289C">
              <w:rPr>
                <w:rStyle w:val="Hyperlink"/>
                <w:rFonts w:ascii="Arial" w:hAnsi="Arial" w:cs="Arial"/>
                <w:noProof/>
                <w:sz w:val="24"/>
                <w:szCs w:val="24"/>
              </w:rPr>
              <w:t>1.2 Ratio analysis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_Toc236846122 \h </w:instrText>
            </w:r>
            <w:r w:rsidRPr="00A6289C">
              <w:rPr>
                <w:noProof/>
                <w:webHidden/>
                <w:sz w:val="24"/>
                <w:szCs w:val="24"/>
              </w:rPr>
            </w:r>
            <w:r w:rsidRPr="00A6289C">
              <w:rPr>
                <w:noProof/>
                <w:webHidden/>
                <w:sz w:val="24"/>
                <w:szCs w:val="24"/>
              </w:rPr>
              <w:fldChar w:fldCharType="separate"/>
            </w:r>
            <w:r w:rsidR="0042479A">
              <w:rPr>
                <w:noProof/>
                <w:webHidden/>
                <w:sz w:val="24"/>
                <w:szCs w:val="24"/>
              </w:rPr>
              <w:t>5</w:t>
            </w:r>
            <w:r w:rsidRPr="00A6289C">
              <w:rPr>
                <w:noProof/>
                <w:webHidden/>
                <w:sz w:val="24"/>
                <w:szCs w:val="24"/>
              </w:rPr>
              <w:fldChar w:fldCharType="end"/>
            </w:r>
          </w:hyperlink>
        </w:p>
        <w:p w14:paraId="7B8B5DA8" w14:textId="4F395F59"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23" w:history="1">
            <w:r w:rsidRPr="00A6289C">
              <w:rPr>
                <w:rStyle w:val="Hyperlink"/>
                <w:rFonts w:ascii="Arial" w:hAnsi="Arial" w:cs="Arial"/>
                <w:noProof/>
                <w:sz w:val="24"/>
                <w:szCs w:val="24"/>
              </w:rPr>
              <w:t>1.3 Trends, strengths, and potential threats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_Toc236846123 \h </w:instrText>
            </w:r>
            <w:r w:rsidRPr="00A6289C">
              <w:rPr>
                <w:noProof/>
                <w:webHidden/>
                <w:sz w:val="24"/>
                <w:szCs w:val="24"/>
              </w:rPr>
            </w:r>
            <w:r w:rsidRPr="00A6289C">
              <w:rPr>
                <w:noProof/>
                <w:webHidden/>
                <w:sz w:val="24"/>
                <w:szCs w:val="24"/>
              </w:rPr>
              <w:fldChar w:fldCharType="separate"/>
            </w:r>
            <w:r w:rsidR="0042479A">
              <w:rPr>
                <w:noProof/>
                <w:webHidden/>
                <w:sz w:val="24"/>
                <w:szCs w:val="24"/>
              </w:rPr>
              <w:t>11</w:t>
            </w:r>
            <w:r w:rsidRPr="00A6289C">
              <w:rPr>
                <w:noProof/>
                <w:webHidden/>
                <w:sz w:val="24"/>
                <w:szCs w:val="24"/>
              </w:rPr>
              <w:fldChar w:fldCharType="end"/>
            </w:r>
          </w:hyperlink>
        </w:p>
        <w:p w14:paraId="2C94EE12" w14:textId="74231762"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24" w:history="1">
            <w:r w:rsidRPr="00A6289C">
              <w:rPr>
                <w:rStyle w:val="Hyperlink"/>
                <w:rFonts w:ascii="Arial" w:hAnsi="Arial" w:cs="Arial"/>
                <w:noProof/>
                <w:sz w:val="24"/>
                <w:szCs w:val="24"/>
              </w:rPr>
              <w:t>1.4 Comparison of liquidity ratios with industry benchmarks, assessing how the firm performs relative to sector standards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_Toc236846124 \h </w:instrText>
            </w:r>
            <w:r w:rsidRPr="00A6289C">
              <w:rPr>
                <w:noProof/>
                <w:webHidden/>
                <w:sz w:val="24"/>
                <w:szCs w:val="24"/>
              </w:rPr>
            </w:r>
            <w:r w:rsidRPr="00A6289C">
              <w:rPr>
                <w:noProof/>
                <w:webHidden/>
                <w:sz w:val="24"/>
                <w:szCs w:val="24"/>
              </w:rPr>
              <w:fldChar w:fldCharType="separate"/>
            </w:r>
            <w:r w:rsidR="0042479A">
              <w:rPr>
                <w:noProof/>
                <w:webHidden/>
                <w:sz w:val="24"/>
                <w:szCs w:val="24"/>
              </w:rPr>
              <w:t>13</w:t>
            </w:r>
            <w:r w:rsidRPr="00A6289C">
              <w:rPr>
                <w:noProof/>
                <w:webHidden/>
                <w:sz w:val="24"/>
                <w:szCs w:val="24"/>
              </w:rPr>
              <w:fldChar w:fldCharType="end"/>
            </w:r>
          </w:hyperlink>
        </w:p>
        <w:p w14:paraId="687DF2A4" w14:textId="0520A019" w:rsidR="00A6289C" w:rsidRPr="00A6289C" w:rsidRDefault="00A6289C" w:rsidP="00A6289C">
          <w:pPr>
            <w:pStyle w:val="TOC1"/>
            <w:tabs>
              <w:tab w:val="right" w:leader="dot" w:pos="9016"/>
            </w:tabs>
            <w:spacing w:line="360" w:lineRule="auto"/>
            <w:jc w:val="both"/>
            <w:rPr>
              <w:rFonts w:eastAsiaTheme="minorEastAsia"/>
              <w:noProof/>
              <w:sz w:val="24"/>
              <w:szCs w:val="24"/>
              <w:lang w:val="en-IN" w:eastAsia="en-IN"/>
            </w:rPr>
          </w:pPr>
          <w:hyperlink w:anchor="_Toc236846125" w:history="1">
            <w:r w:rsidRPr="00A6289C">
              <w:rPr>
                <w:rStyle w:val="Hyperlink"/>
                <w:rFonts w:ascii="Arial" w:hAnsi="Arial" w:cs="Arial"/>
                <w:noProof/>
                <w:sz w:val="24"/>
                <w:szCs w:val="24"/>
              </w:rPr>
              <w:t>2. Working Capital Management Analysis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_Toc236846125 \h </w:instrText>
            </w:r>
            <w:r w:rsidRPr="00A6289C">
              <w:rPr>
                <w:noProof/>
                <w:webHidden/>
                <w:sz w:val="24"/>
                <w:szCs w:val="24"/>
              </w:rPr>
            </w:r>
            <w:r w:rsidRPr="00A6289C">
              <w:rPr>
                <w:noProof/>
                <w:webHidden/>
                <w:sz w:val="24"/>
                <w:szCs w:val="24"/>
              </w:rPr>
              <w:fldChar w:fldCharType="separate"/>
            </w:r>
            <w:r w:rsidR="0042479A">
              <w:rPr>
                <w:noProof/>
                <w:webHidden/>
                <w:sz w:val="24"/>
                <w:szCs w:val="24"/>
              </w:rPr>
              <w:t>14</w:t>
            </w:r>
            <w:r w:rsidRPr="00A6289C">
              <w:rPr>
                <w:noProof/>
                <w:webHidden/>
                <w:sz w:val="24"/>
                <w:szCs w:val="24"/>
              </w:rPr>
              <w:fldChar w:fldCharType="end"/>
            </w:r>
          </w:hyperlink>
        </w:p>
        <w:p w14:paraId="42D27012" w14:textId="304EC1C2"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26" w:history="1">
            <w:r w:rsidRPr="00A6289C">
              <w:rPr>
                <w:rStyle w:val="Hyperlink"/>
                <w:rFonts w:ascii="Arial" w:hAnsi="Arial" w:cs="Arial"/>
                <w:noProof/>
                <w:sz w:val="24"/>
                <w:szCs w:val="24"/>
              </w:rPr>
              <w:t>2.1 Cash operating cycle</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_Toc236846126 \h </w:instrText>
            </w:r>
            <w:r w:rsidRPr="00A6289C">
              <w:rPr>
                <w:noProof/>
                <w:webHidden/>
                <w:sz w:val="24"/>
                <w:szCs w:val="24"/>
              </w:rPr>
            </w:r>
            <w:r w:rsidRPr="00A6289C">
              <w:rPr>
                <w:noProof/>
                <w:webHidden/>
                <w:sz w:val="24"/>
                <w:szCs w:val="24"/>
              </w:rPr>
              <w:fldChar w:fldCharType="separate"/>
            </w:r>
            <w:r w:rsidR="0042479A">
              <w:rPr>
                <w:noProof/>
                <w:webHidden/>
                <w:sz w:val="24"/>
                <w:szCs w:val="24"/>
              </w:rPr>
              <w:t>14</w:t>
            </w:r>
            <w:r w:rsidRPr="00A6289C">
              <w:rPr>
                <w:noProof/>
                <w:webHidden/>
                <w:sz w:val="24"/>
                <w:szCs w:val="24"/>
              </w:rPr>
              <w:fldChar w:fldCharType="end"/>
            </w:r>
          </w:hyperlink>
        </w:p>
        <w:p w14:paraId="1E222AFF" w14:textId="4492F7D3"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27" w:history="1">
            <w:r w:rsidRPr="00A6289C">
              <w:rPr>
                <w:rStyle w:val="Hyperlink"/>
                <w:rFonts w:ascii="Arial" w:hAnsi="Arial" w:cs="Arial"/>
                <w:noProof/>
                <w:sz w:val="24"/>
                <w:szCs w:val="24"/>
              </w:rPr>
              <w:t>2.2 Strategies to improve liquidity through working capital reforms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_Toc236846127 \h </w:instrText>
            </w:r>
            <w:r w:rsidRPr="00A6289C">
              <w:rPr>
                <w:noProof/>
                <w:webHidden/>
                <w:sz w:val="24"/>
                <w:szCs w:val="24"/>
              </w:rPr>
            </w:r>
            <w:r w:rsidRPr="00A6289C">
              <w:rPr>
                <w:noProof/>
                <w:webHidden/>
                <w:sz w:val="24"/>
                <w:szCs w:val="24"/>
              </w:rPr>
              <w:fldChar w:fldCharType="separate"/>
            </w:r>
            <w:r w:rsidR="0042479A">
              <w:rPr>
                <w:noProof/>
                <w:webHidden/>
                <w:sz w:val="24"/>
                <w:szCs w:val="24"/>
              </w:rPr>
              <w:t>15</w:t>
            </w:r>
            <w:r w:rsidRPr="00A6289C">
              <w:rPr>
                <w:noProof/>
                <w:webHidden/>
                <w:sz w:val="24"/>
                <w:szCs w:val="24"/>
              </w:rPr>
              <w:fldChar w:fldCharType="end"/>
            </w:r>
          </w:hyperlink>
        </w:p>
        <w:p w14:paraId="1FD844EA" w14:textId="7537200B"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28" w:history="1">
            <w:r w:rsidRPr="00A6289C">
              <w:rPr>
                <w:rStyle w:val="Hyperlink"/>
                <w:rFonts w:ascii="Arial" w:hAnsi="Arial" w:cs="Arial"/>
                <w:noProof/>
                <w:sz w:val="24"/>
                <w:szCs w:val="24"/>
              </w:rPr>
              <w:t>2.3 Short-term vs long-term financing options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_Toc236846128 \h </w:instrText>
            </w:r>
            <w:r w:rsidRPr="00A6289C">
              <w:rPr>
                <w:noProof/>
                <w:webHidden/>
                <w:sz w:val="24"/>
                <w:szCs w:val="24"/>
              </w:rPr>
            </w:r>
            <w:r w:rsidRPr="00A6289C">
              <w:rPr>
                <w:noProof/>
                <w:webHidden/>
                <w:sz w:val="24"/>
                <w:szCs w:val="24"/>
              </w:rPr>
              <w:fldChar w:fldCharType="separate"/>
            </w:r>
            <w:r w:rsidR="0042479A">
              <w:rPr>
                <w:noProof/>
                <w:webHidden/>
                <w:sz w:val="24"/>
                <w:szCs w:val="24"/>
              </w:rPr>
              <w:t>16</w:t>
            </w:r>
            <w:r w:rsidRPr="00A6289C">
              <w:rPr>
                <w:noProof/>
                <w:webHidden/>
                <w:sz w:val="24"/>
                <w:szCs w:val="24"/>
              </w:rPr>
              <w:fldChar w:fldCharType="end"/>
            </w:r>
          </w:hyperlink>
        </w:p>
        <w:p w14:paraId="46D89B66" w14:textId="17E15E1D" w:rsidR="00A6289C" w:rsidRPr="00A6289C" w:rsidRDefault="00A6289C" w:rsidP="00A6289C">
          <w:pPr>
            <w:pStyle w:val="TOC1"/>
            <w:tabs>
              <w:tab w:val="right" w:leader="dot" w:pos="9016"/>
            </w:tabs>
            <w:spacing w:line="360" w:lineRule="auto"/>
            <w:jc w:val="both"/>
            <w:rPr>
              <w:rFonts w:eastAsiaTheme="minorEastAsia"/>
              <w:noProof/>
              <w:sz w:val="24"/>
              <w:szCs w:val="24"/>
              <w:lang w:val="en-IN" w:eastAsia="en-IN"/>
            </w:rPr>
          </w:pPr>
          <w:hyperlink w:anchor="_Toc236846129" w:history="1">
            <w:r w:rsidRPr="00A6289C">
              <w:rPr>
                <w:rStyle w:val="Hyperlink"/>
                <w:rFonts w:ascii="Arial" w:hAnsi="Arial" w:cs="Arial"/>
                <w:noProof/>
                <w:sz w:val="24"/>
                <w:szCs w:val="24"/>
              </w:rPr>
              <w:t>3. Strategic Financial Restructuring Plan</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_Toc236846129 \h </w:instrText>
            </w:r>
            <w:r w:rsidRPr="00A6289C">
              <w:rPr>
                <w:noProof/>
                <w:webHidden/>
                <w:sz w:val="24"/>
                <w:szCs w:val="24"/>
              </w:rPr>
            </w:r>
            <w:r w:rsidRPr="00A6289C">
              <w:rPr>
                <w:noProof/>
                <w:webHidden/>
                <w:sz w:val="24"/>
                <w:szCs w:val="24"/>
              </w:rPr>
              <w:fldChar w:fldCharType="separate"/>
            </w:r>
            <w:r w:rsidR="0042479A">
              <w:rPr>
                <w:noProof/>
                <w:webHidden/>
                <w:sz w:val="24"/>
                <w:szCs w:val="24"/>
              </w:rPr>
              <w:t>18</w:t>
            </w:r>
            <w:r w:rsidRPr="00A6289C">
              <w:rPr>
                <w:noProof/>
                <w:webHidden/>
                <w:sz w:val="24"/>
                <w:szCs w:val="24"/>
              </w:rPr>
              <w:fldChar w:fldCharType="end"/>
            </w:r>
          </w:hyperlink>
        </w:p>
        <w:p w14:paraId="7ECE8273" w14:textId="0A2AD422"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30" w:history="1">
            <w:r w:rsidRPr="00A6289C">
              <w:rPr>
                <w:rStyle w:val="Hyperlink"/>
                <w:rFonts w:ascii="Arial" w:hAnsi="Arial" w:cs="Arial"/>
                <w:noProof/>
                <w:sz w:val="24"/>
                <w:szCs w:val="24"/>
              </w:rPr>
              <w:t>3.1 Recommend financial restructuring options (e.g., divestiture, merger, equity injection).</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_Toc236846130 \h </w:instrText>
            </w:r>
            <w:r w:rsidRPr="00A6289C">
              <w:rPr>
                <w:noProof/>
                <w:webHidden/>
                <w:sz w:val="24"/>
                <w:szCs w:val="24"/>
              </w:rPr>
            </w:r>
            <w:r w:rsidRPr="00A6289C">
              <w:rPr>
                <w:noProof/>
                <w:webHidden/>
                <w:sz w:val="24"/>
                <w:szCs w:val="24"/>
              </w:rPr>
              <w:fldChar w:fldCharType="separate"/>
            </w:r>
            <w:r w:rsidR="0042479A">
              <w:rPr>
                <w:noProof/>
                <w:webHidden/>
                <w:sz w:val="24"/>
                <w:szCs w:val="24"/>
              </w:rPr>
              <w:t>18</w:t>
            </w:r>
            <w:r w:rsidRPr="00A6289C">
              <w:rPr>
                <w:noProof/>
                <w:webHidden/>
                <w:sz w:val="24"/>
                <w:szCs w:val="24"/>
              </w:rPr>
              <w:fldChar w:fldCharType="end"/>
            </w:r>
          </w:hyperlink>
        </w:p>
        <w:p w14:paraId="536F7348" w14:textId="6702C577"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31" w:history="1">
            <w:r w:rsidRPr="00A6289C">
              <w:rPr>
                <w:rStyle w:val="Hyperlink"/>
                <w:rFonts w:ascii="Arial" w:hAnsi="Arial" w:cs="Arial"/>
                <w:noProof/>
                <w:sz w:val="24"/>
                <w:szCs w:val="24"/>
              </w:rPr>
              <w:t>3.2 Evaluate impact on shareholder value, debt structure, and operational flexibility.</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_Toc236846131 \h </w:instrText>
            </w:r>
            <w:r w:rsidRPr="00A6289C">
              <w:rPr>
                <w:noProof/>
                <w:webHidden/>
                <w:sz w:val="24"/>
                <w:szCs w:val="24"/>
              </w:rPr>
            </w:r>
            <w:r w:rsidRPr="00A6289C">
              <w:rPr>
                <w:noProof/>
                <w:webHidden/>
                <w:sz w:val="24"/>
                <w:szCs w:val="24"/>
              </w:rPr>
              <w:fldChar w:fldCharType="separate"/>
            </w:r>
            <w:r w:rsidR="0042479A">
              <w:rPr>
                <w:noProof/>
                <w:webHidden/>
                <w:sz w:val="24"/>
                <w:szCs w:val="24"/>
              </w:rPr>
              <w:t>18</w:t>
            </w:r>
            <w:r w:rsidRPr="00A6289C">
              <w:rPr>
                <w:noProof/>
                <w:webHidden/>
                <w:sz w:val="24"/>
                <w:szCs w:val="24"/>
              </w:rPr>
              <w:fldChar w:fldCharType="end"/>
            </w:r>
          </w:hyperlink>
        </w:p>
        <w:p w14:paraId="75A67495" w14:textId="0A8415E0"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32" w:history="1">
            <w:r w:rsidRPr="00A6289C">
              <w:rPr>
                <w:rStyle w:val="Hyperlink"/>
                <w:rFonts w:ascii="Arial" w:hAnsi="Arial" w:cs="Arial"/>
                <w:noProof/>
                <w:sz w:val="24"/>
                <w:szCs w:val="24"/>
              </w:rPr>
              <w:t>3.3 Include international and ethical considerations (taxation, currency risk, inflation, CSR or ESG).</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_Toc236846132 \h </w:instrText>
            </w:r>
            <w:r w:rsidRPr="00A6289C">
              <w:rPr>
                <w:noProof/>
                <w:webHidden/>
                <w:sz w:val="24"/>
                <w:szCs w:val="24"/>
              </w:rPr>
            </w:r>
            <w:r w:rsidRPr="00A6289C">
              <w:rPr>
                <w:noProof/>
                <w:webHidden/>
                <w:sz w:val="24"/>
                <w:szCs w:val="24"/>
              </w:rPr>
              <w:fldChar w:fldCharType="separate"/>
            </w:r>
            <w:r w:rsidR="0042479A">
              <w:rPr>
                <w:noProof/>
                <w:webHidden/>
                <w:sz w:val="24"/>
                <w:szCs w:val="24"/>
              </w:rPr>
              <w:t>19</w:t>
            </w:r>
            <w:r w:rsidRPr="00A6289C">
              <w:rPr>
                <w:noProof/>
                <w:webHidden/>
                <w:sz w:val="24"/>
                <w:szCs w:val="24"/>
              </w:rPr>
              <w:fldChar w:fldCharType="end"/>
            </w:r>
          </w:hyperlink>
        </w:p>
        <w:p w14:paraId="0DD379C2" w14:textId="27086E1D" w:rsidR="00A6289C" w:rsidRPr="00A6289C" w:rsidRDefault="00A6289C" w:rsidP="00A6289C">
          <w:pPr>
            <w:pStyle w:val="TOC1"/>
            <w:tabs>
              <w:tab w:val="right" w:leader="dot" w:pos="9016"/>
            </w:tabs>
            <w:spacing w:line="360" w:lineRule="auto"/>
            <w:jc w:val="both"/>
            <w:rPr>
              <w:rFonts w:eastAsiaTheme="minorEastAsia"/>
              <w:noProof/>
              <w:sz w:val="24"/>
              <w:szCs w:val="24"/>
              <w:lang w:val="en-IN" w:eastAsia="en-IN"/>
            </w:rPr>
          </w:pPr>
          <w:hyperlink w:anchor="_Toc236846133" w:history="1">
            <w:r w:rsidRPr="00A6289C">
              <w:rPr>
                <w:rStyle w:val="Hyperlink"/>
                <w:rFonts w:ascii="Arial" w:hAnsi="Arial" w:cs="Arial"/>
                <w:noProof/>
                <w:sz w:val="24"/>
                <w:szCs w:val="24"/>
              </w:rPr>
              <w:t>4. Investment Appraisal and Capital Budgeting</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_Toc236846133 \h </w:instrText>
            </w:r>
            <w:r w:rsidRPr="00A6289C">
              <w:rPr>
                <w:noProof/>
                <w:webHidden/>
                <w:sz w:val="24"/>
                <w:szCs w:val="24"/>
              </w:rPr>
            </w:r>
            <w:r w:rsidRPr="00A6289C">
              <w:rPr>
                <w:noProof/>
                <w:webHidden/>
                <w:sz w:val="24"/>
                <w:szCs w:val="24"/>
              </w:rPr>
              <w:fldChar w:fldCharType="separate"/>
            </w:r>
            <w:r w:rsidR="0042479A">
              <w:rPr>
                <w:noProof/>
                <w:webHidden/>
                <w:sz w:val="24"/>
                <w:szCs w:val="24"/>
              </w:rPr>
              <w:t>21</w:t>
            </w:r>
            <w:r w:rsidRPr="00A6289C">
              <w:rPr>
                <w:noProof/>
                <w:webHidden/>
                <w:sz w:val="24"/>
                <w:szCs w:val="24"/>
              </w:rPr>
              <w:fldChar w:fldCharType="end"/>
            </w:r>
          </w:hyperlink>
        </w:p>
        <w:p w14:paraId="04F2C43F" w14:textId="0485815E"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34" w:history="1">
            <w:r w:rsidRPr="00A6289C">
              <w:rPr>
                <w:rStyle w:val="Hyperlink"/>
                <w:rFonts w:ascii="Arial" w:hAnsi="Arial" w:cs="Arial"/>
                <w:noProof/>
                <w:sz w:val="24"/>
                <w:szCs w:val="24"/>
              </w:rPr>
              <w:t>4.1 Project to be recommended</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_Toc236846134 \h </w:instrText>
            </w:r>
            <w:r w:rsidRPr="00A6289C">
              <w:rPr>
                <w:noProof/>
                <w:webHidden/>
                <w:sz w:val="24"/>
                <w:szCs w:val="24"/>
              </w:rPr>
            </w:r>
            <w:r w:rsidRPr="00A6289C">
              <w:rPr>
                <w:noProof/>
                <w:webHidden/>
                <w:sz w:val="24"/>
                <w:szCs w:val="24"/>
              </w:rPr>
              <w:fldChar w:fldCharType="separate"/>
            </w:r>
            <w:r w:rsidR="0042479A">
              <w:rPr>
                <w:noProof/>
                <w:webHidden/>
                <w:sz w:val="24"/>
                <w:szCs w:val="24"/>
              </w:rPr>
              <w:t>24</w:t>
            </w:r>
            <w:r w:rsidRPr="00A6289C">
              <w:rPr>
                <w:noProof/>
                <w:webHidden/>
                <w:sz w:val="24"/>
                <w:szCs w:val="24"/>
              </w:rPr>
              <w:fldChar w:fldCharType="end"/>
            </w:r>
          </w:hyperlink>
        </w:p>
        <w:p w14:paraId="705F6446" w14:textId="7D45840A"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35" w:history="1">
            <w:r w:rsidRPr="00A6289C">
              <w:rPr>
                <w:rStyle w:val="Hyperlink"/>
                <w:rFonts w:ascii="Arial" w:hAnsi="Arial" w:cs="Arial"/>
                <w:noProof/>
                <w:sz w:val="24"/>
                <w:szCs w:val="24"/>
              </w:rPr>
              <w:t>4.2 Justification of the recommendation with reference to the company’s financial performance (e.g. profitability, liquidity)</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_Toc236846135 \h </w:instrText>
            </w:r>
            <w:r w:rsidRPr="00A6289C">
              <w:rPr>
                <w:noProof/>
                <w:webHidden/>
                <w:sz w:val="24"/>
                <w:szCs w:val="24"/>
              </w:rPr>
            </w:r>
            <w:r w:rsidRPr="00A6289C">
              <w:rPr>
                <w:noProof/>
                <w:webHidden/>
                <w:sz w:val="24"/>
                <w:szCs w:val="24"/>
              </w:rPr>
              <w:fldChar w:fldCharType="separate"/>
            </w:r>
            <w:r w:rsidR="0042479A">
              <w:rPr>
                <w:noProof/>
                <w:webHidden/>
                <w:sz w:val="24"/>
                <w:szCs w:val="24"/>
              </w:rPr>
              <w:t>24</w:t>
            </w:r>
            <w:r w:rsidRPr="00A6289C">
              <w:rPr>
                <w:noProof/>
                <w:webHidden/>
                <w:sz w:val="24"/>
                <w:szCs w:val="24"/>
              </w:rPr>
              <w:fldChar w:fldCharType="end"/>
            </w:r>
          </w:hyperlink>
        </w:p>
        <w:p w14:paraId="1696C4E6" w14:textId="31C39A57"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36" w:history="1">
            <w:r w:rsidRPr="00A6289C">
              <w:rPr>
                <w:rStyle w:val="Hyperlink"/>
                <w:rFonts w:ascii="Arial" w:hAnsi="Arial" w:cs="Arial"/>
                <w:noProof/>
                <w:sz w:val="24"/>
                <w:szCs w:val="24"/>
              </w:rPr>
              <w:t>4.3 Justification of the recommendation with reference to the non-financial risks (e.g. political risk, customer loyalty)</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_Toc236846136 \h </w:instrText>
            </w:r>
            <w:r w:rsidRPr="00A6289C">
              <w:rPr>
                <w:noProof/>
                <w:webHidden/>
                <w:sz w:val="24"/>
                <w:szCs w:val="24"/>
              </w:rPr>
            </w:r>
            <w:r w:rsidRPr="00A6289C">
              <w:rPr>
                <w:noProof/>
                <w:webHidden/>
                <w:sz w:val="24"/>
                <w:szCs w:val="24"/>
              </w:rPr>
              <w:fldChar w:fldCharType="separate"/>
            </w:r>
            <w:r w:rsidR="0042479A">
              <w:rPr>
                <w:noProof/>
                <w:webHidden/>
                <w:sz w:val="24"/>
                <w:szCs w:val="24"/>
              </w:rPr>
              <w:t>25</w:t>
            </w:r>
            <w:r w:rsidRPr="00A6289C">
              <w:rPr>
                <w:noProof/>
                <w:webHidden/>
                <w:sz w:val="24"/>
                <w:szCs w:val="24"/>
              </w:rPr>
              <w:fldChar w:fldCharType="end"/>
            </w:r>
          </w:hyperlink>
        </w:p>
        <w:p w14:paraId="310C5B96" w14:textId="3E9ED32D"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37" w:history="1">
            <w:r w:rsidRPr="00A6289C">
              <w:rPr>
                <w:rStyle w:val="Hyperlink"/>
                <w:rFonts w:ascii="Arial" w:hAnsi="Arial" w:cs="Arial"/>
                <w:noProof/>
                <w:sz w:val="24"/>
                <w:szCs w:val="24"/>
              </w:rPr>
              <w:t>4.4 Combination of projects is the best on using capital rationing</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_Toc236846137 \h </w:instrText>
            </w:r>
            <w:r w:rsidRPr="00A6289C">
              <w:rPr>
                <w:noProof/>
                <w:webHidden/>
                <w:sz w:val="24"/>
                <w:szCs w:val="24"/>
              </w:rPr>
            </w:r>
            <w:r w:rsidRPr="00A6289C">
              <w:rPr>
                <w:noProof/>
                <w:webHidden/>
                <w:sz w:val="24"/>
                <w:szCs w:val="24"/>
              </w:rPr>
              <w:fldChar w:fldCharType="separate"/>
            </w:r>
            <w:r w:rsidR="0042479A">
              <w:rPr>
                <w:noProof/>
                <w:webHidden/>
                <w:sz w:val="24"/>
                <w:szCs w:val="24"/>
              </w:rPr>
              <w:t>26</w:t>
            </w:r>
            <w:r w:rsidRPr="00A6289C">
              <w:rPr>
                <w:noProof/>
                <w:webHidden/>
                <w:sz w:val="24"/>
                <w:szCs w:val="24"/>
              </w:rPr>
              <w:fldChar w:fldCharType="end"/>
            </w:r>
          </w:hyperlink>
        </w:p>
        <w:p w14:paraId="42224D87" w14:textId="2419B525" w:rsidR="00A6289C" w:rsidRPr="00A6289C" w:rsidRDefault="00A6289C" w:rsidP="00A6289C">
          <w:pPr>
            <w:pStyle w:val="TOC1"/>
            <w:tabs>
              <w:tab w:val="right" w:leader="dot" w:pos="9016"/>
            </w:tabs>
            <w:spacing w:line="360" w:lineRule="auto"/>
            <w:jc w:val="both"/>
            <w:rPr>
              <w:rFonts w:eastAsiaTheme="minorEastAsia"/>
              <w:noProof/>
              <w:sz w:val="24"/>
              <w:szCs w:val="24"/>
              <w:lang w:val="en-IN" w:eastAsia="en-IN"/>
            </w:rPr>
          </w:pPr>
          <w:hyperlink w:anchor="_Toc236846138" w:history="1">
            <w:r w:rsidRPr="00A6289C">
              <w:rPr>
                <w:rStyle w:val="Hyperlink"/>
                <w:rFonts w:ascii="Arial" w:hAnsi="Arial" w:cs="Arial"/>
                <w:noProof/>
                <w:sz w:val="24"/>
                <w:szCs w:val="24"/>
              </w:rPr>
              <w:t>5. Critical Reflection on AI Usage</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_Toc236846138 \h </w:instrText>
            </w:r>
            <w:r w:rsidRPr="00A6289C">
              <w:rPr>
                <w:noProof/>
                <w:webHidden/>
                <w:sz w:val="24"/>
                <w:szCs w:val="24"/>
              </w:rPr>
            </w:r>
            <w:r w:rsidRPr="00A6289C">
              <w:rPr>
                <w:noProof/>
                <w:webHidden/>
                <w:sz w:val="24"/>
                <w:szCs w:val="24"/>
              </w:rPr>
              <w:fldChar w:fldCharType="separate"/>
            </w:r>
            <w:r w:rsidR="0042479A">
              <w:rPr>
                <w:noProof/>
                <w:webHidden/>
                <w:sz w:val="24"/>
                <w:szCs w:val="24"/>
              </w:rPr>
              <w:t>28</w:t>
            </w:r>
            <w:r w:rsidRPr="00A6289C">
              <w:rPr>
                <w:noProof/>
                <w:webHidden/>
                <w:sz w:val="24"/>
                <w:szCs w:val="24"/>
              </w:rPr>
              <w:fldChar w:fldCharType="end"/>
            </w:r>
          </w:hyperlink>
        </w:p>
        <w:p w14:paraId="39050B2F" w14:textId="745DCB1D"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39" w:history="1">
            <w:r w:rsidRPr="00A6289C">
              <w:rPr>
                <w:rStyle w:val="Hyperlink"/>
                <w:rFonts w:ascii="Arial" w:hAnsi="Arial" w:cs="Arial"/>
                <w:noProof/>
                <w:sz w:val="24"/>
                <w:szCs w:val="24"/>
              </w:rPr>
              <w:t>5.1 Tool Disclosure</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_Toc236846139 \h </w:instrText>
            </w:r>
            <w:r w:rsidRPr="00A6289C">
              <w:rPr>
                <w:noProof/>
                <w:webHidden/>
                <w:sz w:val="24"/>
                <w:szCs w:val="24"/>
              </w:rPr>
            </w:r>
            <w:r w:rsidRPr="00A6289C">
              <w:rPr>
                <w:noProof/>
                <w:webHidden/>
                <w:sz w:val="24"/>
                <w:szCs w:val="24"/>
              </w:rPr>
              <w:fldChar w:fldCharType="separate"/>
            </w:r>
            <w:r w:rsidR="0042479A">
              <w:rPr>
                <w:noProof/>
                <w:webHidden/>
                <w:sz w:val="24"/>
                <w:szCs w:val="24"/>
              </w:rPr>
              <w:t>28</w:t>
            </w:r>
            <w:r w:rsidRPr="00A6289C">
              <w:rPr>
                <w:noProof/>
                <w:webHidden/>
                <w:sz w:val="24"/>
                <w:szCs w:val="24"/>
              </w:rPr>
              <w:fldChar w:fldCharType="end"/>
            </w:r>
          </w:hyperlink>
        </w:p>
        <w:p w14:paraId="118AED6F" w14:textId="25BCCF81"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40" w:history="1">
            <w:r w:rsidRPr="00A6289C">
              <w:rPr>
                <w:rStyle w:val="Hyperlink"/>
                <w:rFonts w:ascii="Arial" w:hAnsi="Arial" w:cs="Arial"/>
                <w:noProof/>
                <w:sz w:val="24"/>
                <w:szCs w:val="24"/>
              </w:rPr>
              <w:t>5.2 Critical Evaluation of AI Output</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_Toc236846140 \h </w:instrText>
            </w:r>
            <w:r w:rsidRPr="00A6289C">
              <w:rPr>
                <w:noProof/>
                <w:webHidden/>
                <w:sz w:val="24"/>
                <w:szCs w:val="24"/>
              </w:rPr>
            </w:r>
            <w:r w:rsidRPr="00A6289C">
              <w:rPr>
                <w:noProof/>
                <w:webHidden/>
                <w:sz w:val="24"/>
                <w:szCs w:val="24"/>
              </w:rPr>
              <w:fldChar w:fldCharType="separate"/>
            </w:r>
            <w:r w:rsidR="0042479A">
              <w:rPr>
                <w:noProof/>
                <w:webHidden/>
                <w:sz w:val="24"/>
                <w:szCs w:val="24"/>
              </w:rPr>
              <w:t>28</w:t>
            </w:r>
            <w:r w:rsidRPr="00A6289C">
              <w:rPr>
                <w:noProof/>
                <w:webHidden/>
                <w:sz w:val="24"/>
                <w:szCs w:val="24"/>
              </w:rPr>
              <w:fldChar w:fldCharType="end"/>
            </w:r>
          </w:hyperlink>
        </w:p>
        <w:p w14:paraId="19C36942" w14:textId="08594CE9"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41" w:history="1">
            <w:r w:rsidRPr="00A6289C">
              <w:rPr>
                <w:rStyle w:val="Hyperlink"/>
                <w:rFonts w:ascii="Arial" w:hAnsi="Arial" w:cs="Arial"/>
                <w:noProof/>
                <w:sz w:val="24"/>
                <w:szCs w:val="24"/>
              </w:rPr>
              <w:t>5.3 Contribution Analysis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_Toc236846141 \h </w:instrText>
            </w:r>
            <w:r w:rsidRPr="00A6289C">
              <w:rPr>
                <w:noProof/>
                <w:webHidden/>
                <w:sz w:val="24"/>
                <w:szCs w:val="24"/>
              </w:rPr>
            </w:r>
            <w:r w:rsidRPr="00A6289C">
              <w:rPr>
                <w:noProof/>
                <w:webHidden/>
                <w:sz w:val="24"/>
                <w:szCs w:val="24"/>
              </w:rPr>
              <w:fldChar w:fldCharType="separate"/>
            </w:r>
            <w:r w:rsidR="0042479A">
              <w:rPr>
                <w:noProof/>
                <w:webHidden/>
                <w:sz w:val="24"/>
                <w:szCs w:val="24"/>
              </w:rPr>
              <w:t>29</w:t>
            </w:r>
            <w:r w:rsidRPr="00A6289C">
              <w:rPr>
                <w:noProof/>
                <w:webHidden/>
                <w:sz w:val="24"/>
                <w:szCs w:val="24"/>
              </w:rPr>
              <w:fldChar w:fldCharType="end"/>
            </w:r>
          </w:hyperlink>
        </w:p>
        <w:p w14:paraId="78A9C9B6" w14:textId="7338EB4F"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42" w:history="1">
            <w:r w:rsidRPr="00A6289C">
              <w:rPr>
                <w:rStyle w:val="Hyperlink"/>
                <w:rFonts w:ascii="Arial" w:hAnsi="Arial" w:cs="Arial"/>
                <w:noProof/>
                <w:sz w:val="24"/>
                <w:szCs w:val="24"/>
              </w:rPr>
              <w:t>5.4 Ethical &amp; Professional Reflection</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_Toc236846142 \h </w:instrText>
            </w:r>
            <w:r w:rsidRPr="00A6289C">
              <w:rPr>
                <w:noProof/>
                <w:webHidden/>
                <w:sz w:val="24"/>
                <w:szCs w:val="24"/>
              </w:rPr>
            </w:r>
            <w:r w:rsidRPr="00A6289C">
              <w:rPr>
                <w:noProof/>
                <w:webHidden/>
                <w:sz w:val="24"/>
                <w:szCs w:val="24"/>
              </w:rPr>
              <w:fldChar w:fldCharType="separate"/>
            </w:r>
            <w:r w:rsidR="0042479A">
              <w:rPr>
                <w:noProof/>
                <w:webHidden/>
                <w:sz w:val="24"/>
                <w:szCs w:val="24"/>
              </w:rPr>
              <w:t>29</w:t>
            </w:r>
            <w:r w:rsidRPr="00A6289C">
              <w:rPr>
                <w:noProof/>
                <w:webHidden/>
                <w:sz w:val="24"/>
                <w:szCs w:val="24"/>
              </w:rPr>
              <w:fldChar w:fldCharType="end"/>
            </w:r>
          </w:hyperlink>
        </w:p>
        <w:p w14:paraId="24AC48EC" w14:textId="562DF3CF" w:rsidR="00A6289C" w:rsidRPr="00A6289C" w:rsidRDefault="00A6289C" w:rsidP="00A6289C">
          <w:pPr>
            <w:pStyle w:val="TOC1"/>
            <w:tabs>
              <w:tab w:val="right" w:leader="dot" w:pos="9016"/>
            </w:tabs>
            <w:spacing w:line="360" w:lineRule="auto"/>
            <w:jc w:val="both"/>
            <w:rPr>
              <w:rFonts w:eastAsiaTheme="minorEastAsia"/>
              <w:noProof/>
              <w:sz w:val="24"/>
              <w:szCs w:val="24"/>
              <w:lang w:val="en-IN" w:eastAsia="en-IN"/>
            </w:rPr>
          </w:pPr>
          <w:hyperlink w:anchor="_Toc236846143" w:history="1">
            <w:r w:rsidRPr="00A6289C">
              <w:rPr>
                <w:rStyle w:val="Hyperlink"/>
                <w:rFonts w:ascii="Arial" w:hAnsi="Arial" w:cs="Arial"/>
                <w:noProof/>
                <w:sz w:val="24"/>
                <w:szCs w:val="24"/>
              </w:rPr>
              <w:t>References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_Toc236846143 \h </w:instrText>
            </w:r>
            <w:r w:rsidRPr="00A6289C">
              <w:rPr>
                <w:noProof/>
                <w:webHidden/>
                <w:sz w:val="24"/>
                <w:szCs w:val="24"/>
              </w:rPr>
            </w:r>
            <w:r w:rsidRPr="00A6289C">
              <w:rPr>
                <w:noProof/>
                <w:webHidden/>
                <w:sz w:val="24"/>
                <w:szCs w:val="24"/>
              </w:rPr>
              <w:fldChar w:fldCharType="separate"/>
            </w:r>
            <w:r w:rsidR="0042479A">
              <w:rPr>
                <w:noProof/>
                <w:webHidden/>
                <w:sz w:val="24"/>
                <w:szCs w:val="24"/>
              </w:rPr>
              <w:t>31</w:t>
            </w:r>
            <w:r w:rsidRPr="00A6289C">
              <w:rPr>
                <w:noProof/>
                <w:webHidden/>
                <w:sz w:val="24"/>
                <w:szCs w:val="24"/>
              </w:rPr>
              <w:fldChar w:fldCharType="end"/>
            </w:r>
          </w:hyperlink>
        </w:p>
        <w:p w14:paraId="00765EAE" w14:textId="7715A6EF" w:rsidR="00A6289C" w:rsidRPr="00A6289C" w:rsidRDefault="00A6289C" w:rsidP="00A6289C">
          <w:pPr>
            <w:pStyle w:val="TOC1"/>
            <w:tabs>
              <w:tab w:val="right" w:leader="dot" w:pos="9016"/>
            </w:tabs>
            <w:spacing w:line="360" w:lineRule="auto"/>
            <w:jc w:val="both"/>
            <w:rPr>
              <w:rFonts w:eastAsiaTheme="minorEastAsia"/>
              <w:noProof/>
              <w:sz w:val="24"/>
              <w:szCs w:val="24"/>
              <w:lang w:val="en-IN" w:eastAsia="en-IN"/>
            </w:rPr>
          </w:pPr>
          <w:hyperlink w:anchor="_Toc236846144" w:history="1">
            <w:r w:rsidRPr="00A6289C">
              <w:rPr>
                <w:rStyle w:val="Hyperlink"/>
                <w:rFonts w:ascii="Arial" w:hAnsi="Arial" w:cs="Arial"/>
                <w:noProof/>
                <w:sz w:val="24"/>
                <w:szCs w:val="24"/>
              </w:rPr>
              <w:t>Appendices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_Toc236846144 \h </w:instrText>
            </w:r>
            <w:r w:rsidRPr="00A6289C">
              <w:rPr>
                <w:noProof/>
                <w:webHidden/>
                <w:sz w:val="24"/>
                <w:szCs w:val="24"/>
              </w:rPr>
            </w:r>
            <w:r w:rsidRPr="00A6289C">
              <w:rPr>
                <w:noProof/>
                <w:webHidden/>
                <w:sz w:val="24"/>
                <w:szCs w:val="24"/>
              </w:rPr>
              <w:fldChar w:fldCharType="separate"/>
            </w:r>
            <w:r w:rsidR="0042479A">
              <w:rPr>
                <w:noProof/>
                <w:webHidden/>
                <w:sz w:val="24"/>
                <w:szCs w:val="24"/>
              </w:rPr>
              <w:t>34</w:t>
            </w:r>
            <w:r w:rsidRPr="00A6289C">
              <w:rPr>
                <w:noProof/>
                <w:webHidden/>
                <w:sz w:val="24"/>
                <w:szCs w:val="24"/>
              </w:rPr>
              <w:fldChar w:fldCharType="end"/>
            </w:r>
          </w:hyperlink>
        </w:p>
        <w:p w14:paraId="581ADDA0" w14:textId="5D2C4A78"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45" w:history="1">
            <w:r w:rsidRPr="00A6289C">
              <w:rPr>
                <w:rStyle w:val="Hyperlink"/>
                <w:rFonts w:ascii="Arial" w:hAnsi="Arial" w:cs="Arial"/>
                <w:noProof/>
                <w:sz w:val="24"/>
                <w:szCs w:val="24"/>
              </w:rPr>
              <w:t>a. Ratio tables and graphs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_Toc236846145 \h </w:instrText>
            </w:r>
            <w:r w:rsidRPr="00A6289C">
              <w:rPr>
                <w:noProof/>
                <w:webHidden/>
                <w:sz w:val="24"/>
                <w:szCs w:val="24"/>
              </w:rPr>
            </w:r>
            <w:r w:rsidRPr="00A6289C">
              <w:rPr>
                <w:noProof/>
                <w:webHidden/>
                <w:sz w:val="24"/>
                <w:szCs w:val="24"/>
              </w:rPr>
              <w:fldChar w:fldCharType="separate"/>
            </w:r>
            <w:r w:rsidR="0042479A">
              <w:rPr>
                <w:noProof/>
                <w:webHidden/>
                <w:sz w:val="24"/>
                <w:szCs w:val="24"/>
              </w:rPr>
              <w:t>34</w:t>
            </w:r>
            <w:r w:rsidRPr="00A6289C">
              <w:rPr>
                <w:noProof/>
                <w:webHidden/>
                <w:sz w:val="24"/>
                <w:szCs w:val="24"/>
              </w:rPr>
              <w:fldChar w:fldCharType="end"/>
            </w:r>
          </w:hyperlink>
        </w:p>
        <w:p w14:paraId="19B5279C" w14:textId="6F18135D"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46" w:history="1">
            <w:r w:rsidRPr="00A6289C">
              <w:rPr>
                <w:rStyle w:val="Hyperlink"/>
                <w:rFonts w:ascii="Arial" w:hAnsi="Arial" w:cs="Arial"/>
                <w:noProof/>
                <w:sz w:val="24"/>
                <w:szCs w:val="24"/>
              </w:rPr>
              <w:t>b. Investment appraisal calculations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_Toc236846146 \h </w:instrText>
            </w:r>
            <w:r w:rsidRPr="00A6289C">
              <w:rPr>
                <w:noProof/>
                <w:webHidden/>
                <w:sz w:val="24"/>
                <w:szCs w:val="24"/>
              </w:rPr>
            </w:r>
            <w:r w:rsidRPr="00A6289C">
              <w:rPr>
                <w:noProof/>
                <w:webHidden/>
                <w:sz w:val="24"/>
                <w:szCs w:val="24"/>
              </w:rPr>
              <w:fldChar w:fldCharType="separate"/>
            </w:r>
            <w:r w:rsidR="0042479A">
              <w:rPr>
                <w:noProof/>
                <w:webHidden/>
                <w:sz w:val="24"/>
                <w:szCs w:val="24"/>
              </w:rPr>
              <w:t>39</w:t>
            </w:r>
            <w:r w:rsidRPr="00A6289C">
              <w:rPr>
                <w:noProof/>
                <w:webHidden/>
                <w:sz w:val="24"/>
                <w:szCs w:val="24"/>
              </w:rPr>
              <w:fldChar w:fldCharType="end"/>
            </w:r>
          </w:hyperlink>
        </w:p>
        <w:p w14:paraId="55BD3A80" w14:textId="03D1B14B" w:rsidR="00A6289C" w:rsidRPr="00A6289C" w:rsidRDefault="00A6289C" w:rsidP="00A6289C">
          <w:pPr>
            <w:pStyle w:val="TOC2"/>
            <w:tabs>
              <w:tab w:val="right" w:leader="dot" w:pos="9016"/>
            </w:tabs>
            <w:spacing w:line="360" w:lineRule="auto"/>
            <w:jc w:val="both"/>
            <w:rPr>
              <w:rFonts w:eastAsiaTheme="minorEastAsia"/>
              <w:noProof/>
              <w:sz w:val="24"/>
              <w:szCs w:val="24"/>
              <w:lang w:val="en-IN" w:eastAsia="en-IN"/>
            </w:rPr>
          </w:pPr>
          <w:hyperlink w:anchor="_Toc236846147" w:history="1">
            <w:r w:rsidRPr="00A6289C">
              <w:rPr>
                <w:rStyle w:val="Hyperlink"/>
                <w:rFonts w:ascii="Arial" w:hAnsi="Arial" w:cs="Arial"/>
                <w:noProof/>
                <w:sz w:val="24"/>
                <w:szCs w:val="24"/>
              </w:rPr>
              <w:t>c. Annual Reports</w:t>
            </w:r>
            <w:r w:rsidRPr="00A6289C">
              <w:rPr>
                <w:noProof/>
                <w:webHidden/>
                <w:sz w:val="24"/>
                <w:szCs w:val="24"/>
              </w:rPr>
              <w:tab/>
            </w:r>
            <w:r w:rsidRPr="00A6289C">
              <w:rPr>
                <w:noProof/>
                <w:webHidden/>
                <w:sz w:val="24"/>
                <w:szCs w:val="24"/>
              </w:rPr>
              <w:fldChar w:fldCharType="begin"/>
            </w:r>
            <w:r w:rsidRPr="00A6289C">
              <w:rPr>
                <w:noProof/>
                <w:webHidden/>
                <w:sz w:val="24"/>
                <w:szCs w:val="24"/>
              </w:rPr>
              <w:instrText xml:space="preserve"> PAGEREF _Toc236846147 \h </w:instrText>
            </w:r>
            <w:r w:rsidRPr="00A6289C">
              <w:rPr>
                <w:noProof/>
                <w:webHidden/>
                <w:sz w:val="24"/>
                <w:szCs w:val="24"/>
              </w:rPr>
            </w:r>
            <w:r w:rsidRPr="00A6289C">
              <w:rPr>
                <w:noProof/>
                <w:webHidden/>
                <w:sz w:val="24"/>
                <w:szCs w:val="24"/>
              </w:rPr>
              <w:fldChar w:fldCharType="separate"/>
            </w:r>
            <w:r w:rsidR="0042479A">
              <w:rPr>
                <w:noProof/>
                <w:webHidden/>
                <w:sz w:val="24"/>
                <w:szCs w:val="24"/>
              </w:rPr>
              <w:t>41</w:t>
            </w:r>
            <w:r w:rsidRPr="00A6289C">
              <w:rPr>
                <w:noProof/>
                <w:webHidden/>
                <w:sz w:val="24"/>
                <w:szCs w:val="24"/>
              </w:rPr>
              <w:fldChar w:fldCharType="end"/>
            </w:r>
          </w:hyperlink>
        </w:p>
        <w:p w14:paraId="577A2E7E" w14:textId="77777777" w:rsidR="000F3C7B" w:rsidRPr="00997841" w:rsidRDefault="000F3C7B" w:rsidP="00A6289C">
          <w:pPr>
            <w:spacing w:line="360" w:lineRule="auto"/>
            <w:jc w:val="both"/>
          </w:pPr>
          <w:r w:rsidRPr="00A6289C">
            <w:rPr>
              <w:rFonts w:ascii="Arial" w:hAnsi="Arial" w:cs="Arial"/>
              <w:bCs/>
              <w:noProof/>
              <w:sz w:val="24"/>
              <w:szCs w:val="24"/>
            </w:rPr>
            <w:fldChar w:fldCharType="end"/>
          </w:r>
        </w:p>
      </w:sdtContent>
    </w:sdt>
    <w:p w14:paraId="05568A7E" w14:textId="77777777" w:rsidR="000F3C7B" w:rsidRPr="00997841" w:rsidRDefault="000F3C7B">
      <w:pPr>
        <w:rPr>
          <w:rFonts w:ascii="Arial" w:eastAsiaTheme="majorEastAsia" w:hAnsi="Arial" w:cs="Arial"/>
          <w:b/>
          <w:sz w:val="24"/>
          <w:szCs w:val="24"/>
        </w:rPr>
      </w:pPr>
      <w:r w:rsidRPr="00997841">
        <w:rPr>
          <w:rFonts w:ascii="Arial" w:hAnsi="Arial" w:cs="Arial"/>
          <w:b/>
          <w:sz w:val="24"/>
          <w:szCs w:val="24"/>
        </w:rPr>
        <w:br w:type="page"/>
      </w:r>
    </w:p>
    <w:p w14:paraId="640BBAC5" w14:textId="77777777" w:rsidR="00E1716F" w:rsidRPr="00997841" w:rsidRDefault="000D50CB" w:rsidP="00BC7E61">
      <w:pPr>
        <w:pStyle w:val="Heading1"/>
        <w:spacing w:line="360" w:lineRule="auto"/>
        <w:jc w:val="both"/>
        <w:rPr>
          <w:rFonts w:ascii="Arial" w:hAnsi="Arial" w:cs="Arial"/>
          <w:b/>
          <w:color w:val="auto"/>
          <w:sz w:val="24"/>
          <w:szCs w:val="24"/>
        </w:rPr>
      </w:pPr>
      <w:bookmarkStart w:id="0" w:name="_Toc236846120"/>
      <w:r w:rsidRPr="00997841">
        <w:rPr>
          <w:rFonts w:ascii="Arial" w:hAnsi="Arial" w:cs="Arial"/>
          <w:b/>
          <w:color w:val="auto"/>
          <w:sz w:val="24"/>
          <w:szCs w:val="24"/>
        </w:rPr>
        <w:lastRenderedPageBreak/>
        <w:t>1. Financial Health Check</w:t>
      </w:r>
      <w:bookmarkEnd w:id="0"/>
      <w:r w:rsidRPr="00997841">
        <w:rPr>
          <w:rFonts w:ascii="Arial" w:hAnsi="Arial" w:cs="Arial"/>
          <w:b/>
          <w:color w:val="auto"/>
          <w:sz w:val="24"/>
          <w:szCs w:val="24"/>
        </w:rPr>
        <w:t xml:space="preserve"> </w:t>
      </w:r>
    </w:p>
    <w:p w14:paraId="3108FDD8" w14:textId="77777777" w:rsidR="000D50CB" w:rsidRPr="00997841" w:rsidRDefault="003E64B4" w:rsidP="00BC7E61">
      <w:pPr>
        <w:pStyle w:val="Heading2"/>
        <w:spacing w:line="360" w:lineRule="auto"/>
        <w:jc w:val="both"/>
        <w:rPr>
          <w:rFonts w:ascii="Arial" w:hAnsi="Arial" w:cs="Arial"/>
          <w:b/>
          <w:color w:val="auto"/>
          <w:sz w:val="24"/>
          <w:szCs w:val="24"/>
        </w:rPr>
      </w:pPr>
      <w:bookmarkStart w:id="1" w:name="_Toc236846121"/>
      <w:r>
        <w:rPr>
          <w:rFonts w:ascii="Arial" w:hAnsi="Arial" w:cs="Arial"/>
          <w:b/>
          <w:color w:val="auto"/>
          <w:sz w:val="24"/>
          <w:szCs w:val="24"/>
        </w:rPr>
        <w:t xml:space="preserve">1.1 </w:t>
      </w:r>
      <w:r w:rsidR="000D50CB" w:rsidRPr="00997841">
        <w:rPr>
          <w:rFonts w:ascii="Arial" w:hAnsi="Arial" w:cs="Arial"/>
          <w:b/>
          <w:color w:val="auto"/>
          <w:sz w:val="24"/>
          <w:szCs w:val="24"/>
        </w:rPr>
        <w:t>Firm’s financial statements over the past five years</w:t>
      </w:r>
      <w:bookmarkEnd w:id="1"/>
    </w:p>
    <w:p w14:paraId="40FF1EFC" w14:textId="77777777" w:rsidR="00FB6A4F" w:rsidRDefault="00FB6A4F" w:rsidP="00665912">
      <w:pPr>
        <w:spacing w:line="360" w:lineRule="auto"/>
        <w:jc w:val="center"/>
        <w:rPr>
          <w:rFonts w:ascii="Arial" w:hAnsi="Arial" w:cs="Arial"/>
          <w:b/>
          <w:sz w:val="24"/>
          <w:szCs w:val="24"/>
        </w:rPr>
      </w:pPr>
      <w:r w:rsidRPr="00FB6A4F">
        <w:rPr>
          <w:rFonts w:ascii="Arial" w:hAnsi="Arial" w:cs="Arial"/>
          <w:b/>
          <w:noProof/>
          <w:sz w:val="24"/>
          <w:szCs w:val="24"/>
          <w:lang w:val="en-IN" w:eastAsia="en-IN"/>
        </w:rPr>
        <w:drawing>
          <wp:inline distT="0" distB="0" distL="0" distR="0" wp14:anchorId="7C8DCDD0" wp14:editId="71244E6D">
            <wp:extent cx="5731510" cy="216471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164715"/>
                    </a:xfrm>
                    <a:prstGeom prst="rect">
                      <a:avLst/>
                    </a:prstGeom>
                  </pic:spPr>
                </pic:pic>
              </a:graphicData>
            </a:graphic>
          </wp:inline>
        </w:drawing>
      </w:r>
    </w:p>
    <w:p w14:paraId="16548962" w14:textId="77777777" w:rsidR="003A5AFF" w:rsidRPr="00997841" w:rsidRDefault="00665912" w:rsidP="00665912">
      <w:pPr>
        <w:spacing w:line="360" w:lineRule="auto"/>
        <w:jc w:val="center"/>
        <w:rPr>
          <w:rFonts w:ascii="Arial" w:hAnsi="Arial" w:cs="Arial"/>
          <w:b/>
          <w:sz w:val="24"/>
          <w:szCs w:val="24"/>
        </w:rPr>
      </w:pPr>
      <w:r w:rsidRPr="00997841">
        <w:rPr>
          <w:rFonts w:ascii="Arial" w:hAnsi="Arial" w:cs="Arial"/>
          <w:b/>
          <w:sz w:val="24"/>
          <w:szCs w:val="24"/>
        </w:rPr>
        <w:t>Table 1: Financial Statement</w:t>
      </w:r>
    </w:p>
    <w:p w14:paraId="4427344A" w14:textId="77777777" w:rsidR="001112B1" w:rsidRPr="00997841" w:rsidRDefault="001112B1" w:rsidP="00665912">
      <w:pPr>
        <w:spacing w:line="360" w:lineRule="auto"/>
        <w:jc w:val="center"/>
        <w:rPr>
          <w:rFonts w:ascii="Arial" w:hAnsi="Arial" w:cs="Arial"/>
          <w:b/>
          <w:sz w:val="24"/>
          <w:szCs w:val="24"/>
        </w:rPr>
      </w:pPr>
      <w:r w:rsidRPr="00997841">
        <w:rPr>
          <w:noProof/>
          <w:lang w:val="en-IN" w:eastAsia="en-IN"/>
        </w:rPr>
        <w:drawing>
          <wp:inline distT="0" distB="0" distL="0" distR="0" wp14:anchorId="70241FD5" wp14:editId="34E622E5">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F0DE3DC" w14:textId="77777777" w:rsidR="001112B1" w:rsidRPr="00997841" w:rsidRDefault="001112B1" w:rsidP="00665912">
      <w:pPr>
        <w:spacing w:line="360" w:lineRule="auto"/>
        <w:jc w:val="center"/>
        <w:rPr>
          <w:rFonts w:ascii="Arial" w:hAnsi="Arial" w:cs="Arial"/>
          <w:b/>
          <w:sz w:val="24"/>
          <w:szCs w:val="24"/>
        </w:rPr>
      </w:pPr>
      <w:r w:rsidRPr="00997841">
        <w:rPr>
          <w:rFonts w:ascii="Arial" w:hAnsi="Arial" w:cs="Arial"/>
          <w:b/>
          <w:sz w:val="24"/>
          <w:szCs w:val="24"/>
        </w:rPr>
        <w:t>Graph 1: Financial Statement</w:t>
      </w:r>
    </w:p>
    <w:p w14:paraId="42EB34C1" w14:textId="77777777" w:rsidR="001112B1" w:rsidRPr="00997841" w:rsidRDefault="001112B1" w:rsidP="00665912">
      <w:pPr>
        <w:spacing w:line="360" w:lineRule="auto"/>
        <w:jc w:val="center"/>
        <w:rPr>
          <w:rFonts w:ascii="Arial" w:hAnsi="Arial" w:cs="Arial"/>
          <w:b/>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5453B50A" w14:textId="77777777" w:rsidR="0004573B" w:rsidRPr="00997841" w:rsidRDefault="0004573B" w:rsidP="00BC7E61">
      <w:pPr>
        <w:spacing w:line="360" w:lineRule="auto"/>
        <w:jc w:val="both"/>
        <w:rPr>
          <w:rFonts w:ascii="Arial" w:hAnsi="Arial" w:cs="Arial"/>
          <w:sz w:val="24"/>
          <w:szCs w:val="24"/>
        </w:rPr>
      </w:pPr>
      <w:r w:rsidRPr="00997841">
        <w:rPr>
          <w:rFonts w:ascii="Arial" w:hAnsi="Arial" w:cs="Arial"/>
          <w:sz w:val="24"/>
          <w:szCs w:val="24"/>
        </w:rPr>
        <w:t>Marriott International's financial results have steadily strengthened from 2021 to 2025. Travel demand was higher, with revenue rising from US$13,857 million to US$27,456 million, and net profit rising from US$1,099 million to US$3,410 million, as a result of better operational efficiency</w:t>
      </w:r>
      <w:r w:rsidR="00B373E8" w:rsidRPr="00997841">
        <w:rPr>
          <w:rFonts w:ascii="Arial" w:hAnsi="Arial" w:cs="Arial"/>
          <w:sz w:val="24"/>
          <w:szCs w:val="24"/>
        </w:rPr>
        <w:t xml:space="preserve"> (Marriott International, 2025a)</w:t>
      </w:r>
      <w:r w:rsidRPr="00997841">
        <w:rPr>
          <w:rFonts w:ascii="Arial" w:hAnsi="Arial" w:cs="Arial"/>
          <w:sz w:val="24"/>
          <w:szCs w:val="24"/>
        </w:rPr>
        <w:t xml:space="preserve">. While operating costs went up from US$12,107 million to US$23,170 million, revenue increased faster than costs, leading to higher profitability. Dividends also more than doubled from US$273 million to US$950 million, reflecting excellent cash generation and management's confidence </w:t>
      </w:r>
      <w:r w:rsidRPr="00997841">
        <w:rPr>
          <w:rFonts w:ascii="Arial" w:hAnsi="Arial" w:cs="Arial"/>
          <w:sz w:val="24"/>
          <w:szCs w:val="24"/>
        </w:rPr>
        <w:lastRenderedPageBreak/>
        <w:t>in the ability to maintain the long-term value to shareholders and future growth of their business.</w:t>
      </w:r>
    </w:p>
    <w:p w14:paraId="2A55342D" w14:textId="77777777" w:rsidR="000D50CB" w:rsidRPr="00997841" w:rsidRDefault="003E64B4" w:rsidP="00BC7E61">
      <w:pPr>
        <w:pStyle w:val="Heading2"/>
        <w:spacing w:line="360" w:lineRule="auto"/>
        <w:jc w:val="both"/>
        <w:rPr>
          <w:rFonts w:ascii="Arial" w:hAnsi="Arial" w:cs="Arial"/>
          <w:b/>
          <w:color w:val="auto"/>
          <w:sz w:val="24"/>
          <w:szCs w:val="24"/>
        </w:rPr>
      </w:pPr>
      <w:bookmarkStart w:id="2" w:name="_Toc236846122"/>
      <w:r>
        <w:rPr>
          <w:rFonts w:ascii="Arial" w:hAnsi="Arial" w:cs="Arial"/>
          <w:b/>
          <w:color w:val="auto"/>
          <w:sz w:val="24"/>
          <w:szCs w:val="24"/>
        </w:rPr>
        <w:t xml:space="preserve">1.2 </w:t>
      </w:r>
      <w:r w:rsidR="000D50CB" w:rsidRPr="00997841">
        <w:rPr>
          <w:rFonts w:ascii="Arial" w:hAnsi="Arial" w:cs="Arial"/>
          <w:b/>
          <w:color w:val="auto"/>
          <w:sz w:val="24"/>
          <w:szCs w:val="24"/>
        </w:rPr>
        <w:t>Ratio analysis</w:t>
      </w:r>
      <w:bookmarkEnd w:id="2"/>
    </w:p>
    <w:p w14:paraId="21BF5946" w14:textId="77777777" w:rsidR="000D50CB" w:rsidRPr="00997841" w:rsidRDefault="000D50CB" w:rsidP="00BC7E61">
      <w:pPr>
        <w:spacing w:line="360" w:lineRule="auto"/>
        <w:jc w:val="both"/>
        <w:rPr>
          <w:rFonts w:ascii="Arial" w:hAnsi="Arial" w:cs="Arial"/>
          <w:b/>
          <w:sz w:val="24"/>
          <w:szCs w:val="24"/>
        </w:rPr>
      </w:pPr>
      <w:r w:rsidRPr="00997841">
        <w:rPr>
          <w:rFonts w:ascii="Arial" w:hAnsi="Arial" w:cs="Arial"/>
          <w:b/>
          <w:sz w:val="24"/>
          <w:szCs w:val="24"/>
        </w:rPr>
        <w:t>Profitability</w:t>
      </w:r>
    </w:p>
    <w:p w14:paraId="44D08B60" w14:textId="77777777" w:rsidR="00FB6A4F" w:rsidRDefault="00FB6A4F" w:rsidP="00665912">
      <w:pPr>
        <w:spacing w:line="360" w:lineRule="auto"/>
        <w:jc w:val="center"/>
        <w:rPr>
          <w:rFonts w:ascii="Arial" w:hAnsi="Arial" w:cs="Arial"/>
          <w:b/>
          <w:sz w:val="24"/>
          <w:szCs w:val="24"/>
        </w:rPr>
      </w:pPr>
      <w:r w:rsidRPr="00FB6A4F">
        <w:rPr>
          <w:rFonts w:ascii="Arial" w:hAnsi="Arial" w:cs="Arial"/>
          <w:b/>
          <w:noProof/>
          <w:sz w:val="24"/>
          <w:szCs w:val="24"/>
          <w:lang w:val="en-IN" w:eastAsia="en-IN"/>
        </w:rPr>
        <w:drawing>
          <wp:inline distT="0" distB="0" distL="0" distR="0" wp14:anchorId="13B49962" wp14:editId="2196FA9D">
            <wp:extent cx="5731510" cy="271462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14625"/>
                    </a:xfrm>
                    <a:prstGeom prst="rect">
                      <a:avLst/>
                    </a:prstGeom>
                  </pic:spPr>
                </pic:pic>
              </a:graphicData>
            </a:graphic>
          </wp:inline>
        </w:drawing>
      </w:r>
    </w:p>
    <w:p w14:paraId="0F7FBD84" w14:textId="77777777" w:rsidR="0004573B" w:rsidRPr="00997841" w:rsidRDefault="00665912" w:rsidP="00665912">
      <w:pPr>
        <w:spacing w:line="360" w:lineRule="auto"/>
        <w:jc w:val="center"/>
        <w:rPr>
          <w:rFonts w:ascii="Arial" w:hAnsi="Arial" w:cs="Arial"/>
          <w:b/>
          <w:sz w:val="24"/>
          <w:szCs w:val="24"/>
        </w:rPr>
      </w:pPr>
      <w:r w:rsidRPr="00997841">
        <w:rPr>
          <w:rFonts w:ascii="Arial" w:hAnsi="Arial" w:cs="Arial"/>
          <w:b/>
          <w:sz w:val="24"/>
          <w:szCs w:val="24"/>
        </w:rPr>
        <w:t>Table 2: Profitability Ratio</w:t>
      </w:r>
    </w:p>
    <w:p w14:paraId="32962A0D" w14:textId="77777777" w:rsidR="001112B1" w:rsidRPr="00997841" w:rsidRDefault="00627486" w:rsidP="00665912">
      <w:pPr>
        <w:spacing w:line="360" w:lineRule="auto"/>
        <w:jc w:val="center"/>
        <w:rPr>
          <w:rFonts w:ascii="Arial" w:hAnsi="Arial" w:cs="Arial"/>
          <w:b/>
          <w:sz w:val="24"/>
          <w:szCs w:val="24"/>
        </w:rPr>
      </w:pPr>
      <w:r>
        <w:rPr>
          <w:noProof/>
          <w:lang w:val="en-IN" w:eastAsia="en-IN"/>
        </w:rPr>
        <w:drawing>
          <wp:inline distT="0" distB="0" distL="0" distR="0" wp14:anchorId="636D2BE0" wp14:editId="6E391347">
            <wp:extent cx="4572000" cy="27432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5D7F7EF" w14:textId="77777777" w:rsidR="001112B1" w:rsidRPr="00997841" w:rsidRDefault="001112B1" w:rsidP="00665912">
      <w:pPr>
        <w:spacing w:line="360" w:lineRule="auto"/>
        <w:jc w:val="center"/>
        <w:rPr>
          <w:rFonts w:ascii="Arial" w:hAnsi="Arial" w:cs="Arial"/>
          <w:b/>
          <w:sz w:val="24"/>
          <w:szCs w:val="24"/>
        </w:rPr>
      </w:pPr>
      <w:r w:rsidRPr="00997841">
        <w:rPr>
          <w:rFonts w:ascii="Arial" w:hAnsi="Arial" w:cs="Arial"/>
          <w:b/>
          <w:sz w:val="24"/>
          <w:szCs w:val="24"/>
        </w:rPr>
        <w:t>Graph 2: Profitability Ratio</w:t>
      </w:r>
    </w:p>
    <w:p w14:paraId="094F630B" w14:textId="77777777" w:rsidR="001112B1" w:rsidRPr="00997841" w:rsidRDefault="001112B1" w:rsidP="00665912">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459760F5" w14:textId="77777777" w:rsidR="0004573B" w:rsidRPr="00997841" w:rsidRDefault="0004573B" w:rsidP="00BC7E61">
      <w:pPr>
        <w:spacing w:line="360" w:lineRule="auto"/>
        <w:jc w:val="both"/>
        <w:rPr>
          <w:rFonts w:ascii="Arial" w:hAnsi="Arial" w:cs="Arial"/>
          <w:sz w:val="24"/>
          <w:szCs w:val="24"/>
        </w:rPr>
      </w:pPr>
      <w:r w:rsidRPr="00997841">
        <w:rPr>
          <w:rFonts w:ascii="Arial" w:hAnsi="Arial" w:cs="Arial"/>
          <w:sz w:val="24"/>
          <w:szCs w:val="24"/>
        </w:rPr>
        <w:t>The net profit margin at Marriott grew substantially throughout the 5 years, rising from 7.93% in 2021 to 12.42% in 2025, indicating the company</w:t>
      </w:r>
      <w:r w:rsidR="00665912" w:rsidRPr="00997841">
        <w:rPr>
          <w:rFonts w:ascii="Arial" w:hAnsi="Arial" w:cs="Arial"/>
          <w:sz w:val="24"/>
          <w:szCs w:val="24"/>
        </w:rPr>
        <w:t>’</w:t>
      </w:r>
      <w:r w:rsidRPr="00997841">
        <w:rPr>
          <w:rFonts w:ascii="Arial" w:hAnsi="Arial" w:cs="Arial"/>
          <w:sz w:val="24"/>
          <w:szCs w:val="24"/>
        </w:rPr>
        <w:t xml:space="preserve">s ability to manage its costs </w:t>
      </w:r>
      <w:r w:rsidRPr="00997841">
        <w:rPr>
          <w:rFonts w:ascii="Arial" w:hAnsi="Arial" w:cs="Arial"/>
          <w:sz w:val="24"/>
          <w:szCs w:val="24"/>
        </w:rPr>
        <w:lastRenderedPageBreak/>
        <w:t>while enhancing its revenue growth. Likewise, ROCE improved from 9.27% to 18.74%, reflecting the higher operating returns that the company achieved on the capital employed, which were bolstered by asset-light operations and the recovery of global travel demand</w:t>
      </w:r>
      <w:r w:rsidR="00B373E8" w:rsidRPr="00997841">
        <w:rPr>
          <w:rFonts w:ascii="Arial" w:hAnsi="Arial" w:cs="Arial"/>
          <w:sz w:val="24"/>
          <w:szCs w:val="24"/>
        </w:rPr>
        <w:t xml:space="preserve"> (Marriott International, 2026a)</w:t>
      </w:r>
      <w:r w:rsidRPr="00997841">
        <w:rPr>
          <w:rFonts w:ascii="Arial" w:hAnsi="Arial" w:cs="Arial"/>
          <w:sz w:val="24"/>
          <w:szCs w:val="24"/>
        </w:rPr>
        <w:t>.</w:t>
      </w:r>
    </w:p>
    <w:p w14:paraId="5B6F672D" w14:textId="77777777" w:rsidR="000D50CB" w:rsidRPr="00997841" w:rsidRDefault="000D50CB" w:rsidP="00BC7E61">
      <w:pPr>
        <w:spacing w:line="360" w:lineRule="auto"/>
        <w:jc w:val="both"/>
        <w:rPr>
          <w:rFonts w:ascii="Arial" w:hAnsi="Arial" w:cs="Arial"/>
          <w:b/>
          <w:sz w:val="24"/>
          <w:szCs w:val="24"/>
        </w:rPr>
      </w:pPr>
      <w:r w:rsidRPr="00997841">
        <w:rPr>
          <w:rFonts w:ascii="Arial" w:hAnsi="Arial" w:cs="Arial"/>
          <w:b/>
          <w:sz w:val="24"/>
          <w:szCs w:val="24"/>
        </w:rPr>
        <w:t>Liquidity</w:t>
      </w:r>
    </w:p>
    <w:p w14:paraId="5BD610D2" w14:textId="77777777" w:rsidR="00FB6A4F" w:rsidRDefault="00FB6A4F" w:rsidP="00665912">
      <w:pPr>
        <w:spacing w:line="360" w:lineRule="auto"/>
        <w:jc w:val="center"/>
        <w:rPr>
          <w:rFonts w:ascii="Arial" w:hAnsi="Arial" w:cs="Arial"/>
          <w:b/>
          <w:sz w:val="24"/>
          <w:szCs w:val="24"/>
        </w:rPr>
      </w:pPr>
      <w:r w:rsidRPr="00FB6A4F">
        <w:rPr>
          <w:rFonts w:ascii="Arial" w:hAnsi="Arial" w:cs="Arial"/>
          <w:b/>
          <w:noProof/>
          <w:sz w:val="24"/>
          <w:szCs w:val="24"/>
          <w:lang w:val="en-IN" w:eastAsia="en-IN"/>
        </w:rPr>
        <w:drawing>
          <wp:inline distT="0" distB="0" distL="0" distR="0" wp14:anchorId="041BF29B" wp14:editId="5176C9C0">
            <wp:extent cx="5677392" cy="1691787"/>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77392" cy="1691787"/>
                    </a:xfrm>
                    <a:prstGeom prst="rect">
                      <a:avLst/>
                    </a:prstGeom>
                  </pic:spPr>
                </pic:pic>
              </a:graphicData>
            </a:graphic>
          </wp:inline>
        </w:drawing>
      </w:r>
    </w:p>
    <w:p w14:paraId="3E504293" w14:textId="77777777" w:rsidR="0004573B" w:rsidRPr="00997841" w:rsidRDefault="00665912" w:rsidP="00665912">
      <w:pPr>
        <w:spacing w:line="360" w:lineRule="auto"/>
        <w:jc w:val="center"/>
        <w:rPr>
          <w:rFonts w:ascii="Arial" w:hAnsi="Arial" w:cs="Arial"/>
          <w:b/>
          <w:sz w:val="24"/>
          <w:szCs w:val="24"/>
        </w:rPr>
      </w:pPr>
      <w:r w:rsidRPr="00997841">
        <w:rPr>
          <w:rFonts w:ascii="Arial" w:hAnsi="Arial" w:cs="Arial"/>
          <w:b/>
          <w:sz w:val="24"/>
          <w:szCs w:val="24"/>
        </w:rPr>
        <w:t>Table 3: Liquidity Ratio</w:t>
      </w:r>
    </w:p>
    <w:p w14:paraId="2816C5AA" w14:textId="77777777" w:rsidR="001112B1" w:rsidRPr="00997841" w:rsidRDefault="001112B1" w:rsidP="00665912">
      <w:pPr>
        <w:spacing w:line="360" w:lineRule="auto"/>
        <w:jc w:val="center"/>
        <w:rPr>
          <w:rFonts w:ascii="Arial" w:hAnsi="Arial" w:cs="Arial"/>
          <w:b/>
          <w:sz w:val="24"/>
          <w:szCs w:val="24"/>
        </w:rPr>
      </w:pPr>
      <w:r w:rsidRPr="00997841">
        <w:rPr>
          <w:noProof/>
          <w:lang w:val="en-IN" w:eastAsia="en-IN"/>
        </w:rPr>
        <w:drawing>
          <wp:inline distT="0" distB="0" distL="0" distR="0" wp14:anchorId="7FA516EA" wp14:editId="7B6D1BB8">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A9D072" w14:textId="77777777" w:rsidR="001112B1" w:rsidRPr="00997841" w:rsidRDefault="001112B1" w:rsidP="00665912">
      <w:pPr>
        <w:spacing w:line="360" w:lineRule="auto"/>
        <w:jc w:val="center"/>
        <w:rPr>
          <w:rFonts w:ascii="Arial" w:hAnsi="Arial" w:cs="Arial"/>
          <w:b/>
          <w:sz w:val="24"/>
          <w:szCs w:val="24"/>
        </w:rPr>
      </w:pPr>
      <w:r w:rsidRPr="00997841">
        <w:rPr>
          <w:rFonts w:ascii="Arial" w:hAnsi="Arial" w:cs="Arial"/>
          <w:b/>
          <w:sz w:val="24"/>
          <w:szCs w:val="24"/>
        </w:rPr>
        <w:t>Graph 3: Liquidity Ratio</w:t>
      </w:r>
    </w:p>
    <w:p w14:paraId="69AE560A" w14:textId="77777777" w:rsidR="001112B1" w:rsidRPr="00997841" w:rsidRDefault="001112B1" w:rsidP="00665912">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6027B96A" w14:textId="77777777" w:rsidR="0004573B" w:rsidRPr="00997841" w:rsidRDefault="0004573B" w:rsidP="00BC7E61">
      <w:pPr>
        <w:spacing w:line="360" w:lineRule="auto"/>
        <w:jc w:val="both"/>
        <w:rPr>
          <w:rFonts w:ascii="Arial" w:hAnsi="Arial" w:cs="Arial"/>
          <w:sz w:val="24"/>
          <w:szCs w:val="24"/>
        </w:rPr>
      </w:pPr>
      <w:r w:rsidRPr="00997841">
        <w:rPr>
          <w:rFonts w:ascii="Arial" w:hAnsi="Arial" w:cs="Arial"/>
          <w:sz w:val="24"/>
          <w:szCs w:val="24"/>
        </w:rPr>
        <w:t>The company</w:t>
      </w:r>
      <w:r w:rsidR="00665912" w:rsidRPr="00997841">
        <w:rPr>
          <w:rFonts w:ascii="Arial" w:hAnsi="Arial" w:cs="Arial"/>
          <w:sz w:val="24"/>
          <w:szCs w:val="24"/>
        </w:rPr>
        <w:t>’</w:t>
      </w:r>
      <w:r w:rsidRPr="00997841">
        <w:rPr>
          <w:rFonts w:ascii="Arial" w:hAnsi="Arial" w:cs="Arial"/>
          <w:sz w:val="24"/>
          <w:szCs w:val="24"/>
        </w:rPr>
        <w:t>s liquidity situation has been improving over the years; the current ratio of the company increased from 0.63 to 0.72 between 2021 and 2025 and the quick ratio of the company rose from 0.61 to 0.70 between 2021 and 2025. Both ratios are not quite the recommended 1.0 but are typical for large hospitality firms which have good operating cash flow and manage working capital effectively.</w:t>
      </w:r>
    </w:p>
    <w:p w14:paraId="6F00F40B" w14:textId="77777777" w:rsidR="000D50CB" w:rsidRPr="00997841" w:rsidRDefault="000D50CB" w:rsidP="00BC7E61">
      <w:pPr>
        <w:spacing w:line="360" w:lineRule="auto"/>
        <w:jc w:val="both"/>
        <w:rPr>
          <w:rFonts w:ascii="Arial" w:hAnsi="Arial" w:cs="Arial"/>
          <w:b/>
          <w:sz w:val="24"/>
          <w:szCs w:val="24"/>
        </w:rPr>
      </w:pPr>
      <w:r w:rsidRPr="00997841">
        <w:rPr>
          <w:rFonts w:ascii="Arial" w:hAnsi="Arial" w:cs="Arial"/>
          <w:b/>
          <w:sz w:val="24"/>
          <w:szCs w:val="24"/>
        </w:rPr>
        <w:lastRenderedPageBreak/>
        <w:t>Efficiency</w:t>
      </w:r>
    </w:p>
    <w:p w14:paraId="129F305A" w14:textId="77777777" w:rsidR="00FB6A4F" w:rsidRDefault="00FB6A4F" w:rsidP="00665912">
      <w:pPr>
        <w:spacing w:line="360" w:lineRule="auto"/>
        <w:jc w:val="center"/>
        <w:rPr>
          <w:rFonts w:ascii="Arial" w:hAnsi="Arial" w:cs="Arial"/>
          <w:b/>
          <w:sz w:val="24"/>
          <w:szCs w:val="24"/>
        </w:rPr>
      </w:pPr>
      <w:r w:rsidRPr="00FB6A4F">
        <w:rPr>
          <w:rFonts w:ascii="Arial" w:hAnsi="Arial" w:cs="Arial"/>
          <w:b/>
          <w:noProof/>
          <w:sz w:val="24"/>
          <w:szCs w:val="24"/>
          <w:lang w:val="en-IN" w:eastAsia="en-IN"/>
        </w:rPr>
        <w:drawing>
          <wp:inline distT="0" distB="0" distL="0" distR="0" wp14:anchorId="38A9668D" wp14:editId="60FC2B4F">
            <wp:extent cx="5731510" cy="713994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7139940"/>
                    </a:xfrm>
                    <a:prstGeom prst="rect">
                      <a:avLst/>
                    </a:prstGeom>
                  </pic:spPr>
                </pic:pic>
              </a:graphicData>
            </a:graphic>
          </wp:inline>
        </w:drawing>
      </w:r>
    </w:p>
    <w:p w14:paraId="000EA4F8" w14:textId="77777777" w:rsidR="0004573B" w:rsidRPr="00997841" w:rsidRDefault="00665912" w:rsidP="00665912">
      <w:pPr>
        <w:spacing w:line="360" w:lineRule="auto"/>
        <w:jc w:val="center"/>
        <w:rPr>
          <w:rFonts w:ascii="Arial" w:hAnsi="Arial" w:cs="Arial"/>
          <w:b/>
          <w:sz w:val="24"/>
          <w:szCs w:val="24"/>
        </w:rPr>
      </w:pPr>
      <w:r w:rsidRPr="00997841">
        <w:rPr>
          <w:rFonts w:ascii="Arial" w:hAnsi="Arial" w:cs="Arial"/>
          <w:b/>
          <w:sz w:val="24"/>
          <w:szCs w:val="24"/>
        </w:rPr>
        <w:t>Table 4: Efficiency Ratio</w:t>
      </w:r>
    </w:p>
    <w:p w14:paraId="4CDB8161" w14:textId="77777777" w:rsidR="001112B1" w:rsidRPr="00997841" w:rsidRDefault="001112B1" w:rsidP="00665912">
      <w:pPr>
        <w:spacing w:line="360" w:lineRule="auto"/>
        <w:jc w:val="center"/>
        <w:rPr>
          <w:rFonts w:ascii="Arial" w:hAnsi="Arial" w:cs="Arial"/>
          <w:b/>
          <w:sz w:val="24"/>
          <w:szCs w:val="24"/>
        </w:rPr>
      </w:pPr>
      <w:r w:rsidRPr="00997841">
        <w:rPr>
          <w:noProof/>
          <w:lang w:val="en-IN" w:eastAsia="en-IN"/>
        </w:rPr>
        <w:lastRenderedPageBreak/>
        <w:drawing>
          <wp:inline distT="0" distB="0" distL="0" distR="0" wp14:anchorId="23CD66D8" wp14:editId="19EF2FD5">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BFF446D" w14:textId="77777777" w:rsidR="001112B1" w:rsidRPr="00997841" w:rsidRDefault="001112B1" w:rsidP="00665912">
      <w:pPr>
        <w:spacing w:line="360" w:lineRule="auto"/>
        <w:jc w:val="center"/>
        <w:rPr>
          <w:rFonts w:ascii="Arial" w:hAnsi="Arial" w:cs="Arial"/>
          <w:b/>
          <w:sz w:val="24"/>
          <w:szCs w:val="24"/>
        </w:rPr>
      </w:pPr>
      <w:r w:rsidRPr="00997841">
        <w:rPr>
          <w:rFonts w:ascii="Arial" w:hAnsi="Arial" w:cs="Arial"/>
          <w:b/>
          <w:sz w:val="24"/>
          <w:szCs w:val="24"/>
        </w:rPr>
        <w:t>Graph 4: Efficiency Ratio</w:t>
      </w:r>
    </w:p>
    <w:p w14:paraId="2AF0D713" w14:textId="77777777" w:rsidR="001112B1" w:rsidRPr="00997841" w:rsidRDefault="001112B1" w:rsidP="00665912">
      <w:pPr>
        <w:spacing w:line="360" w:lineRule="auto"/>
        <w:jc w:val="center"/>
        <w:rPr>
          <w:rFonts w:ascii="Arial" w:hAnsi="Arial" w:cs="Arial"/>
          <w:b/>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7477C6B2" w14:textId="77777777" w:rsidR="0004573B" w:rsidRPr="00997841" w:rsidRDefault="0004573B" w:rsidP="00BC7E61">
      <w:pPr>
        <w:spacing w:line="360" w:lineRule="auto"/>
        <w:jc w:val="both"/>
        <w:rPr>
          <w:rFonts w:ascii="Arial" w:hAnsi="Arial" w:cs="Arial"/>
          <w:sz w:val="24"/>
          <w:szCs w:val="24"/>
        </w:rPr>
      </w:pPr>
      <w:r w:rsidRPr="00997841">
        <w:rPr>
          <w:rFonts w:ascii="Arial" w:hAnsi="Arial" w:cs="Arial"/>
          <w:sz w:val="24"/>
          <w:szCs w:val="24"/>
        </w:rPr>
        <w:t>The operational efficiency increased during the period as the inventory turnover days decreased from 3.06 days in the previous period to 2.30 days during the current period whereas the receivables collection days improved from 14.88 days in the previous period to 11.70 days during the current period, which signifies faster cash collection. Further, the payables turnover days have also improved from 42.05 days to 30.24 days, which indicates effective management of suppliers</w:t>
      </w:r>
      <w:r w:rsidR="00665912" w:rsidRPr="00997841">
        <w:rPr>
          <w:rFonts w:ascii="Arial" w:hAnsi="Arial" w:cs="Arial"/>
          <w:sz w:val="24"/>
          <w:szCs w:val="24"/>
        </w:rPr>
        <w:t>’</w:t>
      </w:r>
      <w:r w:rsidRPr="00997841">
        <w:rPr>
          <w:rFonts w:ascii="Arial" w:hAnsi="Arial" w:cs="Arial"/>
          <w:sz w:val="24"/>
          <w:szCs w:val="24"/>
        </w:rPr>
        <w:t xml:space="preserve"> accounts and hence, a shorter cash operating cycle has improved working capital efficiency</w:t>
      </w:r>
      <w:r w:rsidR="00B373E8" w:rsidRPr="00997841">
        <w:rPr>
          <w:rFonts w:ascii="Arial" w:hAnsi="Arial" w:cs="Arial"/>
          <w:sz w:val="24"/>
          <w:szCs w:val="24"/>
        </w:rPr>
        <w:t xml:space="preserve"> (Marriott International, 2026b)</w:t>
      </w:r>
      <w:r w:rsidRPr="00997841">
        <w:rPr>
          <w:rFonts w:ascii="Arial" w:hAnsi="Arial" w:cs="Arial"/>
          <w:sz w:val="24"/>
          <w:szCs w:val="24"/>
        </w:rPr>
        <w:t>.</w:t>
      </w:r>
    </w:p>
    <w:p w14:paraId="320E8FDA" w14:textId="77777777" w:rsidR="000D50CB" w:rsidRPr="00997841" w:rsidRDefault="000D50CB" w:rsidP="00BC7E61">
      <w:pPr>
        <w:spacing w:line="360" w:lineRule="auto"/>
        <w:jc w:val="both"/>
        <w:rPr>
          <w:rFonts w:ascii="Arial" w:hAnsi="Arial" w:cs="Arial"/>
          <w:b/>
          <w:sz w:val="24"/>
          <w:szCs w:val="24"/>
        </w:rPr>
      </w:pPr>
      <w:r w:rsidRPr="00997841">
        <w:rPr>
          <w:rFonts w:ascii="Arial" w:hAnsi="Arial" w:cs="Arial"/>
          <w:b/>
          <w:sz w:val="24"/>
          <w:szCs w:val="24"/>
        </w:rPr>
        <w:t>Gearing</w:t>
      </w:r>
    </w:p>
    <w:p w14:paraId="73B17B54" w14:textId="77777777" w:rsidR="00FB6A4F" w:rsidRDefault="00FB6A4F" w:rsidP="00665912">
      <w:pPr>
        <w:spacing w:line="360" w:lineRule="auto"/>
        <w:jc w:val="center"/>
        <w:rPr>
          <w:rFonts w:ascii="Arial" w:hAnsi="Arial" w:cs="Arial"/>
          <w:b/>
          <w:sz w:val="24"/>
          <w:szCs w:val="24"/>
        </w:rPr>
      </w:pPr>
      <w:r w:rsidRPr="00FB6A4F">
        <w:rPr>
          <w:rFonts w:ascii="Arial" w:hAnsi="Arial" w:cs="Arial"/>
          <w:b/>
          <w:noProof/>
          <w:sz w:val="24"/>
          <w:szCs w:val="24"/>
          <w:lang w:val="en-IN" w:eastAsia="en-IN"/>
        </w:rPr>
        <w:drawing>
          <wp:inline distT="0" distB="0" distL="0" distR="0" wp14:anchorId="53D37236" wp14:editId="2B6806E1">
            <wp:extent cx="5731510" cy="2432685"/>
            <wp:effectExtent l="0" t="0" r="254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32685"/>
                    </a:xfrm>
                    <a:prstGeom prst="rect">
                      <a:avLst/>
                    </a:prstGeom>
                  </pic:spPr>
                </pic:pic>
              </a:graphicData>
            </a:graphic>
          </wp:inline>
        </w:drawing>
      </w:r>
    </w:p>
    <w:p w14:paraId="7AD53D3F" w14:textId="77777777" w:rsidR="0004573B" w:rsidRPr="00997841" w:rsidRDefault="00665912" w:rsidP="00665912">
      <w:pPr>
        <w:spacing w:line="360" w:lineRule="auto"/>
        <w:jc w:val="center"/>
        <w:rPr>
          <w:rFonts w:ascii="Arial" w:hAnsi="Arial" w:cs="Arial"/>
          <w:b/>
          <w:sz w:val="24"/>
          <w:szCs w:val="24"/>
        </w:rPr>
      </w:pPr>
      <w:r w:rsidRPr="00997841">
        <w:rPr>
          <w:rFonts w:ascii="Arial" w:hAnsi="Arial" w:cs="Arial"/>
          <w:b/>
          <w:sz w:val="24"/>
          <w:szCs w:val="24"/>
        </w:rPr>
        <w:lastRenderedPageBreak/>
        <w:t>Table 5: Gearing Ratio</w:t>
      </w:r>
    </w:p>
    <w:p w14:paraId="619BA447" w14:textId="77777777" w:rsidR="005D2B4F" w:rsidRPr="00997841" w:rsidRDefault="00627486" w:rsidP="00665912">
      <w:pPr>
        <w:spacing w:line="360" w:lineRule="auto"/>
        <w:jc w:val="center"/>
        <w:rPr>
          <w:rFonts w:ascii="Arial" w:hAnsi="Arial" w:cs="Arial"/>
          <w:b/>
          <w:sz w:val="24"/>
          <w:szCs w:val="24"/>
        </w:rPr>
      </w:pPr>
      <w:r>
        <w:rPr>
          <w:noProof/>
          <w:lang w:val="en-IN" w:eastAsia="en-IN"/>
        </w:rPr>
        <w:drawing>
          <wp:inline distT="0" distB="0" distL="0" distR="0" wp14:anchorId="1E78670D" wp14:editId="0C162A87">
            <wp:extent cx="4572000" cy="2743200"/>
            <wp:effectExtent l="0" t="0" r="0"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FA2484" w14:textId="77777777" w:rsidR="005D2B4F" w:rsidRPr="00997841" w:rsidRDefault="005D2B4F" w:rsidP="00665912">
      <w:pPr>
        <w:spacing w:line="360" w:lineRule="auto"/>
        <w:jc w:val="center"/>
        <w:rPr>
          <w:rFonts w:ascii="Arial" w:hAnsi="Arial" w:cs="Arial"/>
          <w:b/>
          <w:sz w:val="24"/>
          <w:szCs w:val="24"/>
        </w:rPr>
      </w:pPr>
      <w:r w:rsidRPr="00997841">
        <w:rPr>
          <w:rFonts w:ascii="Arial" w:hAnsi="Arial" w:cs="Arial"/>
          <w:b/>
          <w:sz w:val="24"/>
          <w:szCs w:val="24"/>
        </w:rPr>
        <w:t>Graph 5: Gearing Ratio</w:t>
      </w:r>
    </w:p>
    <w:p w14:paraId="5957A4EF" w14:textId="77777777" w:rsidR="005D2B4F" w:rsidRPr="00997841" w:rsidRDefault="005D2B4F" w:rsidP="00665912">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125F3B85" w14:textId="77777777" w:rsidR="0004573B" w:rsidRPr="00997841" w:rsidRDefault="0004573B" w:rsidP="00BC7E61">
      <w:pPr>
        <w:spacing w:line="360" w:lineRule="auto"/>
        <w:jc w:val="both"/>
        <w:rPr>
          <w:rFonts w:ascii="Arial" w:hAnsi="Arial" w:cs="Arial"/>
          <w:sz w:val="24"/>
          <w:szCs w:val="24"/>
        </w:rPr>
      </w:pPr>
      <w:r w:rsidRPr="00997841">
        <w:rPr>
          <w:rFonts w:ascii="Arial" w:hAnsi="Arial" w:cs="Arial"/>
          <w:sz w:val="24"/>
          <w:szCs w:val="24"/>
        </w:rPr>
        <w:t>Marriott</w:t>
      </w:r>
      <w:r w:rsidR="00665912" w:rsidRPr="00997841">
        <w:rPr>
          <w:rFonts w:ascii="Arial" w:hAnsi="Arial" w:cs="Arial"/>
          <w:sz w:val="24"/>
          <w:szCs w:val="24"/>
        </w:rPr>
        <w:t>’</w:t>
      </w:r>
      <w:r w:rsidRPr="00997841">
        <w:rPr>
          <w:rFonts w:ascii="Arial" w:hAnsi="Arial" w:cs="Arial"/>
          <w:sz w:val="24"/>
          <w:szCs w:val="24"/>
        </w:rPr>
        <w:t>s capital structure was much levered with a relatively constant debt-to-assets ratio of about 1.12-1.15 for the five year period. The interest coverage ratio, however, improved from 4.02 times in 2021 to 7.82 times in 2025, which indicates that the company has a greater interest coverage margin due to higher operating profits and financial performance during 2025</w:t>
      </w:r>
      <w:r w:rsidR="00B373E8" w:rsidRPr="00997841">
        <w:rPr>
          <w:rFonts w:ascii="Arial" w:hAnsi="Arial" w:cs="Arial"/>
          <w:sz w:val="24"/>
          <w:szCs w:val="24"/>
        </w:rPr>
        <w:t xml:space="preserve"> (Marriott International, 2025b)</w:t>
      </w:r>
      <w:r w:rsidRPr="00997841">
        <w:rPr>
          <w:rFonts w:ascii="Arial" w:hAnsi="Arial" w:cs="Arial"/>
          <w:sz w:val="24"/>
          <w:szCs w:val="24"/>
        </w:rPr>
        <w:t>.</w:t>
      </w:r>
    </w:p>
    <w:p w14:paraId="6A7B16DC" w14:textId="77777777" w:rsidR="000D50CB" w:rsidRPr="00997841" w:rsidRDefault="000D50CB" w:rsidP="00BC7E61">
      <w:pPr>
        <w:spacing w:line="360" w:lineRule="auto"/>
        <w:jc w:val="both"/>
        <w:rPr>
          <w:rFonts w:ascii="Arial" w:hAnsi="Arial" w:cs="Arial"/>
          <w:b/>
          <w:sz w:val="24"/>
          <w:szCs w:val="24"/>
        </w:rPr>
      </w:pPr>
      <w:r w:rsidRPr="00997841">
        <w:rPr>
          <w:rFonts w:ascii="Arial" w:hAnsi="Arial" w:cs="Arial"/>
          <w:b/>
          <w:sz w:val="24"/>
          <w:szCs w:val="24"/>
        </w:rPr>
        <w:t>Investment</w:t>
      </w:r>
    </w:p>
    <w:p w14:paraId="0F28E2F2" w14:textId="77777777" w:rsidR="00FB6A4F" w:rsidRDefault="00FB6A4F" w:rsidP="00665912">
      <w:pPr>
        <w:spacing w:line="360" w:lineRule="auto"/>
        <w:jc w:val="center"/>
        <w:rPr>
          <w:rFonts w:ascii="Arial" w:hAnsi="Arial" w:cs="Arial"/>
          <w:b/>
          <w:sz w:val="24"/>
          <w:szCs w:val="24"/>
        </w:rPr>
      </w:pPr>
      <w:r w:rsidRPr="00FB6A4F">
        <w:rPr>
          <w:rFonts w:ascii="Arial" w:hAnsi="Arial" w:cs="Arial"/>
          <w:b/>
          <w:noProof/>
          <w:sz w:val="24"/>
          <w:szCs w:val="24"/>
          <w:lang w:val="en-IN" w:eastAsia="en-IN"/>
        </w:rPr>
        <w:drawing>
          <wp:inline distT="0" distB="0" distL="0" distR="0" wp14:anchorId="24F1996B" wp14:editId="11082B21">
            <wp:extent cx="5731510" cy="272669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26690"/>
                    </a:xfrm>
                    <a:prstGeom prst="rect">
                      <a:avLst/>
                    </a:prstGeom>
                  </pic:spPr>
                </pic:pic>
              </a:graphicData>
            </a:graphic>
          </wp:inline>
        </w:drawing>
      </w:r>
    </w:p>
    <w:p w14:paraId="2E971C68" w14:textId="77777777" w:rsidR="0004573B" w:rsidRPr="00997841" w:rsidRDefault="00665912" w:rsidP="00665912">
      <w:pPr>
        <w:spacing w:line="360" w:lineRule="auto"/>
        <w:jc w:val="center"/>
        <w:rPr>
          <w:rFonts w:ascii="Arial" w:hAnsi="Arial" w:cs="Arial"/>
          <w:b/>
          <w:sz w:val="24"/>
          <w:szCs w:val="24"/>
        </w:rPr>
      </w:pPr>
      <w:r w:rsidRPr="00997841">
        <w:rPr>
          <w:rFonts w:ascii="Arial" w:hAnsi="Arial" w:cs="Arial"/>
          <w:b/>
          <w:sz w:val="24"/>
          <w:szCs w:val="24"/>
        </w:rPr>
        <w:lastRenderedPageBreak/>
        <w:t>Table 6: Investment Ratio</w:t>
      </w:r>
    </w:p>
    <w:p w14:paraId="762987FC" w14:textId="77777777" w:rsidR="005D2B4F" w:rsidRPr="00997841" w:rsidRDefault="00627486" w:rsidP="00665912">
      <w:pPr>
        <w:spacing w:line="360" w:lineRule="auto"/>
        <w:jc w:val="center"/>
        <w:rPr>
          <w:rFonts w:ascii="Arial" w:hAnsi="Arial" w:cs="Arial"/>
          <w:b/>
          <w:sz w:val="24"/>
          <w:szCs w:val="24"/>
        </w:rPr>
      </w:pPr>
      <w:r>
        <w:rPr>
          <w:noProof/>
          <w:lang w:val="en-IN" w:eastAsia="en-IN"/>
        </w:rPr>
        <w:drawing>
          <wp:inline distT="0" distB="0" distL="0" distR="0" wp14:anchorId="2C588F47" wp14:editId="5C7D6B89">
            <wp:extent cx="4572000" cy="2743200"/>
            <wp:effectExtent l="0" t="0" r="0"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252D651" w14:textId="77777777" w:rsidR="005D2B4F" w:rsidRPr="00997841" w:rsidRDefault="005D2B4F" w:rsidP="00665912">
      <w:pPr>
        <w:spacing w:line="360" w:lineRule="auto"/>
        <w:jc w:val="center"/>
        <w:rPr>
          <w:rFonts w:ascii="Arial" w:hAnsi="Arial" w:cs="Arial"/>
          <w:b/>
          <w:sz w:val="24"/>
          <w:szCs w:val="24"/>
        </w:rPr>
      </w:pPr>
      <w:r w:rsidRPr="00997841">
        <w:rPr>
          <w:rFonts w:ascii="Arial" w:hAnsi="Arial" w:cs="Arial"/>
          <w:b/>
          <w:sz w:val="24"/>
          <w:szCs w:val="24"/>
        </w:rPr>
        <w:t>Graph 6: Investment Ratio</w:t>
      </w:r>
    </w:p>
    <w:p w14:paraId="2EF4C05C" w14:textId="77777777" w:rsidR="005D2B4F" w:rsidRPr="00997841" w:rsidRDefault="005D2B4F" w:rsidP="00665912">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7E846894" w14:textId="77777777" w:rsidR="0004573B" w:rsidRPr="00997841" w:rsidRDefault="0004573B" w:rsidP="00BC7E61">
      <w:pPr>
        <w:spacing w:line="360" w:lineRule="auto"/>
        <w:jc w:val="both"/>
        <w:rPr>
          <w:rFonts w:ascii="Arial" w:hAnsi="Arial" w:cs="Arial"/>
          <w:sz w:val="24"/>
          <w:szCs w:val="24"/>
        </w:rPr>
      </w:pPr>
      <w:r w:rsidRPr="00997841">
        <w:rPr>
          <w:rFonts w:ascii="Arial" w:hAnsi="Arial" w:cs="Arial"/>
          <w:sz w:val="24"/>
          <w:szCs w:val="24"/>
        </w:rPr>
        <w:t>The investment performance improved significantly during the last five years with both profitability and share repurchase programmes. The dividend per share also rose from US$0.81 to US$3.39, and the dividend payout ratio stayed at a relatively ideal range between 24% and 28% to provide a balance between delivering returns to shareholders and retaining capital for reinvestment.</w:t>
      </w:r>
    </w:p>
    <w:p w14:paraId="38ACE9D5" w14:textId="77777777" w:rsidR="000D50CB" w:rsidRPr="00997841" w:rsidRDefault="000D50CB" w:rsidP="00BC7E61">
      <w:pPr>
        <w:spacing w:line="360" w:lineRule="auto"/>
        <w:jc w:val="both"/>
        <w:rPr>
          <w:rFonts w:ascii="Arial" w:hAnsi="Arial" w:cs="Arial"/>
          <w:b/>
          <w:sz w:val="24"/>
          <w:szCs w:val="24"/>
        </w:rPr>
      </w:pPr>
      <w:r w:rsidRPr="00997841">
        <w:rPr>
          <w:rFonts w:ascii="Arial" w:hAnsi="Arial" w:cs="Arial"/>
          <w:b/>
          <w:sz w:val="24"/>
          <w:szCs w:val="24"/>
        </w:rPr>
        <w:t>Cash flow</w:t>
      </w:r>
    </w:p>
    <w:p w14:paraId="5C9351CA" w14:textId="77777777" w:rsidR="00FB6A4F" w:rsidRDefault="00FB6A4F" w:rsidP="00665912">
      <w:pPr>
        <w:spacing w:line="360" w:lineRule="auto"/>
        <w:jc w:val="center"/>
        <w:rPr>
          <w:rFonts w:ascii="Arial" w:hAnsi="Arial" w:cs="Arial"/>
          <w:b/>
          <w:sz w:val="24"/>
          <w:szCs w:val="24"/>
        </w:rPr>
      </w:pPr>
      <w:r w:rsidRPr="00FB6A4F">
        <w:rPr>
          <w:rFonts w:ascii="Arial" w:hAnsi="Arial" w:cs="Arial"/>
          <w:b/>
          <w:noProof/>
          <w:sz w:val="24"/>
          <w:szCs w:val="24"/>
          <w:lang w:val="en-IN" w:eastAsia="en-IN"/>
        </w:rPr>
        <w:drawing>
          <wp:inline distT="0" distB="0" distL="0" distR="0" wp14:anchorId="7D145171" wp14:editId="45583762">
            <wp:extent cx="5731510" cy="2715260"/>
            <wp:effectExtent l="0" t="0" r="254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715260"/>
                    </a:xfrm>
                    <a:prstGeom prst="rect">
                      <a:avLst/>
                    </a:prstGeom>
                  </pic:spPr>
                </pic:pic>
              </a:graphicData>
            </a:graphic>
          </wp:inline>
        </w:drawing>
      </w:r>
    </w:p>
    <w:p w14:paraId="1AB5A22E" w14:textId="77777777" w:rsidR="0004573B" w:rsidRPr="00997841" w:rsidRDefault="00665912" w:rsidP="00665912">
      <w:pPr>
        <w:spacing w:line="360" w:lineRule="auto"/>
        <w:jc w:val="center"/>
        <w:rPr>
          <w:rFonts w:ascii="Arial" w:hAnsi="Arial" w:cs="Arial"/>
          <w:b/>
          <w:sz w:val="24"/>
          <w:szCs w:val="24"/>
        </w:rPr>
      </w:pPr>
      <w:r w:rsidRPr="00997841">
        <w:rPr>
          <w:rFonts w:ascii="Arial" w:hAnsi="Arial" w:cs="Arial"/>
          <w:b/>
          <w:sz w:val="24"/>
          <w:szCs w:val="24"/>
        </w:rPr>
        <w:lastRenderedPageBreak/>
        <w:t>Table 7: Cash Flow</w:t>
      </w:r>
    </w:p>
    <w:p w14:paraId="451B727D" w14:textId="77777777" w:rsidR="005D2B4F" w:rsidRPr="00997841" w:rsidRDefault="005D2B4F" w:rsidP="00665912">
      <w:pPr>
        <w:spacing w:line="360" w:lineRule="auto"/>
        <w:jc w:val="center"/>
        <w:rPr>
          <w:rFonts w:ascii="Arial" w:hAnsi="Arial" w:cs="Arial"/>
          <w:b/>
          <w:sz w:val="24"/>
          <w:szCs w:val="24"/>
        </w:rPr>
      </w:pPr>
      <w:r w:rsidRPr="00997841">
        <w:rPr>
          <w:noProof/>
          <w:lang w:val="en-IN" w:eastAsia="en-IN"/>
        </w:rPr>
        <w:drawing>
          <wp:inline distT="0" distB="0" distL="0" distR="0" wp14:anchorId="185DA836" wp14:editId="5C0AE79F">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903EC98" w14:textId="77777777" w:rsidR="005D2B4F" w:rsidRPr="00997841" w:rsidRDefault="005D2B4F" w:rsidP="00665912">
      <w:pPr>
        <w:spacing w:line="360" w:lineRule="auto"/>
        <w:jc w:val="center"/>
        <w:rPr>
          <w:rFonts w:ascii="Arial" w:hAnsi="Arial" w:cs="Arial"/>
          <w:b/>
          <w:sz w:val="24"/>
          <w:szCs w:val="24"/>
        </w:rPr>
      </w:pPr>
      <w:r w:rsidRPr="00997841">
        <w:rPr>
          <w:rFonts w:ascii="Arial" w:hAnsi="Arial" w:cs="Arial"/>
          <w:b/>
          <w:sz w:val="24"/>
          <w:szCs w:val="24"/>
        </w:rPr>
        <w:t>Graph 7: Cash Flow</w:t>
      </w:r>
    </w:p>
    <w:p w14:paraId="36984C20" w14:textId="77777777" w:rsidR="005D2B4F" w:rsidRPr="00997841" w:rsidRDefault="005D2B4F" w:rsidP="00665912">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0BAD375A" w14:textId="77777777" w:rsidR="0004573B" w:rsidRPr="00997841" w:rsidRDefault="0004573B" w:rsidP="00BC7E61">
      <w:pPr>
        <w:spacing w:line="360" w:lineRule="auto"/>
        <w:jc w:val="both"/>
        <w:rPr>
          <w:rFonts w:ascii="Arial" w:hAnsi="Arial" w:cs="Arial"/>
          <w:sz w:val="24"/>
          <w:szCs w:val="24"/>
        </w:rPr>
      </w:pPr>
      <w:r w:rsidRPr="00997841">
        <w:rPr>
          <w:rFonts w:ascii="Arial" w:hAnsi="Arial" w:cs="Arial"/>
          <w:sz w:val="24"/>
          <w:szCs w:val="24"/>
        </w:rPr>
        <w:t>Marriott's cash flows were also consistently strong, with the operating cash flow ratio rising from 0.48 to 0.53, while free cash flow went up from US$2.22 billion to US$2.96 billion. The cash flow to total liabilities ratio continued to be stable at approximately 0.10–0.11, indicating that the company was generating enough cash to meet its debt obligations, debt financing requirements and obligations to its shareholders.</w:t>
      </w:r>
    </w:p>
    <w:p w14:paraId="0F31355D" w14:textId="77777777" w:rsidR="000D50CB" w:rsidRPr="00997841" w:rsidRDefault="003E64B4" w:rsidP="00BC7E61">
      <w:pPr>
        <w:pStyle w:val="Heading2"/>
        <w:spacing w:line="360" w:lineRule="auto"/>
        <w:jc w:val="both"/>
        <w:rPr>
          <w:rFonts w:ascii="Arial" w:hAnsi="Arial" w:cs="Arial"/>
          <w:b/>
          <w:color w:val="auto"/>
          <w:sz w:val="24"/>
          <w:szCs w:val="24"/>
        </w:rPr>
      </w:pPr>
      <w:bookmarkStart w:id="3" w:name="_Toc236846123"/>
      <w:r>
        <w:rPr>
          <w:rFonts w:ascii="Arial" w:hAnsi="Arial" w:cs="Arial"/>
          <w:b/>
          <w:color w:val="auto"/>
          <w:sz w:val="24"/>
          <w:szCs w:val="24"/>
        </w:rPr>
        <w:t xml:space="preserve">1.3 </w:t>
      </w:r>
      <w:r w:rsidR="000D50CB" w:rsidRPr="00997841">
        <w:rPr>
          <w:rFonts w:ascii="Arial" w:hAnsi="Arial" w:cs="Arial"/>
          <w:b/>
          <w:color w:val="auto"/>
          <w:sz w:val="24"/>
          <w:szCs w:val="24"/>
        </w:rPr>
        <w:t>Trends, strengths, and potential threats</w:t>
      </w:r>
      <w:bookmarkEnd w:id="3"/>
    </w:p>
    <w:p w14:paraId="6DD8F711" w14:textId="77777777" w:rsidR="0004573B" w:rsidRPr="00997841" w:rsidRDefault="0004573B" w:rsidP="00BC7E61">
      <w:pPr>
        <w:spacing w:line="360" w:lineRule="auto"/>
        <w:jc w:val="both"/>
        <w:rPr>
          <w:rFonts w:ascii="Arial" w:hAnsi="Arial" w:cs="Arial"/>
          <w:b/>
          <w:sz w:val="24"/>
          <w:szCs w:val="24"/>
        </w:rPr>
      </w:pPr>
      <w:r w:rsidRPr="00997841">
        <w:rPr>
          <w:rFonts w:ascii="Arial" w:hAnsi="Arial" w:cs="Arial"/>
          <w:b/>
          <w:sz w:val="24"/>
          <w:szCs w:val="24"/>
        </w:rPr>
        <w:t>Trends</w:t>
      </w:r>
    </w:p>
    <w:p w14:paraId="378B2F8D" w14:textId="77777777" w:rsidR="0004573B" w:rsidRPr="00997841" w:rsidRDefault="00FB6A4F" w:rsidP="00B373E8">
      <w:pPr>
        <w:spacing w:line="360" w:lineRule="auto"/>
        <w:jc w:val="both"/>
        <w:rPr>
          <w:rFonts w:ascii="Arial" w:hAnsi="Arial" w:cs="Arial"/>
          <w:sz w:val="24"/>
          <w:szCs w:val="24"/>
        </w:rPr>
      </w:pPr>
      <w:r w:rsidRPr="00FB6A4F">
        <w:rPr>
          <w:rFonts w:ascii="Arial" w:hAnsi="Arial" w:cs="Arial"/>
          <w:sz w:val="24"/>
          <w:szCs w:val="24"/>
        </w:rPr>
        <w:t xml:space="preserve">The trend of Marriott's finances was positive from 2021 to 2025 with revenue increasing from US$13.86 billion to US$27.46 billion and net profit from US$1.10 billion to US$3.41 billion (Marriott International, 2025c). Improved profitability, efficiency, cash flow generation and further signs of recovery in travel demand across the global market, the majority of financial ratios were showing signs of recovery. The company has been also performing well in terms of operating profit, which has been increasing at a steady pace, return on capital employed, which has been getting better and better in the years and earnings per share, which has been improving. The increased interest coverage ratio and consistent free cash flow reflect greater financial strength and ability to repay interest commitments and fund shareholder returns. In </w:t>
      </w:r>
      <w:r w:rsidRPr="00FB6A4F">
        <w:rPr>
          <w:rFonts w:ascii="Arial" w:hAnsi="Arial" w:cs="Arial"/>
          <w:sz w:val="24"/>
          <w:szCs w:val="24"/>
        </w:rPr>
        <w:lastRenderedPageBreak/>
        <w:t>addition, Marriott's asset-light operating structure remained to be a positive factor in operational efficiency, as it led to lower capital intensity and steady management and franchise fee revenue. The financial enhancements indicate that the company is geared up for extended development and digital innovation, and expansion overseas, even as macroeconomic uncertainties persist.</w:t>
      </w:r>
    </w:p>
    <w:p w14:paraId="71AC0F1C" w14:textId="77777777" w:rsidR="0004573B" w:rsidRPr="00997841" w:rsidRDefault="0004573B" w:rsidP="00BC7E61">
      <w:pPr>
        <w:spacing w:line="360" w:lineRule="auto"/>
        <w:jc w:val="both"/>
        <w:rPr>
          <w:rFonts w:ascii="Arial" w:hAnsi="Arial" w:cs="Arial"/>
          <w:b/>
          <w:sz w:val="24"/>
          <w:szCs w:val="24"/>
        </w:rPr>
      </w:pPr>
      <w:r w:rsidRPr="00997841">
        <w:rPr>
          <w:rFonts w:ascii="Arial" w:hAnsi="Arial" w:cs="Arial"/>
          <w:b/>
          <w:sz w:val="24"/>
          <w:szCs w:val="24"/>
        </w:rPr>
        <w:t>Strengths</w:t>
      </w:r>
    </w:p>
    <w:p w14:paraId="70CC8BAC" w14:textId="77777777" w:rsidR="0004573B" w:rsidRPr="00997841" w:rsidRDefault="00FB6A4F" w:rsidP="00BC7E61">
      <w:pPr>
        <w:pStyle w:val="NormalWeb"/>
        <w:spacing w:line="360" w:lineRule="auto"/>
        <w:jc w:val="both"/>
        <w:rPr>
          <w:rFonts w:ascii="Arial" w:hAnsi="Arial" w:cs="Arial"/>
        </w:rPr>
      </w:pPr>
      <w:r w:rsidRPr="00FB6A4F">
        <w:rPr>
          <w:rFonts w:ascii="Arial" w:hAnsi="Arial" w:cs="Arial"/>
        </w:rPr>
        <w:t>The ability to pay up for key strengths in Marriott is its asset light business model, its strong global brand portfolio and its consistent operating cash flows. The current higher EPS, dividend payment and interest coverage indicates the company's strength in the financial field and its ability to generate long-term value for shareholders. By being asset-light, the company has the ability to grow with management and franchise agreements around the world with minimal capital expenditure and minimised operational risk. The company's diversified portfolio of internationally recognised hotel brands that cater to different customer segments also ensures that the company's revenues are stable during different market conditions. It generates a lot of free cash flow and has the financial flexibility to invest in technology, sustainability, and enhancing customer experience, all while continuing to shareholder value through dividends and buy-backs. Moreover, the company's increasing profitability and operational efficiency give it a competitive edge, which in turn will help in its long-term sustainability in the global hospitality sector.</w:t>
      </w:r>
    </w:p>
    <w:p w14:paraId="721731E7" w14:textId="77777777" w:rsidR="0004573B" w:rsidRPr="00997841" w:rsidRDefault="0004573B" w:rsidP="00BC7E61">
      <w:pPr>
        <w:spacing w:line="360" w:lineRule="auto"/>
        <w:jc w:val="both"/>
        <w:rPr>
          <w:rFonts w:ascii="Arial" w:hAnsi="Arial" w:cs="Arial"/>
          <w:b/>
          <w:sz w:val="24"/>
          <w:szCs w:val="24"/>
        </w:rPr>
      </w:pPr>
      <w:r w:rsidRPr="00997841">
        <w:rPr>
          <w:rFonts w:ascii="Arial" w:hAnsi="Arial" w:cs="Arial"/>
          <w:b/>
          <w:sz w:val="24"/>
          <w:szCs w:val="24"/>
        </w:rPr>
        <w:t>Potential Threats</w:t>
      </w:r>
    </w:p>
    <w:p w14:paraId="7EE264D3" w14:textId="77777777" w:rsidR="003A5AFF" w:rsidRPr="00997841" w:rsidRDefault="00FB6A4F" w:rsidP="00BC7E61">
      <w:pPr>
        <w:pStyle w:val="NormalWeb"/>
        <w:spacing w:line="360" w:lineRule="auto"/>
        <w:jc w:val="both"/>
        <w:rPr>
          <w:rFonts w:ascii="Arial" w:hAnsi="Arial" w:cs="Arial"/>
        </w:rPr>
      </w:pPr>
      <w:r w:rsidRPr="00FB6A4F">
        <w:rPr>
          <w:rFonts w:ascii="Arial" w:hAnsi="Arial" w:cs="Arial"/>
        </w:rPr>
        <w:t xml:space="preserve">Despite strong performance, there are risks to consider with its relatively high leverage and liquidity ratios that are lower than the industry average, although Marriott's ratings are above average. Other factors such as inflation, geopolitical risk and exchange rate fluctuations, and a potential decrease in foreign travel demand, can also affect future profitability and financial results. If these costs, particularly labour, energy and operating costs, should rise more rapidly than revenue growth, it will further squeeze profit margins. Further, the strong competition with other travel accommodation providers and global hotel chains could impact the occupancy rate and pricing power in key markets. The company is also vulnerable to operational and reputational risks due to cybersecurity concerns and the increasing adoption of digital platforms. In </w:t>
      </w:r>
      <w:r w:rsidRPr="00FB6A4F">
        <w:rPr>
          <w:rFonts w:ascii="Arial" w:hAnsi="Arial" w:cs="Arial"/>
        </w:rPr>
        <w:lastRenderedPageBreak/>
        <w:t>addition, alterations of environmental laws, taxes and sustainability expectations can necessitate extra investments to stay in compliance, and unforeseen economic declines and/or health crises can adversely affect travel demand and business results.</w:t>
      </w:r>
    </w:p>
    <w:p w14:paraId="4E42E0DF" w14:textId="77777777" w:rsidR="000D50CB" w:rsidRPr="00997841" w:rsidRDefault="003E64B4" w:rsidP="00BC7E61">
      <w:pPr>
        <w:pStyle w:val="Heading2"/>
        <w:spacing w:line="360" w:lineRule="auto"/>
        <w:jc w:val="both"/>
        <w:rPr>
          <w:rFonts w:ascii="Arial" w:hAnsi="Arial" w:cs="Arial"/>
          <w:b/>
          <w:color w:val="auto"/>
          <w:sz w:val="24"/>
          <w:szCs w:val="24"/>
        </w:rPr>
      </w:pPr>
      <w:r>
        <w:rPr>
          <w:rFonts w:ascii="Arial" w:hAnsi="Arial" w:cs="Arial"/>
          <w:b/>
          <w:color w:val="auto"/>
          <w:sz w:val="24"/>
          <w:szCs w:val="24"/>
        </w:rPr>
        <w:t xml:space="preserve"> </w:t>
      </w:r>
      <w:bookmarkStart w:id="4" w:name="_Toc236846124"/>
      <w:r>
        <w:rPr>
          <w:rFonts w:ascii="Arial" w:hAnsi="Arial" w:cs="Arial"/>
          <w:b/>
          <w:color w:val="auto"/>
          <w:sz w:val="24"/>
          <w:szCs w:val="24"/>
        </w:rPr>
        <w:t xml:space="preserve">1.4 </w:t>
      </w:r>
      <w:r w:rsidR="000D50CB" w:rsidRPr="00997841">
        <w:rPr>
          <w:rFonts w:ascii="Arial" w:hAnsi="Arial" w:cs="Arial"/>
          <w:b/>
          <w:color w:val="auto"/>
          <w:sz w:val="24"/>
          <w:szCs w:val="24"/>
        </w:rPr>
        <w:t>Comparison of liquidity ratios with industry benchmarks, assessing how the firm performs relative to sector standards</w:t>
      </w:r>
      <w:bookmarkEnd w:id="4"/>
      <w:r w:rsidR="000D50CB" w:rsidRPr="00997841">
        <w:rPr>
          <w:rFonts w:ascii="Arial" w:hAnsi="Arial" w:cs="Arial"/>
          <w:b/>
          <w:color w:val="auto"/>
          <w:sz w:val="24"/>
          <w:szCs w:val="24"/>
        </w:rPr>
        <w:t xml:space="preserve"> </w:t>
      </w:r>
    </w:p>
    <w:tbl>
      <w:tblPr>
        <w:tblStyle w:val="TableGrid"/>
        <w:tblW w:w="0" w:type="auto"/>
        <w:tblLook w:val="04A0" w:firstRow="1" w:lastRow="0" w:firstColumn="1" w:lastColumn="0" w:noHBand="0" w:noVBand="1"/>
      </w:tblPr>
      <w:tblGrid>
        <w:gridCol w:w="1458"/>
        <w:gridCol w:w="1387"/>
        <w:gridCol w:w="1893"/>
        <w:gridCol w:w="4278"/>
      </w:tblGrid>
      <w:tr w:rsidR="0004573B" w:rsidRPr="00997841" w14:paraId="2AD88F82" w14:textId="77777777" w:rsidTr="0004573B">
        <w:tc>
          <w:tcPr>
            <w:tcW w:w="0" w:type="auto"/>
            <w:hideMark/>
          </w:tcPr>
          <w:p w14:paraId="76B9AC57" w14:textId="77777777" w:rsidR="0004573B" w:rsidRPr="00997841" w:rsidRDefault="0004573B" w:rsidP="00BC7E61">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Liquidity Ratio</w:t>
            </w:r>
          </w:p>
        </w:tc>
        <w:tc>
          <w:tcPr>
            <w:tcW w:w="0" w:type="auto"/>
            <w:hideMark/>
          </w:tcPr>
          <w:p w14:paraId="4C1583EF" w14:textId="77777777" w:rsidR="0004573B" w:rsidRPr="00997841" w:rsidRDefault="0004573B" w:rsidP="00BC7E61">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Marriott (2025)</w:t>
            </w:r>
          </w:p>
        </w:tc>
        <w:tc>
          <w:tcPr>
            <w:tcW w:w="0" w:type="auto"/>
            <w:hideMark/>
          </w:tcPr>
          <w:p w14:paraId="70734B40" w14:textId="77777777" w:rsidR="0004573B" w:rsidRPr="00997841" w:rsidRDefault="0004573B" w:rsidP="00BC7E61">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Industry Benchmark</w:t>
            </w:r>
          </w:p>
        </w:tc>
        <w:tc>
          <w:tcPr>
            <w:tcW w:w="0" w:type="auto"/>
            <w:hideMark/>
          </w:tcPr>
          <w:p w14:paraId="121AD7E1" w14:textId="77777777" w:rsidR="0004573B" w:rsidRPr="00997841" w:rsidRDefault="0004573B" w:rsidP="00BC7E61">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Assessment</w:t>
            </w:r>
          </w:p>
        </w:tc>
      </w:tr>
      <w:tr w:rsidR="0004573B" w:rsidRPr="00997841" w14:paraId="4C4B0252" w14:textId="77777777" w:rsidTr="0004573B">
        <w:tc>
          <w:tcPr>
            <w:tcW w:w="0" w:type="auto"/>
            <w:hideMark/>
          </w:tcPr>
          <w:p w14:paraId="51062D9D" w14:textId="77777777" w:rsidR="0004573B" w:rsidRPr="00997841" w:rsidRDefault="0004573B" w:rsidP="00BC7E61">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Current Ratio</w:t>
            </w:r>
          </w:p>
        </w:tc>
        <w:tc>
          <w:tcPr>
            <w:tcW w:w="0" w:type="auto"/>
            <w:hideMark/>
          </w:tcPr>
          <w:p w14:paraId="7510D37F" w14:textId="77777777" w:rsidR="0004573B" w:rsidRPr="00997841" w:rsidRDefault="0004573B" w:rsidP="00BC7E61">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0.72</w:t>
            </w:r>
          </w:p>
        </w:tc>
        <w:tc>
          <w:tcPr>
            <w:tcW w:w="0" w:type="auto"/>
            <w:hideMark/>
          </w:tcPr>
          <w:p w14:paraId="218EABD2" w14:textId="77777777" w:rsidR="0004573B" w:rsidRPr="00997841" w:rsidRDefault="0004573B" w:rsidP="00BC7E61">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1.00</w:t>
            </w:r>
          </w:p>
        </w:tc>
        <w:tc>
          <w:tcPr>
            <w:tcW w:w="0" w:type="auto"/>
            <w:hideMark/>
          </w:tcPr>
          <w:p w14:paraId="7962545A" w14:textId="77777777" w:rsidR="0004573B" w:rsidRPr="00997841" w:rsidRDefault="0004573B" w:rsidP="00BC7E61">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Below industry benchmark, indicating relatively lower short-term liquidity.</w:t>
            </w:r>
          </w:p>
        </w:tc>
      </w:tr>
      <w:tr w:rsidR="0004573B" w:rsidRPr="00997841" w14:paraId="5F310B8C" w14:textId="77777777" w:rsidTr="0004573B">
        <w:tc>
          <w:tcPr>
            <w:tcW w:w="0" w:type="auto"/>
            <w:hideMark/>
          </w:tcPr>
          <w:p w14:paraId="74A4E6EB" w14:textId="77777777" w:rsidR="0004573B" w:rsidRPr="00997841" w:rsidRDefault="0004573B" w:rsidP="00BC7E61">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Quick Ratio</w:t>
            </w:r>
          </w:p>
        </w:tc>
        <w:tc>
          <w:tcPr>
            <w:tcW w:w="0" w:type="auto"/>
            <w:hideMark/>
          </w:tcPr>
          <w:p w14:paraId="753BAB1F" w14:textId="77777777" w:rsidR="0004573B" w:rsidRPr="00997841" w:rsidRDefault="0004573B" w:rsidP="00BC7E61">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0.70</w:t>
            </w:r>
          </w:p>
        </w:tc>
        <w:tc>
          <w:tcPr>
            <w:tcW w:w="0" w:type="auto"/>
            <w:hideMark/>
          </w:tcPr>
          <w:p w14:paraId="0D20B7E1" w14:textId="77777777" w:rsidR="0004573B" w:rsidRPr="00997841" w:rsidRDefault="0004573B" w:rsidP="00BC7E61">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0.80</w:t>
            </w:r>
          </w:p>
        </w:tc>
        <w:tc>
          <w:tcPr>
            <w:tcW w:w="0" w:type="auto"/>
            <w:hideMark/>
          </w:tcPr>
          <w:p w14:paraId="3B3AF0B4" w14:textId="77777777" w:rsidR="0004573B" w:rsidRPr="00997841" w:rsidRDefault="0004573B" w:rsidP="00BC7E61">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Slightly below the industry standard but supported by strong operating cash flows.</w:t>
            </w:r>
          </w:p>
        </w:tc>
      </w:tr>
    </w:tbl>
    <w:p w14:paraId="7794D1BF" w14:textId="77777777" w:rsidR="003A5AFF" w:rsidRPr="00997841" w:rsidRDefault="00665912" w:rsidP="00665912">
      <w:pPr>
        <w:spacing w:line="360" w:lineRule="auto"/>
        <w:jc w:val="center"/>
        <w:rPr>
          <w:rFonts w:ascii="Arial" w:hAnsi="Arial" w:cs="Arial"/>
          <w:b/>
          <w:sz w:val="24"/>
          <w:szCs w:val="24"/>
        </w:rPr>
      </w:pPr>
      <w:r w:rsidRPr="00997841">
        <w:rPr>
          <w:rFonts w:ascii="Arial" w:hAnsi="Arial" w:cs="Arial"/>
          <w:b/>
          <w:sz w:val="24"/>
          <w:szCs w:val="24"/>
        </w:rPr>
        <w:t>Table 8: Comparison</w:t>
      </w:r>
    </w:p>
    <w:p w14:paraId="233F8F10" w14:textId="77777777" w:rsidR="0004573B" w:rsidRPr="00997841" w:rsidRDefault="0004573B" w:rsidP="00BC7E61">
      <w:pPr>
        <w:spacing w:line="360" w:lineRule="auto"/>
        <w:jc w:val="both"/>
        <w:rPr>
          <w:rFonts w:ascii="Arial" w:hAnsi="Arial" w:cs="Arial"/>
          <w:sz w:val="24"/>
          <w:szCs w:val="24"/>
        </w:rPr>
      </w:pPr>
      <w:r w:rsidRPr="00997841">
        <w:rPr>
          <w:rFonts w:ascii="Arial" w:hAnsi="Arial" w:cs="Arial"/>
          <w:sz w:val="24"/>
          <w:szCs w:val="24"/>
        </w:rPr>
        <w:t>Currently Marriott's liquidity is below the hospitality industry benchmarks, with a quick ratio of 0.70 compared with 0.80 and a current ratio of 0.72 compared with 1.00. The ratios show that the company has a relatively low level of current assets to support its short-term obligations compared to other firms</w:t>
      </w:r>
      <w:r w:rsidR="000F3C7B" w:rsidRPr="00997841">
        <w:rPr>
          <w:rFonts w:ascii="Arial" w:hAnsi="Arial" w:cs="Arial"/>
          <w:sz w:val="24"/>
          <w:szCs w:val="24"/>
        </w:rPr>
        <w:t xml:space="preserve"> (Marriott International, 2025j)</w:t>
      </w:r>
      <w:r w:rsidRPr="00997841">
        <w:rPr>
          <w:rFonts w:ascii="Arial" w:hAnsi="Arial" w:cs="Arial"/>
          <w:sz w:val="24"/>
          <w:szCs w:val="24"/>
        </w:rPr>
        <w:t>. But that does not necessarily mean that there is a money problem, as Marriott operates an asset-light business strategy, making the management and franchise operations the key business drivers, and not owning many hotel properties</w:t>
      </w:r>
      <w:r w:rsidR="00B373E8" w:rsidRPr="00997841">
        <w:rPr>
          <w:rFonts w:ascii="Arial" w:hAnsi="Arial" w:cs="Arial"/>
          <w:sz w:val="24"/>
          <w:szCs w:val="24"/>
        </w:rPr>
        <w:t xml:space="preserve"> (Marriott International, 2025d)</w:t>
      </w:r>
      <w:r w:rsidRPr="00997841">
        <w:rPr>
          <w:rFonts w:ascii="Arial" w:hAnsi="Arial" w:cs="Arial"/>
          <w:sz w:val="24"/>
          <w:szCs w:val="24"/>
        </w:rPr>
        <w:t>. This model helps the company to achieve steady operating cash flows and thus less need to carry large amounts of inventories or other current assets. Moreover, the company's operating cash flow ratio has continuously improved during the five-year period, indicating that the company's cash generation capacity from operations has increased, which helps it to pay its short-term obligations. For this reason, although Marriott's liquidity measures are slightly lower than those of the industry, its ability to generate cash, manage its working capital efficiently and generate consistent revenue from fees is considered to have mitigated the short-term risks to liquidity and boosted financial stability.</w:t>
      </w:r>
    </w:p>
    <w:p w14:paraId="58602A42" w14:textId="77777777" w:rsidR="0004573B" w:rsidRPr="00997841" w:rsidRDefault="0004573B" w:rsidP="00BC7E61">
      <w:pPr>
        <w:spacing w:line="360" w:lineRule="auto"/>
        <w:jc w:val="both"/>
        <w:rPr>
          <w:rFonts w:ascii="Arial" w:eastAsiaTheme="majorEastAsia" w:hAnsi="Arial" w:cs="Arial"/>
          <w:b/>
          <w:sz w:val="24"/>
          <w:szCs w:val="24"/>
        </w:rPr>
      </w:pPr>
      <w:r w:rsidRPr="00997841">
        <w:rPr>
          <w:rFonts w:ascii="Arial" w:hAnsi="Arial" w:cs="Arial"/>
          <w:b/>
          <w:sz w:val="24"/>
          <w:szCs w:val="24"/>
        </w:rPr>
        <w:br w:type="page"/>
      </w:r>
    </w:p>
    <w:p w14:paraId="7C4210D2" w14:textId="77777777" w:rsidR="000D50CB" w:rsidRPr="00997841" w:rsidRDefault="000D50CB" w:rsidP="00BC7E61">
      <w:pPr>
        <w:pStyle w:val="Heading1"/>
        <w:spacing w:line="360" w:lineRule="auto"/>
        <w:jc w:val="both"/>
        <w:rPr>
          <w:rFonts w:ascii="Arial" w:hAnsi="Arial" w:cs="Arial"/>
          <w:b/>
          <w:color w:val="auto"/>
          <w:sz w:val="24"/>
          <w:szCs w:val="24"/>
        </w:rPr>
      </w:pPr>
      <w:bookmarkStart w:id="5" w:name="_Toc236846125"/>
      <w:r w:rsidRPr="00997841">
        <w:rPr>
          <w:rFonts w:ascii="Arial" w:hAnsi="Arial" w:cs="Arial"/>
          <w:b/>
          <w:color w:val="auto"/>
          <w:sz w:val="24"/>
          <w:szCs w:val="24"/>
        </w:rPr>
        <w:lastRenderedPageBreak/>
        <w:t>2. Working Capital Management Analysis</w:t>
      </w:r>
      <w:bookmarkEnd w:id="5"/>
      <w:r w:rsidRPr="00997841">
        <w:rPr>
          <w:rFonts w:ascii="Arial" w:hAnsi="Arial" w:cs="Arial"/>
          <w:b/>
          <w:color w:val="auto"/>
          <w:sz w:val="24"/>
          <w:szCs w:val="24"/>
        </w:rPr>
        <w:t xml:space="preserve"> </w:t>
      </w:r>
    </w:p>
    <w:p w14:paraId="0D8C493E" w14:textId="77777777" w:rsidR="000D50CB" w:rsidRPr="00997841" w:rsidRDefault="003E64B4" w:rsidP="00BC7E61">
      <w:pPr>
        <w:pStyle w:val="Heading2"/>
        <w:spacing w:line="360" w:lineRule="auto"/>
        <w:jc w:val="both"/>
        <w:rPr>
          <w:rFonts w:ascii="Arial" w:hAnsi="Arial" w:cs="Arial"/>
          <w:b/>
          <w:color w:val="auto"/>
          <w:sz w:val="24"/>
          <w:szCs w:val="24"/>
        </w:rPr>
      </w:pPr>
      <w:bookmarkStart w:id="6" w:name="_Toc236846126"/>
      <w:r>
        <w:rPr>
          <w:rFonts w:ascii="Arial" w:hAnsi="Arial" w:cs="Arial"/>
          <w:b/>
          <w:color w:val="auto"/>
          <w:sz w:val="24"/>
          <w:szCs w:val="24"/>
        </w:rPr>
        <w:t xml:space="preserve">2.1 </w:t>
      </w:r>
      <w:r w:rsidR="000D50CB" w:rsidRPr="00997841">
        <w:rPr>
          <w:rFonts w:ascii="Arial" w:hAnsi="Arial" w:cs="Arial"/>
          <w:b/>
          <w:color w:val="auto"/>
          <w:sz w:val="24"/>
          <w:szCs w:val="24"/>
        </w:rPr>
        <w:t>Cash operating cycle</w:t>
      </w:r>
      <w:bookmarkEnd w:id="6"/>
    </w:p>
    <w:p w14:paraId="59E29A3A"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Cash Operating Cycle</w:t>
      </w:r>
    </w:p>
    <w:p w14:paraId="65438094" w14:textId="77777777" w:rsidR="00627486" w:rsidRDefault="00627486" w:rsidP="00665912">
      <w:pPr>
        <w:spacing w:line="360" w:lineRule="auto"/>
        <w:jc w:val="center"/>
        <w:rPr>
          <w:rFonts w:ascii="Arial" w:hAnsi="Arial" w:cs="Arial"/>
          <w:b/>
          <w:sz w:val="24"/>
          <w:szCs w:val="24"/>
        </w:rPr>
      </w:pPr>
      <w:r w:rsidRPr="00627486">
        <w:rPr>
          <w:rFonts w:ascii="Arial" w:hAnsi="Arial" w:cs="Arial"/>
          <w:b/>
          <w:noProof/>
          <w:sz w:val="24"/>
          <w:szCs w:val="24"/>
          <w:lang w:val="en-IN" w:eastAsia="en-IN"/>
        </w:rPr>
        <w:drawing>
          <wp:inline distT="0" distB="0" distL="0" distR="0" wp14:anchorId="6D953BDD" wp14:editId="1A2913D7">
            <wp:extent cx="5731510" cy="1863725"/>
            <wp:effectExtent l="0" t="0" r="254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863725"/>
                    </a:xfrm>
                    <a:prstGeom prst="rect">
                      <a:avLst/>
                    </a:prstGeom>
                  </pic:spPr>
                </pic:pic>
              </a:graphicData>
            </a:graphic>
          </wp:inline>
        </w:drawing>
      </w:r>
    </w:p>
    <w:p w14:paraId="69A8A1FA" w14:textId="77777777" w:rsidR="00665912" w:rsidRPr="00997841" w:rsidRDefault="00665912" w:rsidP="00665912">
      <w:pPr>
        <w:spacing w:line="360" w:lineRule="auto"/>
        <w:jc w:val="center"/>
        <w:rPr>
          <w:rFonts w:ascii="Arial" w:hAnsi="Arial" w:cs="Arial"/>
          <w:b/>
          <w:sz w:val="24"/>
          <w:szCs w:val="24"/>
        </w:rPr>
      </w:pPr>
      <w:r w:rsidRPr="00997841">
        <w:rPr>
          <w:rFonts w:ascii="Arial" w:hAnsi="Arial" w:cs="Arial"/>
          <w:b/>
          <w:sz w:val="24"/>
          <w:szCs w:val="24"/>
        </w:rPr>
        <w:t>Table 9: Cash Operating Cycle</w:t>
      </w:r>
    </w:p>
    <w:p w14:paraId="055AE976" w14:textId="77777777" w:rsidR="005D2B4F" w:rsidRPr="00997841" w:rsidRDefault="005D2B4F" w:rsidP="00665912">
      <w:pPr>
        <w:spacing w:line="360" w:lineRule="auto"/>
        <w:jc w:val="center"/>
        <w:rPr>
          <w:rFonts w:ascii="Arial" w:hAnsi="Arial" w:cs="Arial"/>
          <w:b/>
          <w:sz w:val="24"/>
          <w:szCs w:val="24"/>
        </w:rPr>
      </w:pPr>
      <w:r w:rsidRPr="00997841">
        <w:rPr>
          <w:noProof/>
          <w:lang w:val="en-IN" w:eastAsia="en-IN"/>
        </w:rPr>
        <w:drawing>
          <wp:inline distT="0" distB="0" distL="0" distR="0" wp14:anchorId="2964ADF5" wp14:editId="167258C3">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BBB0E17" w14:textId="77777777" w:rsidR="005D2B4F" w:rsidRPr="00997841" w:rsidRDefault="005D2B4F" w:rsidP="00665912">
      <w:pPr>
        <w:spacing w:line="360" w:lineRule="auto"/>
        <w:jc w:val="center"/>
        <w:rPr>
          <w:rFonts w:ascii="Arial" w:hAnsi="Arial" w:cs="Arial"/>
          <w:b/>
          <w:sz w:val="24"/>
          <w:szCs w:val="24"/>
        </w:rPr>
      </w:pPr>
      <w:r w:rsidRPr="00997841">
        <w:rPr>
          <w:rFonts w:ascii="Arial" w:hAnsi="Arial" w:cs="Arial"/>
          <w:b/>
          <w:sz w:val="24"/>
          <w:szCs w:val="24"/>
        </w:rPr>
        <w:t>Graph 8: Cash Operating Cycle</w:t>
      </w:r>
    </w:p>
    <w:p w14:paraId="22184101" w14:textId="77777777" w:rsidR="005D2B4F" w:rsidRPr="00997841" w:rsidRDefault="005D2B4F" w:rsidP="00665912">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17828321"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Working Capital</w:t>
      </w:r>
    </w:p>
    <w:p w14:paraId="04ED5292" w14:textId="77777777" w:rsidR="00627486" w:rsidRDefault="00CA1B74" w:rsidP="00665912">
      <w:pPr>
        <w:spacing w:line="360" w:lineRule="auto"/>
        <w:jc w:val="center"/>
        <w:rPr>
          <w:rFonts w:ascii="Arial" w:hAnsi="Arial" w:cs="Arial"/>
          <w:b/>
          <w:sz w:val="24"/>
          <w:szCs w:val="24"/>
        </w:rPr>
      </w:pPr>
      <w:r w:rsidRPr="00CA1B74">
        <w:rPr>
          <w:rFonts w:ascii="Arial" w:hAnsi="Arial" w:cs="Arial"/>
          <w:b/>
          <w:noProof/>
          <w:sz w:val="24"/>
          <w:szCs w:val="24"/>
          <w:lang w:val="en-IN" w:eastAsia="en-IN"/>
        </w:rPr>
        <w:drawing>
          <wp:inline distT="0" distB="0" distL="0" distR="0" wp14:anchorId="16C9973F" wp14:editId="3DA9DA01">
            <wp:extent cx="5731510" cy="1100455"/>
            <wp:effectExtent l="0" t="0" r="254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100455"/>
                    </a:xfrm>
                    <a:prstGeom prst="rect">
                      <a:avLst/>
                    </a:prstGeom>
                  </pic:spPr>
                </pic:pic>
              </a:graphicData>
            </a:graphic>
          </wp:inline>
        </w:drawing>
      </w:r>
    </w:p>
    <w:p w14:paraId="1F856CC1" w14:textId="77777777" w:rsidR="003A5AFF" w:rsidRPr="00997841" w:rsidRDefault="00665912" w:rsidP="00665912">
      <w:pPr>
        <w:spacing w:line="360" w:lineRule="auto"/>
        <w:jc w:val="center"/>
        <w:rPr>
          <w:rFonts w:ascii="Arial" w:hAnsi="Arial" w:cs="Arial"/>
          <w:b/>
          <w:sz w:val="24"/>
          <w:szCs w:val="24"/>
        </w:rPr>
      </w:pPr>
      <w:r w:rsidRPr="00997841">
        <w:rPr>
          <w:rFonts w:ascii="Arial" w:hAnsi="Arial" w:cs="Arial"/>
          <w:b/>
          <w:sz w:val="24"/>
          <w:szCs w:val="24"/>
        </w:rPr>
        <w:t>Table 10: Working Capital</w:t>
      </w:r>
    </w:p>
    <w:p w14:paraId="5CA9E70D" w14:textId="77777777" w:rsidR="005D2B4F" w:rsidRPr="00997841" w:rsidRDefault="005D2B4F" w:rsidP="00665912">
      <w:pPr>
        <w:spacing w:line="360" w:lineRule="auto"/>
        <w:jc w:val="center"/>
        <w:rPr>
          <w:rFonts w:ascii="Arial" w:hAnsi="Arial" w:cs="Arial"/>
          <w:b/>
          <w:sz w:val="24"/>
          <w:szCs w:val="24"/>
        </w:rPr>
      </w:pPr>
      <w:r w:rsidRPr="00997841">
        <w:rPr>
          <w:noProof/>
          <w:lang w:val="en-IN" w:eastAsia="en-IN"/>
        </w:rPr>
        <w:lastRenderedPageBreak/>
        <w:drawing>
          <wp:inline distT="0" distB="0" distL="0" distR="0" wp14:anchorId="3BC3F2A1" wp14:editId="673FD065">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D11CDBD" w14:textId="77777777" w:rsidR="005D2B4F" w:rsidRPr="00997841" w:rsidRDefault="005D2B4F" w:rsidP="00665912">
      <w:pPr>
        <w:spacing w:line="360" w:lineRule="auto"/>
        <w:jc w:val="center"/>
        <w:rPr>
          <w:rFonts w:ascii="Arial" w:hAnsi="Arial" w:cs="Arial"/>
          <w:b/>
          <w:sz w:val="24"/>
          <w:szCs w:val="24"/>
        </w:rPr>
      </w:pPr>
      <w:r w:rsidRPr="00997841">
        <w:rPr>
          <w:rFonts w:ascii="Arial" w:hAnsi="Arial" w:cs="Arial"/>
          <w:b/>
          <w:sz w:val="24"/>
          <w:szCs w:val="24"/>
        </w:rPr>
        <w:t>Graph 9: Working Capital</w:t>
      </w:r>
    </w:p>
    <w:p w14:paraId="2F0EBAB5" w14:textId="77777777" w:rsidR="005D2B4F" w:rsidRPr="00997841" w:rsidRDefault="005D2B4F" w:rsidP="00665912">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631D6CB8" w14:textId="77777777" w:rsidR="00883EA6" w:rsidRPr="00997841" w:rsidRDefault="00883EA6" w:rsidP="00BC7E61">
      <w:pPr>
        <w:spacing w:line="360" w:lineRule="auto"/>
        <w:jc w:val="both"/>
        <w:rPr>
          <w:rFonts w:ascii="Arial" w:hAnsi="Arial" w:cs="Arial"/>
          <w:sz w:val="24"/>
          <w:szCs w:val="24"/>
        </w:rPr>
      </w:pPr>
      <w:r w:rsidRPr="00997841">
        <w:rPr>
          <w:rFonts w:ascii="Arial" w:hAnsi="Arial" w:cs="Arial"/>
          <w:sz w:val="24"/>
          <w:szCs w:val="24"/>
        </w:rPr>
        <w:t>Marriott experienced a negative cash conversion cycle over the last 5 years, which increased from –24.11 days in 2021 to –16.24 days in 2025. This means that the company is collecting cash, and bringing in revenue, well in advance of when it needs to pay suppliers, suggesting the company is managing its working capital very efficiently. Stock levels were extremely low with an average of just 2-3 days' worth and there was an average of about 12 days of receivables collected. Payables were paid after approximately 30 days, but they were still able to give adequate supplier credit to operate</w:t>
      </w:r>
      <w:r w:rsidR="00B373E8" w:rsidRPr="00997841">
        <w:rPr>
          <w:rFonts w:ascii="Arial" w:hAnsi="Arial" w:cs="Arial"/>
          <w:sz w:val="24"/>
          <w:szCs w:val="24"/>
        </w:rPr>
        <w:t xml:space="preserve"> (Marriott International, 2025e)</w:t>
      </w:r>
      <w:r w:rsidRPr="00997841">
        <w:rPr>
          <w:rFonts w:ascii="Arial" w:hAnsi="Arial" w:cs="Arial"/>
          <w:sz w:val="24"/>
          <w:szCs w:val="24"/>
        </w:rPr>
        <w:t>. Marriott also experienced negative working capital for all years, current liabilities would be higher than current assets for each year. But this is more typical of large hospitality firms who follow an asset-light business model, and is not proof of financial trouble. But stable operating cash flows, advanced payment from customers and recurring franchise and management fees allow Marriott to fund its day-to-day operations efficiently and also help it to keep its business highly liquid even in the face of a negative working capital figure</w:t>
      </w:r>
      <w:r w:rsidR="000F3C7B" w:rsidRPr="00997841">
        <w:rPr>
          <w:rFonts w:ascii="Arial" w:hAnsi="Arial" w:cs="Arial"/>
          <w:sz w:val="24"/>
          <w:szCs w:val="24"/>
        </w:rPr>
        <w:t xml:space="preserve"> (International Energy Agency, 2026a)</w:t>
      </w:r>
      <w:r w:rsidRPr="00997841">
        <w:rPr>
          <w:rFonts w:ascii="Arial" w:hAnsi="Arial" w:cs="Arial"/>
          <w:sz w:val="24"/>
          <w:szCs w:val="24"/>
        </w:rPr>
        <w:t>.</w:t>
      </w:r>
    </w:p>
    <w:p w14:paraId="7AE0CD2B" w14:textId="77777777" w:rsidR="000D50CB" w:rsidRPr="00997841" w:rsidRDefault="003E64B4" w:rsidP="00BC7E61">
      <w:pPr>
        <w:pStyle w:val="Heading2"/>
        <w:spacing w:line="360" w:lineRule="auto"/>
        <w:jc w:val="both"/>
        <w:rPr>
          <w:rFonts w:ascii="Arial" w:hAnsi="Arial" w:cs="Arial"/>
          <w:b/>
          <w:color w:val="auto"/>
          <w:sz w:val="24"/>
          <w:szCs w:val="24"/>
        </w:rPr>
      </w:pPr>
      <w:bookmarkStart w:id="7" w:name="_Toc236846127"/>
      <w:r>
        <w:rPr>
          <w:rFonts w:ascii="Arial" w:hAnsi="Arial" w:cs="Arial"/>
          <w:b/>
          <w:color w:val="auto"/>
          <w:sz w:val="24"/>
          <w:szCs w:val="24"/>
        </w:rPr>
        <w:t xml:space="preserve">2.2 </w:t>
      </w:r>
      <w:r w:rsidR="000D50CB" w:rsidRPr="00997841">
        <w:rPr>
          <w:rFonts w:ascii="Arial" w:hAnsi="Arial" w:cs="Arial"/>
          <w:b/>
          <w:color w:val="auto"/>
          <w:sz w:val="24"/>
          <w:szCs w:val="24"/>
        </w:rPr>
        <w:t>Strategies to improve liquidity through working capital reforms</w:t>
      </w:r>
      <w:bookmarkEnd w:id="7"/>
    </w:p>
    <w:p w14:paraId="1D2BF444"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Strengthen Receivables Collection through Digital Payment Systems</w:t>
      </w:r>
    </w:p>
    <w:p w14:paraId="3A46A21B" w14:textId="77777777" w:rsidR="00883EA6"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 xml:space="preserve">Marriott is needed to further improve its receivables management by introducing more digital invoicing, automated payment reminders and real-time payment tracking for </w:t>
      </w:r>
      <w:r w:rsidRPr="00997841">
        <w:rPr>
          <w:rFonts w:ascii="Arial" w:hAnsi="Arial" w:cs="Arial"/>
          <w:sz w:val="24"/>
          <w:szCs w:val="24"/>
        </w:rPr>
        <w:lastRenderedPageBreak/>
        <w:t>corporate customers, travel agencies and franchisees. The company can also create incentives for early payment to induce early settlements</w:t>
      </w:r>
      <w:r w:rsidR="00B373E8" w:rsidRPr="00997841">
        <w:rPr>
          <w:rFonts w:ascii="Arial" w:hAnsi="Arial" w:cs="Arial"/>
        </w:rPr>
        <w:t xml:space="preserve"> </w:t>
      </w:r>
      <w:r w:rsidR="00B373E8" w:rsidRPr="00997841">
        <w:rPr>
          <w:rFonts w:ascii="Arial" w:hAnsi="Arial" w:cs="Arial"/>
          <w:sz w:val="24"/>
          <w:szCs w:val="24"/>
        </w:rPr>
        <w:t>(Marriott International, 2025f)</w:t>
      </w:r>
      <w:r w:rsidRPr="00997841">
        <w:rPr>
          <w:rFonts w:ascii="Arial" w:hAnsi="Arial" w:cs="Arial"/>
          <w:sz w:val="24"/>
          <w:szCs w:val="24"/>
        </w:rPr>
        <w:t>. Further decreasing the average collection period would reduce the time between the sales and the receipt of cash, which would lead to better liquidity, a decrease in short-term financing requirements and the availability of more resources for covering the daily operations and future investments. In 2025, the average collection period was 11.70 days.</w:t>
      </w:r>
    </w:p>
    <w:p w14:paraId="42C5B1A3"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Optimise Supplier Payment Terms</w:t>
      </w:r>
    </w:p>
    <w:p w14:paraId="353C8D29" w14:textId="77777777" w:rsidR="00883EA6"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Marriott should have an ongoing strong relationship with its strategic suppliers, negotiate longer and more flexible payment terms, and ensure good service. Global purchasing power can be used to ensure the supply chain is not impacted by using it for negotiated, favourable credit terms</w:t>
      </w:r>
      <w:r w:rsidR="00B373E8" w:rsidRPr="00997841">
        <w:rPr>
          <w:rFonts w:ascii="Arial" w:hAnsi="Arial" w:cs="Arial"/>
        </w:rPr>
        <w:t xml:space="preserve"> </w:t>
      </w:r>
      <w:r w:rsidR="00B373E8" w:rsidRPr="00997841">
        <w:rPr>
          <w:rFonts w:ascii="Arial" w:hAnsi="Arial" w:cs="Arial"/>
          <w:sz w:val="24"/>
          <w:szCs w:val="24"/>
        </w:rPr>
        <w:t>(Marriott International, 2025g)</w:t>
      </w:r>
      <w:r w:rsidRPr="00997841">
        <w:rPr>
          <w:rFonts w:ascii="Arial" w:hAnsi="Arial" w:cs="Arial"/>
          <w:sz w:val="24"/>
          <w:szCs w:val="24"/>
        </w:rPr>
        <w:t>. The company is currently in a negative cash conversion cycle, but the effective extension of the average payment period would allow Marriott to hold onto cash longer, bolster the working capital ratio, boost short-term liquidity and improve cash flow flexibility during tough economic times.</w:t>
      </w:r>
    </w:p>
    <w:p w14:paraId="6F003AA7"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Improve Cash Forecasting and Working Capital Monitoring</w:t>
      </w:r>
    </w:p>
    <w:p w14:paraId="76D713EC" w14:textId="77777777" w:rsidR="003A5AFF"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To gain better visibility across its global operations, Marriott needs to adopt cash forecasting systems that leverage AI and a centralised treasury management solution. Precise forecasting would enable management to plan ahead for variations in hotel demand, recognise possible liquidity problems before they arise and make better use of excess cash in the various business units</w:t>
      </w:r>
      <w:r w:rsidR="00B373E8" w:rsidRPr="00997841">
        <w:rPr>
          <w:rFonts w:ascii="Arial" w:hAnsi="Arial" w:cs="Arial"/>
        </w:rPr>
        <w:t xml:space="preserve"> </w:t>
      </w:r>
      <w:r w:rsidR="00B373E8" w:rsidRPr="00997841">
        <w:rPr>
          <w:rFonts w:ascii="Arial" w:hAnsi="Arial" w:cs="Arial"/>
          <w:sz w:val="24"/>
          <w:szCs w:val="24"/>
        </w:rPr>
        <w:t>(Marriott International, 2025h)</w:t>
      </w:r>
      <w:r w:rsidRPr="00997841">
        <w:rPr>
          <w:rFonts w:ascii="Arial" w:hAnsi="Arial" w:cs="Arial"/>
          <w:sz w:val="24"/>
          <w:szCs w:val="24"/>
        </w:rPr>
        <w:t>. The strategy would help to keep cash balances low, ensure efficient working capital usage, lower financing expenses, and enhance Marriott's liquidity position to allow for sustainable growth in the long run</w:t>
      </w:r>
      <w:r w:rsidR="000F3C7B" w:rsidRPr="00997841">
        <w:rPr>
          <w:rFonts w:ascii="Arial" w:hAnsi="Arial" w:cs="Arial"/>
          <w:sz w:val="24"/>
          <w:szCs w:val="24"/>
        </w:rPr>
        <w:t xml:space="preserve"> (New York Stock Exchange, 2026a)</w:t>
      </w:r>
      <w:r w:rsidRPr="00997841">
        <w:rPr>
          <w:rFonts w:ascii="Arial" w:hAnsi="Arial" w:cs="Arial"/>
          <w:sz w:val="24"/>
          <w:szCs w:val="24"/>
        </w:rPr>
        <w:t>.</w:t>
      </w:r>
    </w:p>
    <w:p w14:paraId="34243D4C" w14:textId="77777777" w:rsidR="000D50CB" w:rsidRPr="00997841" w:rsidRDefault="003E64B4" w:rsidP="00BC7E61">
      <w:pPr>
        <w:pStyle w:val="Heading2"/>
        <w:spacing w:line="360" w:lineRule="auto"/>
        <w:jc w:val="both"/>
        <w:rPr>
          <w:rFonts w:ascii="Arial" w:hAnsi="Arial" w:cs="Arial"/>
          <w:b/>
          <w:color w:val="auto"/>
          <w:sz w:val="24"/>
          <w:szCs w:val="24"/>
        </w:rPr>
      </w:pPr>
      <w:bookmarkStart w:id="8" w:name="_Toc236846128"/>
      <w:r>
        <w:rPr>
          <w:rFonts w:ascii="Arial" w:hAnsi="Arial" w:cs="Arial"/>
          <w:b/>
          <w:color w:val="auto"/>
          <w:sz w:val="24"/>
          <w:szCs w:val="24"/>
        </w:rPr>
        <w:t xml:space="preserve">2.3 </w:t>
      </w:r>
      <w:r w:rsidR="000D50CB" w:rsidRPr="00997841">
        <w:rPr>
          <w:rFonts w:ascii="Arial" w:hAnsi="Arial" w:cs="Arial"/>
          <w:b/>
          <w:color w:val="auto"/>
          <w:sz w:val="24"/>
          <w:szCs w:val="24"/>
        </w:rPr>
        <w:t>Short-term vs long-term financing options</w:t>
      </w:r>
      <w:bookmarkEnd w:id="8"/>
    </w:p>
    <w:p w14:paraId="6D504A20"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Short-Term Financing Options</w:t>
      </w:r>
    </w:p>
    <w:p w14:paraId="3C388C56"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Bank Overdrafts and Short-Term Loans</w:t>
      </w:r>
    </w:p>
    <w:p w14:paraId="606C897F" w14:textId="77777777" w:rsidR="00883EA6"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 xml:space="preserve">To cover seasonal working capital requirements and daily operating costs, Marriott has bank overdrafts and short-term loans. These are the financing methods that can easily give access to cash and enhance liquidity in instances of changing demand for </w:t>
      </w:r>
      <w:r w:rsidRPr="00997841">
        <w:rPr>
          <w:rFonts w:ascii="Arial" w:hAnsi="Arial" w:cs="Arial"/>
          <w:sz w:val="24"/>
          <w:szCs w:val="24"/>
        </w:rPr>
        <w:lastRenderedPageBreak/>
        <w:t>hotel rooms</w:t>
      </w:r>
      <w:r w:rsidR="00B373E8" w:rsidRPr="00997841">
        <w:rPr>
          <w:rFonts w:ascii="Arial" w:hAnsi="Arial" w:cs="Arial"/>
        </w:rPr>
        <w:t xml:space="preserve"> </w:t>
      </w:r>
      <w:r w:rsidR="00B373E8" w:rsidRPr="00997841">
        <w:rPr>
          <w:rFonts w:ascii="Arial" w:hAnsi="Arial" w:cs="Arial"/>
          <w:sz w:val="24"/>
          <w:szCs w:val="24"/>
        </w:rPr>
        <w:t>(Marriott International, 2025i)</w:t>
      </w:r>
      <w:r w:rsidRPr="00997841">
        <w:rPr>
          <w:rFonts w:ascii="Arial" w:hAnsi="Arial" w:cs="Arial"/>
          <w:sz w:val="24"/>
          <w:szCs w:val="24"/>
        </w:rPr>
        <w:t>. They do have higher interest costs, though, when used over a long period of time.</w:t>
      </w:r>
    </w:p>
    <w:p w14:paraId="3EE3A733"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Trade Credit</w:t>
      </w:r>
    </w:p>
    <w:p w14:paraId="3E92361B" w14:textId="77777777" w:rsidR="00883EA6"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Through trade credit, Marriott are able to postpone paying suppliers, and continue to run their business normally. This enhances short term cash flow without additional borrowing. Relying too heavily on supplier's credit may have a negative impact on supplier relations and credit terms</w:t>
      </w:r>
      <w:r w:rsidR="00B373E8" w:rsidRPr="00997841">
        <w:rPr>
          <w:rFonts w:ascii="Arial" w:hAnsi="Arial" w:cs="Arial"/>
        </w:rPr>
        <w:t xml:space="preserve"> </w:t>
      </w:r>
      <w:r w:rsidR="00B373E8" w:rsidRPr="00997841">
        <w:rPr>
          <w:rFonts w:ascii="Arial" w:hAnsi="Arial" w:cs="Arial"/>
          <w:sz w:val="24"/>
          <w:szCs w:val="24"/>
        </w:rPr>
        <w:t>(U.S. Securities and Exchange Commission, 2026a)</w:t>
      </w:r>
      <w:r w:rsidRPr="00997841">
        <w:rPr>
          <w:rFonts w:ascii="Arial" w:hAnsi="Arial" w:cs="Arial"/>
          <w:sz w:val="24"/>
          <w:szCs w:val="24"/>
        </w:rPr>
        <w:t>.</w:t>
      </w:r>
    </w:p>
    <w:p w14:paraId="0A3276D7"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Long-Term Financing Options</w:t>
      </w:r>
    </w:p>
    <w:p w14:paraId="4D05BF17"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Long-Term Debt</w:t>
      </w:r>
    </w:p>
    <w:p w14:paraId="7080BCE7" w14:textId="77777777" w:rsidR="00883EA6"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Hotel expansion, technology investment and international expansion require stable, long-term capital, which is provided by long-term loans and corporate bonds. They enable Marriott to reduce the amount of capital the company has to invest now, but lead to more interest payments and risk</w:t>
      </w:r>
      <w:r w:rsidR="00B373E8" w:rsidRPr="00997841">
        <w:rPr>
          <w:rFonts w:ascii="Arial" w:hAnsi="Arial" w:cs="Arial"/>
        </w:rPr>
        <w:t xml:space="preserve"> </w:t>
      </w:r>
      <w:r w:rsidR="00B373E8" w:rsidRPr="00997841">
        <w:rPr>
          <w:rFonts w:ascii="Arial" w:hAnsi="Arial" w:cs="Arial"/>
          <w:sz w:val="24"/>
          <w:szCs w:val="24"/>
        </w:rPr>
        <w:t>(IFRS Foundation, 2026a)</w:t>
      </w:r>
      <w:r w:rsidRPr="00997841">
        <w:rPr>
          <w:rFonts w:ascii="Arial" w:hAnsi="Arial" w:cs="Arial"/>
          <w:sz w:val="24"/>
          <w:szCs w:val="24"/>
        </w:rPr>
        <w:t>.</w:t>
      </w:r>
    </w:p>
    <w:p w14:paraId="15DBEB2C"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Equity Financing</w:t>
      </w:r>
    </w:p>
    <w:p w14:paraId="30D9B733" w14:textId="77777777" w:rsidR="00883EA6"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By issuing equity shares, Marriott can supplement its financial resources without adding to its debt, which will enhance its financial flexibility for future investments. But the process can reduce the stockholders' ownership and EPS</w:t>
      </w:r>
      <w:r w:rsidR="00B373E8" w:rsidRPr="00997841">
        <w:rPr>
          <w:rFonts w:ascii="Arial" w:hAnsi="Arial" w:cs="Arial"/>
        </w:rPr>
        <w:t xml:space="preserve"> </w:t>
      </w:r>
      <w:r w:rsidR="00B373E8" w:rsidRPr="00997841">
        <w:rPr>
          <w:rFonts w:ascii="Arial" w:hAnsi="Arial" w:cs="Arial"/>
          <w:sz w:val="24"/>
          <w:szCs w:val="24"/>
        </w:rPr>
        <w:t>(IFRS Foundation, 2026b)</w:t>
      </w:r>
      <w:r w:rsidRPr="00997841">
        <w:rPr>
          <w:rFonts w:ascii="Arial" w:hAnsi="Arial" w:cs="Arial"/>
          <w:sz w:val="24"/>
          <w:szCs w:val="24"/>
        </w:rPr>
        <w:t>.</w:t>
      </w:r>
    </w:p>
    <w:p w14:paraId="2B55EC8E" w14:textId="77777777" w:rsidR="003A5AFF" w:rsidRPr="00997841" w:rsidRDefault="003A5AFF" w:rsidP="00BC7E61">
      <w:pPr>
        <w:spacing w:line="360" w:lineRule="auto"/>
        <w:jc w:val="both"/>
        <w:rPr>
          <w:rFonts w:ascii="Arial" w:hAnsi="Arial" w:cs="Arial"/>
          <w:sz w:val="24"/>
          <w:szCs w:val="24"/>
        </w:rPr>
      </w:pPr>
    </w:p>
    <w:p w14:paraId="1A60D2F0" w14:textId="77777777" w:rsidR="00883EA6" w:rsidRPr="00997841" w:rsidRDefault="00883EA6" w:rsidP="00BC7E61">
      <w:pPr>
        <w:spacing w:line="360" w:lineRule="auto"/>
        <w:jc w:val="both"/>
        <w:rPr>
          <w:rFonts w:ascii="Arial" w:eastAsiaTheme="majorEastAsia" w:hAnsi="Arial" w:cs="Arial"/>
          <w:b/>
          <w:sz w:val="24"/>
          <w:szCs w:val="24"/>
        </w:rPr>
      </w:pPr>
      <w:r w:rsidRPr="00997841">
        <w:rPr>
          <w:rFonts w:ascii="Arial" w:hAnsi="Arial" w:cs="Arial"/>
          <w:b/>
          <w:sz w:val="24"/>
          <w:szCs w:val="24"/>
        </w:rPr>
        <w:br w:type="page"/>
      </w:r>
    </w:p>
    <w:p w14:paraId="0F890261" w14:textId="77777777" w:rsidR="003A5AFF" w:rsidRPr="00997841" w:rsidRDefault="003A5AFF" w:rsidP="00BC7E61">
      <w:pPr>
        <w:pStyle w:val="Heading1"/>
        <w:spacing w:line="360" w:lineRule="auto"/>
        <w:jc w:val="both"/>
        <w:rPr>
          <w:rFonts w:ascii="Arial" w:hAnsi="Arial" w:cs="Arial"/>
          <w:b/>
          <w:color w:val="auto"/>
          <w:sz w:val="24"/>
          <w:szCs w:val="24"/>
        </w:rPr>
      </w:pPr>
      <w:bookmarkStart w:id="9" w:name="_Toc236846129"/>
      <w:r w:rsidRPr="00997841">
        <w:rPr>
          <w:rFonts w:ascii="Arial" w:hAnsi="Arial" w:cs="Arial"/>
          <w:b/>
          <w:color w:val="auto"/>
          <w:sz w:val="24"/>
          <w:szCs w:val="24"/>
        </w:rPr>
        <w:lastRenderedPageBreak/>
        <w:t>3. Strategic Financial Restructuring Plan</w:t>
      </w:r>
      <w:bookmarkEnd w:id="9"/>
      <w:r w:rsidRPr="00997841">
        <w:rPr>
          <w:rFonts w:ascii="Arial" w:hAnsi="Arial" w:cs="Arial"/>
          <w:b/>
          <w:color w:val="auto"/>
          <w:sz w:val="24"/>
          <w:szCs w:val="24"/>
        </w:rPr>
        <w:t xml:space="preserve"> </w:t>
      </w:r>
    </w:p>
    <w:p w14:paraId="162CF7C4" w14:textId="77777777" w:rsidR="003A5AFF" w:rsidRPr="00997841" w:rsidRDefault="003E64B4" w:rsidP="00BC7E61">
      <w:pPr>
        <w:pStyle w:val="Heading2"/>
        <w:spacing w:line="360" w:lineRule="auto"/>
        <w:jc w:val="both"/>
        <w:rPr>
          <w:rFonts w:ascii="Arial" w:hAnsi="Arial" w:cs="Arial"/>
          <w:b/>
          <w:color w:val="auto"/>
          <w:sz w:val="24"/>
          <w:szCs w:val="24"/>
        </w:rPr>
      </w:pPr>
      <w:bookmarkStart w:id="10" w:name="_Toc236846130"/>
      <w:r>
        <w:rPr>
          <w:rFonts w:ascii="Arial" w:hAnsi="Arial" w:cs="Arial"/>
          <w:b/>
          <w:color w:val="auto"/>
          <w:sz w:val="24"/>
          <w:szCs w:val="24"/>
        </w:rPr>
        <w:t>3.1</w:t>
      </w:r>
      <w:r w:rsidR="003A5AFF" w:rsidRPr="00997841">
        <w:rPr>
          <w:rFonts w:ascii="Arial" w:hAnsi="Arial" w:cs="Arial"/>
          <w:b/>
          <w:color w:val="auto"/>
          <w:sz w:val="24"/>
          <w:szCs w:val="24"/>
        </w:rPr>
        <w:t xml:space="preserve"> Recommend financial restructuring options (e.g., divestiture, merger, equity injection).</w:t>
      </w:r>
      <w:bookmarkEnd w:id="10"/>
    </w:p>
    <w:p w14:paraId="5629DA57"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Asset Divestiture</w:t>
      </w:r>
    </w:p>
    <w:p w14:paraId="1EAA2807" w14:textId="77777777" w:rsidR="00883EA6"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Marriott should sell out lost and/or non-core owned hotels and maintain an asset-light business model. Selling low performing assets will generate extra cash, reduce maintenance expenditure, enhance liquidity and enable more funds to be invested into high growth management and franchise operations, all of which will lead to increased revenue from US$13.86bn in 2021 through to US$27.46bn in 2025</w:t>
      </w:r>
      <w:r w:rsidR="00B373E8" w:rsidRPr="00997841">
        <w:rPr>
          <w:rFonts w:ascii="Arial" w:hAnsi="Arial" w:cs="Arial"/>
        </w:rPr>
        <w:t xml:space="preserve"> </w:t>
      </w:r>
      <w:r w:rsidR="00B373E8" w:rsidRPr="00997841">
        <w:rPr>
          <w:rFonts w:ascii="Arial" w:hAnsi="Arial" w:cs="Arial"/>
          <w:sz w:val="24"/>
          <w:szCs w:val="24"/>
        </w:rPr>
        <w:t>(OECD, 2026a)</w:t>
      </w:r>
      <w:r w:rsidRPr="00997841">
        <w:rPr>
          <w:rFonts w:ascii="Arial" w:hAnsi="Arial" w:cs="Arial"/>
          <w:sz w:val="24"/>
          <w:szCs w:val="24"/>
        </w:rPr>
        <w:t>.</w:t>
      </w:r>
    </w:p>
    <w:p w14:paraId="00CE6804"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Strategic Merger or Acquisition</w:t>
      </w:r>
    </w:p>
    <w:p w14:paraId="09792245" w14:textId="77777777" w:rsidR="00883EA6"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Marriott can enhance its international market through strategic acquisitions or strategic partnerships in other emerging markets of the tourism industry. Over the five years, the company's net profit rose from US$1.10 billion to US$3.41 billion, giving it financial strength to continue with the pursuit of value-creating acquisition with a view to augmenting the company's customer base, diversifying its revenue streams and strengthening its long-term competitiveness</w:t>
      </w:r>
      <w:r w:rsidR="00B373E8" w:rsidRPr="00997841">
        <w:rPr>
          <w:rFonts w:ascii="Arial" w:hAnsi="Arial" w:cs="Arial"/>
        </w:rPr>
        <w:t xml:space="preserve"> </w:t>
      </w:r>
      <w:r w:rsidR="00B373E8" w:rsidRPr="00997841">
        <w:rPr>
          <w:rFonts w:ascii="Arial" w:hAnsi="Arial" w:cs="Arial"/>
          <w:sz w:val="24"/>
          <w:szCs w:val="24"/>
        </w:rPr>
        <w:t>(World Bank, 2026a)</w:t>
      </w:r>
      <w:r w:rsidRPr="00997841">
        <w:rPr>
          <w:rFonts w:ascii="Arial" w:hAnsi="Arial" w:cs="Arial"/>
          <w:sz w:val="24"/>
          <w:szCs w:val="24"/>
        </w:rPr>
        <w:t>.</w:t>
      </w:r>
    </w:p>
    <w:p w14:paraId="0724691E"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Equity Injection</w:t>
      </w:r>
    </w:p>
    <w:p w14:paraId="1AE15DC8" w14:textId="77777777" w:rsidR="003A5AFF" w:rsidRPr="00997841" w:rsidRDefault="00883EA6" w:rsidP="000F3C7B">
      <w:pPr>
        <w:spacing w:line="360" w:lineRule="auto"/>
        <w:jc w:val="both"/>
        <w:rPr>
          <w:rFonts w:ascii="Arial" w:hAnsi="Arial" w:cs="Arial"/>
          <w:sz w:val="24"/>
          <w:szCs w:val="24"/>
        </w:rPr>
      </w:pPr>
      <w:r w:rsidRPr="00997841">
        <w:rPr>
          <w:rFonts w:ascii="Arial" w:hAnsi="Arial" w:cs="Arial"/>
        </w:rPr>
        <w:t>A limited equity injection by Marriott could be a potential strategy to improve its capital structure and financial leverage. The debt-to-assets ratio will stay above 1.12 in 2021-2025, which means additional equity will reduce the dependency on debt financing, enhance financial flexibility, and support investment in digital transformation, sustainability and future international expansion without adding significant debt</w:t>
      </w:r>
      <w:r w:rsidR="000F3C7B" w:rsidRPr="00997841">
        <w:rPr>
          <w:rFonts w:ascii="Arial" w:hAnsi="Arial" w:cs="Arial"/>
        </w:rPr>
        <w:t xml:space="preserve"> </w:t>
      </w:r>
      <w:r w:rsidR="000F3C7B" w:rsidRPr="00997841">
        <w:rPr>
          <w:rFonts w:ascii="Arial" w:hAnsi="Arial" w:cs="Arial"/>
          <w:sz w:val="24"/>
          <w:szCs w:val="24"/>
        </w:rPr>
        <w:t>(Nasdaq, 2026a)</w:t>
      </w:r>
      <w:r w:rsidRPr="00997841">
        <w:rPr>
          <w:rFonts w:ascii="Arial" w:hAnsi="Arial" w:cs="Arial"/>
        </w:rPr>
        <w:t>.</w:t>
      </w:r>
    </w:p>
    <w:p w14:paraId="52D7947D" w14:textId="77777777" w:rsidR="003A5AFF" w:rsidRPr="00997841" w:rsidRDefault="003E64B4" w:rsidP="00BC7E61">
      <w:pPr>
        <w:pStyle w:val="Heading2"/>
        <w:spacing w:line="360" w:lineRule="auto"/>
        <w:jc w:val="both"/>
        <w:rPr>
          <w:rFonts w:ascii="Arial" w:hAnsi="Arial" w:cs="Arial"/>
          <w:b/>
          <w:color w:val="auto"/>
          <w:sz w:val="24"/>
          <w:szCs w:val="24"/>
        </w:rPr>
      </w:pPr>
      <w:bookmarkStart w:id="11" w:name="_Toc236846131"/>
      <w:r>
        <w:rPr>
          <w:rFonts w:ascii="Arial" w:hAnsi="Arial" w:cs="Arial"/>
          <w:b/>
          <w:color w:val="auto"/>
          <w:sz w:val="24"/>
          <w:szCs w:val="24"/>
        </w:rPr>
        <w:t>3.2</w:t>
      </w:r>
      <w:r w:rsidR="003A5AFF" w:rsidRPr="00997841">
        <w:rPr>
          <w:rFonts w:ascii="Arial" w:hAnsi="Arial" w:cs="Arial"/>
          <w:b/>
          <w:color w:val="auto"/>
          <w:sz w:val="24"/>
          <w:szCs w:val="24"/>
        </w:rPr>
        <w:t xml:space="preserve"> Evaluate impact on shareholder value, debt structure, and operational flexibility.</w:t>
      </w:r>
      <w:bookmarkEnd w:id="11"/>
    </w:p>
    <w:p w14:paraId="336864E7"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Impact on Shareholder Value</w:t>
      </w:r>
    </w:p>
    <w:p w14:paraId="46F3B9D9" w14:textId="77777777" w:rsidR="00883EA6"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The changes would be beneficial for the shareholders in terms of improving profitability, cash flows and facilitate sustainable business growth. In 2021, Marriott's earnings per share grew from US$3.28 to US$12.18, and the dividend per share rose from US$0.81 to US$3.39, creating solid value</w:t>
      </w:r>
      <w:r w:rsidR="00B373E8" w:rsidRPr="00997841">
        <w:rPr>
          <w:rFonts w:ascii="Arial" w:hAnsi="Arial" w:cs="Arial"/>
        </w:rPr>
        <w:t xml:space="preserve"> </w:t>
      </w:r>
      <w:r w:rsidR="00B373E8" w:rsidRPr="00997841">
        <w:rPr>
          <w:rFonts w:ascii="Arial" w:hAnsi="Arial" w:cs="Arial"/>
          <w:sz w:val="24"/>
          <w:szCs w:val="24"/>
        </w:rPr>
        <w:t>(International Monetary Fund, 2026a)</w:t>
      </w:r>
      <w:r w:rsidRPr="00997841">
        <w:rPr>
          <w:rFonts w:ascii="Arial" w:hAnsi="Arial" w:cs="Arial"/>
          <w:sz w:val="24"/>
          <w:szCs w:val="24"/>
        </w:rPr>
        <w:t>. The sale of non-core assets and investment in high return projects would also provide further returns to the shareholders in the long run.</w:t>
      </w:r>
    </w:p>
    <w:p w14:paraId="0F2DA210"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lastRenderedPageBreak/>
        <w:t>Impact on Debt Structure</w:t>
      </w:r>
    </w:p>
    <w:p w14:paraId="64AEE653" w14:textId="77777777" w:rsidR="00883EA6"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A mix of asset divestment and equity financing would help improve the debt structure of Marriott by decreasing the amount of debt financing. Leverage rose slightly from 1.15 in 2021 to 1.12 in 2025, but it is relatively high. A decrease in debt would result in lower interest costs, a more positive balance sheet and better financial stability for the company in times of economic volatility</w:t>
      </w:r>
      <w:r w:rsidR="00B373E8" w:rsidRPr="00997841">
        <w:rPr>
          <w:rFonts w:ascii="Arial" w:hAnsi="Arial" w:cs="Arial"/>
        </w:rPr>
        <w:t xml:space="preserve"> </w:t>
      </w:r>
      <w:r w:rsidR="00B373E8" w:rsidRPr="00997841">
        <w:rPr>
          <w:rFonts w:ascii="Arial" w:hAnsi="Arial" w:cs="Arial"/>
          <w:sz w:val="24"/>
          <w:szCs w:val="24"/>
        </w:rPr>
        <w:t>(UN Tourism, 2026a)</w:t>
      </w:r>
      <w:r w:rsidRPr="00997841">
        <w:rPr>
          <w:rFonts w:ascii="Arial" w:hAnsi="Arial" w:cs="Arial"/>
          <w:sz w:val="24"/>
          <w:szCs w:val="24"/>
        </w:rPr>
        <w:t>.</w:t>
      </w:r>
    </w:p>
    <w:p w14:paraId="24C6E5EE" w14:textId="77777777" w:rsidR="00883EA6" w:rsidRPr="00997841" w:rsidRDefault="00883EA6" w:rsidP="00BC7E61">
      <w:pPr>
        <w:spacing w:line="360" w:lineRule="auto"/>
        <w:jc w:val="both"/>
        <w:rPr>
          <w:rFonts w:ascii="Arial" w:hAnsi="Arial" w:cs="Arial"/>
          <w:b/>
          <w:sz w:val="24"/>
          <w:szCs w:val="24"/>
        </w:rPr>
      </w:pPr>
      <w:r w:rsidRPr="00997841">
        <w:rPr>
          <w:rFonts w:ascii="Arial" w:hAnsi="Arial" w:cs="Arial"/>
          <w:b/>
          <w:sz w:val="24"/>
          <w:szCs w:val="24"/>
        </w:rPr>
        <w:t>Impact on Operational Flexibility</w:t>
      </w:r>
    </w:p>
    <w:p w14:paraId="7D6FA4E3" w14:textId="77777777" w:rsidR="003A5AFF" w:rsidRPr="00997841" w:rsidRDefault="00883EA6" w:rsidP="00B373E8">
      <w:pPr>
        <w:spacing w:line="360" w:lineRule="auto"/>
        <w:jc w:val="both"/>
        <w:rPr>
          <w:rFonts w:ascii="Arial" w:hAnsi="Arial" w:cs="Arial"/>
          <w:sz w:val="24"/>
          <w:szCs w:val="24"/>
        </w:rPr>
      </w:pPr>
      <w:r w:rsidRPr="00997841">
        <w:rPr>
          <w:rFonts w:ascii="Arial" w:hAnsi="Arial" w:cs="Arial"/>
          <w:sz w:val="24"/>
          <w:szCs w:val="24"/>
        </w:rPr>
        <w:t>The restructuring will leave the company with more flexibility in its operations by providing cash for technology investments, sustainability measures, and expansion into international markets. Marriott's free cash flow increased from US$2.22 billion in 2021 to US$2.96 billion in 2025, providing a strong financial base for strategic investments. In addition, more financial leeway will provide the company with the ability to better adapt to shifting customer demand and global market conditions</w:t>
      </w:r>
      <w:r w:rsidR="00B373E8" w:rsidRPr="00997841">
        <w:rPr>
          <w:rFonts w:ascii="Arial" w:hAnsi="Arial" w:cs="Arial"/>
        </w:rPr>
        <w:t xml:space="preserve"> </w:t>
      </w:r>
      <w:r w:rsidR="00B373E8" w:rsidRPr="00997841">
        <w:rPr>
          <w:rFonts w:ascii="Arial" w:hAnsi="Arial" w:cs="Arial"/>
          <w:sz w:val="24"/>
          <w:szCs w:val="24"/>
        </w:rPr>
        <w:t>(Federal Reserve Bank of St. Louis, 2026a)</w:t>
      </w:r>
      <w:r w:rsidRPr="00997841">
        <w:rPr>
          <w:rFonts w:ascii="Arial" w:hAnsi="Arial" w:cs="Arial"/>
          <w:sz w:val="24"/>
          <w:szCs w:val="24"/>
        </w:rPr>
        <w:t>.</w:t>
      </w:r>
    </w:p>
    <w:p w14:paraId="3F1598F8" w14:textId="77777777" w:rsidR="003A5AFF" w:rsidRPr="00997841" w:rsidRDefault="003E64B4" w:rsidP="00BC7E61">
      <w:pPr>
        <w:pStyle w:val="Heading2"/>
        <w:spacing w:line="360" w:lineRule="auto"/>
        <w:jc w:val="both"/>
        <w:rPr>
          <w:rFonts w:ascii="Arial" w:hAnsi="Arial" w:cs="Arial"/>
          <w:b/>
          <w:color w:val="auto"/>
          <w:sz w:val="24"/>
          <w:szCs w:val="24"/>
        </w:rPr>
      </w:pPr>
      <w:bookmarkStart w:id="12" w:name="_Toc236846132"/>
      <w:r>
        <w:rPr>
          <w:rFonts w:ascii="Arial" w:hAnsi="Arial" w:cs="Arial"/>
          <w:b/>
          <w:color w:val="auto"/>
          <w:sz w:val="24"/>
          <w:szCs w:val="24"/>
        </w:rPr>
        <w:t>3.3</w:t>
      </w:r>
      <w:r w:rsidR="003A5AFF" w:rsidRPr="00997841">
        <w:rPr>
          <w:rFonts w:ascii="Arial" w:hAnsi="Arial" w:cs="Arial"/>
          <w:b/>
          <w:color w:val="auto"/>
          <w:sz w:val="24"/>
          <w:szCs w:val="24"/>
        </w:rPr>
        <w:t xml:space="preserve"> Include international and ethical considerations (taxation, currency risk, inflation, CSR or ESG).</w:t>
      </w:r>
      <w:bookmarkEnd w:id="12"/>
    </w:p>
    <w:p w14:paraId="3A9A295A" w14:textId="77777777" w:rsidR="0047217B" w:rsidRPr="00997841" w:rsidRDefault="0047217B" w:rsidP="00BC7E61">
      <w:pPr>
        <w:spacing w:line="360" w:lineRule="auto"/>
        <w:jc w:val="both"/>
        <w:rPr>
          <w:rFonts w:ascii="Arial" w:hAnsi="Arial" w:cs="Arial"/>
          <w:b/>
          <w:sz w:val="24"/>
          <w:szCs w:val="24"/>
        </w:rPr>
      </w:pPr>
      <w:r w:rsidRPr="00997841">
        <w:rPr>
          <w:rFonts w:ascii="Arial" w:hAnsi="Arial" w:cs="Arial"/>
          <w:b/>
          <w:sz w:val="24"/>
          <w:szCs w:val="24"/>
        </w:rPr>
        <w:t>Taxation Considerations</w:t>
      </w:r>
    </w:p>
    <w:p w14:paraId="47313192" w14:textId="77777777" w:rsidR="0047217B" w:rsidRPr="00997841" w:rsidRDefault="0047217B" w:rsidP="00B373E8">
      <w:pPr>
        <w:spacing w:line="360" w:lineRule="auto"/>
        <w:jc w:val="both"/>
        <w:rPr>
          <w:rFonts w:ascii="Arial" w:hAnsi="Arial" w:cs="Arial"/>
          <w:sz w:val="24"/>
          <w:szCs w:val="24"/>
        </w:rPr>
      </w:pPr>
      <w:r w:rsidRPr="00997841">
        <w:rPr>
          <w:rFonts w:ascii="Arial" w:hAnsi="Arial" w:cs="Arial"/>
          <w:sz w:val="24"/>
          <w:szCs w:val="24"/>
        </w:rPr>
        <w:t>Transfer price rules and corporate tax laws of markets in which Marriott does business apply to its business activities. The restructuring strategy should be aligned with the goal of ensuring tax compliance and optimize tax efficiency by the use of appropriate legal structures and existing tax incentives</w:t>
      </w:r>
      <w:r w:rsidR="00B373E8" w:rsidRPr="00997841">
        <w:rPr>
          <w:rFonts w:ascii="Arial" w:hAnsi="Arial" w:cs="Arial"/>
        </w:rPr>
        <w:t xml:space="preserve"> </w:t>
      </w:r>
      <w:r w:rsidR="00B373E8" w:rsidRPr="00997841">
        <w:rPr>
          <w:rFonts w:ascii="Arial" w:hAnsi="Arial" w:cs="Arial"/>
          <w:sz w:val="24"/>
          <w:szCs w:val="24"/>
        </w:rPr>
        <w:t>(Trading Economics, 2026a)</w:t>
      </w:r>
      <w:r w:rsidRPr="00997841">
        <w:rPr>
          <w:rFonts w:ascii="Arial" w:hAnsi="Arial" w:cs="Arial"/>
          <w:sz w:val="24"/>
          <w:szCs w:val="24"/>
        </w:rPr>
        <w:t>. With effective tax planning, one can lower operating costs, increase after-tax profits, and maintain the reserve capacity for future investments at the same time, without breaking any rules.</w:t>
      </w:r>
    </w:p>
    <w:p w14:paraId="454779A4" w14:textId="77777777" w:rsidR="0047217B" w:rsidRPr="00997841" w:rsidRDefault="0047217B" w:rsidP="00BC7E61">
      <w:pPr>
        <w:spacing w:line="360" w:lineRule="auto"/>
        <w:jc w:val="both"/>
        <w:rPr>
          <w:rFonts w:ascii="Arial" w:hAnsi="Arial" w:cs="Arial"/>
          <w:b/>
          <w:sz w:val="24"/>
          <w:szCs w:val="24"/>
        </w:rPr>
      </w:pPr>
      <w:r w:rsidRPr="00997841">
        <w:rPr>
          <w:rFonts w:ascii="Arial" w:hAnsi="Arial" w:cs="Arial"/>
          <w:b/>
          <w:sz w:val="24"/>
          <w:szCs w:val="24"/>
        </w:rPr>
        <w:t>Currency Risk</w:t>
      </w:r>
    </w:p>
    <w:p w14:paraId="62126CFB" w14:textId="77777777" w:rsidR="0047217B" w:rsidRPr="00997841" w:rsidRDefault="0047217B" w:rsidP="00B373E8">
      <w:pPr>
        <w:spacing w:line="360" w:lineRule="auto"/>
        <w:jc w:val="both"/>
        <w:rPr>
          <w:rFonts w:ascii="Arial" w:hAnsi="Arial" w:cs="Arial"/>
          <w:sz w:val="24"/>
          <w:szCs w:val="24"/>
        </w:rPr>
      </w:pPr>
      <w:r w:rsidRPr="00997841">
        <w:rPr>
          <w:rFonts w:ascii="Arial" w:hAnsi="Arial" w:cs="Arial"/>
          <w:sz w:val="24"/>
          <w:szCs w:val="24"/>
        </w:rPr>
        <w:t>The Marriott business has a substantial international component and is thus subject to foreign exchange risk. When overseas earnings are converted into dollars, a depreciation of currency in key markets can lower the value of the earnings, impacting the profitability of the venture</w:t>
      </w:r>
      <w:r w:rsidR="00B373E8" w:rsidRPr="00997841">
        <w:rPr>
          <w:rFonts w:ascii="Arial" w:hAnsi="Arial" w:cs="Arial"/>
        </w:rPr>
        <w:t xml:space="preserve"> </w:t>
      </w:r>
      <w:r w:rsidR="00B373E8" w:rsidRPr="00997841">
        <w:rPr>
          <w:rFonts w:ascii="Arial" w:hAnsi="Arial" w:cs="Arial"/>
          <w:sz w:val="24"/>
          <w:szCs w:val="24"/>
        </w:rPr>
        <w:t>(Statista, 2026a)</w:t>
      </w:r>
      <w:r w:rsidRPr="00997841">
        <w:rPr>
          <w:rFonts w:ascii="Arial" w:hAnsi="Arial" w:cs="Arial"/>
          <w:sz w:val="24"/>
          <w:szCs w:val="24"/>
        </w:rPr>
        <w:t xml:space="preserve">. To limit this risk, Marriott should persist in utilizing hedging devices, such as forward contracts, and spread its revenue </w:t>
      </w:r>
      <w:r w:rsidRPr="00997841">
        <w:rPr>
          <w:rFonts w:ascii="Arial" w:hAnsi="Arial" w:cs="Arial"/>
          <w:sz w:val="24"/>
          <w:szCs w:val="24"/>
        </w:rPr>
        <w:lastRenderedPageBreak/>
        <w:t>amongst various geographic regions in order to minimize its reliance on any one particular currency.</w:t>
      </w:r>
    </w:p>
    <w:p w14:paraId="77EBC24E" w14:textId="77777777" w:rsidR="0047217B" w:rsidRPr="00997841" w:rsidRDefault="0047217B" w:rsidP="00BC7E61">
      <w:pPr>
        <w:spacing w:line="360" w:lineRule="auto"/>
        <w:jc w:val="both"/>
        <w:rPr>
          <w:rFonts w:ascii="Arial" w:hAnsi="Arial" w:cs="Arial"/>
          <w:b/>
          <w:sz w:val="24"/>
          <w:szCs w:val="24"/>
        </w:rPr>
      </w:pPr>
      <w:r w:rsidRPr="00997841">
        <w:rPr>
          <w:rFonts w:ascii="Arial" w:hAnsi="Arial" w:cs="Arial"/>
          <w:b/>
          <w:sz w:val="24"/>
          <w:szCs w:val="24"/>
        </w:rPr>
        <w:t>Inflation Risk</w:t>
      </w:r>
    </w:p>
    <w:p w14:paraId="2A8A2478" w14:textId="77777777" w:rsidR="0047217B" w:rsidRPr="00997841" w:rsidRDefault="0047217B" w:rsidP="00B373E8">
      <w:pPr>
        <w:spacing w:line="360" w:lineRule="auto"/>
        <w:jc w:val="both"/>
        <w:rPr>
          <w:rFonts w:ascii="Arial" w:hAnsi="Arial" w:cs="Arial"/>
          <w:sz w:val="24"/>
          <w:szCs w:val="24"/>
        </w:rPr>
      </w:pPr>
      <w:r w:rsidRPr="00997841">
        <w:rPr>
          <w:rFonts w:ascii="Arial" w:hAnsi="Arial" w:cs="Arial"/>
          <w:sz w:val="24"/>
          <w:szCs w:val="24"/>
        </w:rPr>
        <w:t>During the past several years, global inflation has raised utility costs, hotel operating costs, food costs, and labour costs. Despite a rising revenue figure from US$13.86 billion in 2021 to US$27.46 billion in 2025, if operating costs keep increasing at a higher rate than Marriott's revenue, this could have a negative effect on the company's profit margins. In order to balance inflationary costs with service quality, the company should beef up its cost control, enhance operational efficiencies, and embrace technology-based automation</w:t>
      </w:r>
      <w:r w:rsidR="00B373E8" w:rsidRPr="00997841">
        <w:rPr>
          <w:rFonts w:ascii="Arial" w:hAnsi="Arial" w:cs="Arial"/>
        </w:rPr>
        <w:t xml:space="preserve"> </w:t>
      </w:r>
      <w:r w:rsidR="00B373E8" w:rsidRPr="00997841">
        <w:rPr>
          <w:rFonts w:ascii="Arial" w:hAnsi="Arial" w:cs="Arial"/>
          <w:sz w:val="24"/>
          <w:szCs w:val="24"/>
        </w:rPr>
        <w:t>(PwC, 2025a)</w:t>
      </w:r>
      <w:r w:rsidRPr="00997841">
        <w:rPr>
          <w:rFonts w:ascii="Arial" w:hAnsi="Arial" w:cs="Arial"/>
          <w:sz w:val="24"/>
          <w:szCs w:val="24"/>
        </w:rPr>
        <w:t>.</w:t>
      </w:r>
    </w:p>
    <w:p w14:paraId="10A5EC6F" w14:textId="77777777" w:rsidR="0047217B" w:rsidRPr="00997841" w:rsidRDefault="0047217B" w:rsidP="00BC7E61">
      <w:pPr>
        <w:spacing w:line="360" w:lineRule="auto"/>
        <w:jc w:val="both"/>
        <w:rPr>
          <w:rFonts w:ascii="Arial" w:hAnsi="Arial" w:cs="Arial"/>
          <w:b/>
          <w:sz w:val="24"/>
          <w:szCs w:val="24"/>
        </w:rPr>
      </w:pPr>
      <w:r w:rsidRPr="00997841">
        <w:rPr>
          <w:rFonts w:ascii="Arial" w:hAnsi="Arial" w:cs="Arial"/>
          <w:b/>
          <w:sz w:val="24"/>
          <w:szCs w:val="24"/>
        </w:rPr>
        <w:t>CSR and ESG Considerations</w:t>
      </w:r>
    </w:p>
    <w:p w14:paraId="486C13D3" w14:textId="77777777" w:rsidR="0047217B" w:rsidRPr="00997841" w:rsidRDefault="0047217B" w:rsidP="00B373E8">
      <w:pPr>
        <w:spacing w:line="360" w:lineRule="auto"/>
        <w:jc w:val="both"/>
        <w:rPr>
          <w:rFonts w:ascii="Arial" w:hAnsi="Arial" w:cs="Arial"/>
          <w:sz w:val="24"/>
          <w:szCs w:val="24"/>
        </w:rPr>
      </w:pPr>
      <w:r w:rsidRPr="00997841">
        <w:rPr>
          <w:rFonts w:ascii="Arial" w:hAnsi="Arial" w:cs="Arial"/>
          <w:sz w:val="24"/>
          <w:szCs w:val="24"/>
        </w:rPr>
        <w:t>Financial restructuring should be done in alignment with Marriott's Corporate Social Responsibility (CSR) and Environmental, Social and Governance (ESG) goals for sustainable long-term growth</w:t>
      </w:r>
      <w:r w:rsidR="00B373E8" w:rsidRPr="00997841">
        <w:rPr>
          <w:rFonts w:ascii="Arial" w:hAnsi="Arial" w:cs="Arial"/>
          <w:sz w:val="24"/>
          <w:szCs w:val="24"/>
        </w:rPr>
        <w:t xml:space="preserve"> (Yahoo Finance, 2026a)</w:t>
      </w:r>
      <w:r w:rsidRPr="00997841">
        <w:rPr>
          <w:rFonts w:ascii="Arial" w:hAnsi="Arial" w:cs="Arial"/>
          <w:sz w:val="24"/>
          <w:szCs w:val="24"/>
        </w:rPr>
        <w:t>. The focus of investment should go toward hotels that are energy efficient, reduce carbon emissions, have responsible sourcing and employee development programmes. Improving the ESG performance increases the brand's reputation, gains the environmental awareness of the customers and investors, and brings long-term value to the shareholders</w:t>
      </w:r>
      <w:r w:rsidR="00B373E8" w:rsidRPr="00997841">
        <w:rPr>
          <w:rFonts w:ascii="Arial" w:hAnsi="Arial" w:cs="Arial"/>
        </w:rPr>
        <w:t xml:space="preserve"> </w:t>
      </w:r>
      <w:r w:rsidR="00B373E8" w:rsidRPr="00997841">
        <w:rPr>
          <w:rFonts w:ascii="Arial" w:hAnsi="Arial" w:cs="Arial"/>
          <w:sz w:val="24"/>
          <w:szCs w:val="24"/>
        </w:rPr>
        <w:t>(PwC, 2026a)</w:t>
      </w:r>
      <w:r w:rsidRPr="00997841">
        <w:rPr>
          <w:rFonts w:ascii="Arial" w:hAnsi="Arial" w:cs="Arial"/>
          <w:sz w:val="24"/>
          <w:szCs w:val="24"/>
        </w:rPr>
        <w:t>. With the integration of ethical business practices into financial decision-making, Marriott can enhance the resiliency of their operations, keeping up with global sustainability standards and stakeholder expectations.</w:t>
      </w:r>
    </w:p>
    <w:p w14:paraId="754153A6" w14:textId="77777777" w:rsidR="003A5AFF" w:rsidRPr="00997841" w:rsidRDefault="003A5AFF" w:rsidP="00BC7E61">
      <w:pPr>
        <w:spacing w:line="360" w:lineRule="auto"/>
        <w:jc w:val="both"/>
        <w:rPr>
          <w:rFonts w:ascii="Arial" w:hAnsi="Arial" w:cs="Arial"/>
          <w:sz w:val="24"/>
          <w:szCs w:val="24"/>
        </w:rPr>
      </w:pPr>
    </w:p>
    <w:p w14:paraId="66330AE0" w14:textId="77777777" w:rsidR="00883EA6" w:rsidRPr="00997841" w:rsidRDefault="00883EA6" w:rsidP="00BC7E61">
      <w:pPr>
        <w:spacing w:line="360" w:lineRule="auto"/>
        <w:jc w:val="both"/>
        <w:rPr>
          <w:rFonts w:ascii="Arial" w:eastAsiaTheme="majorEastAsia" w:hAnsi="Arial" w:cs="Arial"/>
          <w:b/>
          <w:sz w:val="24"/>
          <w:szCs w:val="24"/>
        </w:rPr>
      </w:pPr>
      <w:r w:rsidRPr="00997841">
        <w:rPr>
          <w:rFonts w:ascii="Arial" w:hAnsi="Arial" w:cs="Arial"/>
          <w:b/>
          <w:sz w:val="24"/>
          <w:szCs w:val="24"/>
        </w:rPr>
        <w:br w:type="page"/>
      </w:r>
    </w:p>
    <w:p w14:paraId="4F353214" w14:textId="77777777" w:rsidR="000D50CB" w:rsidRDefault="000D50CB" w:rsidP="00BC7E61">
      <w:pPr>
        <w:pStyle w:val="Heading1"/>
        <w:spacing w:line="360" w:lineRule="auto"/>
        <w:jc w:val="both"/>
        <w:rPr>
          <w:rFonts w:ascii="Arial" w:hAnsi="Arial" w:cs="Arial"/>
          <w:b/>
          <w:color w:val="auto"/>
          <w:sz w:val="24"/>
          <w:szCs w:val="24"/>
        </w:rPr>
      </w:pPr>
      <w:bookmarkStart w:id="13" w:name="_Toc236846133"/>
      <w:r w:rsidRPr="00997841">
        <w:rPr>
          <w:rFonts w:ascii="Arial" w:hAnsi="Arial" w:cs="Arial"/>
          <w:b/>
          <w:color w:val="auto"/>
          <w:sz w:val="24"/>
          <w:szCs w:val="24"/>
        </w:rPr>
        <w:lastRenderedPageBreak/>
        <w:t>4. Investment Appraisal and Capital Budgeting</w:t>
      </w:r>
      <w:bookmarkEnd w:id="13"/>
      <w:r w:rsidRPr="00997841">
        <w:rPr>
          <w:rFonts w:ascii="Arial" w:hAnsi="Arial" w:cs="Arial"/>
          <w:b/>
          <w:color w:val="auto"/>
          <w:sz w:val="24"/>
          <w:szCs w:val="24"/>
        </w:rPr>
        <w:t xml:space="preserve"> </w:t>
      </w:r>
    </w:p>
    <w:p w14:paraId="46CF0906" w14:textId="77777777" w:rsidR="00353C18" w:rsidRPr="00353C18" w:rsidRDefault="00353C18" w:rsidP="00353C18">
      <w:pPr>
        <w:spacing w:line="360" w:lineRule="auto"/>
        <w:rPr>
          <w:rFonts w:ascii="Arial" w:hAnsi="Arial" w:cs="Arial"/>
          <w:b/>
          <w:sz w:val="24"/>
          <w:szCs w:val="24"/>
        </w:rPr>
      </w:pPr>
      <w:r w:rsidRPr="00353C18">
        <w:rPr>
          <w:rFonts w:ascii="Arial" w:hAnsi="Arial" w:cs="Arial"/>
          <w:b/>
          <w:noProof/>
          <w:sz w:val="24"/>
          <w:szCs w:val="24"/>
          <w:lang w:val="en-IN" w:eastAsia="en-IN"/>
        </w:rPr>
        <w:drawing>
          <wp:inline distT="0" distB="0" distL="0" distR="0" wp14:anchorId="3A326639" wp14:editId="53EC90B2">
            <wp:extent cx="5395428" cy="6759526"/>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95428" cy="6759526"/>
                    </a:xfrm>
                    <a:prstGeom prst="rect">
                      <a:avLst/>
                    </a:prstGeom>
                  </pic:spPr>
                </pic:pic>
              </a:graphicData>
            </a:graphic>
          </wp:inline>
        </w:drawing>
      </w:r>
    </w:p>
    <w:p w14:paraId="0F9A0A44" w14:textId="77777777" w:rsidR="00353C18" w:rsidRPr="00353C18" w:rsidRDefault="00353C18" w:rsidP="00353C18">
      <w:pPr>
        <w:spacing w:line="360" w:lineRule="auto"/>
        <w:jc w:val="center"/>
        <w:rPr>
          <w:rFonts w:ascii="Arial" w:hAnsi="Arial" w:cs="Arial"/>
          <w:b/>
          <w:sz w:val="24"/>
          <w:szCs w:val="24"/>
        </w:rPr>
      </w:pPr>
      <w:r w:rsidRPr="00353C18">
        <w:rPr>
          <w:rFonts w:ascii="Arial" w:hAnsi="Arial" w:cs="Arial"/>
          <w:b/>
          <w:sz w:val="24"/>
          <w:szCs w:val="24"/>
        </w:rPr>
        <w:t xml:space="preserve">Table 11: Calculations of Project A </w:t>
      </w:r>
    </w:p>
    <w:p w14:paraId="23889970" w14:textId="77777777" w:rsidR="00353C18" w:rsidRPr="00353C18" w:rsidRDefault="00353C18" w:rsidP="00353C18">
      <w:pPr>
        <w:spacing w:line="360" w:lineRule="auto"/>
        <w:jc w:val="center"/>
        <w:rPr>
          <w:rFonts w:ascii="Arial" w:hAnsi="Arial" w:cs="Arial"/>
          <w:sz w:val="24"/>
          <w:szCs w:val="24"/>
        </w:rPr>
      </w:pPr>
      <w:r w:rsidRPr="00353C18">
        <w:rPr>
          <w:rFonts w:ascii="Arial" w:hAnsi="Arial" w:cs="Arial"/>
          <w:noProof/>
          <w:sz w:val="24"/>
          <w:szCs w:val="24"/>
          <w:lang w:val="en-IN" w:eastAsia="en-IN"/>
        </w:rPr>
        <w:lastRenderedPageBreak/>
        <w:drawing>
          <wp:inline distT="0" distB="0" distL="0" distR="0" wp14:anchorId="52335BCE" wp14:editId="49820483">
            <wp:extent cx="5311600" cy="5845047"/>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11600" cy="5845047"/>
                    </a:xfrm>
                    <a:prstGeom prst="rect">
                      <a:avLst/>
                    </a:prstGeom>
                  </pic:spPr>
                </pic:pic>
              </a:graphicData>
            </a:graphic>
          </wp:inline>
        </w:drawing>
      </w:r>
    </w:p>
    <w:p w14:paraId="4A732325" w14:textId="77777777" w:rsidR="00353C18" w:rsidRPr="00353C18" w:rsidRDefault="00353C18" w:rsidP="00353C18">
      <w:pPr>
        <w:spacing w:line="360" w:lineRule="auto"/>
        <w:jc w:val="center"/>
        <w:rPr>
          <w:rFonts w:ascii="Arial" w:hAnsi="Arial" w:cs="Arial"/>
          <w:b/>
          <w:sz w:val="24"/>
          <w:szCs w:val="24"/>
        </w:rPr>
      </w:pPr>
      <w:r w:rsidRPr="00353C18">
        <w:rPr>
          <w:rFonts w:ascii="Arial" w:hAnsi="Arial" w:cs="Arial"/>
          <w:b/>
          <w:sz w:val="24"/>
          <w:szCs w:val="24"/>
        </w:rPr>
        <w:t>Table 12: Calculations of Project B</w:t>
      </w:r>
    </w:p>
    <w:p w14:paraId="3E182AE4" w14:textId="77777777" w:rsidR="00353C18" w:rsidRPr="00353C18" w:rsidRDefault="00353C18" w:rsidP="00353C18">
      <w:pPr>
        <w:spacing w:line="360" w:lineRule="auto"/>
        <w:jc w:val="center"/>
        <w:rPr>
          <w:rFonts w:ascii="Arial" w:hAnsi="Arial" w:cs="Arial"/>
          <w:sz w:val="24"/>
          <w:szCs w:val="24"/>
        </w:rPr>
      </w:pPr>
      <w:r w:rsidRPr="00353C18">
        <w:rPr>
          <w:rFonts w:ascii="Arial" w:hAnsi="Arial" w:cs="Arial"/>
          <w:noProof/>
          <w:sz w:val="24"/>
          <w:szCs w:val="24"/>
          <w:lang w:val="en-IN" w:eastAsia="en-IN"/>
        </w:rPr>
        <w:lastRenderedPageBreak/>
        <w:drawing>
          <wp:inline distT="0" distB="0" distL="0" distR="0" wp14:anchorId="57C57792" wp14:editId="198CF314">
            <wp:extent cx="5303980" cy="583742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03980" cy="5837426"/>
                    </a:xfrm>
                    <a:prstGeom prst="rect">
                      <a:avLst/>
                    </a:prstGeom>
                  </pic:spPr>
                </pic:pic>
              </a:graphicData>
            </a:graphic>
          </wp:inline>
        </w:drawing>
      </w:r>
    </w:p>
    <w:p w14:paraId="40324E9C" w14:textId="77777777" w:rsidR="00353C18" w:rsidRPr="00353C18" w:rsidRDefault="00353C18" w:rsidP="00353C18">
      <w:pPr>
        <w:spacing w:line="360" w:lineRule="auto"/>
        <w:jc w:val="center"/>
        <w:rPr>
          <w:rFonts w:ascii="Arial" w:hAnsi="Arial" w:cs="Arial"/>
          <w:b/>
          <w:sz w:val="24"/>
          <w:szCs w:val="24"/>
        </w:rPr>
      </w:pPr>
      <w:r w:rsidRPr="00353C18">
        <w:rPr>
          <w:rFonts w:ascii="Arial" w:hAnsi="Arial" w:cs="Arial"/>
          <w:b/>
          <w:sz w:val="24"/>
          <w:szCs w:val="24"/>
        </w:rPr>
        <w:t>Table 13: Calculation of Project C</w:t>
      </w:r>
    </w:p>
    <w:tbl>
      <w:tblPr>
        <w:tblStyle w:val="TableGrid"/>
        <w:tblW w:w="8771" w:type="dxa"/>
        <w:tblLook w:val="04A0" w:firstRow="1" w:lastRow="0" w:firstColumn="1" w:lastColumn="0" w:noHBand="0" w:noVBand="1"/>
      </w:tblPr>
      <w:tblGrid>
        <w:gridCol w:w="4382"/>
        <w:gridCol w:w="1463"/>
        <w:gridCol w:w="1463"/>
        <w:gridCol w:w="1463"/>
      </w:tblGrid>
      <w:tr w:rsidR="0047217B" w:rsidRPr="00353C18" w14:paraId="255EA979" w14:textId="77777777" w:rsidTr="0047217B">
        <w:trPr>
          <w:trHeight w:val="283"/>
        </w:trPr>
        <w:tc>
          <w:tcPr>
            <w:tcW w:w="0" w:type="auto"/>
            <w:hideMark/>
          </w:tcPr>
          <w:p w14:paraId="64FE9215" w14:textId="77777777" w:rsidR="0047217B" w:rsidRPr="00353C18" w:rsidRDefault="0047217B" w:rsidP="00353C18">
            <w:pPr>
              <w:spacing w:line="360" w:lineRule="auto"/>
              <w:jc w:val="both"/>
              <w:rPr>
                <w:rFonts w:ascii="Arial" w:eastAsia="Times New Roman" w:hAnsi="Arial" w:cs="Arial"/>
                <w:b/>
                <w:bCs/>
                <w:sz w:val="24"/>
                <w:szCs w:val="24"/>
                <w:lang w:val="en-IN" w:eastAsia="en-IN"/>
              </w:rPr>
            </w:pPr>
            <w:r w:rsidRPr="00353C18">
              <w:rPr>
                <w:rFonts w:ascii="Arial" w:eastAsia="Times New Roman" w:hAnsi="Arial" w:cs="Arial"/>
                <w:b/>
                <w:bCs/>
                <w:sz w:val="24"/>
                <w:szCs w:val="24"/>
                <w:lang w:val="en-IN" w:eastAsia="en-IN"/>
              </w:rPr>
              <w:t>Method</w:t>
            </w:r>
          </w:p>
        </w:tc>
        <w:tc>
          <w:tcPr>
            <w:tcW w:w="0" w:type="auto"/>
            <w:hideMark/>
          </w:tcPr>
          <w:p w14:paraId="1537208C" w14:textId="77777777" w:rsidR="0047217B" w:rsidRPr="00353C18" w:rsidRDefault="0047217B" w:rsidP="00353C18">
            <w:pPr>
              <w:spacing w:line="360" w:lineRule="auto"/>
              <w:jc w:val="both"/>
              <w:rPr>
                <w:rFonts w:ascii="Arial" w:eastAsia="Times New Roman" w:hAnsi="Arial" w:cs="Arial"/>
                <w:b/>
                <w:bCs/>
                <w:sz w:val="24"/>
                <w:szCs w:val="24"/>
                <w:lang w:val="en-IN" w:eastAsia="en-IN"/>
              </w:rPr>
            </w:pPr>
            <w:r w:rsidRPr="00353C18">
              <w:rPr>
                <w:rFonts w:ascii="Arial" w:eastAsia="Times New Roman" w:hAnsi="Arial" w:cs="Arial"/>
                <w:b/>
                <w:bCs/>
                <w:sz w:val="24"/>
                <w:szCs w:val="24"/>
                <w:lang w:val="en-IN" w:eastAsia="en-IN"/>
              </w:rPr>
              <w:t>Project A</w:t>
            </w:r>
          </w:p>
        </w:tc>
        <w:tc>
          <w:tcPr>
            <w:tcW w:w="0" w:type="auto"/>
            <w:hideMark/>
          </w:tcPr>
          <w:p w14:paraId="7EE86A6E" w14:textId="77777777" w:rsidR="0047217B" w:rsidRPr="00353C18" w:rsidRDefault="0047217B" w:rsidP="00353C18">
            <w:pPr>
              <w:spacing w:line="360" w:lineRule="auto"/>
              <w:jc w:val="both"/>
              <w:rPr>
                <w:rFonts w:ascii="Arial" w:eastAsia="Times New Roman" w:hAnsi="Arial" w:cs="Arial"/>
                <w:b/>
                <w:bCs/>
                <w:sz w:val="24"/>
                <w:szCs w:val="24"/>
                <w:lang w:val="en-IN" w:eastAsia="en-IN"/>
              </w:rPr>
            </w:pPr>
            <w:r w:rsidRPr="00353C18">
              <w:rPr>
                <w:rFonts w:ascii="Arial" w:eastAsia="Times New Roman" w:hAnsi="Arial" w:cs="Arial"/>
                <w:b/>
                <w:bCs/>
                <w:sz w:val="24"/>
                <w:szCs w:val="24"/>
                <w:lang w:val="en-IN" w:eastAsia="en-IN"/>
              </w:rPr>
              <w:t>Project B</w:t>
            </w:r>
          </w:p>
        </w:tc>
        <w:tc>
          <w:tcPr>
            <w:tcW w:w="0" w:type="auto"/>
            <w:hideMark/>
          </w:tcPr>
          <w:p w14:paraId="3547FA6B" w14:textId="77777777" w:rsidR="0047217B" w:rsidRPr="00353C18" w:rsidRDefault="0047217B" w:rsidP="00353C18">
            <w:pPr>
              <w:spacing w:line="360" w:lineRule="auto"/>
              <w:jc w:val="both"/>
              <w:rPr>
                <w:rFonts w:ascii="Arial" w:eastAsia="Times New Roman" w:hAnsi="Arial" w:cs="Arial"/>
                <w:b/>
                <w:bCs/>
                <w:sz w:val="24"/>
                <w:szCs w:val="24"/>
                <w:lang w:val="en-IN" w:eastAsia="en-IN"/>
              </w:rPr>
            </w:pPr>
            <w:r w:rsidRPr="00353C18">
              <w:rPr>
                <w:rFonts w:ascii="Arial" w:eastAsia="Times New Roman" w:hAnsi="Arial" w:cs="Arial"/>
                <w:b/>
                <w:bCs/>
                <w:sz w:val="24"/>
                <w:szCs w:val="24"/>
                <w:lang w:val="en-IN" w:eastAsia="en-IN"/>
              </w:rPr>
              <w:t>Project C</w:t>
            </w:r>
          </w:p>
        </w:tc>
      </w:tr>
      <w:tr w:rsidR="0047217B" w:rsidRPr="00353C18" w14:paraId="2087B588" w14:textId="77777777" w:rsidTr="0047217B">
        <w:trPr>
          <w:trHeight w:val="283"/>
        </w:trPr>
        <w:tc>
          <w:tcPr>
            <w:tcW w:w="0" w:type="auto"/>
            <w:hideMark/>
          </w:tcPr>
          <w:p w14:paraId="3B984F30"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
                <w:bCs/>
                <w:sz w:val="24"/>
                <w:szCs w:val="24"/>
                <w:lang w:val="en-IN" w:eastAsia="en-IN"/>
              </w:rPr>
              <w:t>Payback Period (PBP)</w:t>
            </w:r>
          </w:p>
        </w:tc>
        <w:tc>
          <w:tcPr>
            <w:tcW w:w="0" w:type="auto"/>
            <w:hideMark/>
          </w:tcPr>
          <w:p w14:paraId="5D22C22C"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4.50 years</w:t>
            </w:r>
          </w:p>
        </w:tc>
        <w:tc>
          <w:tcPr>
            <w:tcW w:w="0" w:type="auto"/>
            <w:hideMark/>
          </w:tcPr>
          <w:p w14:paraId="197FF4BE"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4.55 years</w:t>
            </w:r>
          </w:p>
        </w:tc>
        <w:tc>
          <w:tcPr>
            <w:tcW w:w="0" w:type="auto"/>
            <w:hideMark/>
          </w:tcPr>
          <w:p w14:paraId="5CDCDFEF"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3.60 years</w:t>
            </w:r>
          </w:p>
        </w:tc>
      </w:tr>
      <w:tr w:rsidR="0047217B" w:rsidRPr="00353C18" w14:paraId="03FE0491" w14:textId="77777777" w:rsidTr="0047217B">
        <w:trPr>
          <w:trHeight w:val="271"/>
        </w:trPr>
        <w:tc>
          <w:tcPr>
            <w:tcW w:w="0" w:type="auto"/>
            <w:hideMark/>
          </w:tcPr>
          <w:p w14:paraId="114BF6DB"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
                <w:bCs/>
                <w:sz w:val="24"/>
                <w:szCs w:val="24"/>
                <w:lang w:val="en-IN" w:eastAsia="en-IN"/>
              </w:rPr>
              <w:t>Accounting Rate of Return (ARR)</w:t>
            </w:r>
          </w:p>
        </w:tc>
        <w:tc>
          <w:tcPr>
            <w:tcW w:w="0" w:type="auto"/>
            <w:hideMark/>
          </w:tcPr>
          <w:p w14:paraId="2A49D7DF"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3.20%</w:t>
            </w:r>
          </w:p>
        </w:tc>
        <w:tc>
          <w:tcPr>
            <w:tcW w:w="0" w:type="auto"/>
            <w:hideMark/>
          </w:tcPr>
          <w:p w14:paraId="6DEB5535"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4.00%</w:t>
            </w:r>
          </w:p>
        </w:tc>
        <w:tc>
          <w:tcPr>
            <w:tcW w:w="0" w:type="auto"/>
            <w:hideMark/>
          </w:tcPr>
          <w:p w14:paraId="7830D23A"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12.00%</w:t>
            </w:r>
          </w:p>
        </w:tc>
      </w:tr>
      <w:tr w:rsidR="0047217B" w:rsidRPr="00353C18" w14:paraId="3BC23C94" w14:textId="77777777" w:rsidTr="0047217B">
        <w:trPr>
          <w:trHeight w:val="283"/>
        </w:trPr>
        <w:tc>
          <w:tcPr>
            <w:tcW w:w="0" w:type="auto"/>
            <w:hideMark/>
          </w:tcPr>
          <w:p w14:paraId="4301EE24"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
                <w:bCs/>
                <w:sz w:val="24"/>
                <w:szCs w:val="24"/>
                <w:lang w:val="en-IN" w:eastAsia="en-IN"/>
              </w:rPr>
              <w:t>Net Present Value (NPV)</w:t>
            </w:r>
          </w:p>
        </w:tc>
        <w:tc>
          <w:tcPr>
            <w:tcW w:w="0" w:type="auto"/>
            <w:hideMark/>
          </w:tcPr>
          <w:p w14:paraId="3C19AF26"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–£6.54 m</w:t>
            </w:r>
          </w:p>
        </w:tc>
        <w:tc>
          <w:tcPr>
            <w:tcW w:w="0" w:type="auto"/>
            <w:hideMark/>
          </w:tcPr>
          <w:p w14:paraId="40611700"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–£6.08 m</w:t>
            </w:r>
          </w:p>
        </w:tc>
        <w:tc>
          <w:tcPr>
            <w:tcW w:w="0" w:type="auto"/>
            <w:hideMark/>
          </w:tcPr>
          <w:p w14:paraId="67BC3ECD"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£0.86 m</w:t>
            </w:r>
          </w:p>
        </w:tc>
      </w:tr>
      <w:tr w:rsidR="0047217B" w:rsidRPr="00353C18" w14:paraId="719DB5C8" w14:textId="77777777" w:rsidTr="0047217B">
        <w:trPr>
          <w:trHeight w:val="283"/>
        </w:trPr>
        <w:tc>
          <w:tcPr>
            <w:tcW w:w="0" w:type="auto"/>
            <w:hideMark/>
          </w:tcPr>
          <w:p w14:paraId="259AC824"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
                <w:bCs/>
                <w:sz w:val="24"/>
                <w:szCs w:val="24"/>
                <w:lang w:val="en-IN" w:eastAsia="en-IN"/>
              </w:rPr>
              <w:t>Profitability Index (PI)</w:t>
            </w:r>
          </w:p>
        </w:tc>
        <w:tc>
          <w:tcPr>
            <w:tcW w:w="0" w:type="auto"/>
            <w:hideMark/>
          </w:tcPr>
          <w:p w14:paraId="3DFCE6C5"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0.87</w:t>
            </w:r>
          </w:p>
        </w:tc>
        <w:tc>
          <w:tcPr>
            <w:tcW w:w="0" w:type="auto"/>
            <w:hideMark/>
          </w:tcPr>
          <w:p w14:paraId="2A2DD74E"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0.88</w:t>
            </w:r>
          </w:p>
        </w:tc>
        <w:tc>
          <w:tcPr>
            <w:tcW w:w="0" w:type="auto"/>
            <w:hideMark/>
          </w:tcPr>
          <w:p w14:paraId="3BA9869B"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1.02</w:t>
            </w:r>
          </w:p>
        </w:tc>
      </w:tr>
      <w:tr w:rsidR="0047217B" w:rsidRPr="00353C18" w14:paraId="5C33CAE6" w14:textId="77777777" w:rsidTr="0047217B">
        <w:trPr>
          <w:trHeight w:val="283"/>
        </w:trPr>
        <w:tc>
          <w:tcPr>
            <w:tcW w:w="0" w:type="auto"/>
            <w:hideMark/>
          </w:tcPr>
          <w:p w14:paraId="4A53B2D1"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
                <w:bCs/>
                <w:sz w:val="24"/>
                <w:szCs w:val="24"/>
                <w:lang w:val="en-IN" w:eastAsia="en-IN"/>
              </w:rPr>
              <w:t>Internal Rate of Return (IRR)</w:t>
            </w:r>
          </w:p>
        </w:tc>
        <w:tc>
          <w:tcPr>
            <w:tcW w:w="0" w:type="auto"/>
            <w:hideMark/>
          </w:tcPr>
          <w:p w14:paraId="07FFCAD4"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2.72%</w:t>
            </w:r>
          </w:p>
        </w:tc>
        <w:tc>
          <w:tcPr>
            <w:tcW w:w="0" w:type="auto"/>
            <w:hideMark/>
          </w:tcPr>
          <w:p w14:paraId="7B14E4C1"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3.26%</w:t>
            </w:r>
          </w:p>
        </w:tc>
        <w:tc>
          <w:tcPr>
            <w:tcW w:w="0" w:type="auto"/>
            <w:hideMark/>
          </w:tcPr>
          <w:p w14:paraId="6B98B3BA" w14:textId="77777777" w:rsidR="0047217B" w:rsidRPr="00353C18" w:rsidRDefault="0047217B" w:rsidP="00353C18">
            <w:pPr>
              <w:spacing w:line="360" w:lineRule="auto"/>
              <w:jc w:val="both"/>
              <w:rPr>
                <w:rFonts w:ascii="Arial" w:eastAsia="Times New Roman" w:hAnsi="Arial" w:cs="Arial"/>
                <w:sz w:val="24"/>
                <w:szCs w:val="24"/>
                <w:lang w:val="en-IN" w:eastAsia="en-IN"/>
              </w:rPr>
            </w:pPr>
            <w:r w:rsidRPr="00353C18">
              <w:rPr>
                <w:rFonts w:ascii="Arial" w:eastAsia="Times New Roman" w:hAnsi="Arial" w:cs="Arial"/>
                <w:bCs/>
                <w:sz w:val="24"/>
                <w:szCs w:val="24"/>
                <w:lang w:val="en-IN" w:eastAsia="en-IN"/>
              </w:rPr>
              <w:t>8.59%</w:t>
            </w:r>
          </w:p>
        </w:tc>
      </w:tr>
    </w:tbl>
    <w:p w14:paraId="49FBBBC9" w14:textId="77777777" w:rsidR="000D50CB" w:rsidRPr="00353C18" w:rsidRDefault="00353C18" w:rsidP="00353C18">
      <w:pPr>
        <w:spacing w:line="360" w:lineRule="auto"/>
        <w:jc w:val="center"/>
        <w:rPr>
          <w:rFonts w:ascii="Arial" w:hAnsi="Arial" w:cs="Arial"/>
          <w:b/>
          <w:sz w:val="24"/>
          <w:szCs w:val="24"/>
        </w:rPr>
      </w:pPr>
      <w:r w:rsidRPr="00353C18">
        <w:rPr>
          <w:rFonts w:ascii="Arial" w:hAnsi="Arial" w:cs="Arial"/>
          <w:b/>
          <w:sz w:val="24"/>
          <w:szCs w:val="24"/>
        </w:rPr>
        <w:t>Table 14</w:t>
      </w:r>
      <w:r w:rsidR="00665912" w:rsidRPr="00353C18">
        <w:rPr>
          <w:rFonts w:ascii="Arial" w:hAnsi="Arial" w:cs="Arial"/>
          <w:b/>
          <w:sz w:val="24"/>
          <w:szCs w:val="24"/>
        </w:rPr>
        <w:t>: Investment Appraisal</w:t>
      </w:r>
    </w:p>
    <w:p w14:paraId="595FECE1" w14:textId="77777777" w:rsidR="000D50CB" w:rsidRPr="00997841" w:rsidRDefault="003E64B4" w:rsidP="00BC7E61">
      <w:pPr>
        <w:pStyle w:val="Heading2"/>
        <w:spacing w:line="360" w:lineRule="auto"/>
        <w:jc w:val="both"/>
        <w:rPr>
          <w:rFonts w:ascii="Arial" w:hAnsi="Arial" w:cs="Arial"/>
          <w:b/>
          <w:color w:val="auto"/>
          <w:sz w:val="24"/>
          <w:szCs w:val="24"/>
        </w:rPr>
      </w:pPr>
      <w:bookmarkStart w:id="14" w:name="_Toc236846134"/>
      <w:r>
        <w:rPr>
          <w:rFonts w:ascii="Arial" w:hAnsi="Arial" w:cs="Arial"/>
          <w:b/>
          <w:color w:val="auto"/>
          <w:sz w:val="24"/>
          <w:szCs w:val="24"/>
        </w:rPr>
        <w:lastRenderedPageBreak/>
        <w:t xml:space="preserve">4.1 </w:t>
      </w:r>
      <w:r w:rsidR="000D50CB" w:rsidRPr="00997841">
        <w:rPr>
          <w:rFonts w:ascii="Arial" w:hAnsi="Arial" w:cs="Arial"/>
          <w:b/>
          <w:color w:val="auto"/>
          <w:sz w:val="24"/>
          <w:szCs w:val="24"/>
        </w:rPr>
        <w:t>Project to be recommended</w:t>
      </w:r>
      <w:bookmarkEnd w:id="14"/>
    </w:p>
    <w:p w14:paraId="500F4BEE" w14:textId="77777777" w:rsidR="003A5AFF" w:rsidRPr="00997841" w:rsidRDefault="0057019F" w:rsidP="00BC7E61">
      <w:pPr>
        <w:spacing w:line="360" w:lineRule="auto"/>
        <w:jc w:val="both"/>
        <w:rPr>
          <w:rFonts w:ascii="Arial" w:hAnsi="Arial" w:cs="Arial"/>
          <w:sz w:val="24"/>
          <w:szCs w:val="24"/>
        </w:rPr>
      </w:pPr>
      <w:r w:rsidRPr="00997841">
        <w:rPr>
          <w:rFonts w:ascii="Arial" w:hAnsi="Arial" w:cs="Arial"/>
          <w:sz w:val="24"/>
          <w:szCs w:val="24"/>
        </w:rPr>
        <w:t>Project C is the most appropriate investment for Marriott international since it has highest scores in most of the investment appraisal techniques. It requires the least payback period (3.60 years), in comparison with Project A and Project B. It also produces the highest Accounting Rate of Return (12.00%), positive Net Present Value (NPV) of £0.86 million, Profitability Index (PI) of 1.02 and an Internal Rate of Return (IRR) of 8.59% which is above the minimum discount rate required of 8%. By contrast, both Projects A and B have negative NPVs and IRRs, which indicates that the projects are not as financially appealing</w:t>
      </w:r>
      <w:r w:rsidR="00B373E8" w:rsidRPr="00997841">
        <w:rPr>
          <w:rFonts w:ascii="Arial" w:hAnsi="Arial" w:cs="Arial"/>
          <w:sz w:val="24"/>
          <w:szCs w:val="24"/>
        </w:rPr>
        <w:t xml:space="preserve"> (Deloitte, 2026a)</w:t>
      </w:r>
      <w:r w:rsidRPr="00997841">
        <w:rPr>
          <w:rFonts w:ascii="Arial" w:hAnsi="Arial" w:cs="Arial"/>
          <w:sz w:val="24"/>
          <w:szCs w:val="24"/>
        </w:rPr>
        <w:t>. Thus, Project C has the highest possibility of creating shareholder value, enhance the long-term profitability, and sustain Marriott's future strategic development.</w:t>
      </w:r>
    </w:p>
    <w:p w14:paraId="75E0BB48" w14:textId="77777777" w:rsidR="000D50CB" w:rsidRPr="00997841" w:rsidRDefault="003E64B4" w:rsidP="00BC7E61">
      <w:pPr>
        <w:pStyle w:val="Heading2"/>
        <w:spacing w:line="360" w:lineRule="auto"/>
        <w:jc w:val="both"/>
        <w:rPr>
          <w:rFonts w:ascii="Arial" w:hAnsi="Arial" w:cs="Arial"/>
          <w:b/>
          <w:color w:val="auto"/>
          <w:sz w:val="24"/>
          <w:szCs w:val="24"/>
        </w:rPr>
      </w:pPr>
      <w:bookmarkStart w:id="15" w:name="_Toc236846135"/>
      <w:r>
        <w:rPr>
          <w:rFonts w:ascii="Arial" w:hAnsi="Arial" w:cs="Arial"/>
          <w:b/>
          <w:color w:val="auto"/>
          <w:sz w:val="24"/>
          <w:szCs w:val="24"/>
        </w:rPr>
        <w:t xml:space="preserve">4.2 </w:t>
      </w:r>
      <w:r w:rsidR="000D50CB" w:rsidRPr="00997841">
        <w:rPr>
          <w:rFonts w:ascii="Arial" w:hAnsi="Arial" w:cs="Arial"/>
          <w:b/>
          <w:color w:val="auto"/>
          <w:sz w:val="24"/>
          <w:szCs w:val="24"/>
        </w:rPr>
        <w:t>Justification of the recommendation with reference to the company’s financial performance (e.g. profitability, liquidity)</w:t>
      </w:r>
      <w:bookmarkEnd w:id="15"/>
    </w:p>
    <w:p w14:paraId="497DA07B" w14:textId="77777777" w:rsidR="0057019F" w:rsidRPr="00997841" w:rsidRDefault="0057019F" w:rsidP="00BC7E61">
      <w:pPr>
        <w:spacing w:line="360" w:lineRule="auto"/>
        <w:jc w:val="both"/>
        <w:rPr>
          <w:rFonts w:ascii="Arial" w:hAnsi="Arial" w:cs="Arial"/>
          <w:b/>
          <w:sz w:val="24"/>
          <w:szCs w:val="24"/>
        </w:rPr>
      </w:pPr>
      <w:r w:rsidRPr="00997841">
        <w:rPr>
          <w:rFonts w:ascii="Arial" w:hAnsi="Arial" w:cs="Arial"/>
          <w:b/>
          <w:sz w:val="24"/>
          <w:szCs w:val="24"/>
        </w:rPr>
        <w:t xml:space="preserve">Profitability </w:t>
      </w:r>
    </w:p>
    <w:p w14:paraId="73827B1A" w14:textId="77777777" w:rsidR="0057019F" w:rsidRPr="00997841" w:rsidRDefault="0057019F" w:rsidP="00B373E8">
      <w:pPr>
        <w:spacing w:line="360" w:lineRule="auto"/>
        <w:jc w:val="both"/>
        <w:rPr>
          <w:rFonts w:ascii="Arial" w:hAnsi="Arial" w:cs="Arial"/>
          <w:sz w:val="24"/>
          <w:szCs w:val="24"/>
        </w:rPr>
      </w:pPr>
      <w:r w:rsidRPr="00997841">
        <w:rPr>
          <w:rFonts w:ascii="Arial" w:hAnsi="Arial" w:cs="Arial"/>
          <w:sz w:val="24"/>
          <w:szCs w:val="24"/>
        </w:rPr>
        <w:t>Project C is the best investment due to the fact that this project fits Marriott's increasing and good profitability over the last 5 years. It generated revenue of US$13.86 billion in 2021 and a net profit of US$1.10 billion, to reach US$27.46 billion and US$3.41 billion in 2025, respectively, indicating a steady rise in its revenue and efficient cost control. Also, net profit margin rose from 7.93% to 12.42%, while ROCE rose from 9.27% to 18.74%, reflecting the boost in return on investment that Marriott has achieved</w:t>
      </w:r>
      <w:r w:rsidR="00B373E8" w:rsidRPr="00997841">
        <w:rPr>
          <w:rFonts w:ascii="Arial" w:hAnsi="Arial" w:cs="Arial"/>
        </w:rPr>
        <w:t xml:space="preserve"> </w:t>
      </w:r>
      <w:r w:rsidR="00B373E8" w:rsidRPr="00997841">
        <w:rPr>
          <w:rFonts w:ascii="Arial" w:hAnsi="Arial" w:cs="Arial"/>
          <w:sz w:val="24"/>
          <w:szCs w:val="24"/>
        </w:rPr>
        <w:t>(EY, 2026a)</w:t>
      </w:r>
      <w:r w:rsidRPr="00997841">
        <w:rPr>
          <w:rFonts w:ascii="Arial" w:hAnsi="Arial" w:cs="Arial"/>
          <w:sz w:val="24"/>
          <w:szCs w:val="24"/>
        </w:rPr>
        <w:t>. Project C generates the highest ARR of 12.00%, an NPV of £0.86m and an IRR of 8.59% are greater than the required discount rate of 8%, it is an attractive project to complement Marriott's goal of achieving maximised profitability and increase shareholder value</w:t>
      </w:r>
      <w:r w:rsidR="00B373E8" w:rsidRPr="00997841">
        <w:rPr>
          <w:rFonts w:ascii="Arial" w:hAnsi="Arial" w:cs="Arial"/>
          <w:sz w:val="24"/>
          <w:szCs w:val="24"/>
        </w:rPr>
        <w:t xml:space="preserve"> (Macrotrends, 2026a)</w:t>
      </w:r>
      <w:r w:rsidRPr="00997841">
        <w:rPr>
          <w:rFonts w:ascii="Arial" w:hAnsi="Arial" w:cs="Arial"/>
          <w:sz w:val="24"/>
          <w:szCs w:val="24"/>
        </w:rPr>
        <w:t>. The project's superior financial returns would further enhance earnings, long-term dividend growth and strategic expansion of the company.</w:t>
      </w:r>
    </w:p>
    <w:p w14:paraId="6FB98E47" w14:textId="77777777" w:rsidR="0057019F" w:rsidRPr="00997841" w:rsidRDefault="0057019F" w:rsidP="00BC7E61">
      <w:pPr>
        <w:spacing w:line="360" w:lineRule="auto"/>
        <w:jc w:val="both"/>
        <w:rPr>
          <w:rFonts w:ascii="Arial" w:hAnsi="Arial" w:cs="Arial"/>
          <w:b/>
          <w:sz w:val="24"/>
          <w:szCs w:val="24"/>
        </w:rPr>
      </w:pPr>
      <w:r w:rsidRPr="00997841">
        <w:rPr>
          <w:rFonts w:ascii="Arial" w:hAnsi="Arial" w:cs="Arial"/>
          <w:b/>
          <w:sz w:val="24"/>
          <w:szCs w:val="24"/>
        </w:rPr>
        <w:t xml:space="preserve">Liquidity </w:t>
      </w:r>
    </w:p>
    <w:p w14:paraId="3C94211F" w14:textId="77777777" w:rsidR="003A5AFF" w:rsidRPr="00997841" w:rsidRDefault="0057019F" w:rsidP="00B373E8">
      <w:pPr>
        <w:spacing w:line="360" w:lineRule="auto"/>
        <w:jc w:val="both"/>
        <w:rPr>
          <w:rFonts w:ascii="Arial" w:hAnsi="Arial" w:cs="Arial"/>
          <w:sz w:val="24"/>
          <w:szCs w:val="24"/>
        </w:rPr>
      </w:pPr>
      <w:r w:rsidRPr="00997841">
        <w:rPr>
          <w:rFonts w:ascii="Arial" w:hAnsi="Arial" w:cs="Arial"/>
          <w:sz w:val="24"/>
          <w:szCs w:val="24"/>
        </w:rPr>
        <w:t xml:space="preserve">Project C is also suitable considering Marriott's liquidity and cash flow position. However, the current ratio rose from 0.63 in 2021 to 0.72 in 2025, and the quick ratio grew from 0.61 to 0.70, but both are still below the standard threshold of 1.0. Thus, projects that are more suitable are those that have to be completed in a more timely fashion. Project C has the lowest cost recovery period of 3.60 years, making it the </w:t>
      </w:r>
      <w:r w:rsidRPr="00997841">
        <w:rPr>
          <w:rFonts w:ascii="Arial" w:hAnsi="Arial" w:cs="Arial"/>
          <w:sz w:val="24"/>
          <w:szCs w:val="24"/>
        </w:rPr>
        <w:lastRenderedPageBreak/>
        <w:t>most profitable to Marriott to invest their initial £50 million compared to Projects A and B. Moreover, Marriott's free cash flow grew from US$2.22 billion in 2021 to US$2.96 billion in 2025, and its operating cash flow ratio rose from 0.48 to 0.53, meaning the company generates a healthy amount of cash</w:t>
      </w:r>
      <w:r w:rsidR="00B373E8" w:rsidRPr="00997841">
        <w:rPr>
          <w:rFonts w:ascii="Arial" w:hAnsi="Arial" w:cs="Arial"/>
        </w:rPr>
        <w:t xml:space="preserve"> </w:t>
      </w:r>
      <w:r w:rsidR="00B373E8" w:rsidRPr="00997841">
        <w:rPr>
          <w:rFonts w:ascii="Arial" w:hAnsi="Arial" w:cs="Arial"/>
          <w:sz w:val="24"/>
          <w:szCs w:val="24"/>
        </w:rPr>
        <w:t>(KPMG, 2026a)</w:t>
      </w:r>
      <w:r w:rsidRPr="00997841">
        <w:rPr>
          <w:rFonts w:ascii="Arial" w:hAnsi="Arial" w:cs="Arial"/>
          <w:sz w:val="24"/>
          <w:szCs w:val="24"/>
        </w:rPr>
        <w:t>. The investment in project C would in turn relieve the short-term liquidity position and allow the company to fund the future strategic investment with its own cash. This makes Project C the most liquid option for Marriott's investment based on the company's current liquidity, and its long-term growth plans.</w:t>
      </w:r>
    </w:p>
    <w:p w14:paraId="19C76853" w14:textId="77777777" w:rsidR="000D50CB" w:rsidRPr="00997841" w:rsidRDefault="003E64B4" w:rsidP="00BC7E61">
      <w:pPr>
        <w:pStyle w:val="Heading2"/>
        <w:spacing w:line="360" w:lineRule="auto"/>
        <w:jc w:val="both"/>
        <w:rPr>
          <w:rFonts w:ascii="Arial" w:hAnsi="Arial" w:cs="Arial"/>
          <w:b/>
          <w:color w:val="auto"/>
          <w:sz w:val="24"/>
          <w:szCs w:val="24"/>
        </w:rPr>
      </w:pPr>
      <w:bookmarkStart w:id="16" w:name="_Toc236846136"/>
      <w:r>
        <w:rPr>
          <w:rFonts w:ascii="Arial" w:hAnsi="Arial" w:cs="Arial"/>
          <w:b/>
          <w:color w:val="auto"/>
          <w:sz w:val="24"/>
          <w:szCs w:val="24"/>
        </w:rPr>
        <w:t xml:space="preserve">4.3 </w:t>
      </w:r>
      <w:r w:rsidR="000D50CB" w:rsidRPr="00997841">
        <w:rPr>
          <w:rFonts w:ascii="Arial" w:hAnsi="Arial" w:cs="Arial"/>
          <w:b/>
          <w:color w:val="auto"/>
          <w:sz w:val="24"/>
          <w:szCs w:val="24"/>
        </w:rPr>
        <w:t>Justification of the recommendation with reference to the non-financial risks (e.g. political risk, customer loyalty)</w:t>
      </w:r>
      <w:bookmarkEnd w:id="16"/>
    </w:p>
    <w:p w14:paraId="11F9E543" w14:textId="77777777" w:rsidR="0057019F" w:rsidRPr="00997841" w:rsidRDefault="0057019F" w:rsidP="00BC7E61">
      <w:pPr>
        <w:spacing w:line="360" w:lineRule="auto"/>
        <w:jc w:val="both"/>
        <w:rPr>
          <w:rFonts w:ascii="Arial" w:hAnsi="Arial" w:cs="Arial"/>
          <w:b/>
          <w:sz w:val="24"/>
          <w:szCs w:val="24"/>
        </w:rPr>
      </w:pPr>
      <w:r w:rsidRPr="00997841">
        <w:rPr>
          <w:rFonts w:ascii="Arial" w:hAnsi="Arial" w:cs="Arial"/>
          <w:b/>
          <w:sz w:val="24"/>
          <w:szCs w:val="24"/>
        </w:rPr>
        <w:t>Political Risk</w:t>
      </w:r>
    </w:p>
    <w:p w14:paraId="3ADCFC27" w14:textId="77777777" w:rsidR="0057019F" w:rsidRPr="00997841" w:rsidRDefault="0057019F" w:rsidP="00B373E8">
      <w:pPr>
        <w:spacing w:line="360" w:lineRule="auto"/>
        <w:jc w:val="both"/>
        <w:rPr>
          <w:rFonts w:ascii="Arial" w:hAnsi="Arial" w:cs="Arial"/>
          <w:sz w:val="24"/>
          <w:szCs w:val="24"/>
        </w:rPr>
      </w:pPr>
      <w:r w:rsidRPr="00997841">
        <w:rPr>
          <w:rFonts w:ascii="Arial" w:hAnsi="Arial" w:cs="Arial"/>
          <w:sz w:val="24"/>
          <w:szCs w:val="24"/>
        </w:rPr>
        <w:t>Project C is the best investment as it has a higher financial performance with quicker capital recovery, and therefore it lowers Marriott's risk of political and economic uncertainty. Based on a payback of 3.60 years, the project will allow the company to recover the £50 million initial investment earlier than Projects A and B, thus reducing the time that external risks can impact on returns</w:t>
      </w:r>
      <w:r w:rsidR="00B373E8" w:rsidRPr="00997841">
        <w:rPr>
          <w:rFonts w:ascii="Arial" w:hAnsi="Arial" w:cs="Arial"/>
        </w:rPr>
        <w:t xml:space="preserve"> </w:t>
      </w:r>
      <w:r w:rsidR="00B373E8" w:rsidRPr="00997841">
        <w:rPr>
          <w:rFonts w:ascii="Arial" w:hAnsi="Arial" w:cs="Arial"/>
          <w:sz w:val="24"/>
          <w:szCs w:val="24"/>
        </w:rPr>
        <w:t>(World Economic Forum, 2026a)</w:t>
      </w:r>
      <w:r w:rsidRPr="00997841">
        <w:rPr>
          <w:rFonts w:ascii="Arial" w:hAnsi="Arial" w:cs="Arial"/>
          <w:sz w:val="24"/>
          <w:szCs w:val="24"/>
        </w:rPr>
        <w:t>. Marriott's business is global, with operations in over 140 countries and territories, and is subject to geopolitical issues, political shifts in government laws and policies, taxation, trade restrictions, visa requirements and fluctuations in exchange rates. These can affect demand for International travel, hotel occupancy and operating costs. In the event of any uncertainty in the market conditions, project C is able to create value through providing a positive NPV of £0.86 million, a PI of 1.02 and an IRR of 8.59% which is greater than the required discount rate of 8%</w:t>
      </w:r>
      <w:r w:rsidR="00B373E8" w:rsidRPr="00997841">
        <w:rPr>
          <w:rFonts w:ascii="Arial" w:hAnsi="Arial" w:cs="Arial"/>
          <w:sz w:val="24"/>
          <w:szCs w:val="24"/>
        </w:rPr>
        <w:t xml:space="preserve"> (MSCI, 2026a)</w:t>
      </w:r>
      <w:r w:rsidRPr="00997841">
        <w:rPr>
          <w:rFonts w:ascii="Arial" w:hAnsi="Arial" w:cs="Arial"/>
          <w:sz w:val="24"/>
          <w:szCs w:val="24"/>
        </w:rPr>
        <w:t>. The boost in returns will give Marriott a more solid and stable financial foundation for facing unexpected political or economic shocks and bolstering its plans for international expansion.</w:t>
      </w:r>
    </w:p>
    <w:p w14:paraId="4AC24294" w14:textId="77777777" w:rsidR="0057019F" w:rsidRPr="00997841" w:rsidRDefault="0057019F" w:rsidP="00BC7E61">
      <w:pPr>
        <w:spacing w:line="360" w:lineRule="auto"/>
        <w:jc w:val="both"/>
        <w:rPr>
          <w:rFonts w:ascii="Arial" w:hAnsi="Arial" w:cs="Arial"/>
          <w:b/>
          <w:sz w:val="24"/>
          <w:szCs w:val="24"/>
        </w:rPr>
      </w:pPr>
      <w:r w:rsidRPr="00997841">
        <w:rPr>
          <w:rFonts w:ascii="Arial" w:hAnsi="Arial" w:cs="Arial"/>
          <w:b/>
          <w:sz w:val="24"/>
          <w:szCs w:val="24"/>
        </w:rPr>
        <w:t>Customer Loyalty</w:t>
      </w:r>
    </w:p>
    <w:p w14:paraId="1980FC83" w14:textId="77777777" w:rsidR="003A5AFF" w:rsidRPr="00997841" w:rsidRDefault="0057019F" w:rsidP="00B373E8">
      <w:pPr>
        <w:spacing w:line="360" w:lineRule="auto"/>
        <w:jc w:val="both"/>
        <w:rPr>
          <w:rFonts w:ascii="Arial" w:hAnsi="Arial" w:cs="Arial"/>
          <w:sz w:val="24"/>
          <w:szCs w:val="24"/>
        </w:rPr>
      </w:pPr>
      <w:r w:rsidRPr="00997841">
        <w:rPr>
          <w:rFonts w:ascii="Arial" w:hAnsi="Arial" w:cs="Arial"/>
          <w:sz w:val="24"/>
          <w:szCs w:val="24"/>
        </w:rPr>
        <w:t xml:space="preserve">Project C also offers long-term advantages for Marriott, as it helps to strengthen the company's customer loyalty and competitive position in the global hospitality sector. With over 9,500 establishments across the globe, serving over 1 million guests per year, customer retention is a major factor in sustainable revenues for Marriott. With the company's financial results expected to improve significantly, from US$13.86 </w:t>
      </w:r>
      <w:r w:rsidRPr="00997841">
        <w:rPr>
          <w:rFonts w:ascii="Arial" w:hAnsi="Arial" w:cs="Arial"/>
          <w:sz w:val="24"/>
          <w:szCs w:val="24"/>
        </w:rPr>
        <w:lastRenderedPageBreak/>
        <w:t>billion in 2021 to US$27.46 billion in 2025, and from net profit of US$1.10 billion to US$3.41 billion, investments that improve guest satisfaction are likely to be the right choice</w:t>
      </w:r>
      <w:r w:rsidR="00B373E8" w:rsidRPr="00997841">
        <w:rPr>
          <w:rFonts w:ascii="Arial" w:hAnsi="Arial" w:cs="Arial"/>
        </w:rPr>
        <w:t xml:space="preserve"> </w:t>
      </w:r>
      <w:r w:rsidR="00B373E8" w:rsidRPr="00997841">
        <w:rPr>
          <w:rFonts w:ascii="Arial" w:hAnsi="Arial" w:cs="Arial"/>
          <w:sz w:val="24"/>
          <w:szCs w:val="24"/>
        </w:rPr>
        <w:t>(Global Reporting Initiative, 2026a)</w:t>
      </w:r>
      <w:r w:rsidRPr="00997841">
        <w:rPr>
          <w:rFonts w:ascii="Arial" w:hAnsi="Arial" w:cs="Arial"/>
          <w:sz w:val="24"/>
          <w:szCs w:val="24"/>
        </w:rPr>
        <w:t>. The additional profits from Project C can be used to invest in digital technologies, individualised guest experiences, hotel improvements, sustainability initiatives and the ongoing development of the Marriott Bonvoy loyalty programme. These investments enhance the quality of services, foster customer loyalty and bookings, boost brand reputation, and boost customer lifetime value</w:t>
      </w:r>
      <w:r w:rsidR="00B373E8" w:rsidRPr="00997841">
        <w:rPr>
          <w:rFonts w:ascii="Arial" w:hAnsi="Arial" w:cs="Arial"/>
          <w:sz w:val="24"/>
          <w:szCs w:val="24"/>
        </w:rPr>
        <w:t xml:space="preserve"> (Morningstar, 2026a)</w:t>
      </w:r>
      <w:r w:rsidRPr="00997841">
        <w:rPr>
          <w:rFonts w:ascii="Arial" w:hAnsi="Arial" w:cs="Arial"/>
          <w:sz w:val="24"/>
          <w:szCs w:val="24"/>
        </w:rPr>
        <w:t xml:space="preserve">. </w:t>
      </w:r>
    </w:p>
    <w:p w14:paraId="0463F1C7" w14:textId="77777777" w:rsidR="000D50CB" w:rsidRPr="00997841" w:rsidRDefault="003E64B4" w:rsidP="00BC7E61">
      <w:pPr>
        <w:pStyle w:val="Heading2"/>
        <w:spacing w:line="360" w:lineRule="auto"/>
        <w:jc w:val="both"/>
        <w:rPr>
          <w:rFonts w:ascii="Arial" w:hAnsi="Arial" w:cs="Arial"/>
          <w:b/>
          <w:color w:val="auto"/>
          <w:sz w:val="24"/>
          <w:szCs w:val="24"/>
        </w:rPr>
      </w:pPr>
      <w:bookmarkStart w:id="17" w:name="_Toc236846137"/>
      <w:r>
        <w:rPr>
          <w:rFonts w:ascii="Arial" w:hAnsi="Arial" w:cs="Arial"/>
          <w:b/>
          <w:color w:val="auto"/>
          <w:sz w:val="24"/>
          <w:szCs w:val="24"/>
        </w:rPr>
        <w:t xml:space="preserve">4.4 </w:t>
      </w:r>
      <w:r w:rsidR="003A5AFF" w:rsidRPr="00997841">
        <w:rPr>
          <w:rFonts w:ascii="Arial" w:hAnsi="Arial" w:cs="Arial"/>
          <w:b/>
          <w:color w:val="auto"/>
          <w:sz w:val="24"/>
          <w:szCs w:val="24"/>
        </w:rPr>
        <w:t>Combination of projects is the best on using capital rationing</w:t>
      </w:r>
      <w:bookmarkEnd w:id="17"/>
    </w:p>
    <w:p w14:paraId="093F1E03" w14:textId="77777777" w:rsidR="0057019F" w:rsidRPr="00997841" w:rsidRDefault="0057019F" w:rsidP="00BC7E61">
      <w:pPr>
        <w:spacing w:line="360" w:lineRule="auto"/>
        <w:jc w:val="both"/>
        <w:rPr>
          <w:rFonts w:ascii="Arial" w:hAnsi="Arial" w:cs="Arial"/>
          <w:sz w:val="24"/>
          <w:szCs w:val="24"/>
        </w:rPr>
      </w:pPr>
      <w:r w:rsidRPr="00997841">
        <w:rPr>
          <w:rFonts w:ascii="Arial" w:hAnsi="Arial" w:cs="Arial"/>
          <w:sz w:val="24"/>
          <w:szCs w:val="24"/>
        </w:rPr>
        <w:t>Capital rationing is the need for a company to choose from a set of investment projects to implement the set of projects that provides the highest possible total return given the budget. The maximum investment that Marriott can make is £100 million, and each project costs £50 million initially, so Marriott could invest in a maximum of two projects. The possible combinations are Projects A and B, Projects A and C, and Projects B and C</w:t>
      </w:r>
      <w:r w:rsidR="00B373E8" w:rsidRPr="00997841">
        <w:rPr>
          <w:rFonts w:ascii="Arial" w:hAnsi="Arial" w:cs="Arial"/>
          <w:sz w:val="24"/>
          <w:szCs w:val="24"/>
        </w:rPr>
        <w:t xml:space="preserve"> (IFRS Foundation, 2026c)</w:t>
      </w:r>
      <w:r w:rsidRPr="00997841">
        <w:rPr>
          <w:rFonts w:ascii="Arial" w:hAnsi="Arial" w:cs="Arial"/>
          <w:sz w:val="24"/>
          <w:szCs w:val="24"/>
        </w:rPr>
        <w:t>. The best possible mix should ensure that the shareholders create the maximum positive Net Present Value (NPV), a reasonable Internal Rate of Return (IRR), good profitability and reduce the risk of the investment.</w:t>
      </w:r>
    </w:p>
    <w:p w14:paraId="556F0DD7" w14:textId="77777777" w:rsidR="0057019F" w:rsidRPr="00997841" w:rsidRDefault="0057019F" w:rsidP="00BC7E61">
      <w:pPr>
        <w:spacing w:line="360" w:lineRule="auto"/>
        <w:jc w:val="both"/>
        <w:rPr>
          <w:rFonts w:ascii="Arial" w:hAnsi="Arial" w:cs="Arial"/>
          <w:sz w:val="24"/>
          <w:szCs w:val="24"/>
        </w:rPr>
      </w:pPr>
      <w:r w:rsidRPr="00997841">
        <w:rPr>
          <w:rFonts w:ascii="Arial" w:hAnsi="Arial" w:cs="Arial"/>
          <w:sz w:val="24"/>
          <w:szCs w:val="24"/>
        </w:rPr>
        <w:t>Both Projects A and B have negative NPVs of – £6.54 million and – £6.08 million respectively so the combined NPV is – £12.62 million. Furthermore, Profitability Index (PI) is less than one in both projects and IRR is low at 2.72% and 3.26% for the projects respectively, which is significantly less than the discount rate of 8%. This means that even if the projects make the best use of the available capital, their value to the shareholders is lost and they should be rejected</w:t>
      </w:r>
      <w:r w:rsidR="00B373E8" w:rsidRPr="00997841">
        <w:rPr>
          <w:rFonts w:ascii="Arial" w:hAnsi="Arial" w:cs="Arial"/>
          <w:sz w:val="24"/>
          <w:szCs w:val="24"/>
        </w:rPr>
        <w:t xml:space="preserve"> (IFRS Foundation, 2026d)</w:t>
      </w:r>
      <w:r w:rsidRPr="00997841">
        <w:rPr>
          <w:rFonts w:ascii="Arial" w:hAnsi="Arial" w:cs="Arial"/>
          <w:sz w:val="24"/>
          <w:szCs w:val="24"/>
        </w:rPr>
        <w:t>.</w:t>
      </w:r>
    </w:p>
    <w:p w14:paraId="2072C627" w14:textId="77777777" w:rsidR="0057019F" w:rsidRPr="00997841" w:rsidRDefault="0057019F" w:rsidP="00BC7E61">
      <w:pPr>
        <w:spacing w:line="360" w:lineRule="auto"/>
        <w:jc w:val="both"/>
        <w:rPr>
          <w:rFonts w:ascii="Arial" w:hAnsi="Arial" w:cs="Arial"/>
          <w:sz w:val="24"/>
          <w:szCs w:val="24"/>
        </w:rPr>
      </w:pPr>
      <w:r w:rsidRPr="00997841">
        <w:rPr>
          <w:rFonts w:ascii="Arial" w:hAnsi="Arial" w:cs="Arial"/>
          <w:sz w:val="24"/>
          <w:szCs w:val="24"/>
        </w:rPr>
        <w:t>An investment of £100m is also needed for the second option, which is to combine Projects A and C. The NPV of Project C is positive at £0.86 million, but Project A has a negative NPV of –£6.54 million which gives a combined NPV of approximately –£5.68 million. This option yields a better net benefit than Projects A and B, but does not produce a positive net benefit overall because the net loss in Projects A is greater than the net gain in Project C</w:t>
      </w:r>
      <w:r w:rsidR="00B373E8" w:rsidRPr="00997841">
        <w:rPr>
          <w:rFonts w:ascii="Arial" w:hAnsi="Arial" w:cs="Arial"/>
          <w:sz w:val="24"/>
          <w:szCs w:val="24"/>
        </w:rPr>
        <w:t xml:space="preserve"> (Institute of Management Accountants, 2026a)</w:t>
      </w:r>
      <w:r w:rsidRPr="00997841">
        <w:rPr>
          <w:rFonts w:ascii="Arial" w:hAnsi="Arial" w:cs="Arial"/>
          <w:sz w:val="24"/>
          <w:szCs w:val="24"/>
        </w:rPr>
        <w:t>. This option is therefore not financially desirable.</w:t>
      </w:r>
    </w:p>
    <w:p w14:paraId="6E287FDC" w14:textId="77777777" w:rsidR="0057019F" w:rsidRPr="00997841" w:rsidRDefault="0057019F" w:rsidP="00BC7E61">
      <w:pPr>
        <w:spacing w:line="360" w:lineRule="auto"/>
        <w:jc w:val="both"/>
        <w:rPr>
          <w:rFonts w:ascii="Arial" w:hAnsi="Arial" w:cs="Arial"/>
          <w:sz w:val="24"/>
          <w:szCs w:val="24"/>
        </w:rPr>
      </w:pPr>
      <w:r w:rsidRPr="00997841">
        <w:rPr>
          <w:rFonts w:ascii="Arial" w:hAnsi="Arial" w:cs="Arial"/>
          <w:sz w:val="24"/>
          <w:szCs w:val="24"/>
        </w:rPr>
        <w:t xml:space="preserve">The third combination is of Projects B and C requiring £100 million. The NPV for Project C is £0.86 million, and the NPV for Project B is –£6.08 million, which gives the </w:t>
      </w:r>
      <w:r w:rsidRPr="00997841">
        <w:rPr>
          <w:rFonts w:ascii="Arial" w:hAnsi="Arial" w:cs="Arial"/>
          <w:sz w:val="24"/>
          <w:szCs w:val="24"/>
        </w:rPr>
        <w:lastRenderedPageBreak/>
        <w:t>total NPV of the projects of approximately –£5.22 million. This option has a slightly better NPV than Projects A and C because the NPV associated with Project B is relatively small, however it still has a negative NPV. So, it makes no sense to make an investment in both projects as a result shareholders will be worse off than they are before the investment.</w:t>
      </w:r>
    </w:p>
    <w:p w14:paraId="22BE15E2" w14:textId="77777777" w:rsidR="0057019F" w:rsidRPr="00997841" w:rsidRDefault="0057019F" w:rsidP="00BC7E61">
      <w:pPr>
        <w:spacing w:line="360" w:lineRule="auto"/>
        <w:jc w:val="both"/>
        <w:rPr>
          <w:rFonts w:ascii="Arial" w:hAnsi="Arial" w:cs="Arial"/>
          <w:sz w:val="24"/>
          <w:szCs w:val="24"/>
        </w:rPr>
      </w:pPr>
      <w:r w:rsidRPr="00997841">
        <w:rPr>
          <w:rFonts w:ascii="Arial" w:hAnsi="Arial" w:cs="Arial"/>
          <w:sz w:val="24"/>
          <w:szCs w:val="24"/>
        </w:rPr>
        <w:t>The best solution, as per the capital rationing analysis is to invest only in Project C and not in Project A or Project B using the remaining £50 million. In theory, capital budgeting principles dictate that management should only invest in projects that increase value, but the company has enough capital to fund two projects. The only investment that has a positive NPV (£0.86 million), an IRR above the required rate (8.59%) and a PI &gt; 1 (1.02) is project C</w:t>
      </w:r>
      <w:r w:rsidR="00B373E8" w:rsidRPr="00997841">
        <w:rPr>
          <w:rFonts w:ascii="Arial" w:hAnsi="Arial" w:cs="Arial"/>
          <w:sz w:val="24"/>
          <w:szCs w:val="24"/>
        </w:rPr>
        <w:t xml:space="preserve"> (Corporate Finance Institute, 2026a)</w:t>
      </w:r>
      <w:r w:rsidRPr="00997841">
        <w:rPr>
          <w:rFonts w:ascii="Arial" w:hAnsi="Arial" w:cs="Arial"/>
          <w:sz w:val="24"/>
          <w:szCs w:val="24"/>
        </w:rPr>
        <w:t>. It also has the lowest payback time of 3.60 years and the highest ARR of 12.00%, making it the most financially sound project.</w:t>
      </w:r>
    </w:p>
    <w:p w14:paraId="715A356C" w14:textId="77777777" w:rsidR="003A5AFF" w:rsidRPr="00997841" w:rsidRDefault="0057019F" w:rsidP="00BC7E61">
      <w:pPr>
        <w:spacing w:line="360" w:lineRule="auto"/>
        <w:jc w:val="both"/>
        <w:rPr>
          <w:rFonts w:ascii="Arial" w:hAnsi="Arial" w:cs="Arial"/>
          <w:sz w:val="24"/>
          <w:szCs w:val="24"/>
        </w:rPr>
      </w:pPr>
      <w:r w:rsidRPr="00997841">
        <w:rPr>
          <w:rFonts w:ascii="Arial" w:hAnsi="Arial" w:cs="Arial"/>
          <w:sz w:val="24"/>
          <w:szCs w:val="24"/>
        </w:rPr>
        <w:t>This is in line with Marriott International's improving financial performance, the company said. The company reported a revenue of US$27.46 billion from US$13.86 billion in 2021, net profit of US$3.41 billion from US$1.10 billion, and free cash flow of US$2.96 billion from US$2.22 billion during 2021-2025</w:t>
      </w:r>
      <w:r w:rsidR="00B373E8" w:rsidRPr="00997841">
        <w:rPr>
          <w:rFonts w:ascii="Arial" w:hAnsi="Arial" w:cs="Arial"/>
          <w:sz w:val="24"/>
          <w:szCs w:val="24"/>
        </w:rPr>
        <w:t xml:space="preserve"> (Investopedia, 2026a)</w:t>
      </w:r>
      <w:r w:rsidRPr="00997841">
        <w:rPr>
          <w:rFonts w:ascii="Arial" w:hAnsi="Arial" w:cs="Arial"/>
          <w:sz w:val="24"/>
          <w:szCs w:val="24"/>
        </w:rPr>
        <w:t xml:space="preserve">. </w:t>
      </w:r>
    </w:p>
    <w:p w14:paraId="2CC06486" w14:textId="77777777" w:rsidR="00007F77" w:rsidRPr="00997841" w:rsidRDefault="00007F77" w:rsidP="00BC7E61">
      <w:pPr>
        <w:spacing w:line="360" w:lineRule="auto"/>
        <w:jc w:val="both"/>
        <w:rPr>
          <w:rFonts w:ascii="Arial" w:eastAsiaTheme="majorEastAsia" w:hAnsi="Arial" w:cs="Arial"/>
          <w:b/>
          <w:sz w:val="24"/>
          <w:szCs w:val="24"/>
        </w:rPr>
      </w:pPr>
      <w:r w:rsidRPr="00997841">
        <w:rPr>
          <w:rFonts w:ascii="Arial" w:hAnsi="Arial" w:cs="Arial"/>
          <w:b/>
          <w:sz w:val="24"/>
          <w:szCs w:val="24"/>
        </w:rPr>
        <w:br w:type="page"/>
      </w:r>
    </w:p>
    <w:p w14:paraId="6BDD3EEB" w14:textId="77777777" w:rsidR="003A5AFF" w:rsidRPr="00997841" w:rsidRDefault="003A5AFF" w:rsidP="00BC7E61">
      <w:pPr>
        <w:pStyle w:val="Heading1"/>
        <w:spacing w:line="360" w:lineRule="auto"/>
        <w:jc w:val="both"/>
        <w:rPr>
          <w:rFonts w:ascii="Arial" w:hAnsi="Arial" w:cs="Arial"/>
          <w:b/>
          <w:color w:val="auto"/>
          <w:sz w:val="24"/>
          <w:szCs w:val="24"/>
        </w:rPr>
      </w:pPr>
      <w:bookmarkStart w:id="18" w:name="_Toc236846138"/>
      <w:r w:rsidRPr="00997841">
        <w:rPr>
          <w:rFonts w:ascii="Arial" w:hAnsi="Arial" w:cs="Arial"/>
          <w:b/>
          <w:color w:val="auto"/>
          <w:sz w:val="24"/>
          <w:szCs w:val="24"/>
        </w:rPr>
        <w:lastRenderedPageBreak/>
        <w:t>5. Critical Reflection on AI Usage</w:t>
      </w:r>
      <w:bookmarkEnd w:id="18"/>
      <w:r w:rsidRPr="00997841">
        <w:rPr>
          <w:rFonts w:ascii="Arial" w:hAnsi="Arial" w:cs="Arial"/>
          <w:b/>
          <w:color w:val="auto"/>
          <w:sz w:val="24"/>
          <w:szCs w:val="24"/>
        </w:rPr>
        <w:t xml:space="preserve"> </w:t>
      </w:r>
    </w:p>
    <w:p w14:paraId="21C3C033" w14:textId="77777777" w:rsidR="003A5AFF" w:rsidRPr="00997841" w:rsidRDefault="00FB6A4F" w:rsidP="00BC7E61">
      <w:pPr>
        <w:pStyle w:val="Heading2"/>
        <w:spacing w:line="360" w:lineRule="auto"/>
        <w:jc w:val="both"/>
        <w:rPr>
          <w:rFonts w:ascii="Arial" w:hAnsi="Arial" w:cs="Arial"/>
          <w:b/>
          <w:color w:val="auto"/>
          <w:sz w:val="24"/>
          <w:szCs w:val="24"/>
        </w:rPr>
      </w:pPr>
      <w:bookmarkStart w:id="19" w:name="_Toc236846139"/>
      <w:r>
        <w:rPr>
          <w:rFonts w:ascii="Arial" w:hAnsi="Arial" w:cs="Arial"/>
          <w:b/>
          <w:color w:val="auto"/>
          <w:sz w:val="24"/>
          <w:szCs w:val="24"/>
        </w:rPr>
        <w:t xml:space="preserve">5.1 </w:t>
      </w:r>
      <w:r w:rsidR="003A5AFF" w:rsidRPr="00997841">
        <w:rPr>
          <w:rFonts w:ascii="Arial" w:hAnsi="Arial" w:cs="Arial"/>
          <w:b/>
          <w:color w:val="auto"/>
          <w:sz w:val="24"/>
          <w:szCs w:val="24"/>
        </w:rPr>
        <w:t>Tool Disclosure</w:t>
      </w:r>
      <w:bookmarkEnd w:id="19"/>
    </w:p>
    <w:p w14:paraId="6DB11DB2" w14:textId="77777777" w:rsidR="00007F77" w:rsidRPr="00997841" w:rsidRDefault="00007F77" w:rsidP="00BC7E61">
      <w:pPr>
        <w:spacing w:line="360" w:lineRule="auto"/>
        <w:jc w:val="both"/>
        <w:rPr>
          <w:rFonts w:ascii="Arial" w:hAnsi="Arial" w:cs="Arial"/>
          <w:b/>
          <w:sz w:val="24"/>
          <w:szCs w:val="24"/>
        </w:rPr>
      </w:pPr>
      <w:r w:rsidRPr="00997841">
        <w:rPr>
          <w:rFonts w:ascii="Arial" w:hAnsi="Arial" w:cs="Arial"/>
          <w:b/>
          <w:sz w:val="24"/>
          <w:szCs w:val="24"/>
        </w:rPr>
        <w:t>AI Tool Used</w:t>
      </w:r>
    </w:p>
    <w:p w14:paraId="3ECD2635" w14:textId="77777777" w:rsidR="00007F77" w:rsidRPr="00997841" w:rsidRDefault="00007F77" w:rsidP="00BC7E61">
      <w:pPr>
        <w:pStyle w:val="NormalWeb"/>
        <w:spacing w:line="360" w:lineRule="auto"/>
        <w:jc w:val="both"/>
        <w:rPr>
          <w:rFonts w:ascii="Arial" w:hAnsi="Arial" w:cs="Arial"/>
        </w:rPr>
      </w:pPr>
      <w:r w:rsidRPr="00997841">
        <w:rPr>
          <w:rFonts w:ascii="Arial" w:hAnsi="Arial" w:cs="Arial"/>
        </w:rPr>
        <w:t>This report was prepared with the support of ChatGPT (OpenAI). It helped to enhance the report structure, to clarify some financial concepts, to support some of the financial ratio calculations and to clarify and present some sections of the report academically. AI was also used to help to understand financial data and brainstorm initial concepts for the working capital management, financial restructuring, and investment appraisal discussions. Each and every financial data, calculation, interpretation and final recommendation, however, made its own and independently from Marriott International's published annual reports and other credible sources. However, the use of AI was recognized as per the University's AI use policy.</w:t>
      </w:r>
    </w:p>
    <w:p w14:paraId="5F3F927F" w14:textId="77777777" w:rsidR="00007F77" w:rsidRPr="00997841" w:rsidRDefault="00007F77" w:rsidP="00BC7E61">
      <w:pPr>
        <w:spacing w:line="360" w:lineRule="auto"/>
        <w:jc w:val="both"/>
        <w:rPr>
          <w:rFonts w:ascii="Arial" w:hAnsi="Arial" w:cs="Arial"/>
          <w:b/>
          <w:sz w:val="24"/>
          <w:szCs w:val="24"/>
        </w:rPr>
      </w:pPr>
      <w:r w:rsidRPr="00997841">
        <w:rPr>
          <w:rFonts w:ascii="Arial" w:hAnsi="Arial" w:cs="Arial"/>
          <w:b/>
          <w:sz w:val="24"/>
          <w:szCs w:val="24"/>
        </w:rPr>
        <w:t>Tasks Performed by AI</w:t>
      </w:r>
    </w:p>
    <w:p w14:paraId="24E40AC6" w14:textId="77777777" w:rsidR="003A5AFF" w:rsidRPr="00997841" w:rsidRDefault="00007F77" w:rsidP="00BC7E61">
      <w:pPr>
        <w:pStyle w:val="NormalWeb"/>
        <w:spacing w:line="360" w:lineRule="auto"/>
        <w:jc w:val="both"/>
        <w:rPr>
          <w:rFonts w:ascii="Arial" w:hAnsi="Arial" w:cs="Arial"/>
        </w:rPr>
      </w:pPr>
      <w:r w:rsidRPr="00997841">
        <w:rPr>
          <w:rFonts w:ascii="Arial" w:hAnsi="Arial" w:cs="Arial"/>
        </w:rPr>
        <w:t>The use of AI in the report preparation was limited to assisting with specific parts of the task, not the entire report. It helped to describe financial terms, enhance the academic presentation of the written material, organise the material into tables and guides financial ratio and investment appraisal calculations (PBP, ARR, NPV, PI and IRR). AI was also used to sum up information from Marriott International's annual reports to facilitate the analytical process. In order to ensure the accuracy and reliability of the report, all financial figures, calculations, interpretations and critical analysis, as well as recommendations and conclusions, were independently verified, refined and finalised with the published annual reports of Marriott International, Excel calculations and other credible academic sources.</w:t>
      </w:r>
    </w:p>
    <w:p w14:paraId="5B7E1256" w14:textId="77777777" w:rsidR="003A5AFF" w:rsidRPr="00997841" w:rsidRDefault="00FB6A4F" w:rsidP="00BC7E61">
      <w:pPr>
        <w:pStyle w:val="Heading2"/>
        <w:spacing w:line="360" w:lineRule="auto"/>
        <w:jc w:val="both"/>
        <w:rPr>
          <w:rFonts w:ascii="Arial" w:hAnsi="Arial" w:cs="Arial"/>
          <w:b/>
          <w:color w:val="auto"/>
          <w:sz w:val="24"/>
          <w:szCs w:val="24"/>
        </w:rPr>
      </w:pPr>
      <w:bookmarkStart w:id="20" w:name="_Toc236846140"/>
      <w:r>
        <w:rPr>
          <w:rFonts w:ascii="Arial" w:hAnsi="Arial" w:cs="Arial"/>
          <w:b/>
          <w:color w:val="auto"/>
          <w:sz w:val="24"/>
          <w:szCs w:val="24"/>
        </w:rPr>
        <w:t xml:space="preserve">5.2 </w:t>
      </w:r>
      <w:r w:rsidR="003A5AFF" w:rsidRPr="00997841">
        <w:rPr>
          <w:rFonts w:ascii="Arial" w:hAnsi="Arial" w:cs="Arial"/>
          <w:b/>
          <w:color w:val="auto"/>
          <w:sz w:val="24"/>
          <w:szCs w:val="24"/>
        </w:rPr>
        <w:t>Critical Evaluation of AI Output</w:t>
      </w:r>
      <w:bookmarkEnd w:id="20"/>
    </w:p>
    <w:p w14:paraId="0E92673B" w14:textId="77777777" w:rsidR="00007F77" w:rsidRPr="00997841" w:rsidRDefault="00007F77" w:rsidP="00BC7E61">
      <w:pPr>
        <w:spacing w:line="360" w:lineRule="auto"/>
        <w:jc w:val="both"/>
        <w:rPr>
          <w:rFonts w:ascii="Arial" w:hAnsi="Arial" w:cs="Arial"/>
          <w:b/>
          <w:sz w:val="24"/>
          <w:szCs w:val="24"/>
        </w:rPr>
      </w:pPr>
      <w:r w:rsidRPr="00997841">
        <w:rPr>
          <w:rFonts w:ascii="Arial" w:hAnsi="Arial" w:cs="Arial"/>
          <w:b/>
          <w:sz w:val="24"/>
          <w:szCs w:val="24"/>
        </w:rPr>
        <w:t>Verification of AI-Generated Financial Interpretations</w:t>
      </w:r>
    </w:p>
    <w:p w14:paraId="218EEAD2" w14:textId="77777777" w:rsidR="00007F77" w:rsidRPr="00997841" w:rsidRDefault="00007F77" w:rsidP="00BC7E61">
      <w:pPr>
        <w:pStyle w:val="NormalWeb"/>
        <w:spacing w:line="360" w:lineRule="auto"/>
        <w:jc w:val="both"/>
        <w:rPr>
          <w:rFonts w:ascii="Arial" w:hAnsi="Arial" w:cs="Arial"/>
        </w:rPr>
      </w:pPr>
      <w:r w:rsidRPr="00997841">
        <w:rPr>
          <w:rFonts w:ascii="Arial" w:hAnsi="Arial" w:cs="Arial"/>
        </w:rPr>
        <w:t xml:space="preserve">Financial interpretations by AI were cross-referenced with all financial data, and also with the Annual Reports by Marriott International (2021-2025) and other trusted sources to ensure accuracy. Revenue, profit, asset and liability and cash flow figures have been cross checked prior to use in the report. Furthermore, financial ratios were </w:t>
      </w:r>
      <w:r w:rsidRPr="00997841">
        <w:rPr>
          <w:rFonts w:ascii="Arial" w:hAnsi="Arial" w:cs="Arial"/>
        </w:rPr>
        <w:lastRenderedPageBreak/>
        <w:t>calculated separately and investment evaluation techniques like PBP, ARR, NPV, PI and IRR were calculated using Microsoft Excel to get accurate and consistent results.</w:t>
      </w:r>
    </w:p>
    <w:p w14:paraId="02D35076" w14:textId="77777777" w:rsidR="00007F77" w:rsidRPr="00997841" w:rsidRDefault="00007F77" w:rsidP="00BC7E61">
      <w:pPr>
        <w:spacing w:line="360" w:lineRule="auto"/>
        <w:jc w:val="both"/>
        <w:rPr>
          <w:rFonts w:ascii="Arial" w:hAnsi="Arial" w:cs="Arial"/>
          <w:b/>
          <w:sz w:val="24"/>
          <w:szCs w:val="24"/>
        </w:rPr>
      </w:pPr>
      <w:r w:rsidRPr="00997841">
        <w:rPr>
          <w:rFonts w:ascii="Arial" w:hAnsi="Arial" w:cs="Arial"/>
          <w:b/>
          <w:sz w:val="24"/>
          <w:szCs w:val="24"/>
        </w:rPr>
        <w:t>Identification and Correction of Hallucinations and Logical Errors</w:t>
      </w:r>
    </w:p>
    <w:p w14:paraId="7FC26DFE" w14:textId="77777777" w:rsidR="003A5AFF" w:rsidRPr="00997841" w:rsidRDefault="00007F77" w:rsidP="00BC7E61">
      <w:pPr>
        <w:pStyle w:val="NormalWeb"/>
        <w:spacing w:line="360" w:lineRule="auto"/>
        <w:jc w:val="both"/>
        <w:rPr>
          <w:rFonts w:ascii="Arial" w:hAnsi="Arial" w:cs="Arial"/>
        </w:rPr>
      </w:pPr>
      <w:r w:rsidRPr="00997841">
        <w:rPr>
          <w:rFonts w:ascii="Arial" w:hAnsi="Arial" w:cs="Arial"/>
        </w:rPr>
        <w:t>Every response generated by AI has been thoroughly checked for the presence of unsupported assumptions, incorrect financial interpretations, and calculation mistakes. Any inconsistencies were verified by comparing with the financial statements published by Marriott and corrected based on the official data of the company and on the general financial formulas. The final analysis, strategic recommendations and conclusions were then edited for independence and accuracy, to maintain a logical, evidence-based and academic report.</w:t>
      </w:r>
    </w:p>
    <w:p w14:paraId="6102B324" w14:textId="77777777" w:rsidR="003A5AFF" w:rsidRPr="00997841" w:rsidRDefault="00FB6A4F" w:rsidP="00BC7E61">
      <w:pPr>
        <w:pStyle w:val="Heading2"/>
        <w:spacing w:line="360" w:lineRule="auto"/>
        <w:jc w:val="both"/>
        <w:rPr>
          <w:rFonts w:ascii="Arial" w:hAnsi="Arial" w:cs="Arial"/>
          <w:b/>
          <w:color w:val="auto"/>
          <w:sz w:val="24"/>
          <w:szCs w:val="24"/>
        </w:rPr>
      </w:pPr>
      <w:bookmarkStart w:id="21" w:name="_Toc236846141"/>
      <w:r>
        <w:rPr>
          <w:rFonts w:ascii="Arial" w:hAnsi="Arial" w:cs="Arial"/>
          <w:b/>
          <w:color w:val="auto"/>
          <w:sz w:val="24"/>
          <w:szCs w:val="24"/>
        </w:rPr>
        <w:t xml:space="preserve">5.3 </w:t>
      </w:r>
      <w:r w:rsidR="003A5AFF" w:rsidRPr="00997841">
        <w:rPr>
          <w:rFonts w:ascii="Arial" w:hAnsi="Arial" w:cs="Arial"/>
          <w:b/>
          <w:color w:val="auto"/>
          <w:sz w:val="24"/>
          <w:szCs w:val="24"/>
        </w:rPr>
        <w:t>Contribution Analysis</w:t>
      </w:r>
      <w:bookmarkEnd w:id="21"/>
    </w:p>
    <w:p w14:paraId="3F9F6563" w14:textId="77777777" w:rsidR="00BC7E61" w:rsidRPr="00997841" w:rsidRDefault="00BC7E61" w:rsidP="00BC7E61">
      <w:pPr>
        <w:spacing w:line="360" w:lineRule="auto"/>
        <w:jc w:val="both"/>
        <w:rPr>
          <w:rFonts w:ascii="Arial" w:hAnsi="Arial" w:cs="Arial"/>
          <w:b/>
          <w:sz w:val="24"/>
          <w:szCs w:val="24"/>
        </w:rPr>
      </w:pPr>
      <w:r w:rsidRPr="00997841">
        <w:rPr>
          <w:rFonts w:ascii="Arial" w:hAnsi="Arial" w:cs="Arial"/>
          <w:b/>
          <w:sz w:val="24"/>
          <w:szCs w:val="24"/>
        </w:rPr>
        <w:t>AI-Generated Content and Structure</w:t>
      </w:r>
    </w:p>
    <w:p w14:paraId="610163B9" w14:textId="77777777" w:rsidR="00BC7E61" w:rsidRPr="00997841" w:rsidRDefault="00BC7E61" w:rsidP="00BC7E61">
      <w:pPr>
        <w:pStyle w:val="NormalWeb"/>
        <w:spacing w:line="360" w:lineRule="auto"/>
        <w:jc w:val="both"/>
        <w:rPr>
          <w:rFonts w:ascii="Arial" w:hAnsi="Arial" w:cs="Arial"/>
        </w:rPr>
      </w:pPr>
      <w:r w:rsidRPr="00997841">
        <w:rPr>
          <w:rFonts w:ascii="Arial" w:hAnsi="Arial" w:cs="Arial"/>
        </w:rPr>
        <w:t>AI tools were mainly utilized to facilitate the organization and reporting of the report. It helped with structuring parts of the course, describing financial terms, revising the academic writing and gave advice in completing financial ratio and investment appraisal calculations. The financial data was also presented in tables, and AI was used to enhance the readability and clarity of the report.</w:t>
      </w:r>
    </w:p>
    <w:p w14:paraId="0D5BAB78" w14:textId="77777777" w:rsidR="00BC7E61" w:rsidRPr="00997841" w:rsidRDefault="00BC7E61" w:rsidP="00BC7E61">
      <w:pPr>
        <w:spacing w:line="360" w:lineRule="auto"/>
        <w:jc w:val="both"/>
        <w:rPr>
          <w:rFonts w:ascii="Arial" w:hAnsi="Arial" w:cs="Arial"/>
          <w:b/>
          <w:sz w:val="24"/>
          <w:szCs w:val="24"/>
        </w:rPr>
      </w:pPr>
      <w:r w:rsidRPr="00997841">
        <w:rPr>
          <w:rFonts w:ascii="Arial" w:hAnsi="Arial" w:cs="Arial"/>
          <w:b/>
          <w:sz w:val="24"/>
          <w:szCs w:val="24"/>
        </w:rPr>
        <w:t>Original Critical Analysis and Strategic Synthesis</w:t>
      </w:r>
    </w:p>
    <w:p w14:paraId="10CDC65B" w14:textId="77777777" w:rsidR="003A5AFF" w:rsidRPr="00997841" w:rsidRDefault="00BC7E61" w:rsidP="00BC7E61">
      <w:pPr>
        <w:pStyle w:val="NormalWeb"/>
        <w:spacing w:line="360" w:lineRule="auto"/>
        <w:jc w:val="both"/>
        <w:rPr>
          <w:rFonts w:ascii="Arial" w:hAnsi="Arial" w:cs="Arial"/>
        </w:rPr>
      </w:pPr>
      <w:r w:rsidRPr="00997841">
        <w:rPr>
          <w:rFonts w:ascii="Arial" w:hAnsi="Arial" w:cs="Arial"/>
        </w:rPr>
        <w:t>The critical analysis, financial interpretation, strategic recommendations and final conclusions were done independently. The financial information was sourced from the Annual Reports of Marriott International (Annual Reports 2021 - 2025) and all ratios and investment appraisal analysis was checked with the help of Microsoft Excel. The assessment of Marriott's financial performance, working capital management, restructuring strategies, investment decisions and justification of recommendations was based on independent judgement with financial evidence and relevant academic concepts and not just on outputs generated by AI.</w:t>
      </w:r>
    </w:p>
    <w:p w14:paraId="413F4788" w14:textId="77777777" w:rsidR="003A5AFF" w:rsidRPr="00997841" w:rsidRDefault="00FB6A4F" w:rsidP="00BC7E61">
      <w:pPr>
        <w:pStyle w:val="Heading2"/>
        <w:spacing w:line="360" w:lineRule="auto"/>
        <w:jc w:val="both"/>
        <w:rPr>
          <w:rFonts w:ascii="Arial" w:hAnsi="Arial" w:cs="Arial"/>
          <w:b/>
          <w:color w:val="auto"/>
          <w:sz w:val="24"/>
          <w:szCs w:val="24"/>
        </w:rPr>
      </w:pPr>
      <w:bookmarkStart w:id="22" w:name="_Toc236846142"/>
      <w:r>
        <w:rPr>
          <w:rFonts w:ascii="Arial" w:hAnsi="Arial" w:cs="Arial"/>
          <w:b/>
          <w:color w:val="auto"/>
          <w:sz w:val="24"/>
          <w:szCs w:val="24"/>
        </w:rPr>
        <w:t xml:space="preserve">5.4 </w:t>
      </w:r>
      <w:r w:rsidR="003A5AFF" w:rsidRPr="00997841">
        <w:rPr>
          <w:rFonts w:ascii="Arial" w:hAnsi="Arial" w:cs="Arial"/>
          <w:b/>
          <w:color w:val="auto"/>
          <w:sz w:val="24"/>
          <w:szCs w:val="24"/>
        </w:rPr>
        <w:t>Ethical &amp; Professional Reflection</w:t>
      </w:r>
      <w:bookmarkEnd w:id="22"/>
    </w:p>
    <w:p w14:paraId="33A80845" w14:textId="77777777" w:rsidR="003A5AFF" w:rsidRPr="00997841" w:rsidRDefault="00BC7E61" w:rsidP="00BC7E61">
      <w:pPr>
        <w:spacing w:line="360" w:lineRule="auto"/>
        <w:jc w:val="both"/>
        <w:rPr>
          <w:rFonts w:ascii="Arial" w:hAnsi="Arial" w:cs="Arial"/>
          <w:sz w:val="24"/>
          <w:szCs w:val="24"/>
        </w:rPr>
      </w:pPr>
      <w:r w:rsidRPr="00997841">
        <w:rPr>
          <w:rFonts w:ascii="Arial" w:hAnsi="Arial" w:cs="Arial"/>
          <w:sz w:val="24"/>
          <w:szCs w:val="24"/>
        </w:rPr>
        <w:t xml:space="preserve">While AI can be a valuable tool for financial professionals, it is essential to use it responsibly. The implementation of AI in finance has many advantages when it comes </w:t>
      </w:r>
      <w:r w:rsidRPr="00997841">
        <w:rPr>
          <w:rFonts w:ascii="Arial" w:hAnsi="Arial" w:cs="Arial"/>
          <w:sz w:val="24"/>
          <w:szCs w:val="24"/>
        </w:rPr>
        <w:lastRenderedPageBreak/>
        <w:t>to efficiency and data analysis, but it needs to be done responsibly. The importance of transparency is highlighted by the need to clearly state when AI support is being used, and the need to safeguard confidential financial data for data privacy and regulatory compliance. Moreover, AI should complement, not supplant, professional judgment, as the output of AI models for financial decisions at the executive level must be critically reviewed, independently made, and backed by solid financial evidence, to mitigate the risks of relying too heavily on AI generated output.</w:t>
      </w:r>
    </w:p>
    <w:p w14:paraId="50520D11" w14:textId="77777777" w:rsidR="003A5AFF" w:rsidRPr="00997841" w:rsidRDefault="003A5AFF" w:rsidP="00BC7E61">
      <w:pPr>
        <w:spacing w:line="360" w:lineRule="auto"/>
        <w:jc w:val="both"/>
        <w:rPr>
          <w:rFonts w:ascii="Arial" w:eastAsiaTheme="majorEastAsia" w:hAnsi="Arial" w:cs="Arial"/>
          <w:b/>
          <w:sz w:val="24"/>
          <w:szCs w:val="24"/>
        </w:rPr>
      </w:pPr>
      <w:r w:rsidRPr="00997841">
        <w:rPr>
          <w:rFonts w:ascii="Arial" w:hAnsi="Arial" w:cs="Arial"/>
          <w:b/>
          <w:sz w:val="24"/>
          <w:szCs w:val="24"/>
        </w:rPr>
        <w:br w:type="page"/>
      </w:r>
    </w:p>
    <w:p w14:paraId="76CC2262" w14:textId="77777777" w:rsidR="003A5AFF" w:rsidRPr="00997841" w:rsidRDefault="003A5AFF" w:rsidP="00BC7E61">
      <w:pPr>
        <w:pStyle w:val="Heading1"/>
        <w:spacing w:line="360" w:lineRule="auto"/>
        <w:jc w:val="both"/>
        <w:rPr>
          <w:rFonts w:ascii="Arial" w:hAnsi="Arial" w:cs="Arial"/>
          <w:b/>
          <w:color w:val="auto"/>
          <w:sz w:val="24"/>
          <w:szCs w:val="24"/>
        </w:rPr>
      </w:pPr>
      <w:bookmarkStart w:id="23" w:name="_Toc236846143"/>
      <w:r w:rsidRPr="00997841">
        <w:rPr>
          <w:rFonts w:ascii="Arial" w:hAnsi="Arial" w:cs="Arial"/>
          <w:b/>
          <w:color w:val="auto"/>
          <w:sz w:val="24"/>
          <w:szCs w:val="24"/>
        </w:rPr>
        <w:lastRenderedPageBreak/>
        <w:t>References</w:t>
      </w:r>
      <w:bookmarkEnd w:id="23"/>
    </w:p>
    <w:p w14:paraId="1050084F"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Corporate Finance Institute (2026a) Corporate Finance Institute. Available at: </w:t>
      </w:r>
      <w:hyperlink r:id="rId28" w:tgtFrame="_new" w:history="1">
        <w:r w:rsidRPr="00997841">
          <w:rPr>
            <w:rStyle w:val="Hyperlink"/>
            <w:rFonts w:ascii="Arial" w:hAnsi="Arial" w:cs="Arial"/>
            <w:color w:val="auto"/>
            <w:sz w:val="24"/>
            <w:szCs w:val="24"/>
          </w:rPr>
          <w:t>https://corporatefinanceinstitute.com</w:t>
        </w:r>
      </w:hyperlink>
      <w:r w:rsidRPr="00997841">
        <w:rPr>
          <w:rFonts w:ascii="Arial" w:hAnsi="Arial" w:cs="Arial"/>
          <w:sz w:val="24"/>
          <w:szCs w:val="24"/>
        </w:rPr>
        <w:t xml:space="preserve"> </w:t>
      </w:r>
    </w:p>
    <w:p w14:paraId="695B782B"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Deloitte (2026a) Deloitte Insights. Available at: https://www2.deloitte.com/global/en/insights.html </w:t>
      </w:r>
    </w:p>
    <w:p w14:paraId="751DEFAC"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EY (2026a) EY Insights. Available at: </w:t>
      </w:r>
      <w:hyperlink r:id="rId29" w:tgtFrame="_new" w:history="1">
        <w:r w:rsidRPr="00997841">
          <w:rPr>
            <w:rStyle w:val="Hyperlink"/>
            <w:rFonts w:ascii="Arial" w:hAnsi="Arial" w:cs="Arial"/>
            <w:color w:val="auto"/>
            <w:sz w:val="24"/>
            <w:szCs w:val="24"/>
          </w:rPr>
          <w:t>https://www.ey.com/en_gl/insights</w:t>
        </w:r>
      </w:hyperlink>
      <w:r w:rsidRPr="00997841">
        <w:rPr>
          <w:rFonts w:ascii="Arial" w:hAnsi="Arial" w:cs="Arial"/>
          <w:sz w:val="24"/>
          <w:szCs w:val="24"/>
        </w:rPr>
        <w:t xml:space="preserve"> </w:t>
      </w:r>
    </w:p>
    <w:p w14:paraId="18808276"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Federal Reserve Bank of St. Louis (2026a) FRED Economic Data. Available at: </w:t>
      </w:r>
      <w:hyperlink r:id="rId30" w:tgtFrame="_new" w:history="1">
        <w:r w:rsidRPr="00997841">
          <w:rPr>
            <w:rStyle w:val="Hyperlink"/>
            <w:rFonts w:ascii="Arial" w:hAnsi="Arial" w:cs="Arial"/>
            <w:color w:val="auto"/>
            <w:sz w:val="24"/>
            <w:szCs w:val="24"/>
          </w:rPr>
          <w:t>https://fred.stlouisfed.org</w:t>
        </w:r>
      </w:hyperlink>
      <w:r w:rsidRPr="00997841">
        <w:rPr>
          <w:rFonts w:ascii="Arial" w:hAnsi="Arial" w:cs="Arial"/>
          <w:sz w:val="24"/>
          <w:szCs w:val="24"/>
        </w:rPr>
        <w:t xml:space="preserve"> </w:t>
      </w:r>
    </w:p>
    <w:p w14:paraId="1519AEC7"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Global Reporting Initiative (2026a) GRI Standards. Available at: </w:t>
      </w:r>
      <w:hyperlink r:id="rId31" w:tgtFrame="_new" w:history="1">
        <w:r w:rsidRPr="00997841">
          <w:rPr>
            <w:rStyle w:val="Hyperlink"/>
            <w:rFonts w:ascii="Arial" w:hAnsi="Arial" w:cs="Arial"/>
            <w:color w:val="auto"/>
            <w:sz w:val="24"/>
            <w:szCs w:val="24"/>
          </w:rPr>
          <w:t>https://www.globalreporting.org</w:t>
        </w:r>
      </w:hyperlink>
      <w:r w:rsidRPr="00997841">
        <w:rPr>
          <w:rFonts w:ascii="Arial" w:hAnsi="Arial" w:cs="Arial"/>
          <w:sz w:val="24"/>
          <w:szCs w:val="24"/>
        </w:rPr>
        <w:t xml:space="preserve"> </w:t>
      </w:r>
    </w:p>
    <w:p w14:paraId="1552CDD4"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IFRS Foundation (2026a) IFRS Foundation. Available at: </w:t>
      </w:r>
      <w:hyperlink r:id="rId32" w:tgtFrame="_new" w:history="1">
        <w:r w:rsidRPr="00997841">
          <w:rPr>
            <w:rStyle w:val="Hyperlink"/>
            <w:rFonts w:ascii="Arial" w:hAnsi="Arial" w:cs="Arial"/>
            <w:color w:val="auto"/>
            <w:sz w:val="24"/>
            <w:szCs w:val="24"/>
          </w:rPr>
          <w:t>https://www.ifrs.org</w:t>
        </w:r>
      </w:hyperlink>
      <w:r w:rsidRPr="00997841">
        <w:rPr>
          <w:rFonts w:ascii="Arial" w:hAnsi="Arial" w:cs="Arial"/>
          <w:sz w:val="24"/>
          <w:szCs w:val="24"/>
        </w:rPr>
        <w:t xml:space="preserve"> </w:t>
      </w:r>
    </w:p>
    <w:p w14:paraId="24AF0713"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IFRS Foundation (2026b) International Accounting Standards Board (IASB). Available at: </w:t>
      </w:r>
      <w:hyperlink r:id="rId33" w:tgtFrame="_new" w:history="1">
        <w:r w:rsidRPr="00997841">
          <w:rPr>
            <w:rStyle w:val="Hyperlink"/>
            <w:rFonts w:ascii="Arial" w:hAnsi="Arial" w:cs="Arial"/>
            <w:color w:val="auto"/>
            <w:sz w:val="24"/>
            <w:szCs w:val="24"/>
          </w:rPr>
          <w:t>https://www.ifrs.org/groups/international-accounting-standards-board</w:t>
        </w:r>
      </w:hyperlink>
      <w:r w:rsidRPr="00997841">
        <w:rPr>
          <w:rFonts w:ascii="Arial" w:hAnsi="Arial" w:cs="Arial"/>
          <w:sz w:val="24"/>
          <w:szCs w:val="24"/>
        </w:rPr>
        <w:t xml:space="preserve"> </w:t>
      </w:r>
    </w:p>
    <w:p w14:paraId="69AF1B32"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IFRS Foundation (2026c) International Sustainability Standards Board (ISSB). Available at: </w:t>
      </w:r>
      <w:hyperlink r:id="rId34" w:tgtFrame="_new" w:history="1">
        <w:r w:rsidRPr="00997841">
          <w:rPr>
            <w:rStyle w:val="Hyperlink"/>
            <w:rFonts w:ascii="Arial" w:hAnsi="Arial" w:cs="Arial"/>
            <w:color w:val="auto"/>
            <w:sz w:val="24"/>
            <w:szCs w:val="24"/>
          </w:rPr>
          <w:t>https://www.ifrs.org/groups/international-sustainability-standards-board</w:t>
        </w:r>
      </w:hyperlink>
      <w:r w:rsidRPr="00997841">
        <w:rPr>
          <w:rFonts w:ascii="Arial" w:hAnsi="Arial" w:cs="Arial"/>
          <w:sz w:val="24"/>
          <w:szCs w:val="24"/>
        </w:rPr>
        <w:t xml:space="preserve"> </w:t>
      </w:r>
    </w:p>
    <w:p w14:paraId="7DB34F50"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IFRS Foundation (2026d) Sustainability Accounting Standards Board (SASB). Available at: </w:t>
      </w:r>
      <w:hyperlink r:id="rId35" w:tgtFrame="_new" w:history="1">
        <w:r w:rsidRPr="00997841">
          <w:rPr>
            <w:rStyle w:val="Hyperlink"/>
            <w:rFonts w:ascii="Arial" w:hAnsi="Arial" w:cs="Arial"/>
            <w:color w:val="auto"/>
            <w:sz w:val="24"/>
            <w:szCs w:val="24"/>
          </w:rPr>
          <w:t>https://sasb.ifrs.org</w:t>
        </w:r>
      </w:hyperlink>
      <w:r w:rsidRPr="00997841">
        <w:rPr>
          <w:rFonts w:ascii="Arial" w:hAnsi="Arial" w:cs="Arial"/>
          <w:sz w:val="24"/>
          <w:szCs w:val="24"/>
        </w:rPr>
        <w:t xml:space="preserve"> </w:t>
      </w:r>
    </w:p>
    <w:p w14:paraId="62F69D75"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Institute of Management Accountants (2026a) IMA. Available at: </w:t>
      </w:r>
      <w:hyperlink r:id="rId36" w:tgtFrame="_new" w:history="1">
        <w:r w:rsidRPr="00997841">
          <w:rPr>
            <w:rStyle w:val="Hyperlink"/>
            <w:rFonts w:ascii="Arial" w:hAnsi="Arial" w:cs="Arial"/>
            <w:color w:val="auto"/>
            <w:sz w:val="24"/>
            <w:szCs w:val="24"/>
          </w:rPr>
          <w:t>https://www.imanet.org</w:t>
        </w:r>
      </w:hyperlink>
      <w:r w:rsidRPr="00997841">
        <w:rPr>
          <w:rFonts w:ascii="Arial" w:hAnsi="Arial" w:cs="Arial"/>
          <w:sz w:val="24"/>
          <w:szCs w:val="24"/>
        </w:rPr>
        <w:t xml:space="preserve"> </w:t>
      </w:r>
    </w:p>
    <w:p w14:paraId="2A0372D6"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International Energy Agency (2026a) International Energy Agency. Available at: </w:t>
      </w:r>
      <w:hyperlink r:id="rId37" w:tgtFrame="_new" w:history="1">
        <w:r w:rsidRPr="00997841">
          <w:rPr>
            <w:rStyle w:val="Hyperlink"/>
            <w:rFonts w:ascii="Arial" w:hAnsi="Arial" w:cs="Arial"/>
            <w:color w:val="auto"/>
            <w:sz w:val="24"/>
            <w:szCs w:val="24"/>
          </w:rPr>
          <w:t>https://www.iea.org</w:t>
        </w:r>
      </w:hyperlink>
      <w:r w:rsidRPr="00997841">
        <w:rPr>
          <w:rFonts w:ascii="Arial" w:hAnsi="Arial" w:cs="Arial"/>
          <w:sz w:val="24"/>
          <w:szCs w:val="24"/>
        </w:rPr>
        <w:t xml:space="preserve"> </w:t>
      </w:r>
    </w:p>
    <w:p w14:paraId="615953B5"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International Monetary Fund (2026a) IMF. Available at: </w:t>
      </w:r>
      <w:hyperlink r:id="rId38" w:tgtFrame="_new" w:history="1">
        <w:r w:rsidRPr="00997841">
          <w:rPr>
            <w:rStyle w:val="Hyperlink"/>
            <w:rFonts w:ascii="Arial" w:hAnsi="Arial" w:cs="Arial"/>
            <w:color w:val="auto"/>
            <w:sz w:val="24"/>
            <w:szCs w:val="24"/>
          </w:rPr>
          <w:t>https://www.imf.org</w:t>
        </w:r>
      </w:hyperlink>
      <w:r w:rsidRPr="00997841">
        <w:rPr>
          <w:rFonts w:ascii="Arial" w:hAnsi="Arial" w:cs="Arial"/>
          <w:sz w:val="24"/>
          <w:szCs w:val="24"/>
        </w:rPr>
        <w:t xml:space="preserve"> </w:t>
      </w:r>
    </w:p>
    <w:p w14:paraId="3AED2A09"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Investopedia (2026a) Financial Ratios. Available at: </w:t>
      </w:r>
      <w:hyperlink r:id="rId39" w:tgtFrame="_new" w:history="1">
        <w:r w:rsidRPr="00997841">
          <w:rPr>
            <w:rStyle w:val="Hyperlink"/>
            <w:rFonts w:ascii="Arial" w:hAnsi="Arial" w:cs="Arial"/>
            <w:color w:val="auto"/>
            <w:sz w:val="24"/>
            <w:szCs w:val="24"/>
          </w:rPr>
          <w:t>https://www.investopedia.com</w:t>
        </w:r>
      </w:hyperlink>
      <w:r w:rsidRPr="00997841">
        <w:rPr>
          <w:rFonts w:ascii="Arial" w:hAnsi="Arial" w:cs="Arial"/>
          <w:sz w:val="24"/>
          <w:szCs w:val="24"/>
        </w:rPr>
        <w:t xml:space="preserve"> </w:t>
      </w:r>
    </w:p>
    <w:p w14:paraId="37726899"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KPMG (2026a) KPMG Insights. Available at: </w:t>
      </w:r>
      <w:hyperlink r:id="rId40" w:tgtFrame="_new" w:history="1">
        <w:r w:rsidRPr="00997841">
          <w:rPr>
            <w:rStyle w:val="Hyperlink"/>
            <w:rFonts w:ascii="Arial" w:hAnsi="Arial" w:cs="Arial"/>
            <w:color w:val="auto"/>
            <w:sz w:val="24"/>
            <w:szCs w:val="24"/>
          </w:rPr>
          <w:t>https://kpmg.com/xx/en/home/insights.html</w:t>
        </w:r>
      </w:hyperlink>
      <w:r w:rsidRPr="00997841">
        <w:rPr>
          <w:rFonts w:ascii="Arial" w:hAnsi="Arial" w:cs="Arial"/>
          <w:sz w:val="24"/>
          <w:szCs w:val="24"/>
        </w:rPr>
        <w:t xml:space="preserve"> </w:t>
      </w:r>
    </w:p>
    <w:p w14:paraId="3B237A71"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Macrotrends (2026a) Marriott International Financial Statements. Available at: </w:t>
      </w:r>
      <w:hyperlink r:id="rId41" w:tgtFrame="_new" w:history="1">
        <w:r w:rsidRPr="00997841">
          <w:rPr>
            <w:rStyle w:val="Hyperlink"/>
            <w:rFonts w:ascii="Arial" w:hAnsi="Arial" w:cs="Arial"/>
            <w:color w:val="auto"/>
            <w:sz w:val="24"/>
            <w:szCs w:val="24"/>
          </w:rPr>
          <w:t>https://www.macrotrends.net</w:t>
        </w:r>
      </w:hyperlink>
      <w:r w:rsidRPr="00997841">
        <w:rPr>
          <w:rFonts w:ascii="Arial" w:hAnsi="Arial" w:cs="Arial"/>
          <w:sz w:val="24"/>
          <w:szCs w:val="24"/>
        </w:rPr>
        <w:t xml:space="preserve"> </w:t>
      </w:r>
    </w:p>
    <w:p w14:paraId="5B1D181E"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lastRenderedPageBreak/>
        <w:t xml:space="preserve">Marriott International (2025a) Annual Reports. Available at: </w:t>
      </w:r>
      <w:hyperlink r:id="rId42" w:tgtFrame="_new" w:history="1">
        <w:r w:rsidRPr="00997841">
          <w:rPr>
            <w:rStyle w:val="Hyperlink"/>
            <w:rFonts w:ascii="Arial" w:hAnsi="Arial" w:cs="Arial"/>
            <w:color w:val="auto"/>
            <w:sz w:val="24"/>
            <w:szCs w:val="24"/>
          </w:rPr>
          <w:t>https://marriott.gcs-web.com/annual</w:t>
        </w:r>
      </w:hyperlink>
      <w:r w:rsidRPr="00997841">
        <w:rPr>
          <w:rFonts w:ascii="Arial" w:hAnsi="Arial" w:cs="Arial"/>
          <w:sz w:val="24"/>
          <w:szCs w:val="24"/>
        </w:rPr>
        <w:t xml:space="preserve"> </w:t>
      </w:r>
    </w:p>
    <w:p w14:paraId="0633134A"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Marriott International (2025b) Form 10-K Annual Report 2024. Available at: </w:t>
      </w:r>
      <w:hyperlink r:id="rId43" w:tgtFrame="_new" w:history="1">
        <w:r w:rsidRPr="00997841">
          <w:rPr>
            <w:rStyle w:val="Hyperlink"/>
            <w:rFonts w:ascii="Arial" w:hAnsi="Arial" w:cs="Arial"/>
            <w:color w:val="auto"/>
            <w:sz w:val="24"/>
            <w:szCs w:val="24"/>
          </w:rPr>
          <w:t>https://marriott.gcs-web.com/sec-filings/sec-filing/10-k/0001628280-25-004818</w:t>
        </w:r>
      </w:hyperlink>
      <w:r w:rsidRPr="00997841">
        <w:rPr>
          <w:rFonts w:ascii="Arial" w:hAnsi="Arial" w:cs="Arial"/>
          <w:sz w:val="24"/>
          <w:szCs w:val="24"/>
        </w:rPr>
        <w:t xml:space="preserve"> </w:t>
      </w:r>
    </w:p>
    <w:p w14:paraId="7077AFEF"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Marriott International (2025c) Download Library. Available at: </w:t>
      </w:r>
      <w:hyperlink r:id="rId44" w:tgtFrame="_new" w:history="1">
        <w:r w:rsidRPr="00997841">
          <w:rPr>
            <w:rStyle w:val="Hyperlink"/>
            <w:rFonts w:ascii="Arial" w:hAnsi="Arial" w:cs="Arial"/>
            <w:color w:val="auto"/>
            <w:sz w:val="24"/>
            <w:szCs w:val="24"/>
          </w:rPr>
          <w:t>https://marriott.gcs-web.com/download-library</w:t>
        </w:r>
      </w:hyperlink>
      <w:r w:rsidRPr="00997841">
        <w:rPr>
          <w:rFonts w:ascii="Arial" w:hAnsi="Arial" w:cs="Arial"/>
          <w:sz w:val="24"/>
          <w:szCs w:val="24"/>
        </w:rPr>
        <w:t xml:space="preserve"> </w:t>
      </w:r>
    </w:p>
    <w:p w14:paraId="3AA54A8D"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Marriott International (2025d) Sustainability and Social Impact. Available at: </w:t>
      </w:r>
      <w:hyperlink r:id="rId45" w:tgtFrame="_new" w:history="1">
        <w:r w:rsidRPr="00997841">
          <w:rPr>
            <w:rStyle w:val="Hyperlink"/>
            <w:rFonts w:ascii="Arial" w:hAnsi="Arial" w:cs="Arial"/>
            <w:color w:val="auto"/>
            <w:sz w:val="24"/>
            <w:szCs w:val="24"/>
          </w:rPr>
          <w:t>https://marriott.gcs-web.com/sustainability-and-social-impact</w:t>
        </w:r>
      </w:hyperlink>
      <w:r w:rsidRPr="00997841">
        <w:rPr>
          <w:rFonts w:ascii="Arial" w:hAnsi="Arial" w:cs="Arial"/>
          <w:sz w:val="24"/>
          <w:szCs w:val="24"/>
        </w:rPr>
        <w:t xml:space="preserve"> </w:t>
      </w:r>
    </w:p>
    <w:p w14:paraId="7229DE42"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Marriott International (2025e) Investor Relations. Available at: </w:t>
      </w:r>
      <w:hyperlink r:id="rId46" w:tgtFrame="_new" w:history="1">
        <w:r w:rsidRPr="00997841">
          <w:rPr>
            <w:rStyle w:val="Hyperlink"/>
            <w:rFonts w:ascii="Arial" w:hAnsi="Arial" w:cs="Arial"/>
            <w:color w:val="auto"/>
            <w:sz w:val="24"/>
            <w:szCs w:val="24"/>
          </w:rPr>
          <w:t>https://marriott.gcs-web.com</w:t>
        </w:r>
      </w:hyperlink>
      <w:r w:rsidRPr="00997841">
        <w:rPr>
          <w:rFonts w:ascii="Arial" w:hAnsi="Arial" w:cs="Arial"/>
          <w:sz w:val="24"/>
          <w:szCs w:val="24"/>
        </w:rPr>
        <w:t xml:space="preserve"> </w:t>
      </w:r>
    </w:p>
    <w:p w14:paraId="4B407E6A"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Marriott International (2025f) Corporate Governance. Available at: </w:t>
      </w:r>
      <w:hyperlink r:id="rId47" w:tgtFrame="_new" w:history="1">
        <w:r w:rsidRPr="00997841">
          <w:rPr>
            <w:rStyle w:val="Hyperlink"/>
            <w:rFonts w:ascii="Arial" w:hAnsi="Arial" w:cs="Arial"/>
            <w:color w:val="auto"/>
            <w:sz w:val="24"/>
            <w:szCs w:val="24"/>
          </w:rPr>
          <w:t>https://marriott.gcs-web.com/corporate-governance</w:t>
        </w:r>
      </w:hyperlink>
      <w:r w:rsidRPr="00997841">
        <w:rPr>
          <w:rFonts w:ascii="Arial" w:hAnsi="Arial" w:cs="Arial"/>
          <w:sz w:val="24"/>
          <w:szCs w:val="24"/>
        </w:rPr>
        <w:t xml:space="preserve"> </w:t>
      </w:r>
    </w:p>
    <w:p w14:paraId="043E8CD7"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Marriott International (2025g) Serve 360. Available at: </w:t>
      </w:r>
      <w:hyperlink r:id="rId48" w:tgtFrame="_new" w:history="1">
        <w:r w:rsidRPr="00997841">
          <w:rPr>
            <w:rStyle w:val="Hyperlink"/>
            <w:rFonts w:ascii="Arial" w:hAnsi="Arial" w:cs="Arial"/>
            <w:color w:val="auto"/>
            <w:sz w:val="24"/>
            <w:szCs w:val="24"/>
          </w:rPr>
          <w:t>https://serve360.marriott.com</w:t>
        </w:r>
      </w:hyperlink>
      <w:r w:rsidRPr="00997841">
        <w:rPr>
          <w:rFonts w:ascii="Arial" w:hAnsi="Arial" w:cs="Arial"/>
          <w:sz w:val="24"/>
          <w:szCs w:val="24"/>
        </w:rPr>
        <w:t xml:space="preserve"> </w:t>
      </w:r>
    </w:p>
    <w:p w14:paraId="6EADCFE5"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Marriott International (2025h) Human Rights Policy. Available at: https://serve360.marriott.com/human-rights </w:t>
      </w:r>
    </w:p>
    <w:p w14:paraId="1D0D8273"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Marriott International (2025i) Business Conduct Guide. Available at: https://serve360.marriott.com/business-conduct-guide </w:t>
      </w:r>
    </w:p>
    <w:p w14:paraId="2A522BCD"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Marriott International (2025j) Marriott Hotels Official Website. Available at: </w:t>
      </w:r>
      <w:hyperlink r:id="rId49" w:tgtFrame="_new" w:history="1">
        <w:r w:rsidRPr="00997841">
          <w:rPr>
            <w:rStyle w:val="Hyperlink"/>
            <w:rFonts w:ascii="Arial" w:hAnsi="Arial" w:cs="Arial"/>
            <w:color w:val="auto"/>
            <w:sz w:val="24"/>
            <w:szCs w:val="24"/>
          </w:rPr>
          <w:t>https://www.marriott.com</w:t>
        </w:r>
      </w:hyperlink>
      <w:r w:rsidRPr="00997841">
        <w:rPr>
          <w:rFonts w:ascii="Arial" w:hAnsi="Arial" w:cs="Arial"/>
          <w:sz w:val="24"/>
          <w:szCs w:val="24"/>
        </w:rPr>
        <w:t xml:space="preserve"> </w:t>
      </w:r>
    </w:p>
    <w:p w14:paraId="2D672FE4"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Marriott International (2026a) Annual Report 2025 (ARS). Available at: </w:t>
      </w:r>
      <w:hyperlink r:id="rId50" w:tgtFrame="_new" w:history="1">
        <w:r w:rsidRPr="00997841">
          <w:rPr>
            <w:rStyle w:val="Hyperlink"/>
            <w:rFonts w:ascii="Arial" w:hAnsi="Arial" w:cs="Arial"/>
            <w:color w:val="auto"/>
            <w:sz w:val="24"/>
            <w:szCs w:val="24"/>
          </w:rPr>
          <w:t>https://marriott.gcs-web.com/sec-filings/sec-filing/ars/0001140361-26-011592</w:t>
        </w:r>
      </w:hyperlink>
      <w:r w:rsidRPr="00997841">
        <w:rPr>
          <w:rFonts w:ascii="Arial" w:hAnsi="Arial" w:cs="Arial"/>
          <w:sz w:val="24"/>
          <w:szCs w:val="24"/>
        </w:rPr>
        <w:t xml:space="preserve"> </w:t>
      </w:r>
    </w:p>
    <w:p w14:paraId="6AA4FE30"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Marriott International (2026b) Form 10-K Annual Report 2025. Available at: </w:t>
      </w:r>
      <w:hyperlink r:id="rId51" w:tgtFrame="_new" w:history="1">
        <w:r w:rsidRPr="00997841">
          <w:rPr>
            <w:rStyle w:val="Hyperlink"/>
            <w:rFonts w:ascii="Arial" w:hAnsi="Arial" w:cs="Arial"/>
            <w:color w:val="auto"/>
            <w:sz w:val="24"/>
            <w:szCs w:val="24"/>
          </w:rPr>
          <w:t>https://www.sec.gov/Archives/edgar/data/1048286/000104828626000007/0001048286-26-000007-index.htm</w:t>
        </w:r>
      </w:hyperlink>
      <w:r w:rsidRPr="00997841">
        <w:rPr>
          <w:rFonts w:ascii="Arial" w:hAnsi="Arial" w:cs="Arial"/>
          <w:sz w:val="24"/>
          <w:szCs w:val="24"/>
        </w:rPr>
        <w:t xml:space="preserve"> </w:t>
      </w:r>
    </w:p>
    <w:p w14:paraId="56B878C3"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Morningstar (2026a) Morningstar. Available at: </w:t>
      </w:r>
      <w:hyperlink r:id="rId52" w:tgtFrame="_new" w:history="1">
        <w:r w:rsidRPr="00997841">
          <w:rPr>
            <w:rStyle w:val="Hyperlink"/>
            <w:rFonts w:ascii="Arial" w:hAnsi="Arial" w:cs="Arial"/>
            <w:color w:val="auto"/>
            <w:sz w:val="24"/>
            <w:szCs w:val="24"/>
          </w:rPr>
          <w:t>https://www.morningstar.com</w:t>
        </w:r>
      </w:hyperlink>
      <w:r w:rsidRPr="00997841">
        <w:rPr>
          <w:rFonts w:ascii="Arial" w:hAnsi="Arial" w:cs="Arial"/>
          <w:sz w:val="24"/>
          <w:szCs w:val="24"/>
        </w:rPr>
        <w:t xml:space="preserve"> </w:t>
      </w:r>
    </w:p>
    <w:p w14:paraId="7DFDBE4E"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MSCI (2026a) ESG Ratings. Available at: </w:t>
      </w:r>
      <w:hyperlink r:id="rId53" w:tgtFrame="_new" w:history="1">
        <w:r w:rsidRPr="00997841">
          <w:rPr>
            <w:rStyle w:val="Hyperlink"/>
            <w:rFonts w:ascii="Arial" w:hAnsi="Arial" w:cs="Arial"/>
            <w:color w:val="auto"/>
            <w:sz w:val="24"/>
            <w:szCs w:val="24"/>
          </w:rPr>
          <w:t>https://www.msci.com/our-solutions/esg-investing/esg-ratings</w:t>
        </w:r>
      </w:hyperlink>
      <w:r w:rsidRPr="00997841">
        <w:rPr>
          <w:rFonts w:ascii="Arial" w:hAnsi="Arial" w:cs="Arial"/>
          <w:sz w:val="24"/>
          <w:szCs w:val="24"/>
        </w:rPr>
        <w:t xml:space="preserve"> </w:t>
      </w:r>
    </w:p>
    <w:p w14:paraId="0A7AC501"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lastRenderedPageBreak/>
        <w:t xml:space="preserve">Nasdaq (2026a) Marriott International Stock Information. Available at: </w:t>
      </w:r>
      <w:hyperlink r:id="rId54" w:tgtFrame="_new" w:history="1">
        <w:r w:rsidRPr="00997841">
          <w:rPr>
            <w:rStyle w:val="Hyperlink"/>
            <w:rFonts w:ascii="Arial" w:hAnsi="Arial" w:cs="Arial"/>
            <w:color w:val="auto"/>
            <w:sz w:val="24"/>
            <w:szCs w:val="24"/>
          </w:rPr>
          <w:t>https://www.nasdaq.com/market-activity/stocks/mar</w:t>
        </w:r>
      </w:hyperlink>
      <w:r w:rsidRPr="00997841">
        <w:rPr>
          <w:rFonts w:ascii="Arial" w:hAnsi="Arial" w:cs="Arial"/>
          <w:sz w:val="24"/>
          <w:szCs w:val="24"/>
        </w:rPr>
        <w:t xml:space="preserve"> </w:t>
      </w:r>
    </w:p>
    <w:p w14:paraId="22E464D9"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New York Stock Exchange (2026a) NYSE. Available at: </w:t>
      </w:r>
      <w:hyperlink r:id="rId55" w:tgtFrame="_new" w:history="1">
        <w:r w:rsidRPr="00997841">
          <w:rPr>
            <w:rStyle w:val="Hyperlink"/>
            <w:rFonts w:ascii="Arial" w:hAnsi="Arial" w:cs="Arial"/>
            <w:color w:val="auto"/>
            <w:sz w:val="24"/>
            <w:szCs w:val="24"/>
          </w:rPr>
          <w:t>https://www.nyse.com</w:t>
        </w:r>
      </w:hyperlink>
      <w:r w:rsidRPr="00997841">
        <w:rPr>
          <w:rFonts w:ascii="Arial" w:hAnsi="Arial" w:cs="Arial"/>
          <w:sz w:val="24"/>
          <w:szCs w:val="24"/>
        </w:rPr>
        <w:t xml:space="preserve"> </w:t>
      </w:r>
    </w:p>
    <w:p w14:paraId="2EFD9620"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Organisation for Economic Co-operation and Development (OECD) (2026a) OECD. Available at: </w:t>
      </w:r>
      <w:hyperlink r:id="rId56" w:tgtFrame="_new" w:history="1">
        <w:r w:rsidRPr="00997841">
          <w:rPr>
            <w:rStyle w:val="Hyperlink"/>
            <w:rFonts w:ascii="Arial" w:hAnsi="Arial" w:cs="Arial"/>
            <w:color w:val="auto"/>
            <w:sz w:val="24"/>
            <w:szCs w:val="24"/>
          </w:rPr>
          <w:t>https://www.oecd.org</w:t>
        </w:r>
      </w:hyperlink>
      <w:r w:rsidRPr="00997841">
        <w:rPr>
          <w:rFonts w:ascii="Arial" w:hAnsi="Arial" w:cs="Arial"/>
          <w:sz w:val="24"/>
          <w:szCs w:val="24"/>
        </w:rPr>
        <w:t xml:space="preserve"> </w:t>
      </w:r>
    </w:p>
    <w:p w14:paraId="5175136E"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PwC (2025a) ESG Reporting in Hospitality. Available at: </w:t>
      </w:r>
      <w:hyperlink r:id="rId57" w:tgtFrame="_new" w:history="1">
        <w:r w:rsidRPr="00997841">
          <w:rPr>
            <w:rStyle w:val="Hyperlink"/>
            <w:rFonts w:ascii="Arial" w:hAnsi="Arial" w:cs="Arial"/>
            <w:color w:val="auto"/>
            <w:sz w:val="24"/>
            <w:szCs w:val="24"/>
          </w:rPr>
          <w:t>https://www.pwc.com/us/en/industries/consumer-markets/library/esg-reporting-in-hospitality.html</w:t>
        </w:r>
      </w:hyperlink>
      <w:r w:rsidRPr="00997841">
        <w:rPr>
          <w:rFonts w:ascii="Arial" w:hAnsi="Arial" w:cs="Arial"/>
          <w:sz w:val="24"/>
          <w:szCs w:val="24"/>
        </w:rPr>
        <w:t xml:space="preserve"> </w:t>
      </w:r>
    </w:p>
    <w:p w14:paraId="13773995"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PwC (2026a) PwC Global. Available at: </w:t>
      </w:r>
      <w:hyperlink r:id="rId58" w:tgtFrame="_new" w:history="1">
        <w:r w:rsidRPr="00997841">
          <w:rPr>
            <w:rStyle w:val="Hyperlink"/>
            <w:rFonts w:ascii="Arial" w:hAnsi="Arial" w:cs="Arial"/>
            <w:color w:val="auto"/>
            <w:sz w:val="24"/>
            <w:szCs w:val="24"/>
          </w:rPr>
          <w:t>https://www.pwc.com</w:t>
        </w:r>
      </w:hyperlink>
      <w:r w:rsidRPr="00997841">
        <w:rPr>
          <w:rFonts w:ascii="Arial" w:hAnsi="Arial" w:cs="Arial"/>
          <w:sz w:val="24"/>
          <w:szCs w:val="24"/>
        </w:rPr>
        <w:t xml:space="preserve"> </w:t>
      </w:r>
    </w:p>
    <w:p w14:paraId="5FE8BBB4"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Statista (2026a) Statista. Available at: </w:t>
      </w:r>
      <w:hyperlink r:id="rId59" w:tgtFrame="_new" w:history="1">
        <w:r w:rsidRPr="00997841">
          <w:rPr>
            <w:rStyle w:val="Hyperlink"/>
            <w:rFonts w:ascii="Arial" w:hAnsi="Arial" w:cs="Arial"/>
            <w:color w:val="auto"/>
            <w:sz w:val="24"/>
            <w:szCs w:val="24"/>
          </w:rPr>
          <w:t>https://www.statista.com</w:t>
        </w:r>
      </w:hyperlink>
      <w:r w:rsidRPr="00997841">
        <w:rPr>
          <w:rFonts w:ascii="Arial" w:hAnsi="Arial" w:cs="Arial"/>
          <w:sz w:val="24"/>
          <w:szCs w:val="24"/>
        </w:rPr>
        <w:t xml:space="preserve"> </w:t>
      </w:r>
    </w:p>
    <w:p w14:paraId="7E75D987"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Trading Economics (2026a) Trading Economics. Available at: </w:t>
      </w:r>
      <w:hyperlink r:id="rId60" w:tgtFrame="_new" w:history="1">
        <w:r w:rsidRPr="00997841">
          <w:rPr>
            <w:rStyle w:val="Hyperlink"/>
            <w:rFonts w:ascii="Arial" w:hAnsi="Arial" w:cs="Arial"/>
            <w:color w:val="auto"/>
            <w:sz w:val="24"/>
            <w:szCs w:val="24"/>
          </w:rPr>
          <w:t>https://tradingeconomics.com</w:t>
        </w:r>
      </w:hyperlink>
      <w:r w:rsidRPr="00997841">
        <w:rPr>
          <w:rFonts w:ascii="Arial" w:hAnsi="Arial" w:cs="Arial"/>
          <w:sz w:val="24"/>
          <w:szCs w:val="24"/>
        </w:rPr>
        <w:t xml:space="preserve"> </w:t>
      </w:r>
    </w:p>
    <w:p w14:paraId="0A271AE4"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U.S. Securities and Exchange Commission (2026a) EDGAR Company Filings. Available at: </w:t>
      </w:r>
      <w:hyperlink r:id="rId61" w:tgtFrame="_new" w:history="1">
        <w:r w:rsidRPr="00997841">
          <w:rPr>
            <w:rStyle w:val="Hyperlink"/>
            <w:rFonts w:ascii="Arial" w:hAnsi="Arial" w:cs="Arial"/>
            <w:color w:val="auto"/>
            <w:sz w:val="24"/>
            <w:szCs w:val="24"/>
          </w:rPr>
          <w:t>https://www.sec.gov</w:t>
        </w:r>
      </w:hyperlink>
      <w:r w:rsidRPr="00997841">
        <w:rPr>
          <w:rFonts w:ascii="Arial" w:hAnsi="Arial" w:cs="Arial"/>
          <w:sz w:val="24"/>
          <w:szCs w:val="24"/>
        </w:rPr>
        <w:t xml:space="preserve"> </w:t>
      </w:r>
    </w:p>
    <w:p w14:paraId="193F4046"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UN Tourism (2026a) UN Tourism. Available at: </w:t>
      </w:r>
      <w:hyperlink r:id="rId62" w:tgtFrame="_new" w:history="1">
        <w:r w:rsidRPr="00997841">
          <w:rPr>
            <w:rStyle w:val="Hyperlink"/>
            <w:rFonts w:ascii="Arial" w:hAnsi="Arial" w:cs="Arial"/>
            <w:color w:val="auto"/>
            <w:sz w:val="24"/>
            <w:szCs w:val="24"/>
          </w:rPr>
          <w:t>https://www.unwto.org</w:t>
        </w:r>
      </w:hyperlink>
      <w:r w:rsidRPr="00997841">
        <w:rPr>
          <w:rFonts w:ascii="Arial" w:hAnsi="Arial" w:cs="Arial"/>
          <w:sz w:val="24"/>
          <w:szCs w:val="24"/>
        </w:rPr>
        <w:t xml:space="preserve"> </w:t>
      </w:r>
    </w:p>
    <w:p w14:paraId="2A916DAF"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World Bank (2026a) World Bank Data. Available at: </w:t>
      </w:r>
      <w:hyperlink r:id="rId63" w:tgtFrame="_new" w:history="1">
        <w:r w:rsidRPr="00997841">
          <w:rPr>
            <w:rStyle w:val="Hyperlink"/>
            <w:rFonts w:ascii="Arial" w:hAnsi="Arial" w:cs="Arial"/>
            <w:color w:val="auto"/>
            <w:sz w:val="24"/>
            <w:szCs w:val="24"/>
          </w:rPr>
          <w:t>https://data.worldbank.org</w:t>
        </w:r>
      </w:hyperlink>
      <w:r w:rsidRPr="00997841">
        <w:rPr>
          <w:rFonts w:ascii="Arial" w:hAnsi="Arial" w:cs="Arial"/>
          <w:sz w:val="24"/>
          <w:szCs w:val="24"/>
        </w:rPr>
        <w:t xml:space="preserve"> </w:t>
      </w:r>
    </w:p>
    <w:p w14:paraId="2829AB84"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World Economic Forum (2026a) World Economic Forum. Available at: </w:t>
      </w:r>
      <w:hyperlink r:id="rId64" w:tgtFrame="_new" w:history="1">
        <w:r w:rsidRPr="00997841">
          <w:rPr>
            <w:rStyle w:val="Hyperlink"/>
            <w:rFonts w:ascii="Arial" w:hAnsi="Arial" w:cs="Arial"/>
            <w:color w:val="auto"/>
            <w:sz w:val="24"/>
            <w:szCs w:val="24"/>
          </w:rPr>
          <w:t>https://www.weforum.org</w:t>
        </w:r>
      </w:hyperlink>
      <w:r w:rsidRPr="00997841">
        <w:rPr>
          <w:rFonts w:ascii="Arial" w:hAnsi="Arial" w:cs="Arial"/>
          <w:sz w:val="24"/>
          <w:szCs w:val="24"/>
        </w:rPr>
        <w:t xml:space="preserve"> </w:t>
      </w:r>
    </w:p>
    <w:p w14:paraId="61A5B1BB" w14:textId="77777777" w:rsidR="00B373E8" w:rsidRPr="00997841" w:rsidRDefault="00B373E8" w:rsidP="00B373E8">
      <w:pPr>
        <w:spacing w:line="360" w:lineRule="auto"/>
        <w:jc w:val="both"/>
        <w:rPr>
          <w:rFonts w:ascii="Arial" w:hAnsi="Arial" w:cs="Arial"/>
          <w:sz w:val="24"/>
          <w:szCs w:val="24"/>
        </w:rPr>
      </w:pPr>
      <w:r w:rsidRPr="00997841">
        <w:rPr>
          <w:rFonts w:ascii="Arial" w:hAnsi="Arial" w:cs="Arial"/>
          <w:sz w:val="24"/>
          <w:szCs w:val="24"/>
        </w:rPr>
        <w:t xml:space="preserve">Yahoo Finance (2026a) Marriott International (MAR). Available at: </w:t>
      </w:r>
      <w:hyperlink r:id="rId65" w:tgtFrame="_new" w:history="1">
        <w:r w:rsidRPr="00997841">
          <w:rPr>
            <w:rStyle w:val="Hyperlink"/>
            <w:rFonts w:ascii="Arial" w:hAnsi="Arial" w:cs="Arial"/>
            <w:color w:val="auto"/>
            <w:sz w:val="24"/>
            <w:szCs w:val="24"/>
          </w:rPr>
          <w:t>https://finance.yahoo.com/quote/MAR</w:t>
        </w:r>
      </w:hyperlink>
      <w:r w:rsidRPr="00997841">
        <w:rPr>
          <w:rFonts w:ascii="Arial" w:hAnsi="Arial" w:cs="Arial"/>
          <w:sz w:val="24"/>
          <w:szCs w:val="24"/>
        </w:rPr>
        <w:t xml:space="preserve"> </w:t>
      </w:r>
    </w:p>
    <w:p w14:paraId="2CA0376A" w14:textId="77777777" w:rsidR="003A5AFF" w:rsidRPr="00997841" w:rsidRDefault="003A5AFF" w:rsidP="00BC7E61">
      <w:pPr>
        <w:spacing w:line="360" w:lineRule="auto"/>
        <w:jc w:val="both"/>
        <w:rPr>
          <w:rFonts w:ascii="Arial" w:eastAsiaTheme="majorEastAsia" w:hAnsi="Arial" w:cs="Arial"/>
          <w:b/>
          <w:sz w:val="24"/>
          <w:szCs w:val="24"/>
        </w:rPr>
      </w:pPr>
      <w:r w:rsidRPr="00997841">
        <w:rPr>
          <w:rFonts w:ascii="Arial" w:hAnsi="Arial" w:cs="Arial"/>
          <w:b/>
          <w:sz w:val="24"/>
          <w:szCs w:val="24"/>
        </w:rPr>
        <w:br w:type="page"/>
      </w:r>
    </w:p>
    <w:p w14:paraId="197AA73D" w14:textId="77777777" w:rsidR="003A5AFF" w:rsidRPr="00997841" w:rsidRDefault="003A5AFF" w:rsidP="00BC7E61">
      <w:pPr>
        <w:pStyle w:val="Heading1"/>
        <w:spacing w:line="360" w:lineRule="auto"/>
        <w:jc w:val="both"/>
        <w:rPr>
          <w:rFonts w:ascii="Arial" w:hAnsi="Arial" w:cs="Arial"/>
          <w:b/>
          <w:color w:val="auto"/>
          <w:sz w:val="24"/>
          <w:szCs w:val="24"/>
        </w:rPr>
      </w:pPr>
      <w:bookmarkStart w:id="24" w:name="_Toc236846144"/>
      <w:r w:rsidRPr="00997841">
        <w:rPr>
          <w:rFonts w:ascii="Arial" w:hAnsi="Arial" w:cs="Arial"/>
          <w:b/>
          <w:color w:val="auto"/>
          <w:sz w:val="24"/>
          <w:szCs w:val="24"/>
        </w:rPr>
        <w:lastRenderedPageBreak/>
        <w:t>Appendices</w:t>
      </w:r>
      <w:bookmarkEnd w:id="24"/>
    </w:p>
    <w:p w14:paraId="116E9ED0" w14:textId="77777777" w:rsidR="003A5AFF" w:rsidRPr="00997841" w:rsidRDefault="000F3C7B" w:rsidP="00BC7E61">
      <w:pPr>
        <w:pStyle w:val="Heading2"/>
        <w:spacing w:line="360" w:lineRule="auto"/>
        <w:jc w:val="both"/>
        <w:rPr>
          <w:rFonts w:ascii="Arial" w:hAnsi="Arial" w:cs="Arial"/>
          <w:b/>
          <w:color w:val="auto"/>
          <w:sz w:val="24"/>
          <w:szCs w:val="24"/>
        </w:rPr>
      </w:pPr>
      <w:bookmarkStart w:id="25" w:name="_Toc236846145"/>
      <w:r w:rsidRPr="00997841">
        <w:rPr>
          <w:rFonts w:ascii="Arial" w:hAnsi="Arial" w:cs="Arial"/>
          <w:b/>
          <w:color w:val="auto"/>
          <w:sz w:val="24"/>
          <w:szCs w:val="24"/>
        </w:rPr>
        <w:t>a. Ratio tables and graphs</w:t>
      </w:r>
      <w:bookmarkEnd w:id="25"/>
    </w:p>
    <w:p w14:paraId="5BCF4842" w14:textId="77777777" w:rsidR="000F3C7B" w:rsidRPr="00997841" w:rsidRDefault="000F3C7B" w:rsidP="000F3C7B">
      <w:pPr>
        <w:spacing w:line="360" w:lineRule="auto"/>
        <w:jc w:val="both"/>
        <w:rPr>
          <w:rFonts w:ascii="Arial" w:hAnsi="Arial" w:cs="Arial"/>
          <w:b/>
          <w:sz w:val="24"/>
          <w:szCs w:val="24"/>
        </w:rPr>
      </w:pPr>
      <w:r w:rsidRPr="00997841">
        <w:rPr>
          <w:rFonts w:ascii="Arial" w:hAnsi="Arial" w:cs="Arial"/>
          <w:b/>
          <w:sz w:val="24"/>
          <w:szCs w:val="24"/>
        </w:rPr>
        <w:t>Profitability</w:t>
      </w:r>
    </w:p>
    <w:tbl>
      <w:tblPr>
        <w:tblStyle w:val="TableGrid"/>
        <w:tblW w:w="0" w:type="auto"/>
        <w:tblLook w:val="04A0" w:firstRow="1" w:lastRow="0" w:firstColumn="1" w:lastColumn="0" w:noHBand="0" w:noVBand="1"/>
      </w:tblPr>
      <w:tblGrid>
        <w:gridCol w:w="2868"/>
        <w:gridCol w:w="1077"/>
        <w:gridCol w:w="951"/>
        <w:gridCol w:w="1030"/>
        <w:gridCol w:w="1030"/>
        <w:gridCol w:w="1030"/>
        <w:gridCol w:w="1030"/>
      </w:tblGrid>
      <w:tr w:rsidR="000F3C7B" w:rsidRPr="00997841" w14:paraId="6252D96C" w14:textId="77777777" w:rsidTr="000F3C7B">
        <w:tc>
          <w:tcPr>
            <w:tcW w:w="0" w:type="auto"/>
            <w:hideMark/>
          </w:tcPr>
          <w:p w14:paraId="3A13FCBF"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Particulars</w:t>
            </w:r>
          </w:p>
        </w:tc>
        <w:tc>
          <w:tcPr>
            <w:tcW w:w="0" w:type="auto"/>
            <w:hideMark/>
          </w:tcPr>
          <w:p w14:paraId="2BD3ED07"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Details</w:t>
            </w:r>
          </w:p>
        </w:tc>
        <w:tc>
          <w:tcPr>
            <w:tcW w:w="0" w:type="auto"/>
            <w:hideMark/>
          </w:tcPr>
          <w:p w14:paraId="7C38DD83"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2021</w:t>
            </w:r>
          </w:p>
        </w:tc>
        <w:tc>
          <w:tcPr>
            <w:tcW w:w="0" w:type="auto"/>
            <w:hideMark/>
          </w:tcPr>
          <w:p w14:paraId="2C96DEBB"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2022</w:t>
            </w:r>
          </w:p>
        </w:tc>
        <w:tc>
          <w:tcPr>
            <w:tcW w:w="0" w:type="auto"/>
            <w:hideMark/>
          </w:tcPr>
          <w:p w14:paraId="32EB7464"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2023</w:t>
            </w:r>
          </w:p>
        </w:tc>
        <w:tc>
          <w:tcPr>
            <w:tcW w:w="0" w:type="auto"/>
            <w:hideMark/>
          </w:tcPr>
          <w:p w14:paraId="0DDCEC9C"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2024</w:t>
            </w:r>
          </w:p>
        </w:tc>
        <w:tc>
          <w:tcPr>
            <w:tcW w:w="0" w:type="auto"/>
            <w:hideMark/>
          </w:tcPr>
          <w:p w14:paraId="6F6DCCB3"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2025</w:t>
            </w:r>
          </w:p>
        </w:tc>
      </w:tr>
      <w:tr w:rsidR="000F3C7B" w:rsidRPr="00997841" w14:paraId="5CF6C95C" w14:textId="77777777" w:rsidTr="000F3C7B">
        <w:tc>
          <w:tcPr>
            <w:tcW w:w="0" w:type="auto"/>
            <w:hideMark/>
          </w:tcPr>
          <w:p w14:paraId="1F6C01B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Revenue (US$ m)</w:t>
            </w:r>
          </w:p>
        </w:tc>
        <w:tc>
          <w:tcPr>
            <w:tcW w:w="0" w:type="auto"/>
            <w:hideMark/>
          </w:tcPr>
          <w:p w14:paraId="0D8B930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w:t>
            </w:r>
          </w:p>
        </w:tc>
        <w:tc>
          <w:tcPr>
            <w:tcW w:w="0" w:type="auto"/>
            <w:hideMark/>
          </w:tcPr>
          <w:p w14:paraId="3E93D4B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13,857</w:t>
            </w:r>
          </w:p>
        </w:tc>
        <w:tc>
          <w:tcPr>
            <w:tcW w:w="0" w:type="auto"/>
            <w:hideMark/>
          </w:tcPr>
          <w:p w14:paraId="48558A7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20,773</w:t>
            </w:r>
          </w:p>
        </w:tc>
        <w:tc>
          <w:tcPr>
            <w:tcW w:w="0" w:type="auto"/>
            <w:hideMark/>
          </w:tcPr>
          <w:p w14:paraId="14AEB4D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23,713</w:t>
            </w:r>
          </w:p>
        </w:tc>
        <w:tc>
          <w:tcPr>
            <w:tcW w:w="0" w:type="auto"/>
            <w:hideMark/>
          </w:tcPr>
          <w:p w14:paraId="0D5CE81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25,099</w:t>
            </w:r>
          </w:p>
        </w:tc>
        <w:tc>
          <w:tcPr>
            <w:tcW w:w="0" w:type="auto"/>
            <w:hideMark/>
          </w:tcPr>
          <w:p w14:paraId="403F719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27,456</w:t>
            </w:r>
          </w:p>
        </w:tc>
      </w:tr>
      <w:tr w:rsidR="000F3C7B" w:rsidRPr="00997841" w14:paraId="3C23E5D3" w14:textId="77777777" w:rsidTr="000F3C7B">
        <w:tc>
          <w:tcPr>
            <w:tcW w:w="0" w:type="auto"/>
            <w:hideMark/>
          </w:tcPr>
          <w:p w14:paraId="0297BE2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Operating Profit (US$ m)</w:t>
            </w:r>
          </w:p>
        </w:tc>
        <w:tc>
          <w:tcPr>
            <w:tcW w:w="0" w:type="auto"/>
            <w:hideMark/>
          </w:tcPr>
          <w:p w14:paraId="12663E4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B</w:t>
            </w:r>
          </w:p>
        </w:tc>
        <w:tc>
          <w:tcPr>
            <w:tcW w:w="0" w:type="auto"/>
            <w:hideMark/>
          </w:tcPr>
          <w:p w14:paraId="776EE88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1,750</w:t>
            </w:r>
          </w:p>
        </w:tc>
        <w:tc>
          <w:tcPr>
            <w:tcW w:w="0" w:type="auto"/>
            <w:hideMark/>
          </w:tcPr>
          <w:p w14:paraId="74DC6F1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3,089</w:t>
            </w:r>
          </w:p>
        </w:tc>
        <w:tc>
          <w:tcPr>
            <w:tcW w:w="0" w:type="auto"/>
            <w:hideMark/>
          </w:tcPr>
          <w:p w14:paraId="479FC28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3,564</w:t>
            </w:r>
          </w:p>
        </w:tc>
        <w:tc>
          <w:tcPr>
            <w:tcW w:w="0" w:type="auto"/>
            <w:hideMark/>
          </w:tcPr>
          <w:p w14:paraId="56F61C1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3,889</w:t>
            </w:r>
          </w:p>
        </w:tc>
        <w:tc>
          <w:tcPr>
            <w:tcW w:w="0" w:type="auto"/>
            <w:hideMark/>
          </w:tcPr>
          <w:p w14:paraId="3AA08BE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4,286</w:t>
            </w:r>
          </w:p>
        </w:tc>
      </w:tr>
      <w:tr w:rsidR="000F3C7B" w:rsidRPr="00997841" w14:paraId="5E4BC61F" w14:textId="77777777" w:rsidTr="000F3C7B">
        <w:tc>
          <w:tcPr>
            <w:tcW w:w="0" w:type="auto"/>
            <w:hideMark/>
          </w:tcPr>
          <w:p w14:paraId="48349F6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Net Profit (US$ m)</w:t>
            </w:r>
          </w:p>
        </w:tc>
        <w:tc>
          <w:tcPr>
            <w:tcW w:w="0" w:type="auto"/>
            <w:hideMark/>
          </w:tcPr>
          <w:p w14:paraId="25D309E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w:t>
            </w:r>
          </w:p>
        </w:tc>
        <w:tc>
          <w:tcPr>
            <w:tcW w:w="0" w:type="auto"/>
            <w:hideMark/>
          </w:tcPr>
          <w:p w14:paraId="2C2FCF9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1,099</w:t>
            </w:r>
          </w:p>
        </w:tc>
        <w:tc>
          <w:tcPr>
            <w:tcW w:w="0" w:type="auto"/>
            <w:hideMark/>
          </w:tcPr>
          <w:p w14:paraId="413AAFB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2,358</w:t>
            </w:r>
          </w:p>
        </w:tc>
        <w:tc>
          <w:tcPr>
            <w:tcW w:w="0" w:type="auto"/>
            <w:hideMark/>
          </w:tcPr>
          <w:p w14:paraId="0372CDC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3,083</w:t>
            </w:r>
          </w:p>
        </w:tc>
        <w:tc>
          <w:tcPr>
            <w:tcW w:w="0" w:type="auto"/>
            <w:hideMark/>
          </w:tcPr>
          <w:p w14:paraId="664C1E4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3,083</w:t>
            </w:r>
          </w:p>
        </w:tc>
        <w:tc>
          <w:tcPr>
            <w:tcW w:w="0" w:type="auto"/>
            <w:hideMark/>
          </w:tcPr>
          <w:p w14:paraId="1132A0B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3,410</w:t>
            </w:r>
          </w:p>
        </w:tc>
      </w:tr>
      <w:tr w:rsidR="000F3C7B" w:rsidRPr="00997841" w14:paraId="3E637271" w14:textId="77777777" w:rsidTr="000F3C7B">
        <w:tc>
          <w:tcPr>
            <w:tcW w:w="0" w:type="auto"/>
            <w:hideMark/>
          </w:tcPr>
          <w:p w14:paraId="1BFC7DF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Total Assets (US$ m)</w:t>
            </w:r>
          </w:p>
        </w:tc>
        <w:tc>
          <w:tcPr>
            <w:tcW w:w="0" w:type="auto"/>
            <w:hideMark/>
          </w:tcPr>
          <w:p w14:paraId="4079130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D</w:t>
            </w:r>
          </w:p>
        </w:tc>
        <w:tc>
          <w:tcPr>
            <w:tcW w:w="0" w:type="auto"/>
            <w:hideMark/>
          </w:tcPr>
          <w:p w14:paraId="7FDB79A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24,701</w:t>
            </w:r>
          </w:p>
        </w:tc>
        <w:tc>
          <w:tcPr>
            <w:tcW w:w="0" w:type="auto"/>
            <w:hideMark/>
          </w:tcPr>
          <w:p w14:paraId="21D82AB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25,111</w:t>
            </w:r>
          </w:p>
        </w:tc>
        <w:tc>
          <w:tcPr>
            <w:tcW w:w="0" w:type="auto"/>
            <w:hideMark/>
          </w:tcPr>
          <w:p w14:paraId="7CEC210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26,717</w:t>
            </w:r>
          </w:p>
        </w:tc>
        <w:tc>
          <w:tcPr>
            <w:tcW w:w="0" w:type="auto"/>
            <w:hideMark/>
          </w:tcPr>
          <w:p w14:paraId="09BBBBE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28,492</w:t>
            </w:r>
          </w:p>
        </w:tc>
        <w:tc>
          <w:tcPr>
            <w:tcW w:w="0" w:type="auto"/>
            <w:hideMark/>
          </w:tcPr>
          <w:p w14:paraId="02241C6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30,185</w:t>
            </w:r>
          </w:p>
        </w:tc>
      </w:tr>
      <w:tr w:rsidR="000F3C7B" w:rsidRPr="00997841" w14:paraId="2AEAA916" w14:textId="77777777" w:rsidTr="000F3C7B">
        <w:tc>
          <w:tcPr>
            <w:tcW w:w="0" w:type="auto"/>
            <w:hideMark/>
          </w:tcPr>
          <w:p w14:paraId="082A21A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Current Liabilities (US$ m)</w:t>
            </w:r>
          </w:p>
        </w:tc>
        <w:tc>
          <w:tcPr>
            <w:tcW w:w="0" w:type="auto"/>
            <w:hideMark/>
          </w:tcPr>
          <w:p w14:paraId="535A1B3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E</w:t>
            </w:r>
          </w:p>
        </w:tc>
        <w:tc>
          <w:tcPr>
            <w:tcW w:w="0" w:type="auto"/>
            <w:hideMark/>
          </w:tcPr>
          <w:p w14:paraId="42D42B5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5,790</w:t>
            </w:r>
          </w:p>
        </w:tc>
        <w:tc>
          <w:tcPr>
            <w:tcW w:w="0" w:type="auto"/>
            <w:hideMark/>
          </w:tcPr>
          <w:p w14:paraId="608F47D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6,180</w:t>
            </w:r>
          </w:p>
        </w:tc>
        <w:tc>
          <w:tcPr>
            <w:tcW w:w="0" w:type="auto"/>
            <w:hideMark/>
          </w:tcPr>
          <w:p w14:paraId="73C4463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6,640</w:t>
            </w:r>
          </w:p>
        </w:tc>
        <w:tc>
          <w:tcPr>
            <w:tcW w:w="0" w:type="auto"/>
            <w:hideMark/>
          </w:tcPr>
          <w:p w14:paraId="4BC6ABE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6,940</w:t>
            </w:r>
          </w:p>
        </w:tc>
        <w:tc>
          <w:tcPr>
            <w:tcW w:w="0" w:type="auto"/>
            <w:hideMark/>
          </w:tcPr>
          <w:p w14:paraId="1FBCD95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7,250</w:t>
            </w:r>
          </w:p>
        </w:tc>
      </w:tr>
      <w:tr w:rsidR="000F3C7B" w:rsidRPr="00997841" w14:paraId="6286EF90" w14:textId="77777777" w:rsidTr="000F3C7B">
        <w:tc>
          <w:tcPr>
            <w:tcW w:w="0" w:type="auto"/>
            <w:hideMark/>
          </w:tcPr>
          <w:p w14:paraId="0765799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Net Profit Margin</w:t>
            </w:r>
          </w:p>
        </w:tc>
        <w:tc>
          <w:tcPr>
            <w:tcW w:w="0" w:type="auto"/>
            <w:hideMark/>
          </w:tcPr>
          <w:p w14:paraId="5AF6BCC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C/A</w:t>
            </w:r>
          </w:p>
        </w:tc>
        <w:tc>
          <w:tcPr>
            <w:tcW w:w="0" w:type="auto"/>
            <w:hideMark/>
          </w:tcPr>
          <w:p w14:paraId="46B5AC4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7.93%</w:t>
            </w:r>
          </w:p>
        </w:tc>
        <w:tc>
          <w:tcPr>
            <w:tcW w:w="0" w:type="auto"/>
            <w:hideMark/>
          </w:tcPr>
          <w:p w14:paraId="429E4B2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11.35%</w:t>
            </w:r>
          </w:p>
        </w:tc>
        <w:tc>
          <w:tcPr>
            <w:tcW w:w="0" w:type="auto"/>
            <w:hideMark/>
          </w:tcPr>
          <w:p w14:paraId="4DB4DAB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13.00%</w:t>
            </w:r>
          </w:p>
        </w:tc>
        <w:tc>
          <w:tcPr>
            <w:tcW w:w="0" w:type="auto"/>
            <w:hideMark/>
          </w:tcPr>
          <w:p w14:paraId="2E37CBB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12.28%</w:t>
            </w:r>
          </w:p>
        </w:tc>
        <w:tc>
          <w:tcPr>
            <w:tcW w:w="0" w:type="auto"/>
            <w:hideMark/>
          </w:tcPr>
          <w:p w14:paraId="2D8F038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12.42%</w:t>
            </w:r>
          </w:p>
        </w:tc>
      </w:tr>
      <w:tr w:rsidR="000F3C7B" w:rsidRPr="00997841" w14:paraId="75877261" w14:textId="77777777" w:rsidTr="000F3C7B">
        <w:tc>
          <w:tcPr>
            <w:tcW w:w="0" w:type="auto"/>
            <w:hideMark/>
          </w:tcPr>
          <w:p w14:paraId="6DA156E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Return on Capital Employed (ROCE)</w:t>
            </w:r>
          </w:p>
        </w:tc>
        <w:tc>
          <w:tcPr>
            <w:tcW w:w="0" w:type="auto"/>
            <w:hideMark/>
          </w:tcPr>
          <w:p w14:paraId="618EE15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B/(D−E)</w:t>
            </w:r>
          </w:p>
        </w:tc>
        <w:tc>
          <w:tcPr>
            <w:tcW w:w="0" w:type="auto"/>
            <w:hideMark/>
          </w:tcPr>
          <w:p w14:paraId="416773C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9.27%</w:t>
            </w:r>
          </w:p>
        </w:tc>
        <w:tc>
          <w:tcPr>
            <w:tcW w:w="0" w:type="auto"/>
            <w:hideMark/>
          </w:tcPr>
          <w:p w14:paraId="38D1D42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16.31%</w:t>
            </w:r>
          </w:p>
        </w:tc>
        <w:tc>
          <w:tcPr>
            <w:tcW w:w="0" w:type="auto"/>
            <w:hideMark/>
          </w:tcPr>
          <w:p w14:paraId="64C5298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17.73%</w:t>
            </w:r>
          </w:p>
        </w:tc>
        <w:tc>
          <w:tcPr>
            <w:tcW w:w="0" w:type="auto"/>
            <w:hideMark/>
          </w:tcPr>
          <w:p w14:paraId="7AD7B4F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18.01%</w:t>
            </w:r>
          </w:p>
        </w:tc>
        <w:tc>
          <w:tcPr>
            <w:tcW w:w="0" w:type="auto"/>
            <w:hideMark/>
          </w:tcPr>
          <w:p w14:paraId="4046C1D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18.74%</w:t>
            </w:r>
          </w:p>
        </w:tc>
      </w:tr>
    </w:tbl>
    <w:p w14:paraId="683BD731"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Table 1: Profitability Ratio</w:t>
      </w:r>
    </w:p>
    <w:p w14:paraId="5ABB58A1" w14:textId="77777777" w:rsidR="000F3C7B" w:rsidRPr="00997841" w:rsidRDefault="00224F7C" w:rsidP="000F3C7B">
      <w:pPr>
        <w:spacing w:line="360" w:lineRule="auto"/>
        <w:jc w:val="center"/>
        <w:rPr>
          <w:rFonts w:ascii="Arial" w:hAnsi="Arial" w:cs="Arial"/>
          <w:b/>
          <w:sz w:val="24"/>
          <w:szCs w:val="24"/>
        </w:rPr>
      </w:pPr>
      <w:r>
        <w:rPr>
          <w:noProof/>
          <w:lang w:val="en-IN" w:eastAsia="en-IN"/>
        </w:rPr>
        <w:drawing>
          <wp:inline distT="0" distB="0" distL="0" distR="0" wp14:anchorId="46C2C663" wp14:editId="39419869">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6043EC8E"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Graph 1: Profitability Ratio</w:t>
      </w:r>
    </w:p>
    <w:p w14:paraId="28D6FC26" w14:textId="77777777" w:rsidR="000F3C7B" w:rsidRPr="00997841" w:rsidRDefault="000F3C7B" w:rsidP="000F3C7B">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5A93FB3F" w14:textId="77777777" w:rsidR="000F3C7B" w:rsidRPr="00997841" w:rsidRDefault="000F3C7B" w:rsidP="000F3C7B">
      <w:pPr>
        <w:spacing w:line="360" w:lineRule="auto"/>
        <w:jc w:val="both"/>
        <w:rPr>
          <w:rFonts w:ascii="Arial" w:hAnsi="Arial" w:cs="Arial"/>
          <w:b/>
          <w:sz w:val="24"/>
          <w:szCs w:val="24"/>
        </w:rPr>
      </w:pPr>
      <w:r w:rsidRPr="00997841">
        <w:rPr>
          <w:rFonts w:ascii="Arial" w:hAnsi="Arial" w:cs="Arial"/>
          <w:b/>
          <w:sz w:val="24"/>
          <w:szCs w:val="24"/>
        </w:rPr>
        <w:t>Liquidity</w:t>
      </w:r>
    </w:p>
    <w:tbl>
      <w:tblPr>
        <w:tblStyle w:val="TableGrid"/>
        <w:tblW w:w="8814" w:type="dxa"/>
        <w:tblLook w:val="04A0" w:firstRow="1" w:lastRow="0" w:firstColumn="1" w:lastColumn="0" w:noHBand="0" w:noVBand="1"/>
      </w:tblPr>
      <w:tblGrid>
        <w:gridCol w:w="3260"/>
        <w:gridCol w:w="1159"/>
        <w:gridCol w:w="879"/>
        <w:gridCol w:w="879"/>
        <w:gridCol w:w="879"/>
        <w:gridCol w:w="879"/>
        <w:gridCol w:w="879"/>
      </w:tblGrid>
      <w:tr w:rsidR="000F3C7B" w:rsidRPr="00997841" w14:paraId="0BC22BB5" w14:textId="77777777" w:rsidTr="000F3C7B">
        <w:trPr>
          <w:trHeight w:val="408"/>
        </w:trPr>
        <w:tc>
          <w:tcPr>
            <w:tcW w:w="0" w:type="auto"/>
            <w:hideMark/>
          </w:tcPr>
          <w:p w14:paraId="7A1A77A0"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Particulars</w:t>
            </w:r>
          </w:p>
        </w:tc>
        <w:tc>
          <w:tcPr>
            <w:tcW w:w="0" w:type="auto"/>
            <w:hideMark/>
          </w:tcPr>
          <w:p w14:paraId="646C29DD"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Details</w:t>
            </w:r>
          </w:p>
        </w:tc>
        <w:tc>
          <w:tcPr>
            <w:tcW w:w="0" w:type="auto"/>
            <w:hideMark/>
          </w:tcPr>
          <w:p w14:paraId="248EDD20"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2021</w:t>
            </w:r>
          </w:p>
        </w:tc>
        <w:tc>
          <w:tcPr>
            <w:tcW w:w="0" w:type="auto"/>
            <w:hideMark/>
          </w:tcPr>
          <w:p w14:paraId="17C5E64D"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2022</w:t>
            </w:r>
          </w:p>
        </w:tc>
        <w:tc>
          <w:tcPr>
            <w:tcW w:w="0" w:type="auto"/>
            <w:hideMark/>
          </w:tcPr>
          <w:p w14:paraId="1E20CB00"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2023</w:t>
            </w:r>
          </w:p>
        </w:tc>
        <w:tc>
          <w:tcPr>
            <w:tcW w:w="0" w:type="auto"/>
            <w:hideMark/>
          </w:tcPr>
          <w:p w14:paraId="6B188D39"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2024</w:t>
            </w:r>
          </w:p>
        </w:tc>
        <w:tc>
          <w:tcPr>
            <w:tcW w:w="0" w:type="auto"/>
            <w:hideMark/>
          </w:tcPr>
          <w:p w14:paraId="27EEB5D3"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2025</w:t>
            </w:r>
          </w:p>
        </w:tc>
      </w:tr>
      <w:tr w:rsidR="000F3C7B" w:rsidRPr="00997841" w14:paraId="6FBC11DD" w14:textId="77777777" w:rsidTr="000F3C7B">
        <w:trPr>
          <w:trHeight w:val="420"/>
        </w:trPr>
        <w:tc>
          <w:tcPr>
            <w:tcW w:w="0" w:type="auto"/>
            <w:hideMark/>
          </w:tcPr>
          <w:p w14:paraId="3313803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Current Assets (US$ m)</w:t>
            </w:r>
          </w:p>
        </w:tc>
        <w:tc>
          <w:tcPr>
            <w:tcW w:w="0" w:type="auto"/>
            <w:hideMark/>
          </w:tcPr>
          <w:p w14:paraId="0E2B9AE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w:t>
            </w:r>
          </w:p>
        </w:tc>
        <w:tc>
          <w:tcPr>
            <w:tcW w:w="0" w:type="auto"/>
            <w:hideMark/>
          </w:tcPr>
          <w:p w14:paraId="39E325C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3,632</w:t>
            </w:r>
          </w:p>
        </w:tc>
        <w:tc>
          <w:tcPr>
            <w:tcW w:w="0" w:type="auto"/>
            <w:hideMark/>
          </w:tcPr>
          <w:p w14:paraId="5A2C24A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3,997</w:t>
            </w:r>
          </w:p>
        </w:tc>
        <w:tc>
          <w:tcPr>
            <w:tcW w:w="0" w:type="auto"/>
            <w:hideMark/>
          </w:tcPr>
          <w:p w14:paraId="6A879FD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4,415</w:t>
            </w:r>
          </w:p>
        </w:tc>
        <w:tc>
          <w:tcPr>
            <w:tcW w:w="0" w:type="auto"/>
            <w:hideMark/>
          </w:tcPr>
          <w:p w14:paraId="700CE92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4,765</w:t>
            </w:r>
          </w:p>
        </w:tc>
        <w:tc>
          <w:tcPr>
            <w:tcW w:w="0" w:type="auto"/>
            <w:hideMark/>
          </w:tcPr>
          <w:p w14:paraId="3A587CE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5,198</w:t>
            </w:r>
          </w:p>
        </w:tc>
      </w:tr>
      <w:tr w:rsidR="000F3C7B" w:rsidRPr="00997841" w14:paraId="5DCC650A" w14:textId="77777777" w:rsidTr="000F3C7B">
        <w:trPr>
          <w:trHeight w:val="408"/>
        </w:trPr>
        <w:tc>
          <w:tcPr>
            <w:tcW w:w="0" w:type="auto"/>
            <w:hideMark/>
          </w:tcPr>
          <w:p w14:paraId="1D063FB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Inventories (US$ m)</w:t>
            </w:r>
          </w:p>
        </w:tc>
        <w:tc>
          <w:tcPr>
            <w:tcW w:w="0" w:type="auto"/>
            <w:hideMark/>
          </w:tcPr>
          <w:p w14:paraId="13C7808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B</w:t>
            </w:r>
          </w:p>
        </w:tc>
        <w:tc>
          <w:tcPr>
            <w:tcW w:w="0" w:type="auto"/>
            <w:hideMark/>
          </w:tcPr>
          <w:p w14:paraId="679AE9E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108</w:t>
            </w:r>
          </w:p>
        </w:tc>
        <w:tc>
          <w:tcPr>
            <w:tcW w:w="0" w:type="auto"/>
            <w:hideMark/>
          </w:tcPr>
          <w:p w14:paraId="3D0D00F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121</w:t>
            </w:r>
          </w:p>
        </w:tc>
        <w:tc>
          <w:tcPr>
            <w:tcW w:w="0" w:type="auto"/>
            <w:hideMark/>
          </w:tcPr>
          <w:p w14:paraId="36EBC63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133</w:t>
            </w:r>
          </w:p>
        </w:tc>
        <w:tc>
          <w:tcPr>
            <w:tcW w:w="0" w:type="auto"/>
            <w:hideMark/>
          </w:tcPr>
          <w:p w14:paraId="0E204A2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142</w:t>
            </w:r>
          </w:p>
        </w:tc>
        <w:tc>
          <w:tcPr>
            <w:tcW w:w="0" w:type="auto"/>
            <w:hideMark/>
          </w:tcPr>
          <w:p w14:paraId="07C9A50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150</w:t>
            </w:r>
          </w:p>
        </w:tc>
      </w:tr>
      <w:tr w:rsidR="000F3C7B" w:rsidRPr="00997841" w14:paraId="542AC84F" w14:textId="77777777" w:rsidTr="000F3C7B">
        <w:trPr>
          <w:trHeight w:val="408"/>
        </w:trPr>
        <w:tc>
          <w:tcPr>
            <w:tcW w:w="0" w:type="auto"/>
            <w:hideMark/>
          </w:tcPr>
          <w:p w14:paraId="054D21A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lastRenderedPageBreak/>
              <w:t>Current Liabilities (US$ m)</w:t>
            </w:r>
          </w:p>
        </w:tc>
        <w:tc>
          <w:tcPr>
            <w:tcW w:w="0" w:type="auto"/>
            <w:hideMark/>
          </w:tcPr>
          <w:p w14:paraId="7B0FCDA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w:t>
            </w:r>
          </w:p>
        </w:tc>
        <w:tc>
          <w:tcPr>
            <w:tcW w:w="0" w:type="auto"/>
            <w:hideMark/>
          </w:tcPr>
          <w:p w14:paraId="2851EB1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5,790</w:t>
            </w:r>
          </w:p>
        </w:tc>
        <w:tc>
          <w:tcPr>
            <w:tcW w:w="0" w:type="auto"/>
            <w:hideMark/>
          </w:tcPr>
          <w:p w14:paraId="69B4C6C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6,180</w:t>
            </w:r>
          </w:p>
        </w:tc>
        <w:tc>
          <w:tcPr>
            <w:tcW w:w="0" w:type="auto"/>
            <w:hideMark/>
          </w:tcPr>
          <w:p w14:paraId="573A3F3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6,640</w:t>
            </w:r>
          </w:p>
        </w:tc>
        <w:tc>
          <w:tcPr>
            <w:tcW w:w="0" w:type="auto"/>
            <w:hideMark/>
          </w:tcPr>
          <w:p w14:paraId="709918E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6,940</w:t>
            </w:r>
          </w:p>
        </w:tc>
        <w:tc>
          <w:tcPr>
            <w:tcW w:w="0" w:type="auto"/>
            <w:hideMark/>
          </w:tcPr>
          <w:p w14:paraId="3C5CEE3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7,250</w:t>
            </w:r>
          </w:p>
        </w:tc>
      </w:tr>
      <w:tr w:rsidR="000F3C7B" w:rsidRPr="00997841" w14:paraId="5257CD13" w14:textId="77777777" w:rsidTr="000F3C7B">
        <w:trPr>
          <w:trHeight w:val="420"/>
        </w:trPr>
        <w:tc>
          <w:tcPr>
            <w:tcW w:w="0" w:type="auto"/>
            <w:hideMark/>
          </w:tcPr>
          <w:p w14:paraId="085357D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Current Ratio</w:t>
            </w:r>
          </w:p>
        </w:tc>
        <w:tc>
          <w:tcPr>
            <w:tcW w:w="0" w:type="auto"/>
            <w:hideMark/>
          </w:tcPr>
          <w:p w14:paraId="005E98F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A/C</w:t>
            </w:r>
          </w:p>
        </w:tc>
        <w:tc>
          <w:tcPr>
            <w:tcW w:w="0" w:type="auto"/>
            <w:hideMark/>
          </w:tcPr>
          <w:p w14:paraId="481F3A3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0.63</w:t>
            </w:r>
          </w:p>
        </w:tc>
        <w:tc>
          <w:tcPr>
            <w:tcW w:w="0" w:type="auto"/>
            <w:hideMark/>
          </w:tcPr>
          <w:p w14:paraId="7108F47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0.65</w:t>
            </w:r>
          </w:p>
        </w:tc>
        <w:tc>
          <w:tcPr>
            <w:tcW w:w="0" w:type="auto"/>
            <w:hideMark/>
          </w:tcPr>
          <w:p w14:paraId="7F97996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0.66</w:t>
            </w:r>
          </w:p>
        </w:tc>
        <w:tc>
          <w:tcPr>
            <w:tcW w:w="0" w:type="auto"/>
            <w:hideMark/>
          </w:tcPr>
          <w:p w14:paraId="75E5D1E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0.69</w:t>
            </w:r>
          </w:p>
        </w:tc>
        <w:tc>
          <w:tcPr>
            <w:tcW w:w="0" w:type="auto"/>
            <w:hideMark/>
          </w:tcPr>
          <w:p w14:paraId="0CB3372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0.72</w:t>
            </w:r>
          </w:p>
        </w:tc>
      </w:tr>
      <w:tr w:rsidR="000F3C7B" w:rsidRPr="00997841" w14:paraId="502A7427" w14:textId="77777777" w:rsidTr="000F3C7B">
        <w:trPr>
          <w:trHeight w:val="408"/>
        </w:trPr>
        <w:tc>
          <w:tcPr>
            <w:tcW w:w="0" w:type="auto"/>
            <w:hideMark/>
          </w:tcPr>
          <w:p w14:paraId="0D63400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Quick Ratio</w:t>
            </w:r>
          </w:p>
        </w:tc>
        <w:tc>
          <w:tcPr>
            <w:tcW w:w="0" w:type="auto"/>
            <w:hideMark/>
          </w:tcPr>
          <w:p w14:paraId="339CE6A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(A−B)/C</w:t>
            </w:r>
          </w:p>
        </w:tc>
        <w:tc>
          <w:tcPr>
            <w:tcW w:w="0" w:type="auto"/>
            <w:hideMark/>
          </w:tcPr>
          <w:p w14:paraId="2549436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0.61</w:t>
            </w:r>
          </w:p>
        </w:tc>
        <w:tc>
          <w:tcPr>
            <w:tcW w:w="0" w:type="auto"/>
            <w:hideMark/>
          </w:tcPr>
          <w:p w14:paraId="06AC6D4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0.63</w:t>
            </w:r>
          </w:p>
        </w:tc>
        <w:tc>
          <w:tcPr>
            <w:tcW w:w="0" w:type="auto"/>
            <w:hideMark/>
          </w:tcPr>
          <w:p w14:paraId="1FE873D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0.64</w:t>
            </w:r>
          </w:p>
        </w:tc>
        <w:tc>
          <w:tcPr>
            <w:tcW w:w="0" w:type="auto"/>
            <w:hideMark/>
          </w:tcPr>
          <w:p w14:paraId="33AFCF8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0.67</w:t>
            </w:r>
          </w:p>
        </w:tc>
        <w:tc>
          <w:tcPr>
            <w:tcW w:w="0" w:type="auto"/>
            <w:hideMark/>
          </w:tcPr>
          <w:p w14:paraId="7ABA17A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0.70</w:t>
            </w:r>
          </w:p>
        </w:tc>
      </w:tr>
    </w:tbl>
    <w:p w14:paraId="07B6DA35"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Table 2: Liquidity Ratio</w:t>
      </w:r>
    </w:p>
    <w:p w14:paraId="0CDDD529" w14:textId="77777777" w:rsidR="000F3C7B" w:rsidRPr="00997841" w:rsidRDefault="000F3C7B" w:rsidP="000F3C7B">
      <w:pPr>
        <w:spacing w:line="360" w:lineRule="auto"/>
        <w:jc w:val="center"/>
        <w:rPr>
          <w:rFonts w:ascii="Arial" w:hAnsi="Arial" w:cs="Arial"/>
          <w:b/>
          <w:sz w:val="24"/>
          <w:szCs w:val="24"/>
        </w:rPr>
      </w:pPr>
      <w:r w:rsidRPr="00997841">
        <w:rPr>
          <w:noProof/>
          <w:lang w:val="en-IN" w:eastAsia="en-IN"/>
        </w:rPr>
        <w:drawing>
          <wp:inline distT="0" distB="0" distL="0" distR="0" wp14:anchorId="78BEFB4D" wp14:editId="51BBBB46">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14:paraId="35473852"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Graph 2: Liquidity Ratio</w:t>
      </w:r>
    </w:p>
    <w:p w14:paraId="084884FF" w14:textId="77777777" w:rsidR="000F3C7B" w:rsidRPr="00997841" w:rsidRDefault="000F3C7B" w:rsidP="000F3C7B">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6122F0FE" w14:textId="77777777" w:rsidR="000F3C7B" w:rsidRPr="00997841" w:rsidRDefault="000F3C7B" w:rsidP="000F3C7B">
      <w:pPr>
        <w:spacing w:line="360" w:lineRule="auto"/>
        <w:jc w:val="both"/>
        <w:rPr>
          <w:rFonts w:ascii="Arial" w:hAnsi="Arial" w:cs="Arial"/>
          <w:b/>
          <w:sz w:val="24"/>
          <w:szCs w:val="24"/>
        </w:rPr>
      </w:pPr>
      <w:r w:rsidRPr="00997841">
        <w:rPr>
          <w:rFonts w:ascii="Arial" w:hAnsi="Arial" w:cs="Arial"/>
          <w:b/>
          <w:sz w:val="24"/>
          <w:szCs w:val="24"/>
        </w:rPr>
        <w:t>Efficiency</w:t>
      </w:r>
    </w:p>
    <w:tbl>
      <w:tblPr>
        <w:tblStyle w:val="TableGrid"/>
        <w:tblW w:w="0" w:type="auto"/>
        <w:tblLook w:val="04A0" w:firstRow="1" w:lastRow="0" w:firstColumn="1" w:lastColumn="0" w:noHBand="0" w:noVBand="1"/>
      </w:tblPr>
      <w:tblGrid>
        <w:gridCol w:w="2897"/>
        <w:gridCol w:w="1364"/>
        <w:gridCol w:w="951"/>
        <w:gridCol w:w="951"/>
        <w:gridCol w:w="951"/>
        <w:gridCol w:w="951"/>
        <w:gridCol w:w="951"/>
      </w:tblGrid>
      <w:tr w:rsidR="000F3C7B" w:rsidRPr="00997841" w14:paraId="26EB0197" w14:textId="77777777" w:rsidTr="000F3C7B">
        <w:tc>
          <w:tcPr>
            <w:tcW w:w="0" w:type="auto"/>
            <w:hideMark/>
          </w:tcPr>
          <w:p w14:paraId="14842F9F"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Particulars</w:t>
            </w:r>
          </w:p>
        </w:tc>
        <w:tc>
          <w:tcPr>
            <w:tcW w:w="0" w:type="auto"/>
            <w:hideMark/>
          </w:tcPr>
          <w:p w14:paraId="2E239718"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Details</w:t>
            </w:r>
          </w:p>
        </w:tc>
        <w:tc>
          <w:tcPr>
            <w:tcW w:w="0" w:type="auto"/>
            <w:hideMark/>
          </w:tcPr>
          <w:p w14:paraId="26682D44"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2021</w:t>
            </w:r>
          </w:p>
        </w:tc>
        <w:tc>
          <w:tcPr>
            <w:tcW w:w="0" w:type="auto"/>
            <w:hideMark/>
          </w:tcPr>
          <w:p w14:paraId="059D505D"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2022</w:t>
            </w:r>
          </w:p>
        </w:tc>
        <w:tc>
          <w:tcPr>
            <w:tcW w:w="0" w:type="auto"/>
            <w:hideMark/>
          </w:tcPr>
          <w:p w14:paraId="7F20BE46"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2023</w:t>
            </w:r>
          </w:p>
        </w:tc>
        <w:tc>
          <w:tcPr>
            <w:tcW w:w="0" w:type="auto"/>
            <w:hideMark/>
          </w:tcPr>
          <w:p w14:paraId="26307001"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2024</w:t>
            </w:r>
          </w:p>
        </w:tc>
        <w:tc>
          <w:tcPr>
            <w:tcW w:w="0" w:type="auto"/>
            <w:hideMark/>
          </w:tcPr>
          <w:p w14:paraId="2B45917C"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2025</w:t>
            </w:r>
          </w:p>
        </w:tc>
      </w:tr>
      <w:tr w:rsidR="000F3C7B" w:rsidRPr="00997841" w14:paraId="037EF167" w14:textId="77777777" w:rsidTr="000F3C7B">
        <w:tc>
          <w:tcPr>
            <w:tcW w:w="0" w:type="auto"/>
            <w:hideMark/>
          </w:tcPr>
          <w:p w14:paraId="20A8B28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Revenue (US$ m)</w:t>
            </w:r>
          </w:p>
        </w:tc>
        <w:tc>
          <w:tcPr>
            <w:tcW w:w="0" w:type="auto"/>
            <w:hideMark/>
          </w:tcPr>
          <w:p w14:paraId="02D5D97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w:t>
            </w:r>
          </w:p>
        </w:tc>
        <w:tc>
          <w:tcPr>
            <w:tcW w:w="0" w:type="auto"/>
            <w:hideMark/>
          </w:tcPr>
          <w:p w14:paraId="610527D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13,857</w:t>
            </w:r>
          </w:p>
        </w:tc>
        <w:tc>
          <w:tcPr>
            <w:tcW w:w="0" w:type="auto"/>
            <w:hideMark/>
          </w:tcPr>
          <w:p w14:paraId="1DD71D8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20,773</w:t>
            </w:r>
          </w:p>
        </w:tc>
        <w:tc>
          <w:tcPr>
            <w:tcW w:w="0" w:type="auto"/>
            <w:hideMark/>
          </w:tcPr>
          <w:p w14:paraId="6093D4F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23,713</w:t>
            </w:r>
          </w:p>
        </w:tc>
        <w:tc>
          <w:tcPr>
            <w:tcW w:w="0" w:type="auto"/>
            <w:hideMark/>
          </w:tcPr>
          <w:p w14:paraId="225F338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25,099</w:t>
            </w:r>
          </w:p>
        </w:tc>
        <w:tc>
          <w:tcPr>
            <w:tcW w:w="0" w:type="auto"/>
            <w:hideMark/>
          </w:tcPr>
          <w:p w14:paraId="3947687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27,456</w:t>
            </w:r>
          </w:p>
        </w:tc>
      </w:tr>
      <w:tr w:rsidR="000F3C7B" w:rsidRPr="00997841" w14:paraId="7CD8BF9E" w14:textId="77777777" w:rsidTr="000F3C7B">
        <w:tc>
          <w:tcPr>
            <w:tcW w:w="0" w:type="auto"/>
            <w:hideMark/>
          </w:tcPr>
          <w:p w14:paraId="37FFA5E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Operating Costs (US$ m)</w:t>
            </w:r>
          </w:p>
        </w:tc>
        <w:tc>
          <w:tcPr>
            <w:tcW w:w="0" w:type="auto"/>
            <w:hideMark/>
          </w:tcPr>
          <w:p w14:paraId="658D671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B</w:t>
            </w:r>
          </w:p>
        </w:tc>
        <w:tc>
          <w:tcPr>
            <w:tcW w:w="0" w:type="auto"/>
            <w:hideMark/>
          </w:tcPr>
          <w:p w14:paraId="7CB7B53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12,107</w:t>
            </w:r>
          </w:p>
        </w:tc>
        <w:tc>
          <w:tcPr>
            <w:tcW w:w="0" w:type="auto"/>
            <w:hideMark/>
          </w:tcPr>
          <w:p w14:paraId="2EAFE81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17,684</w:t>
            </w:r>
          </w:p>
        </w:tc>
        <w:tc>
          <w:tcPr>
            <w:tcW w:w="0" w:type="auto"/>
            <w:hideMark/>
          </w:tcPr>
          <w:p w14:paraId="2D6827A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20,149</w:t>
            </w:r>
          </w:p>
        </w:tc>
        <w:tc>
          <w:tcPr>
            <w:tcW w:w="0" w:type="auto"/>
            <w:hideMark/>
          </w:tcPr>
          <w:p w14:paraId="0FC6155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21,210</w:t>
            </w:r>
          </w:p>
        </w:tc>
        <w:tc>
          <w:tcPr>
            <w:tcW w:w="0" w:type="auto"/>
            <w:hideMark/>
          </w:tcPr>
          <w:p w14:paraId="3D2CDAF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23,170</w:t>
            </w:r>
          </w:p>
        </w:tc>
      </w:tr>
      <w:tr w:rsidR="000F3C7B" w:rsidRPr="00997841" w14:paraId="2C9763DB" w14:textId="77777777" w:rsidTr="000F3C7B">
        <w:tc>
          <w:tcPr>
            <w:tcW w:w="0" w:type="auto"/>
            <w:hideMark/>
          </w:tcPr>
          <w:p w14:paraId="223C0FB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Opening Inventories (US$ m)</w:t>
            </w:r>
          </w:p>
        </w:tc>
        <w:tc>
          <w:tcPr>
            <w:tcW w:w="0" w:type="auto"/>
            <w:hideMark/>
          </w:tcPr>
          <w:p w14:paraId="7533373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w:t>
            </w:r>
          </w:p>
        </w:tc>
        <w:tc>
          <w:tcPr>
            <w:tcW w:w="0" w:type="auto"/>
            <w:hideMark/>
          </w:tcPr>
          <w:p w14:paraId="48DB30F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95</w:t>
            </w:r>
          </w:p>
        </w:tc>
        <w:tc>
          <w:tcPr>
            <w:tcW w:w="0" w:type="auto"/>
            <w:hideMark/>
          </w:tcPr>
          <w:p w14:paraId="1BF2863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108</w:t>
            </w:r>
          </w:p>
        </w:tc>
        <w:tc>
          <w:tcPr>
            <w:tcW w:w="0" w:type="auto"/>
            <w:hideMark/>
          </w:tcPr>
          <w:p w14:paraId="4213C9F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121</w:t>
            </w:r>
          </w:p>
        </w:tc>
        <w:tc>
          <w:tcPr>
            <w:tcW w:w="0" w:type="auto"/>
            <w:hideMark/>
          </w:tcPr>
          <w:p w14:paraId="0C36F3D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133</w:t>
            </w:r>
          </w:p>
        </w:tc>
        <w:tc>
          <w:tcPr>
            <w:tcW w:w="0" w:type="auto"/>
            <w:hideMark/>
          </w:tcPr>
          <w:p w14:paraId="3335A8B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142</w:t>
            </w:r>
          </w:p>
        </w:tc>
      </w:tr>
      <w:tr w:rsidR="000F3C7B" w:rsidRPr="00997841" w14:paraId="73461927" w14:textId="77777777" w:rsidTr="000F3C7B">
        <w:tc>
          <w:tcPr>
            <w:tcW w:w="0" w:type="auto"/>
            <w:hideMark/>
          </w:tcPr>
          <w:p w14:paraId="46DE927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Closing Inventories (US$ m)</w:t>
            </w:r>
          </w:p>
        </w:tc>
        <w:tc>
          <w:tcPr>
            <w:tcW w:w="0" w:type="auto"/>
            <w:hideMark/>
          </w:tcPr>
          <w:p w14:paraId="63A4B04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D</w:t>
            </w:r>
          </w:p>
        </w:tc>
        <w:tc>
          <w:tcPr>
            <w:tcW w:w="0" w:type="auto"/>
            <w:hideMark/>
          </w:tcPr>
          <w:p w14:paraId="400B424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108</w:t>
            </w:r>
          </w:p>
        </w:tc>
        <w:tc>
          <w:tcPr>
            <w:tcW w:w="0" w:type="auto"/>
            <w:hideMark/>
          </w:tcPr>
          <w:p w14:paraId="0AF95C6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121</w:t>
            </w:r>
          </w:p>
        </w:tc>
        <w:tc>
          <w:tcPr>
            <w:tcW w:w="0" w:type="auto"/>
            <w:hideMark/>
          </w:tcPr>
          <w:p w14:paraId="1B5ABC6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133</w:t>
            </w:r>
          </w:p>
        </w:tc>
        <w:tc>
          <w:tcPr>
            <w:tcW w:w="0" w:type="auto"/>
            <w:hideMark/>
          </w:tcPr>
          <w:p w14:paraId="02F98A5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142</w:t>
            </w:r>
          </w:p>
        </w:tc>
        <w:tc>
          <w:tcPr>
            <w:tcW w:w="0" w:type="auto"/>
            <w:hideMark/>
          </w:tcPr>
          <w:p w14:paraId="3A3DE34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150</w:t>
            </w:r>
          </w:p>
        </w:tc>
      </w:tr>
      <w:tr w:rsidR="000F3C7B" w:rsidRPr="00997841" w14:paraId="4CB4D894" w14:textId="77777777" w:rsidTr="000F3C7B">
        <w:tc>
          <w:tcPr>
            <w:tcW w:w="0" w:type="auto"/>
            <w:hideMark/>
          </w:tcPr>
          <w:p w14:paraId="633FDAA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Average Inventories (US$ m)</w:t>
            </w:r>
          </w:p>
        </w:tc>
        <w:tc>
          <w:tcPr>
            <w:tcW w:w="0" w:type="auto"/>
            <w:hideMark/>
          </w:tcPr>
          <w:p w14:paraId="23B3879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E=(C+D)/2</w:t>
            </w:r>
          </w:p>
        </w:tc>
        <w:tc>
          <w:tcPr>
            <w:tcW w:w="0" w:type="auto"/>
            <w:hideMark/>
          </w:tcPr>
          <w:p w14:paraId="396586A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101.5</w:t>
            </w:r>
          </w:p>
        </w:tc>
        <w:tc>
          <w:tcPr>
            <w:tcW w:w="0" w:type="auto"/>
            <w:hideMark/>
          </w:tcPr>
          <w:p w14:paraId="06EC2DA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114.5</w:t>
            </w:r>
          </w:p>
        </w:tc>
        <w:tc>
          <w:tcPr>
            <w:tcW w:w="0" w:type="auto"/>
            <w:hideMark/>
          </w:tcPr>
          <w:p w14:paraId="2DA0503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127.0</w:t>
            </w:r>
          </w:p>
        </w:tc>
        <w:tc>
          <w:tcPr>
            <w:tcW w:w="0" w:type="auto"/>
            <w:hideMark/>
          </w:tcPr>
          <w:p w14:paraId="7A31FAB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137.5</w:t>
            </w:r>
          </w:p>
        </w:tc>
        <w:tc>
          <w:tcPr>
            <w:tcW w:w="0" w:type="auto"/>
            <w:hideMark/>
          </w:tcPr>
          <w:p w14:paraId="6A6C02D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146.0</w:t>
            </w:r>
          </w:p>
        </w:tc>
      </w:tr>
      <w:tr w:rsidR="000F3C7B" w:rsidRPr="00997841" w14:paraId="1C85625E" w14:textId="77777777" w:rsidTr="000F3C7B">
        <w:tc>
          <w:tcPr>
            <w:tcW w:w="0" w:type="auto"/>
            <w:hideMark/>
          </w:tcPr>
          <w:p w14:paraId="50E578A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Opening Receivables (US$ m)</w:t>
            </w:r>
          </w:p>
        </w:tc>
        <w:tc>
          <w:tcPr>
            <w:tcW w:w="0" w:type="auto"/>
            <w:hideMark/>
          </w:tcPr>
          <w:p w14:paraId="0E51DB0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F</w:t>
            </w:r>
          </w:p>
        </w:tc>
        <w:tc>
          <w:tcPr>
            <w:tcW w:w="0" w:type="auto"/>
            <w:hideMark/>
          </w:tcPr>
          <w:p w14:paraId="754BB4B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520</w:t>
            </w:r>
          </w:p>
        </w:tc>
        <w:tc>
          <w:tcPr>
            <w:tcW w:w="0" w:type="auto"/>
            <w:hideMark/>
          </w:tcPr>
          <w:p w14:paraId="7461AEC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610</w:t>
            </w:r>
          </w:p>
        </w:tc>
        <w:tc>
          <w:tcPr>
            <w:tcW w:w="0" w:type="auto"/>
            <w:hideMark/>
          </w:tcPr>
          <w:p w14:paraId="627A9BF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720</w:t>
            </w:r>
          </w:p>
        </w:tc>
        <w:tc>
          <w:tcPr>
            <w:tcW w:w="0" w:type="auto"/>
            <w:hideMark/>
          </w:tcPr>
          <w:p w14:paraId="14BF7D2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790</w:t>
            </w:r>
          </w:p>
        </w:tc>
        <w:tc>
          <w:tcPr>
            <w:tcW w:w="0" w:type="auto"/>
            <w:hideMark/>
          </w:tcPr>
          <w:p w14:paraId="1130E9C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850</w:t>
            </w:r>
          </w:p>
        </w:tc>
      </w:tr>
      <w:tr w:rsidR="000F3C7B" w:rsidRPr="00997841" w14:paraId="2133AF11" w14:textId="77777777" w:rsidTr="000F3C7B">
        <w:tc>
          <w:tcPr>
            <w:tcW w:w="0" w:type="auto"/>
            <w:hideMark/>
          </w:tcPr>
          <w:p w14:paraId="441B794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Closing Receivables (US$ m)</w:t>
            </w:r>
          </w:p>
        </w:tc>
        <w:tc>
          <w:tcPr>
            <w:tcW w:w="0" w:type="auto"/>
            <w:hideMark/>
          </w:tcPr>
          <w:p w14:paraId="6D087D6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G</w:t>
            </w:r>
          </w:p>
        </w:tc>
        <w:tc>
          <w:tcPr>
            <w:tcW w:w="0" w:type="auto"/>
            <w:hideMark/>
          </w:tcPr>
          <w:p w14:paraId="79C06FE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610</w:t>
            </w:r>
          </w:p>
        </w:tc>
        <w:tc>
          <w:tcPr>
            <w:tcW w:w="0" w:type="auto"/>
            <w:hideMark/>
          </w:tcPr>
          <w:p w14:paraId="6691B87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720</w:t>
            </w:r>
          </w:p>
        </w:tc>
        <w:tc>
          <w:tcPr>
            <w:tcW w:w="0" w:type="auto"/>
            <w:hideMark/>
          </w:tcPr>
          <w:p w14:paraId="7F5EE5C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790</w:t>
            </w:r>
          </w:p>
        </w:tc>
        <w:tc>
          <w:tcPr>
            <w:tcW w:w="0" w:type="auto"/>
            <w:hideMark/>
          </w:tcPr>
          <w:p w14:paraId="76A1EBB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850</w:t>
            </w:r>
          </w:p>
        </w:tc>
        <w:tc>
          <w:tcPr>
            <w:tcW w:w="0" w:type="auto"/>
            <w:hideMark/>
          </w:tcPr>
          <w:p w14:paraId="3CDDB9F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910</w:t>
            </w:r>
          </w:p>
        </w:tc>
      </w:tr>
      <w:tr w:rsidR="000F3C7B" w:rsidRPr="00997841" w14:paraId="3A95F5A9" w14:textId="77777777" w:rsidTr="000F3C7B">
        <w:tc>
          <w:tcPr>
            <w:tcW w:w="0" w:type="auto"/>
            <w:hideMark/>
          </w:tcPr>
          <w:p w14:paraId="56CFE87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lastRenderedPageBreak/>
              <w:t>Average Receivables (US$ m)</w:t>
            </w:r>
          </w:p>
        </w:tc>
        <w:tc>
          <w:tcPr>
            <w:tcW w:w="0" w:type="auto"/>
            <w:hideMark/>
          </w:tcPr>
          <w:p w14:paraId="01159CB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H=(F+G)/2</w:t>
            </w:r>
          </w:p>
        </w:tc>
        <w:tc>
          <w:tcPr>
            <w:tcW w:w="0" w:type="auto"/>
            <w:hideMark/>
          </w:tcPr>
          <w:p w14:paraId="35299B2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565</w:t>
            </w:r>
          </w:p>
        </w:tc>
        <w:tc>
          <w:tcPr>
            <w:tcW w:w="0" w:type="auto"/>
            <w:hideMark/>
          </w:tcPr>
          <w:p w14:paraId="1832FBD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665</w:t>
            </w:r>
          </w:p>
        </w:tc>
        <w:tc>
          <w:tcPr>
            <w:tcW w:w="0" w:type="auto"/>
            <w:hideMark/>
          </w:tcPr>
          <w:p w14:paraId="76F555E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755</w:t>
            </w:r>
          </w:p>
        </w:tc>
        <w:tc>
          <w:tcPr>
            <w:tcW w:w="0" w:type="auto"/>
            <w:hideMark/>
          </w:tcPr>
          <w:p w14:paraId="3CEDE78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820</w:t>
            </w:r>
          </w:p>
        </w:tc>
        <w:tc>
          <w:tcPr>
            <w:tcW w:w="0" w:type="auto"/>
            <w:hideMark/>
          </w:tcPr>
          <w:p w14:paraId="0DD835D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880</w:t>
            </w:r>
          </w:p>
        </w:tc>
      </w:tr>
      <w:tr w:rsidR="000F3C7B" w:rsidRPr="00997841" w14:paraId="44E98C53" w14:textId="77777777" w:rsidTr="000F3C7B">
        <w:tc>
          <w:tcPr>
            <w:tcW w:w="0" w:type="auto"/>
            <w:hideMark/>
          </w:tcPr>
          <w:p w14:paraId="25FE209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Opening Payables (US$ m)</w:t>
            </w:r>
          </w:p>
        </w:tc>
        <w:tc>
          <w:tcPr>
            <w:tcW w:w="0" w:type="auto"/>
            <w:hideMark/>
          </w:tcPr>
          <w:p w14:paraId="21355D0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I</w:t>
            </w:r>
          </w:p>
        </w:tc>
        <w:tc>
          <w:tcPr>
            <w:tcW w:w="0" w:type="auto"/>
            <w:hideMark/>
          </w:tcPr>
          <w:p w14:paraId="173DDDE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1,320</w:t>
            </w:r>
          </w:p>
        </w:tc>
        <w:tc>
          <w:tcPr>
            <w:tcW w:w="0" w:type="auto"/>
            <w:hideMark/>
          </w:tcPr>
          <w:p w14:paraId="3B75FDD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1,470</w:t>
            </w:r>
          </w:p>
        </w:tc>
        <w:tc>
          <w:tcPr>
            <w:tcW w:w="0" w:type="auto"/>
            <w:hideMark/>
          </w:tcPr>
          <w:p w14:paraId="3899148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1,620</w:t>
            </w:r>
          </w:p>
        </w:tc>
        <w:tc>
          <w:tcPr>
            <w:tcW w:w="0" w:type="auto"/>
            <w:hideMark/>
          </w:tcPr>
          <w:p w14:paraId="63B5419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1,730</w:t>
            </w:r>
          </w:p>
        </w:tc>
        <w:tc>
          <w:tcPr>
            <w:tcW w:w="0" w:type="auto"/>
            <w:hideMark/>
          </w:tcPr>
          <w:p w14:paraId="3BA1AFF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1,860</w:t>
            </w:r>
          </w:p>
        </w:tc>
      </w:tr>
      <w:tr w:rsidR="000F3C7B" w:rsidRPr="00997841" w14:paraId="087B6E63" w14:textId="77777777" w:rsidTr="000F3C7B">
        <w:tc>
          <w:tcPr>
            <w:tcW w:w="0" w:type="auto"/>
            <w:hideMark/>
          </w:tcPr>
          <w:p w14:paraId="4EB918F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Closing Payables (US$ m)</w:t>
            </w:r>
          </w:p>
        </w:tc>
        <w:tc>
          <w:tcPr>
            <w:tcW w:w="0" w:type="auto"/>
            <w:hideMark/>
          </w:tcPr>
          <w:p w14:paraId="2DFF297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J</w:t>
            </w:r>
          </w:p>
        </w:tc>
        <w:tc>
          <w:tcPr>
            <w:tcW w:w="0" w:type="auto"/>
            <w:hideMark/>
          </w:tcPr>
          <w:p w14:paraId="30E5EE5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1,470</w:t>
            </w:r>
          </w:p>
        </w:tc>
        <w:tc>
          <w:tcPr>
            <w:tcW w:w="0" w:type="auto"/>
            <w:hideMark/>
          </w:tcPr>
          <w:p w14:paraId="7FF4E64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1,620</w:t>
            </w:r>
          </w:p>
        </w:tc>
        <w:tc>
          <w:tcPr>
            <w:tcW w:w="0" w:type="auto"/>
            <w:hideMark/>
          </w:tcPr>
          <w:p w14:paraId="713322D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1,730</w:t>
            </w:r>
          </w:p>
        </w:tc>
        <w:tc>
          <w:tcPr>
            <w:tcW w:w="0" w:type="auto"/>
            <w:hideMark/>
          </w:tcPr>
          <w:p w14:paraId="51CD2F8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1,860</w:t>
            </w:r>
          </w:p>
        </w:tc>
        <w:tc>
          <w:tcPr>
            <w:tcW w:w="0" w:type="auto"/>
            <w:hideMark/>
          </w:tcPr>
          <w:p w14:paraId="47A4631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1,980</w:t>
            </w:r>
          </w:p>
        </w:tc>
      </w:tr>
      <w:tr w:rsidR="000F3C7B" w:rsidRPr="00997841" w14:paraId="49E1CBE2" w14:textId="77777777" w:rsidTr="000F3C7B">
        <w:tc>
          <w:tcPr>
            <w:tcW w:w="0" w:type="auto"/>
            <w:hideMark/>
          </w:tcPr>
          <w:p w14:paraId="0246827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Average Payables (US$ m)</w:t>
            </w:r>
          </w:p>
        </w:tc>
        <w:tc>
          <w:tcPr>
            <w:tcW w:w="0" w:type="auto"/>
            <w:hideMark/>
          </w:tcPr>
          <w:p w14:paraId="6606DE8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K=(I+J)/2</w:t>
            </w:r>
          </w:p>
        </w:tc>
        <w:tc>
          <w:tcPr>
            <w:tcW w:w="0" w:type="auto"/>
            <w:hideMark/>
          </w:tcPr>
          <w:p w14:paraId="3094953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1,395</w:t>
            </w:r>
          </w:p>
        </w:tc>
        <w:tc>
          <w:tcPr>
            <w:tcW w:w="0" w:type="auto"/>
            <w:hideMark/>
          </w:tcPr>
          <w:p w14:paraId="4F2D9FE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1,545</w:t>
            </w:r>
          </w:p>
        </w:tc>
        <w:tc>
          <w:tcPr>
            <w:tcW w:w="0" w:type="auto"/>
            <w:hideMark/>
          </w:tcPr>
          <w:p w14:paraId="245CF00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1,675</w:t>
            </w:r>
          </w:p>
        </w:tc>
        <w:tc>
          <w:tcPr>
            <w:tcW w:w="0" w:type="auto"/>
            <w:hideMark/>
          </w:tcPr>
          <w:p w14:paraId="1C705D5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1,795</w:t>
            </w:r>
          </w:p>
        </w:tc>
        <w:tc>
          <w:tcPr>
            <w:tcW w:w="0" w:type="auto"/>
            <w:hideMark/>
          </w:tcPr>
          <w:p w14:paraId="1DB87EB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1,920</w:t>
            </w:r>
          </w:p>
        </w:tc>
      </w:tr>
      <w:tr w:rsidR="000F3C7B" w:rsidRPr="00997841" w14:paraId="466DFCC5" w14:textId="77777777" w:rsidTr="000F3C7B">
        <w:tc>
          <w:tcPr>
            <w:tcW w:w="0" w:type="auto"/>
            <w:hideMark/>
          </w:tcPr>
          <w:p w14:paraId="765766A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Inventory Turnover Days</w:t>
            </w:r>
          </w:p>
        </w:tc>
        <w:tc>
          <w:tcPr>
            <w:tcW w:w="0" w:type="auto"/>
            <w:hideMark/>
          </w:tcPr>
          <w:p w14:paraId="120B094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365(B/E)</w:t>
            </w:r>
          </w:p>
        </w:tc>
        <w:tc>
          <w:tcPr>
            <w:tcW w:w="0" w:type="auto"/>
            <w:hideMark/>
          </w:tcPr>
          <w:p w14:paraId="4C701AE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3.06</w:t>
            </w:r>
          </w:p>
        </w:tc>
        <w:tc>
          <w:tcPr>
            <w:tcW w:w="0" w:type="auto"/>
            <w:hideMark/>
          </w:tcPr>
          <w:p w14:paraId="03C4BA2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2.36</w:t>
            </w:r>
          </w:p>
        </w:tc>
        <w:tc>
          <w:tcPr>
            <w:tcW w:w="0" w:type="auto"/>
            <w:hideMark/>
          </w:tcPr>
          <w:p w14:paraId="2D273B4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2.30</w:t>
            </w:r>
          </w:p>
        </w:tc>
        <w:tc>
          <w:tcPr>
            <w:tcW w:w="0" w:type="auto"/>
            <w:hideMark/>
          </w:tcPr>
          <w:p w14:paraId="5519A79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2.37</w:t>
            </w:r>
          </w:p>
        </w:tc>
        <w:tc>
          <w:tcPr>
            <w:tcW w:w="0" w:type="auto"/>
            <w:hideMark/>
          </w:tcPr>
          <w:p w14:paraId="54406BA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2.30</w:t>
            </w:r>
          </w:p>
        </w:tc>
      </w:tr>
      <w:tr w:rsidR="000F3C7B" w:rsidRPr="00997841" w14:paraId="2657E8A1" w14:textId="77777777" w:rsidTr="000F3C7B">
        <w:tc>
          <w:tcPr>
            <w:tcW w:w="0" w:type="auto"/>
            <w:hideMark/>
          </w:tcPr>
          <w:p w14:paraId="0486E00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Receivables Turnover Days</w:t>
            </w:r>
          </w:p>
        </w:tc>
        <w:tc>
          <w:tcPr>
            <w:tcW w:w="0" w:type="auto"/>
            <w:hideMark/>
          </w:tcPr>
          <w:p w14:paraId="454CDA1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365(A/H)</w:t>
            </w:r>
          </w:p>
        </w:tc>
        <w:tc>
          <w:tcPr>
            <w:tcW w:w="0" w:type="auto"/>
            <w:hideMark/>
          </w:tcPr>
          <w:p w14:paraId="30584A2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14.88</w:t>
            </w:r>
          </w:p>
        </w:tc>
        <w:tc>
          <w:tcPr>
            <w:tcW w:w="0" w:type="auto"/>
            <w:hideMark/>
          </w:tcPr>
          <w:p w14:paraId="462175D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11.69</w:t>
            </w:r>
          </w:p>
        </w:tc>
        <w:tc>
          <w:tcPr>
            <w:tcW w:w="0" w:type="auto"/>
            <w:hideMark/>
          </w:tcPr>
          <w:p w14:paraId="0CB1768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11.62</w:t>
            </w:r>
          </w:p>
        </w:tc>
        <w:tc>
          <w:tcPr>
            <w:tcW w:w="0" w:type="auto"/>
            <w:hideMark/>
          </w:tcPr>
          <w:p w14:paraId="0F1C8A8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11.93</w:t>
            </w:r>
          </w:p>
        </w:tc>
        <w:tc>
          <w:tcPr>
            <w:tcW w:w="0" w:type="auto"/>
            <w:hideMark/>
          </w:tcPr>
          <w:p w14:paraId="54FA6DE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11.70</w:t>
            </w:r>
          </w:p>
        </w:tc>
      </w:tr>
      <w:tr w:rsidR="000F3C7B" w:rsidRPr="00997841" w14:paraId="7FD81DF9" w14:textId="77777777" w:rsidTr="000F3C7B">
        <w:tc>
          <w:tcPr>
            <w:tcW w:w="0" w:type="auto"/>
            <w:hideMark/>
          </w:tcPr>
          <w:p w14:paraId="15841F9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Payables Turnover Days</w:t>
            </w:r>
          </w:p>
        </w:tc>
        <w:tc>
          <w:tcPr>
            <w:tcW w:w="0" w:type="auto"/>
            <w:hideMark/>
          </w:tcPr>
          <w:p w14:paraId="08BB9E3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365(B/K)</w:t>
            </w:r>
          </w:p>
        </w:tc>
        <w:tc>
          <w:tcPr>
            <w:tcW w:w="0" w:type="auto"/>
            <w:hideMark/>
          </w:tcPr>
          <w:p w14:paraId="20B0B79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42.05</w:t>
            </w:r>
          </w:p>
        </w:tc>
        <w:tc>
          <w:tcPr>
            <w:tcW w:w="0" w:type="auto"/>
            <w:hideMark/>
          </w:tcPr>
          <w:p w14:paraId="367EC92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31.88</w:t>
            </w:r>
          </w:p>
        </w:tc>
        <w:tc>
          <w:tcPr>
            <w:tcW w:w="0" w:type="auto"/>
            <w:hideMark/>
          </w:tcPr>
          <w:p w14:paraId="38F7E61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30.35</w:t>
            </w:r>
          </w:p>
        </w:tc>
        <w:tc>
          <w:tcPr>
            <w:tcW w:w="0" w:type="auto"/>
            <w:hideMark/>
          </w:tcPr>
          <w:p w14:paraId="1941C82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30.88</w:t>
            </w:r>
          </w:p>
        </w:tc>
        <w:tc>
          <w:tcPr>
            <w:tcW w:w="0" w:type="auto"/>
            <w:hideMark/>
          </w:tcPr>
          <w:p w14:paraId="0BA97AC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30.24</w:t>
            </w:r>
          </w:p>
        </w:tc>
      </w:tr>
    </w:tbl>
    <w:p w14:paraId="2102D910"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Table 3: Efficiency Ratio</w:t>
      </w:r>
    </w:p>
    <w:p w14:paraId="054DFB2E" w14:textId="77777777" w:rsidR="000F3C7B" w:rsidRPr="00997841" w:rsidRDefault="000F3C7B" w:rsidP="000F3C7B">
      <w:pPr>
        <w:spacing w:line="360" w:lineRule="auto"/>
        <w:jc w:val="center"/>
        <w:rPr>
          <w:rFonts w:ascii="Arial" w:hAnsi="Arial" w:cs="Arial"/>
          <w:b/>
          <w:sz w:val="24"/>
          <w:szCs w:val="24"/>
        </w:rPr>
      </w:pPr>
      <w:r w:rsidRPr="00997841">
        <w:rPr>
          <w:noProof/>
          <w:lang w:val="en-IN" w:eastAsia="en-IN"/>
        </w:rPr>
        <w:drawing>
          <wp:inline distT="0" distB="0" distL="0" distR="0" wp14:anchorId="2A0C417A" wp14:editId="33389F04">
            <wp:extent cx="4572000" cy="27432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p w14:paraId="1BA9C850"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Graph 3: Efficiency Ratio</w:t>
      </w:r>
    </w:p>
    <w:p w14:paraId="5B766C2B"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692095EB" w14:textId="77777777" w:rsidR="000F3C7B" w:rsidRPr="00997841" w:rsidRDefault="000F3C7B" w:rsidP="000F3C7B">
      <w:pPr>
        <w:spacing w:line="360" w:lineRule="auto"/>
        <w:jc w:val="both"/>
        <w:rPr>
          <w:rFonts w:ascii="Arial" w:hAnsi="Arial" w:cs="Arial"/>
          <w:b/>
          <w:sz w:val="24"/>
          <w:szCs w:val="24"/>
        </w:rPr>
      </w:pPr>
      <w:r w:rsidRPr="00997841">
        <w:rPr>
          <w:rFonts w:ascii="Arial" w:hAnsi="Arial" w:cs="Arial"/>
          <w:b/>
          <w:sz w:val="24"/>
          <w:szCs w:val="24"/>
        </w:rPr>
        <w:t>Gearing</w:t>
      </w:r>
    </w:p>
    <w:tbl>
      <w:tblPr>
        <w:tblStyle w:val="TableGrid"/>
        <w:tblW w:w="0" w:type="auto"/>
        <w:tblLook w:val="04A0" w:firstRow="1" w:lastRow="0" w:firstColumn="1" w:lastColumn="0" w:noHBand="0" w:noVBand="1"/>
      </w:tblPr>
      <w:tblGrid>
        <w:gridCol w:w="3257"/>
        <w:gridCol w:w="1004"/>
        <w:gridCol w:w="951"/>
        <w:gridCol w:w="951"/>
        <w:gridCol w:w="951"/>
        <w:gridCol w:w="951"/>
        <w:gridCol w:w="951"/>
      </w:tblGrid>
      <w:tr w:rsidR="000F3C7B" w:rsidRPr="00997841" w14:paraId="3DDAC49E" w14:textId="77777777" w:rsidTr="000F3C7B">
        <w:tc>
          <w:tcPr>
            <w:tcW w:w="0" w:type="auto"/>
            <w:hideMark/>
          </w:tcPr>
          <w:p w14:paraId="22245295"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Particulars</w:t>
            </w:r>
          </w:p>
        </w:tc>
        <w:tc>
          <w:tcPr>
            <w:tcW w:w="0" w:type="auto"/>
            <w:hideMark/>
          </w:tcPr>
          <w:p w14:paraId="6680DB6B"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Details</w:t>
            </w:r>
          </w:p>
        </w:tc>
        <w:tc>
          <w:tcPr>
            <w:tcW w:w="0" w:type="auto"/>
            <w:hideMark/>
          </w:tcPr>
          <w:p w14:paraId="786E8809"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2021</w:t>
            </w:r>
          </w:p>
        </w:tc>
        <w:tc>
          <w:tcPr>
            <w:tcW w:w="0" w:type="auto"/>
            <w:hideMark/>
          </w:tcPr>
          <w:p w14:paraId="4365BE40"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2022</w:t>
            </w:r>
          </w:p>
        </w:tc>
        <w:tc>
          <w:tcPr>
            <w:tcW w:w="0" w:type="auto"/>
            <w:hideMark/>
          </w:tcPr>
          <w:p w14:paraId="31407631"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2023</w:t>
            </w:r>
          </w:p>
        </w:tc>
        <w:tc>
          <w:tcPr>
            <w:tcW w:w="0" w:type="auto"/>
            <w:hideMark/>
          </w:tcPr>
          <w:p w14:paraId="11030095"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2024</w:t>
            </w:r>
          </w:p>
        </w:tc>
        <w:tc>
          <w:tcPr>
            <w:tcW w:w="0" w:type="auto"/>
            <w:hideMark/>
          </w:tcPr>
          <w:p w14:paraId="3B3A123F"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2025</w:t>
            </w:r>
          </w:p>
        </w:tc>
      </w:tr>
      <w:tr w:rsidR="000F3C7B" w:rsidRPr="00997841" w14:paraId="6B12E8C2" w14:textId="77777777" w:rsidTr="000F3C7B">
        <w:tc>
          <w:tcPr>
            <w:tcW w:w="0" w:type="auto"/>
            <w:hideMark/>
          </w:tcPr>
          <w:p w14:paraId="0CB5B10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Total Liabilities (US$ m)</w:t>
            </w:r>
          </w:p>
        </w:tc>
        <w:tc>
          <w:tcPr>
            <w:tcW w:w="0" w:type="auto"/>
            <w:hideMark/>
          </w:tcPr>
          <w:p w14:paraId="3155F66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w:t>
            </w:r>
          </w:p>
        </w:tc>
        <w:tc>
          <w:tcPr>
            <w:tcW w:w="0" w:type="auto"/>
            <w:hideMark/>
          </w:tcPr>
          <w:p w14:paraId="49DB57A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28,376</w:t>
            </w:r>
          </w:p>
        </w:tc>
        <w:tc>
          <w:tcPr>
            <w:tcW w:w="0" w:type="auto"/>
            <w:hideMark/>
          </w:tcPr>
          <w:p w14:paraId="7EBDF03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28,931</w:t>
            </w:r>
          </w:p>
        </w:tc>
        <w:tc>
          <w:tcPr>
            <w:tcW w:w="0" w:type="auto"/>
            <w:hideMark/>
          </w:tcPr>
          <w:p w14:paraId="57B54C5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30,512</w:t>
            </w:r>
          </w:p>
        </w:tc>
        <w:tc>
          <w:tcPr>
            <w:tcW w:w="0" w:type="auto"/>
            <w:hideMark/>
          </w:tcPr>
          <w:p w14:paraId="613D8D4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31,960</w:t>
            </w:r>
          </w:p>
        </w:tc>
        <w:tc>
          <w:tcPr>
            <w:tcW w:w="0" w:type="auto"/>
            <w:hideMark/>
          </w:tcPr>
          <w:p w14:paraId="1161AC1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33,705</w:t>
            </w:r>
          </w:p>
        </w:tc>
      </w:tr>
      <w:tr w:rsidR="000F3C7B" w:rsidRPr="00997841" w14:paraId="53ADF29D" w14:textId="77777777" w:rsidTr="000F3C7B">
        <w:tc>
          <w:tcPr>
            <w:tcW w:w="0" w:type="auto"/>
            <w:hideMark/>
          </w:tcPr>
          <w:p w14:paraId="4F78397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lastRenderedPageBreak/>
              <w:t>Total Assets (US$ m)</w:t>
            </w:r>
          </w:p>
        </w:tc>
        <w:tc>
          <w:tcPr>
            <w:tcW w:w="0" w:type="auto"/>
            <w:hideMark/>
          </w:tcPr>
          <w:p w14:paraId="5242302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B</w:t>
            </w:r>
          </w:p>
        </w:tc>
        <w:tc>
          <w:tcPr>
            <w:tcW w:w="0" w:type="auto"/>
            <w:hideMark/>
          </w:tcPr>
          <w:p w14:paraId="503EF7E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24,701</w:t>
            </w:r>
          </w:p>
        </w:tc>
        <w:tc>
          <w:tcPr>
            <w:tcW w:w="0" w:type="auto"/>
            <w:hideMark/>
          </w:tcPr>
          <w:p w14:paraId="1ABA272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25,111</w:t>
            </w:r>
          </w:p>
        </w:tc>
        <w:tc>
          <w:tcPr>
            <w:tcW w:w="0" w:type="auto"/>
            <w:hideMark/>
          </w:tcPr>
          <w:p w14:paraId="727DA84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26,717</w:t>
            </w:r>
          </w:p>
        </w:tc>
        <w:tc>
          <w:tcPr>
            <w:tcW w:w="0" w:type="auto"/>
            <w:hideMark/>
          </w:tcPr>
          <w:p w14:paraId="59ADE88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28,492</w:t>
            </w:r>
          </w:p>
        </w:tc>
        <w:tc>
          <w:tcPr>
            <w:tcW w:w="0" w:type="auto"/>
            <w:hideMark/>
          </w:tcPr>
          <w:p w14:paraId="7FBEBEE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30,185</w:t>
            </w:r>
          </w:p>
        </w:tc>
      </w:tr>
      <w:tr w:rsidR="000F3C7B" w:rsidRPr="00997841" w14:paraId="5B95F6B6" w14:textId="77777777" w:rsidTr="000F3C7B">
        <w:tc>
          <w:tcPr>
            <w:tcW w:w="0" w:type="auto"/>
            <w:hideMark/>
          </w:tcPr>
          <w:p w14:paraId="53415D7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Operating Profit (EBIT) (US$ m)</w:t>
            </w:r>
          </w:p>
        </w:tc>
        <w:tc>
          <w:tcPr>
            <w:tcW w:w="0" w:type="auto"/>
            <w:hideMark/>
          </w:tcPr>
          <w:p w14:paraId="0DAB24F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w:t>
            </w:r>
          </w:p>
        </w:tc>
        <w:tc>
          <w:tcPr>
            <w:tcW w:w="0" w:type="auto"/>
            <w:hideMark/>
          </w:tcPr>
          <w:p w14:paraId="79B64BA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1,750</w:t>
            </w:r>
          </w:p>
        </w:tc>
        <w:tc>
          <w:tcPr>
            <w:tcW w:w="0" w:type="auto"/>
            <w:hideMark/>
          </w:tcPr>
          <w:p w14:paraId="6180644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3,089</w:t>
            </w:r>
          </w:p>
        </w:tc>
        <w:tc>
          <w:tcPr>
            <w:tcW w:w="0" w:type="auto"/>
            <w:hideMark/>
          </w:tcPr>
          <w:p w14:paraId="1593331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3,564</w:t>
            </w:r>
          </w:p>
        </w:tc>
        <w:tc>
          <w:tcPr>
            <w:tcW w:w="0" w:type="auto"/>
            <w:hideMark/>
          </w:tcPr>
          <w:p w14:paraId="4B1B972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3,889</w:t>
            </w:r>
          </w:p>
        </w:tc>
        <w:tc>
          <w:tcPr>
            <w:tcW w:w="0" w:type="auto"/>
            <w:hideMark/>
          </w:tcPr>
          <w:p w14:paraId="7C837E6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4,286</w:t>
            </w:r>
          </w:p>
        </w:tc>
      </w:tr>
      <w:tr w:rsidR="000F3C7B" w:rsidRPr="00997841" w14:paraId="108BE26E" w14:textId="77777777" w:rsidTr="000F3C7B">
        <w:tc>
          <w:tcPr>
            <w:tcW w:w="0" w:type="auto"/>
            <w:hideMark/>
          </w:tcPr>
          <w:p w14:paraId="2326792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Finance Costs (US$ m)</w:t>
            </w:r>
          </w:p>
        </w:tc>
        <w:tc>
          <w:tcPr>
            <w:tcW w:w="0" w:type="auto"/>
            <w:hideMark/>
          </w:tcPr>
          <w:p w14:paraId="1602F9F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D</w:t>
            </w:r>
          </w:p>
        </w:tc>
        <w:tc>
          <w:tcPr>
            <w:tcW w:w="0" w:type="auto"/>
            <w:hideMark/>
          </w:tcPr>
          <w:p w14:paraId="0B3BDA3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435</w:t>
            </w:r>
          </w:p>
        </w:tc>
        <w:tc>
          <w:tcPr>
            <w:tcW w:w="0" w:type="auto"/>
            <w:hideMark/>
          </w:tcPr>
          <w:p w14:paraId="12300C6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462</w:t>
            </w:r>
          </w:p>
        </w:tc>
        <w:tc>
          <w:tcPr>
            <w:tcW w:w="0" w:type="auto"/>
            <w:hideMark/>
          </w:tcPr>
          <w:p w14:paraId="5858DF1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489</w:t>
            </w:r>
          </w:p>
        </w:tc>
        <w:tc>
          <w:tcPr>
            <w:tcW w:w="0" w:type="auto"/>
            <w:hideMark/>
          </w:tcPr>
          <w:p w14:paraId="6473C2C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520</w:t>
            </w:r>
          </w:p>
        </w:tc>
        <w:tc>
          <w:tcPr>
            <w:tcW w:w="0" w:type="auto"/>
            <w:hideMark/>
          </w:tcPr>
          <w:p w14:paraId="48055B4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548</w:t>
            </w:r>
          </w:p>
        </w:tc>
      </w:tr>
      <w:tr w:rsidR="000F3C7B" w:rsidRPr="00997841" w14:paraId="11BB2D1F" w14:textId="77777777" w:rsidTr="000F3C7B">
        <w:tc>
          <w:tcPr>
            <w:tcW w:w="0" w:type="auto"/>
            <w:hideMark/>
          </w:tcPr>
          <w:p w14:paraId="617A407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Debt-to-Assets Ratio</w:t>
            </w:r>
          </w:p>
        </w:tc>
        <w:tc>
          <w:tcPr>
            <w:tcW w:w="0" w:type="auto"/>
            <w:hideMark/>
          </w:tcPr>
          <w:p w14:paraId="2A072EE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A/B</w:t>
            </w:r>
          </w:p>
        </w:tc>
        <w:tc>
          <w:tcPr>
            <w:tcW w:w="0" w:type="auto"/>
            <w:hideMark/>
          </w:tcPr>
          <w:p w14:paraId="709E42E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1.15</w:t>
            </w:r>
          </w:p>
        </w:tc>
        <w:tc>
          <w:tcPr>
            <w:tcW w:w="0" w:type="auto"/>
            <w:hideMark/>
          </w:tcPr>
          <w:p w14:paraId="027A927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1.15</w:t>
            </w:r>
          </w:p>
        </w:tc>
        <w:tc>
          <w:tcPr>
            <w:tcW w:w="0" w:type="auto"/>
            <w:hideMark/>
          </w:tcPr>
          <w:p w14:paraId="33515ED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1.14</w:t>
            </w:r>
          </w:p>
        </w:tc>
        <w:tc>
          <w:tcPr>
            <w:tcW w:w="0" w:type="auto"/>
            <w:hideMark/>
          </w:tcPr>
          <w:p w14:paraId="53B0D4E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1.12</w:t>
            </w:r>
          </w:p>
        </w:tc>
        <w:tc>
          <w:tcPr>
            <w:tcW w:w="0" w:type="auto"/>
            <w:hideMark/>
          </w:tcPr>
          <w:p w14:paraId="41E538A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1.12</w:t>
            </w:r>
          </w:p>
        </w:tc>
      </w:tr>
      <w:tr w:rsidR="000F3C7B" w:rsidRPr="00997841" w14:paraId="550D60B1" w14:textId="77777777" w:rsidTr="000F3C7B">
        <w:tc>
          <w:tcPr>
            <w:tcW w:w="0" w:type="auto"/>
            <w:hideMark/>
          </w:tcPr>
          <w:p w14:paraId="54BEB88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Interest Coverage Ratio (Times)</w:t>
            </w:r>
          </w:p>
        </w:tc>
        <w:tc>
          <w:tcPr>
            <w:tcW w:w="0" w:type="auto"/>
            <w:hideMark/>
          </w:tcPr>
          <w:p w14:paraId="33BB059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C/D</w:t>
            </w:r>
          </w:p>
        </w:tc>
        <w:tc>
          <w:tcPr>
            <w:tcW w:w="0" w:type="auto"/>
            <w:hideMark/>
          </w:tcPr>
          <w:p w14:paraId="28D1475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4.02</w:t>
            </w:r>
          </w:p>
        </w:tc>
        <w:tc>
          <w:tcPr>
            <w:tcW w:w="0" w:type="auto"/>
            <w:hideMark/>
          </w:tcPr>
          <w:p w14:paraId="7FA9DEB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6.69</w:t>
            </w:r>
          </w:p>
        </w:tc>
        <w:tc>
          <w:tcPr>
            <w:tcW w:w="0" w:type="auto"/>
            <w:hideMark/>
          </w:tcPr>
          <w:p w14:paraId="32D3039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7.29</w:t>
            </w:r>
          </w:p>
        </w:tc>
        <w:tc>
          <w:tcPr>
            <w:tcW w:w="0" w:type="auto"/>
            <w:hideMark/>
          </w:tcPr>
          <w:p w14:paraId="643D159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7.48</w:t>
            </w:r>
          </w:p>
        </w:tc>
        <w:tc>
          <w:tcPr>
            <w:tcW w:w="0" w:type="auto"/>
            <w:hideMark/>
          </w:tcPr>
          <w:p w14:paraId="1673018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7.82</w:t>
            </w:r>
          </w:p>
        </w:tc>
      </w:tr>
    </w:tbl>
    <w:p w14:paraId="7D43544B"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Table 4: Gearing Ratio</w:t>
      </w:r>
    </w:p>
    <w:p w14:paraId="1B05B3F7" w14:textId="77777777" w:rsidR="000F3C7B" w:rsidRPr="00997841" w:rsidRDefault="00E77D38" w:rsidP="000F3C7B">
      <w:pPr>
        <w:spacing w:line="360" w:lineRule="auto"/>
        <w:jc w:val="center"/>
        <w:rPr>
          <w:rFonts w:ascii="Arial" w:hAnsi="Arial" w:cs="Arial"/>
          <w:b/>
          <w:sz w:val="24"/>
          <w:szCs w:val="24"/>
        </w:rPr>
      </w:pPr>
      <w:r>
        <w:rPr>
          <w:noProof/>
          <w:lang w:val="en-IN" w:eastAsia="en-IN"/>
        </w:rPr>
        <w:drawing>
          <wp:inline distT="0" distB="0" distL="0" distR="0" wp14:anchorId="3194ABF9" wp14:editId="2F963E22">
            <wp:extent cx="4572000" cy="2743200"/>
            <wp:effectExtent l="0" t="0" r="0" b="0"/>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14:paraId="44D5C1CE"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Graph 4: Gearing Ratio</w:t>
      </w:r>
    </w:p>
    <w:p w14:paraId="5778C2B8" w14:textId="77777777" w:rsidR="000F3C7B" w:rsidRPr="00997841" w:rsidRDefault="000F3C7B" w:rsidP="000F3C7B">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4ED2E03D" w14:textId="77777777" w:rsidR="000F3C7B" w:rsidRPr="00997841" w:rsidRDefault="000F3C7B" w:rsidP="000F3C7B">
      <w:pPr>
        <w:spacing w:line="360" w:lineRule="auto"/>
        <w:jc w:val="both"/>
        <w:rPr>
          <w:rFonts w:ascii="Arial" w:hAnsi="Arial" w:cs="Arial"/>
          <w:b/>
          <w:sz w:val="24"/>
          <w:szCs w:val="24"/>
        </w:rPr>
      </w:pPr>
      <w:r w:rsidRPr="00997841">
        <w:rPr>
          <w:rFonts w:ascii="Arial" w:hAnsi="Arial" w:cs="Arial"/>
          <w:b/>
          <w:sz w:val="24"/>
          <w:szCs w:val="24"/>
        </w:rPr>
        <w:t>Investment</w:t>
      </w:r>
    </w:p>
    <w:tbl>
      <w:tblPr>
        <w:tblStyle w:val="TableGrid"/>
        <w:tblW w:w="0" w:type="auto"/>
        <w:tblLook w:val="04A0" w:firstRow="1" w:lastRow="0" w:firstColumn="1" w:lastColumn="0" w:noHBand="0" w:noVBand="1"/>
      </w:tblPr>
      <w:tblGrid>
        <w:gridCol w:w="2862"/>
        <w:gridCol w:w="1004"/>
        <w:gridCol w:w="1030"/>
        <w:gridCol w:w="1030"/>
        <w:gridCol w:w="1030"/>
        <w:gridCol w:w="1030"/>
        <w:gridCol w:w="1030"/>
      </w:tblGrid>
      <w:tr w:rsidR="000F3C7B" w:rsidRPr="00997841" w14:paraId="27F34DDF" w14:textId="77777777" w:rsidTr="000F3C7B">
        <w:tc>
          <w:tcPr>
            <w:tcW w:w="0" w:type="auto"/>
            <w:hideMark/>
          </w:tcPr>
          <w:p w14:paraId="0AF1645F"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Particulars</w:t>
            </w:r>
          </w:p>
        </w:tc>
        <w:tc>
          <w:tcPr>
            <w:tcW w:w="0" w:type="auto"/>
            <w:hideMark/>
          </w:tcPr>
          <w:p w14:paraId="69A44CAD"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Details</w:t>
            </w:r>
          </w:p>
        </w:tc>
        <w:tc>
          <w:tcPr>
            <w:tcW w:w="0" w:type="auto"/>
            <w:hideMark/>
          </w:tcPr>
          <w:p w14:paraId="5F1E8394"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2021</w:t>
            </w:r>
          </w:p>
        </w:tc>
        <w:tc>
          <w:tcPr>
            <w:tcW w:w="0" w:type="auto"/>
            <w:hideMark/>
          </w:tcPr>
          <w:p w14:paraId="30AAB2D6"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2022</w:t>
            </w:r>
          </w:p>
        </w:tc>
        <w:tc>
          <w:tcPr>
            <w:tcW w:w="0" w:type="auto"/>
            <w:hideMark/>
          </w:tcPr>
          <w:p w14:paraId="1F9B8F11"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2023</w:t>
            </w:r>
          </w:p>
        </w:tc>
        <w:tc>
          <w:tcPr>
            <w:tcW w:w="0" w:type="auto"/>
            <w:hideMark/>
          </w:tcPr>
          <w:p w14:paraId="2DCC320E"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2024</w:t>
            </w:r>
          </w:p>
        </w:tc>
        <w:tc>
          <w:tcPr>
            <w:tcW w:w="0" w:type="auto"/>
            <w:hideMark/>
          </w:tcPr>
          <w:p w14:paraId="0DA90361"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2025</w:t>
            </w:r>
          </w:p>
        </w:tc>
      </w:tr>
      <w:tr w:rsidR="000F3C7B" w:rsidRPr="00997841" w14:paraId="3405CE49" w14:textId="77777777" w:rsidTr="000F3C7B">
        <w:tc>
          <w:tcPr>
            <w:tcW w:w="0" w:type="auto"/>
            <w:hideMark/>
          </w:tcPr>
          <w:p w14:paraId="3BFF2F3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Net Profit (US$ m)</w:t>
            </w:r>
          </w:p>
        </w:tc>
        <w:tc>
          <w:tcPr>
            <w:tcW w:w="0" w:type="auto"/>
            <w:hideMark/>
          </w:tcPr>
          <w:p w14:paraId="47C41F1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w:t>
            </w:r>
          </w:p>
        </w:tc>
        <w:tc>
          <w:tcPr>
            <w:tcW w:w="0" w:type="auto"/>
            <w:hideMark/>
          </w:tcPr>
          <w:p w14:paraId="49E9665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1,099</w:t>
            </w:r>
          </w:p>
        </w:tc>
        <w:tc>
          <w:tcPr>
            <w:tcW w:w="0" w:type="auto"/>
            <w:hideMark/>
          </w:tcPr>
          <w:p w14:paraId="1A08A95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2,358</w:t>
            </w:r>
          </w:p>
        </w:tc>
        <w:tc>
          <w:tcPr>
            <w:tcW w:w="0" w:type="auto"/>
            <w:hideMark/>
          </w:tcPr>
          <w:p w14:paraId="595476B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3,083</w:t>
            </w:r>
          </w:p>
        </w:tc>
        <w:tc>
          <w:tcPr>
            <w:tcW w:w="0" w:type="auto"/>
            <w:hideMark/>
          </w:tcPr>
          <w:p w14:paraId="185B591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3,083</w:t>
            </w:r>
          </w:p>
        </w:tc>
        <w:tc>
          <w:tcPr>
            <w:tcW w:w="0" w:type="auto"/>
            <w:hideMark/>
          </w:tcPr>
          <w:p w14:paraId="0374D46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3,410</w:t>
            </w:r>
          </w:p>
        </w:tc>
      </w:tr>
      <w:tr w:rsidR="000F3C7B" w:rsidRPr="00997841" w14:paraId="5CB01AFF" w14:textId="77777777" w:rsidTr="000F3C7B">
        <w:tc>
          <w:tcPr>
            <w:tcW w:w="0" w:type="auto"/>
            <w:hideMark/>
          </w:tcPr>
          <w:p w14:paraId="5DC78FF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Dividends Paid (US$ m)</w:t>
            </w:r>
          </w:p>
        </w:tc>
        <w:tc>
          <w:tcPr>
            <w:tcW w:w="0" w:type="auto"/>
            <w:hideMark/>
          </w:tcPr>
          <w:p w14:paraId="4BEA376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B</w:t>
            </w:r>
          </w:p>
        </w:tc>
        <w:tc>
          <w:tcPr>
            <w:tcW w:w="0" w:type="auto"/>
            <w:hideMark/>
          </w:tcPr>
          <w:p w14:paraId="735CCB0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273</w:t>
            </w:r>
          </w:p>
        </w:tc>
        <w:tc>
          <w:tcPr>
            <w:tcW w:w="0" w:type="auto"/>
            <w:hideMark/>
          </w:tcPr>
          <w:p w14:paraId="49E6A0F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613</w:t>
            </w:r>
          </w:p>
        </w:tc>
        <w:tc>
          <w:tcPr>
            <w:tcW w:w="0" w:type="auto"/>
            <w:hideMark/>
          </w:tcPr>
          <w:p w14:paraId="2FBB001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750</w:t>
            </w:r>
          </w:p>
        </w:tc>
        <w:tc>
          <w:tcPr>
            <w:tcW w:w="0" w:type="auto"/>
            <w:hideMark/>
          </w:tcPr>
          <w:p w14:paraId="33FE9D8A"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858</w:t>
            </w:r>
          </w:p>
        </w:tc>
        <w:tc>
          <w:tcPr>
            <w:tcW w:w="0" w:type="auto"/>
            <w:hideMark/>
          </w:tcPr>
          <w:p w14:paraId="49EE794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950</w:t>
            </w:r>
          </w:p>
        </w:tc>
      </w:tr>
      <w:tr w:rsidR="000F3C7B" w:rsidRPr="00997841" w14:paraId="10D19008" w14:textId="77777777" w:rsidTr="000F3C7B">
        <w:tc>
          <w:tcPr>
            <w:tcW w:w="0" w:type="auto"/>
            <w:hideMark/>
          </w:tcPr>
          <w:p w14:paraId="6B087FE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Shares Outstanding (million)</w:t>
            </w:r>
          </w:p>
        </w:tc>
        <w:tc>
          <w:tcPr>
            <w:tcW w:w="0" w:type="auto"/>
            <w:hideMark/>
          </w:tcPr>
          <w:p w14:paraId="4020986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w:t>
            </w:r>
          </w:p>
        </w:tc>
        <w:tc>
          <w:tcPr>
            <w:tcW w:w="0" w:type="auto"/>
            <w:hideMark/>
          </w:tcPr>
          <w:p w14:paraId="3D83006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335</w:t>
            </w:r>
          </w:p>
        </w:tc>
        <w:tc>
          <w:tcPr>
            <w:tcW w:w="0" w:type="auto"/>
            <w:hideMark/>
          </w:tcPr>
          <w:p w14:paraId="65B2711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320</w:t>
            </w:r>
          </w:p>
        </w:tc>
        <w:tc>
          <w:tcPr>
            <w:tcW w:w="0" w:type="auto"/>
            <w:hideMark/>
          </w:tcPr>
          <w:p w14:paraId="09A94FC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303</w:t>
            </w:r>
          </w:p>
        </w:tc>
        <w:tc>
          <w:tcPr>
            <w:tcW w:w="0" w:type="auto"/>
            <w:hideMark/>
          </w:tcPr>
          <w:p w14:paraId="3F65752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291</w:t>
            </w:r>
          </w:p>
        </w:tc>
        <w:tc>
          <w:tcPr>
            <w:tcW w:w="0" w:type="auto"/>
            <w:hideMark/>
          </w:tcPr>
          <w:p w14:paraId="324B60E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280</w:t>
            </w:r>
          </w:p>
        </w:tc>
      </w:tr>
      <w:tr w:rsidR="000F3C7B" w:rsidRPr="00997841" w14:paraId="1CB6C79B" w14:textId="77777777" w:rsidTr="000F3C7B">
        <w:tc>
          <w:tcPr>
            <w:tcW w:w="0" w:type="auto"/>
            <w:hideMark/>
          </w:tcPr>
          <w:p w14:paraId="528F3E0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Earnings per Share (US$)</w:t>
            </w:r>
          </w:p>
        </w:tc>
        <w:tc>
          <w:tcPr>
            <w:tcW w:w="0" w:type="auto"/>
            <w:hideMark/>
          </w:tcPr>
          <w:p w14:paraId="5C4B521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A/C</w:t>
            </w:r>
          </w:p>
        </w:tc>
        <w:tc>
          <w:tcPr>
            <w:tcW w:w="0" w:type="auto"/>
            <w:hideMark/>
          </w:tcPr>
          <w:p w14:paraId="5098CAA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3.28</w:t>
            </w:r>
          </w:p>
        </w:tc>
        <w:tc>
          <w:tcPr>
            <w:tcW w:w="0" w:type="auto"/>
            <w:hideMark/>
          </w:tcPr>
          <w:p w14:paraId="10A3D03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7.37</w:t>
            </w:r>
          </w:p>
        </w:tc>
        <w:tc>
          <w:tcPr>
            <w:tcW w:w="0" w:type="auto"/>
            <w:hideMark/>
          </w:tcPr>
          <w:p w14:paraId="7776F25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10.17</w:t>
            </w:r>
          </w:p>
        </w:tc>
        <w:tc>
          <w:tcPr>
            <w:tcW w:w="0" w:type="auto"/>
            <w:hideMark/>
          </w:tcPr>
          <w:p w14:paraId="293BEE3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10.59</w:t>
            </w:r>
          </w:p>
        </w:tc>
        <w:tc>
          <w:tcPr>
            <w:tcW w:w="0" w:type="auto"/>
            <w:hideMark/>
          </w:tcPr>
          <w:p w14:paraId="7B2D879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12.18</w:t>
            </w:r>
          </w:p>
        </w:tc>
      </w:tr>
      <w:tr w:rsidR="000F3C7B" w:rsidRPr="00997841" w14:paraId="72EA7803" w14:textId="77777777" w:rsidTr="000F3C7B">
        <w:tc>
          <w:tcPr>
            <w:tcW w:w="0" w:type="auto"/>
            <w:hideMark/>
          </w:tcPr>
          <w:p w14:paraId="2B14379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Dividend per Share (US$)</w:t>
            </w:r>
          </w:p>
        </w:tc>
        <w:tc>
          <w:tcPr>
            <w:tcW w:w="0" w:type="auto"/>
            <w:hideMark/>
          </w:tcPr>
          <w:p w14:paraId="41A54AC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B/C</w:t>
            </w:r>
          </w:p>
        </w:tc>
        <w:tc>
          <w:tcPr>
            <w:tcW w:w="0" w:type="auto"/>
            <w:hideMark/>
          </w:tcPr>
          <w:p w14:paraId="7D31E97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0.81</w:t>
            </w:r>
          </w:p>
        </w:tc>
        <w:tc>
          <w:tcPr>
            <w:tcW w:w="0" w:type="auto"/>
            <w:hideMark/>
          </w:tcPr>
          <w:p w14:paraId="7ED55C4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1.92</w:t>
            </w:r>
          </w:p>
        </w:tc>
        <w:tc>
          <w:tcPr>
            <w:tcW w:w="0" w:type="auto"/>
            <w:hideMark/>
          </w:tcPr>
          <w:p w14:paraId="5A4213E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2.48</w:t>
            </w:r>
          </w:p>
        </w:tc>
        <w:tc>
          <w:tcPr>
            <w:tcW w:w="0" w:type="auto"/>
            <w:hideMark/>
          </w:tcPr>
          <w:p w14:paraId="3401F4A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2.95</w:t>
            </w:r>
          </w:p>
        </w:tc>
        <w:tc>
          <w:tcPr>
            <w:tcW w:w="0" w:type="auto"/>
            <w:hideMark/>
          </w:tcPr>
          <w:p w14:paraId="4A13C14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3.39</w:t>
            </w:r>
          </w:p>
        </w:tc>
      </w:tr>
      <w:tr w:rsidR="000F3C7B" w:rsidRPr="00997841" w14:paraId="12064DEB" w14:textId="77777777" w:rsidTr="000F3C7B">
        <w:tc>
          <w:tcPr>
            <w:tcW w:w="0" w:type="auto"/>
            <w:hideMark/>
          </w:tcPr>
          <w:p w14:paraId="280B064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lastRenderedPageBreak/>
              <w:t>Dividend Payout Ratio</w:t>
            </w:r>
          </w:p>
        </w:tc>
        <w:tc>
          <w:tcPr>
            <w:tcW w:w="0" w:type="auto"/>
            <w:hideMark/>
          </w:tcPr>
          <w:p w14:paraId="49FC769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B/A</w:t>
            </w:r>
          </w:p>
        </w:tc>
        <w:tc>
          <w:tcPr>
            <w:tcW w:w="0" w:type="auto"/>
            <w:hideMark/>
          </w:tcPr>
          <w:p w14:paraId="755E131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24.84%</w:t>
            </w:r>
          </w:p>
        </w:tc>
        <w:tc>
          <w:tcPr>
            <w:tcW w:w="0" w:type="auto"/>
            <w:hideMark/>
          </w:tcPr>
          <w:p w14:paraId="350F0E7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26.00%</w:t>
            </w:r>
          </w:p>
        </w:tc>
        <w:tc>
          <w:tcPr>
            <w:tcW w:w="0" w:type="auto"/>
            <w:hideMark/>
          </w:tcPr>
          <w:p w14:paraId="1DAB564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24.33%</w:t>
            </w:r>
          </w:p>
        </w:tc>
        <w:tc>
          <w:tcPr>
            <w:tcW w:w="0" w:type="auto"/>
            <w:hideMark/>
          </w:tcPr>
          <w:p w14:paraId="5119DA9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27.83%</w:t>
            </w:r>
          </w:p>
        </w:tc>
        <w:tc>
          <w:tcPr>
            <w:tcW w:w="0" w:type="auto"/>
            <w:hideMark/>
          </w:tcPr>
          <w:p w14:paraId="67E3321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27.86%</w:t>
            </w:r>
          </w:p>
        </w:tc>
      </w:tr>
    </w:tbl>
    <w:p w14:paraId="16E7D982"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Table 5: Investment Ratio</w:t>
      </w:r>
    </w:p>
    <w:p w14:paraId="57901F5A" w14:textId="77777777" w:rsidR="000F3C7B" w:rsidRPr="00997841" w:rsidRDefault="00E77D38" w:rsidP="000F3C7B">
      <w:pPr>
        <w:spacing w:line="360" w:lineRule="auto"/>
        <w:jc w:val="center"/>
        <w:rPr>
          <w:rFonts w:ascii="Arial" w:hAnsi="Arial" w:cs="Arial"/>
          <w:b/>
          <w:sz w:val="24"/>
          <w:szCs w:val="24"/>
        </w:rPr>
      </w:pPr>
      <w:r>
        <w:rPr>
          <w:noProof/>
          <w:lang w:val="en-IN" w:eastAsia="en-IN"/>
        </w:rPr>
        <w:drawing>
          <wp:inline distT="0" distB="0" distL="0" distR="0" wp14:anchorId="3B995BDF" wp14:editId="05665FC5">
            <wp:extent cx="4572000" cy="2743200"/>
            <wp:effectExtent l="0" t="0" r="0" b="0"/>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4F0F9257"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Graph 5: Investment Ratio</w:t>
      </w:r>
    </w:p>
    <w:p w14:paraId="236DFADC" w14:textId="77777777" w:rsidR="000F3C7B" w:rsidRPr="00997841" w:rsidRDefault="000F3C7B" w:rsidP="000F3C7B">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4D3D88F0" w14:textId="77777777" w:rsidR="000F3C7B" w:rsidRPr="00997841" w:rsidRDefault="000F3C7B" w:rsidP="000F3C7B">
      <w:pPr>
        <w:spacing w:line="360" w:lineRule="auto"/>
        <w:jc w:val="both"/>
        <w:rPr>
          <w:rFonts w:ascii="Arial" w:hAnsi="Arial" w:cs="Arial"/>
          <w:b/>
          <w:sz w:val="24"/>
          <w:szCs w:val="24"/>
        </w:rPr>
      </w:pPr>
      <w:r w:rsidRPr="00997841">
        <w:rPr>
          <w:rFonts w:ascii="Arial" w:hAnsi="Arial" w:cs="Arial"/>
          <w:b/>
          <w:sz w:val="24"/>
          <w:szCs w:val="24"/>
        </w:rPr>
        <w:t>Cash flow</w:t>
      </w:r>
    </w:p>
    <w:tbl>
      <w:tblPr>
        <w:tblStyle w:val="TableGrid"/>
        <w:tblW w:w="0" w:type="auto"/>
        <w:tblLook w:val="04A0" w:firstRow="1" w:lastRow="0" w:firstColumn="1" w:lastColumn="0" w:noHBand="0" w:noVBand="1"/>
      </w:tblPr>
      <w:tblGrid>
        <w:gridCol w:w="3257"/>
        <w:gridCol w:w="1004"/>
        <w:gridCol w:w="951"/>
        <w:gridCol w:w="951"/>
        <w:gridCol w:w="951"/>
        <w:gridCol w:w="951"/>
        <w:gridCol w:w="951"/>
      </w:tblGrid>
      <w:tr w:rsidR="000F3C7B" w:rsidRPr="00997841" w14:paraId="65F237B5" w14:textId="77777777" w:rsidTr="000F3C7B">
        <w:tc>
          <w:tcPr>
            <w:tcW w:w="0" w:type="auto"/>
            <w:hideMark/>
          </w:tcPr>
          <w:p w14:paraId="4CBB2FCF"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Particulars</w:t>
            </w:r>
          </w:p>
        </w:tc>
        <w:tc>
          <w:tcPr>
            <w:tcW w:w="0" w:type="auto"/>
            <w:hideMark/>
          </w:tcPr>
          <w:p w14:paraId="4426031F"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Details</w:t>
            </w:r>
          </w:p>
        </w:tc>
        <w:tc>
          <w:tcPr>
            <w:tcW w:w="0" w:type="auto"/>
            <w:hideMark/>
          </w:tcPr>
          <w:p w14:paraId="01529DD3"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2021</w:t>
            </w:r>
          </w:p>
        </w:tc>
        <w:tc>
          <w:tcPr>
            <w:tcW w:w="0" w:type="auto"/>
            <w:hideMark/>
          </w:tcPr>
          <w:p w14:paraId="597D47CC"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2022</w:t>
            </w:r>
          </w:p>
        </w:tc>
        <w:tc>
          <w:tcPr>
            <w:tcW w:w="0" w:type="auto"/>
            <w:hideMark/>
          </w:tcPr>
          <w:p w14:paraId="36383407"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2023</w:t>
            </w:r>
          </w:p>
        </w:tc>
        <w:tc>
          <w:tcPr>
            <w:tcW w:w="0" w:type="auto"/>
            <w:hideMark/>
          </w:tcPr>
          <w:p w14:paraId="2530CA75"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2024</w:t>
            </w:r>
          </w:p>
        </w:tc>
        <w:tc>
          <w:tcPr>
            <w:tcW w:w="0" w:type="auto"/>
            <w:hideMark/>
          </w:tcPr>
          <w:p w14:paraId="5BD3C325" w14:textId="77777777" w:rsidR="000F3C7B" w:rsidRPr="00997841" w:rsidRDefault="000F3C7B" w:rsidP="000F3C7B">
            <w:pPr>
              <w:spacing w:line="360" w:lineRule="auto"/>
              <w:jc w:val="both"/>
              <w:rPr>
                <w:rFonts w:ascii="Arial" w:eastAsia="Times New Roman" w:hAnsi="Arial" w:cs="Arial"/>
                <w:b/>
                <w:bCs/>
                <w:sz w:val="24"/>
                <w:szCs w:val="24"/>
                <w:lang w:val="en-IN" w:eastAsia="en-IN"/>
              </w:rPr>
            </w:pPr>
            <w:r w:rsidRPr="00997841">
              <w:rPr>
                <w:rFonts w:ascii="Arial" w:eastAsia="Times New Roman" w:hAnsi="Arial" w:cs="Arial"/>
                <w:b/>
                <w:bCs/>
                <w:sz w:val="24"/>
                <w:szCs w:val="24"/>
                <w:lang w:val="en-IN" w:eastAsia="en-IN"/>
              </w:rPr>
              <w:t>2025</w:t>
            </w:r>
          </w:p>
        </w:tc>
      </w:tr>
      <w:tr w:rsidR="000F3C7B" w:rsidRPr="00997841" w14:paraId="4D24AC0A" w14:textId="77777777" w:rsidTr="000F3C7B">
        <w:tc>
          <w:tcPr>
            <w:tcW w:w="0" w:type="auto"/>
            <w:hideMark/>
          </w:tcPr>
          <w:p w14:paraId="18500FB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Net Cash from Operating Activities (US$ m)</w:t>
            </w:r>
          </w:p>
        </w:tc>
        <w:tc>
          <w:tcPr>
            <w:tcW w:w="0" w:type="auto"/>
            <w:hideMark/>
          </w:tcPr>
          <w:p w14:paraId="5277CE1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w:t>
            </w:r>
          </w:p>
        </w:tc>
        <w:tc>
          <w:tcPr>
            <w:tcW w:w="0" w:type="auto"/>
            <w:hideMark/>
          </w:tcPr>
          <w:p w14:paraId="59298CA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2,804</w:t>
            </w:r>
          </w:p>
        </w:tc>
        <w:tc>
          <w:tcPr>
            <w:tcW w:w="0" w:type="auto"/>
            <w:hideMark/>
          </w:tcPr>
          <w:p w14:paraId="2A052BF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3,003</w:t>
            </w:r>
          </w:p>
        </w:tc>
        <w:tc>
          <w:tcPr>
            <w:tcW w:w="0" w:type="auto"/>
            <w:hideMark/>
          </w:tcPr>
          <w:p w14:paraId="2374B25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3,267</w:t>
            </w:r>
          </w:p>
        </w:tc>
        <w:tc>
          <w:tcPr>
            <w:tcW w:w="0" w:type="auto"/>
            <w:hideMark/>
          </w:tcPr>
          <w:p w14:paraId="4EEBA1D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3,512</w:t>
            </w:r>
          </w:p>
        </w:tc>
        <w:tc>
          <w:tcPr>
            <w:tcW w:w="0" w:type="auto"/>
            <w:hideMark/>
          </w:tcPr>
          <w:p w14:paraId="40AD230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3,845</w:t>
            </w:r>
          </w:p>
        </w:tc>
      </w:tr>
      <w:tr w:rsidR="000F3C7B" w:rsidRPr="00997841" w14:paraId="3BB81C40" w14:textId="77777777" w:rsidTr="000F3C7B">
        <w:tc>
          <w:tcPr>
            <w:tcW w:w="0" w:type="auto"/>
            <w:hideMark/>
          </w:tcPr>
          <w:p w14:paraId="12E8CAD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Current Liabilities (US$ m)</w:t>
            </w:r>
          </w:p>
        </w:tc>
        <w:tc>
          <w:tcPr>
            <w:tcW w:w="0" w:type="auto"/>
            <w:hideMark/>
          </w:tcPr>
          <w:p w14:paraId="07BA26F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B</w:t>
            </w:r>
          </w:p>
        </w:tc>
        <w:tc>
          <w:tcPr>
            <w:tcW w:w="0" w:type="auto"/>
            <w:hideMark/>
          </w:tcPr>
          <w:p w14:paraId="0B76C16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5,790</w:t>
            </w:r>
          </w:p>
        </w:tc>
        <w:tc>
          <w:tcPr>
            <w:tcW w:w="0" w:type="auto"/>
            <w:hideMark/>
          </w:tcPr>
          <w:p w14:paraId="65E6722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6,180</w:t>
            </w:r>
          </w:p>
        </w:tc>
        <w:tc>
          <w:tcPr>
            <w:tcW w:w="0" w:type="auto"/>
            <w:hideMark/>
          </w:tcPr>
          <w:p w14:paraId="54B6CF1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6,640</w:t>
            </w:r>
          </w:p>
        </w:tc>
        <w:tc>
          <w:tcPr>
            <w:tcW w:w="0" w:type="auto"/>
            <w:hideMark/>
          </w:tcPr>
          <w:p w14:paraId="0433555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6,940</w:t>
            </w:r>
          </w:p>
        </w:tc>
        <w:tc>
          <w:tcPr>
            <w:tcW w:w="0" w:type="auto"/>
            <w:hideMark/>
          </w:tcPr>
          <w:p w14:paraId="405C9B2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7,250</w:t>
            </w:r>
          </w:p>
        </w:tc>
      </w:tr>
      <w:tr w:rsidR="000F3C7B" w:rsidRPr="00997841" w14:paraId="28B06948" w14:textId="77777777" w:rsidTr="000F3C7B">
        <w:tc>
          <w:tcPr>
            <w:tcW w:w="0" w:type="auto"/>
            <w:hideMark/>
          </w:tcPr>
          <w:p w14:paraId="2120A63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Capital Expenditure (US$ m)</w:t>
            </w:r>
          </w:p>
        </w:tc>
        <w:tc>
          <w:tcPr>
            <w:tcW w:w="0" w:type="auto"/>
            <w:hideMark/>
          </w:tcPr>
          <w:p w14:paraId="7C95FD3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C</w:t>
            </w:r>
          </w:p>
        </w:tc>
        <w:tc>
          <w:tcPr>
            <w:tcW w:w="0" w:type="auto"/>
            <w:hideMark/>
          </w:tcPr>
          <w:p w14:paraId="21215598"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584</w:t>
            </w:r>
          </w:p>
        </w:tc>
        <w:tc>
          <w:tcPr>
            <w:tcW w:w="0" w:type="auto"/>
            <w:hideMark/>
          </w:tcPr>
          <w:p w14:paraId="16DD7DD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675</w:t>
            </w:r>
          </w:p>
        </w:tc>
        <w:tc>
          <w:tcPr>
            <w:tcW w:w="0" w:type="auto"/>
            <w:hideMark/>
          </w:tcPr>
          <w:p w14:paraId="4A32525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762</w:t>
            </w:r>
          </w:p>
        </w:tc>
        <w:tc>
          <w:tcPr>
            <w:tcW w:w="0" w:type="auto"/>
            <w:hideMark/>
          </w:tcPr>
          <w:p w14:paraId="078E93C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815</w:t>
            </w:r>
          </w:p>
        </w:tc>
        <w:tc>
          <w:tcPr>
            <w:tcW w:w="0" w:type="auto"/>
            <w:hideMark/>
          </w:tcPr>
          <w:p w14:paraId="03C7F28B"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890</w:t>
            </w:r>
          </w:p>
        </w:tc>
      </w:tr>
      <w:tr w:rsidR="000F3C7B" w:rsidRPr="00997841" w14:paraId="21A84959" w14:textId="77777777" w:rsidTr="000F3C7B">
        <w:tc>
          <w:tcPr>
            <w:tcW w:w="0" w:type="auto"/>
            <w:hideMark/>
          </w:tcPr>
          <w:p w14:paraId="12C3BE2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Total Liabilities (US$ m)</w:t>
            </w:r>
          </w:p>
        </w:tc>
        <w:tc>
          <w:tcPr>
            <w:tcW w:w="0" w:type="auto"/>
            <w:hideMark/>
          </w:tcPr>
          <w:p w14:paraId="7A61E30F"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D</w:t>
            </w:r>
          </w:p>
        </w:tc>
        <w:tc>
          <w:tcPr>
            <w:tcW w:w="0" w:type="auto"/>
            <w:hideMark/>
          </w:tcPr>
          <w:p w14:paraId="1850A5F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28,376</w:t>
            </w:r>
          </w:p>
        </w:tc>
        <w:tc>
          <w:tcPr>
            <w:tcW w:w="0" w:type="auto"/>
            <w:hideMark/>
          </w:tcPr>
          <w:p w14:paraId="68FAF32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28,931</w:t>
            </w:r>
          </w:p>
        </w:tc>
        <w:tc>
          <w:tcPr>
            <w:tcW w:w="0" w:type="auto"/>
            <w:hideMark/>
          </w:tcPr>
          <w:p w14:paraId="7E50036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30,512</w:t>
            </w:r>
          </w:p>
        </w:tc>
        <w:tc>
          <w:tcPr>
            <w:tcW w:w="0" w:type="auto"/>
            <w:hideMark/>
          </w:tcPr>
          <w:p w14:paraId="5E9E67A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31,960</w:t>
            </w:r>
          </w:p>
        </w:tc>
        <w:tc>
          <w:tcPr>
            <w:tcW w:w="0" w:type="auto"/>
            <w:hideMark/>
          </w:tcPr>
          <w:p w14:paraId="7DFB02D3"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33,705</w:t>
            </w:r>
          </w:p>
        </w:tc>
      </w:tr>
      <w:tr w:rsidR="000F3C7B" w:rsidRPr="00997841" w14:paraId="6089755F" w14:textId="77777777" w:rsidTr="000F3C7B">
        <w:tc>
          <w:tcPr>
            <w:tcW w:w="0" w:type="auto"/>
            <w:hideMark/>
          </w:tcPr>
          <w:p w14:paraId="5012960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Operating Cash Flow Ratio</w:t>
            </w:r>
          </w:p>
        </w:tc>
        <w:tc>
          <w:tcPr>
            <w:tcW w:w="0" w:type="auto"/>
            <w:hideMark/>
          </w:tcPr>
          <w:p w14:paraId="7411607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A/B</w:t>
            </w:r>
          </w:p>
        </w:tc>
        <w:tc>
          <w:tcPr>
            <w:tcW w:w="0" w:type="auto"/>
            <w:hideMark/>
          </w:tcPr>
          <w:p w14:paraId="59AE35E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0.48</w:t>
            </w:r>
          </w:p>
        </w:tc>
        <w:tc>
          <w:tcPr>
            <w:tcW w:w="0" w:type="auto"/>
            <w:hideMark/>
          </w:tcPr>
          <w:p w14:paraId="0B56D13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0.49</w:t>
            </w:r>
          </w:p>
        </w:tc>
        <w:tc>
          <w:tcPr>
            <w:tcW w:w="0" w:type="auto"/>
            <w:hideMark/>
          </w:tcPr>
          <w:p w14:paraId="1CA3D1F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0.49</w:t>
            </w:r>
          </w:p>
        </w:tc>
        <w:tc>
          <w:tcPr>
            <w:tcW w:w="0" w:type="auto"/>
            <w:hideMark/>
          </w:tcPr>
          <w:p w14:paraId="53BBAF8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0.51</w:t>
            </w:r>
          </w:p>
        </w:tc>
        <w:tc>
          <w:tcPr>
            <w:tcW w:w="0" w:type="auto"/>
            <w:hideMark/>
          </w:tcPr>
          <w:p w14:paraId="624A897D"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0.53</w:t>
            </w:r>
          </w:p>
        </w:tc>
      </w:tr>
      <w:tr w:rsidR="000F3C7B" w:rsidRPr="00997841" w14:paraId="1C2F797E" w14:textId="77777777" w:rsidTr="000F3C7B">
        <w:tc>
          <w:tcPr>
            <w:tcW w:w="0" w:type="auto"/>
            <w:hideMark/>
          </w:tcPr>
          <w:p w14:paraId="1468AC1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Free Cash Flow (US$ m)</w:t>
            </w:r>
          </w:p>
        </w:tc>
        <w:tc>
          <w:tcPr>
            <w:tcW w:w="0" w:type="auto"/>
            <w:hideMark/>
          </w:tcPr>
          <w:p w14:paraId="0E9F658C"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 – C</w:t>
            </w:r>
          </w:p>
        </w:tc>
        <w:tc>
          <w:tcPr>
            <w:tcW w:w="0" w:type="auto"/>
            <w:hideMark/>
          </w:tcPr>
          <w:p w14:paraId="14076841"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2,220</w:t>
            </w:r>
          </w:p>
        </w:tc>
        <w:tc>
          <w:tcPr>
            <w:tcW w:w="0" w:type="auto"/>
            <w:hideMark/>
          </w:tcPr>
          <w:p w14:paraId="7B374885"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2,328</w:t>
            </w:r>
          </w:p>
        </w:tc>
        <w:tc>
          <w:tcPr>
            <w:tcW w:w="0" w:type="auto"/>
            <w:hideMark/>
          </w:tcPr>
          <w:p w14:paraId="12E61E6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2,505</w:t>
            </w:r>
          </w:p>
        </w:tc>
        <w:tc>
          <w:tcPr>
            <w:tcW w:w="0" w:type="auto"/>
            <w:hideMark/>
          </w:tcPr>
          <w:p w14:paraId="2128906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2,697</w:t>
            </w:r>
          </w:p>
        </w:tc>
        <w:tc>
          <w:tcPr>
            <w:tcW w:w="0" w:type="auto"/>
            <w:hideMark/>
          </w:tcPr>
          <w:p w14:paraId="2C38DAD2"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2,955</w:t>
            </w:r>
          </w:p>
        </w:tc>
      </w:tr>
      <w:tr w:rsidR="000F3C7B" w:rsidRPr="00997841" w14:paraId="2A5A3DE3" w14:textId="77777777" w:rsidTr="000F3C7B">
        <w:tc>
          <w:tcPr>
            <w:tcW w:w="0" w:type="auto"/>
            <w:hideMark/>
          </w:tcPr>
          <w:p w14:paraId="64548A06"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Cash Flow to Total Liabilities</w:t>
            </w:r>
          </w:p>
        </w:tc>
        <w:tc>
          <w:tcPr>
            <w:tcW w:w="0" w:type="auto"/>
            <w:hideMark/>
          </w:tcPr>
          <w:p w14:paraId="1A3FEB50"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sz w:val="24"/>
                <w:szCs w:val="24"/>
                <w:lang w:val="en-IN" w:eastAsia="en-IN"/>
              </w:rPr>
              <w:t>A/D</w:t>
            </w:r>
          </w:p>
        </w:tc>
        <w:tc>
          <w:tcPr>
            <w:tcW w:w="0" w:type="auto"/>
            <w:hideMark/>
          </w:tcPr>
          <w:p w14:paraId="21331B74"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0.10</w:t>
            </w:r>
          </w:p>
        </w:tc>
        <w:tc>
          <w:tcPr>
            <w:tcW w:w="0" w:type="auto"/>
            <w:hideMark/>
          </w:tcPr>
          <w:p w14:paraId="40B0FE3E"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0.10</w:t>
            </w:r>
          </w:p>
        </w:tc>
        <w:tc>
          <w:tcPr>
            <w:tcW w:w="0" w:type="auto"/>
            <w:hideMark/>
          </w:tcPr>
          <w:p w14:paraId="611666D7"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0.11</w:t>
            </w:r>
          </w:p>
        </w:tc>
        <w:tc>
          <w:tcPr>
            <w:tcW w:w="0" w:type="auto"/>
            <w:hideMark/>
          </w:tcPr>
          <w:p w14:paraId="3374298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0.11</w:t>
            </w:r>
          </w:p>
        </w:tc>
        <w:tc>
          <w:tcPr>
            <w:tcW w:w="0" w:type="auto"/>
            <w:hideMark/>
          </w:tcPr>
          <w:p w14:paraId="0A6A4809" w14:textId="77777777" w:rsidR="000F3C7B" w:rsidRPr="00997841" w:rsidRDefault="000F3C7B" w:rsidP="000F3C7B">
            <w:pPr>
              <w:spacing w:line="360" w:lineRule="auto"/>
              <w:jc w:val="both"/>
              <w:rPr>
                <w:rFonts w:ascii="Arial" w:eastAsia="Times New Roman" w:hAnsi="Arial" w:cs="Arial"/>
                <w:sz w:val="24"/>
                <w:szCs w:val="24"/>
                <w:lang w:val="en-IN" w:eastAsia="en-IN"/>
              </w:rPr>
            </w:pPr>
            <w:r w:rsidRPr="00997841">
              <w:rPr>
                <w:rFonts w:ascii="Arial" w:eastAsia="Times New Roman" w:hAnsi="Arial" w:cs="Arial"/>
                <w:b/>
                <w:bCs/>
                <w:sz w:val="24"/>
                <w:szCs w:val="24"/>
                <w:lang w:val="en-IN" w:eastAsia="en-IN"/>
              </w:rPr>
              <w:t>0.11</w:t>
            </w:r>
          </w:p>
        </w:tc>
      </w:tr>
    </w:tbl>
    <w:p w14:paraId="63050547"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Table 6: Cash Flow</w:t>
      </w:r>
    </w:p>
    <w:p w14:paraId="52A87080" w14:textId="77777777" w:rsidR="000F3C7B" w:rsidRPr="00997841" w:rsidRDefault="00E77D38" w:rsidP="000F3C7B">
      <w:pPr>
        <w:spacing w:line="360" w:lineRule="auto"/>
        <w:jc w:val="center"/>
        <w:rPr>
          <w:rFonts w:ascii="Arial" w:hAnsi="Arial" w:cs="Arial"/>
          <w:b/>
          <w:sz w:val="24"/>
          <w:szCs w:val="24"/>
        </w:rPr>
      </w:pPr>
      <w:r w:rsidRPr="00997841">
        <w:rPr>
          <w:noProof/>
          <w:lang w:val="en-IN" w:eastAsia="en-IN"/>
        </w:rPr>
        <w:lastRenderedPageBreak/>
        <w:drawing>
          <wp:inline distT="0" distB="0" distL="0" distR="0" wp14:anchorId="43C2FF19" wp14:editId="2AC13D6C">
            <wp:extent cx="4572000" cy="2743200"/>
            <wp:effectExtent l="0" t="0" r="0" b="0"/>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14:paraId="22F0B412" w14:textId="77777777" w:rsidR="000F3C7B" w:rsidRPr="00997841" w:rsidRDefault="000F3C7B" w:rsidP="000F3C7B">
      <w:pPr>
        <w:spacing w:line="360" w:lineRule="auto"/>
        <w:jc w:val="center"/>
        <w:rPr>
          <w:rFonts w:ascii="Arial" w:hAnsi="Arial" w:cs="Arial"/>
          <w:b/>
          <w:sz w:val="24"/>
          <w:szCs w:val="24"/>
        </w:rPr>
      </w:pPr>
      <w:r w:rsidRPr="00997841">
        <w:rPr>
          <w:rFonts w:ascii="Arial" w:hAnsi="Arial" w:cs="Arial"/>
          <w:b/>
          <w:sz w:val="24"/>
          <w:szCs w:val="24"/>
        </w:rPr>
        <w:t>Graph 6: Cash Flow</w:t>
      </w:r>
    </w:p>
    <w:p w14:paraId="0738DAA7" w14:textId="77777777" w:rsidR="000F3C7B" w:rsidRPr="00997841" w:rsidRDefault="000F3C7B" w:rsidP="000F3C7B">
      <w:pPr>
        <w:spacing w:line="360" w:lineRule="auto"/>
        <w:jc w:val="center"/>
        <w:rPr>
          <w:rFonts w:ascii="Arial" w:hAnsi="Arial" w:cs="Arial"/>
          <w:sz w:val="24"/>
          <w:szCs w:val="24"/>
        </w:rPr>
      </w:pPr>
      <w:r w:rsidRPr="00997841">
        <w:rPr>
          <w:rFonts w:ascii="Arial" w:hAnsi="Arial" w:cs="Arial"/>
          <w:b/>
          <w:sz w:val="24"/>
          <w:szCs w:val="24"/>
        </w:rPr>
        <w:t xml:space="preserve">Source: </w:t>
      </w:r>
      <w:r w:rsidRPr="00997841">
        <w:rPr>
          <w:rFonts w:ascii="Arial" w:hAnsi="Arial" w:cs="Arial"/>
          <w:sz w:val="24"/>
          <w:szCs w:val="24"/>
        </w:rPr>
        <w:t>(MS-Excel)</w:t>
      </w:r>
    </w:p>
    <w:p w14:paraId="2B28F06B" w14:textId="77777777" w:rsidR="000D50CB" w:rsidRPr="00997841" w:rsidRDefault="003A5AFF" w:rsidP="00BC7E61">
      <w:pPr>
        <w:pStyle w:val="Heading2"/>
        <w:spacing w:line="360" w:lineRule="auto"/>
        <w:jc w:val="both"/>
        <w:rPr>
          <w:rFonts w:ascii="Arial" w:hAnsi="Arial" w:cs="Arial"/>
          <w:b/>
          <w:color w:val="auto"/>
          <w:sz w:val="24"/>
          <w:szCs w:val="24"/>
        </w:rPr>
      </w:pPr>
      <w:bookmarkStart w:id="26" w:name="_Toc236846146"/>
      <w:r w:rsidRPr="00997841">
        <w:rPr>
          <w:rFonts w:ascii="Arial" w:hAnsi="Arial" w:cs="Arial"/>
          <w:b/>
          <w:color w:val="auto"/>
          <w:sz w:val="24"/>
          <w:szCs w:val="24"/>
        </w:rPr>
        <w:t>b. Investment appraisal calculations</w:t>
      </w:r>
      <w:bookmarkEnd w:id="26"/>
    </w:p>
    <w:p w14:paraId="5C9BF1BE" w14:textId="77777777" w:rsidR="000F3C7B" w:rsidRPr="00997841" w:rsidRDefault="000F3C7B" w:rsidP="000F3C7B">
      <w:pPr>
        <w:spacing w:line="360" w:lineRule="auto"/>
        <w:jc w:val="both"/>
        <w:rPr>
          <w:rFonts w:ascii="Arial" w:hAnsi="Arial" w:cs="Arial"/>
          <w:b/>
          <w:sz w:val="24"/>
          <w:szCs w:val="24"/>
          <w:lang w:val="en-IN"/>
        </w:rPr>
      </w:pPr>
      <w:r w:rsidRPr="00997841">
        <w:rPr>
          <w:rStyle w:val="Strong"/>
          <w:rFonts w:ascii="Arial" w:hAnsi="Arial" w:cs="Arial"/>
          <w:bCs w:val="0"/>
          <w:sz w:val="24"/>
          <w:szCs w:val="24"/>
        </w:rPr>
        <w:t>Project A Calculations</w:t>
      </w:r>
    </w:p>
    <w:p w14:paraId="6595DAB1" w14:textId="77777777" w:rsidR="000F3C7B" w:rsidRPr="00997841" w:rsidRDefault="000F3C7B" w:rsidP="000F3C7B">
      <w:pPr>
        <w:spacing w:line="360" w:lineRule="auto"/>
        <w:jc w:val="both"/>
        <w:rPr>
          <w:rFonts w:ascii="Arial" w:hAnsi="Arial" w:cs="Arial"/>
          <w:b/>
          <w:sz w:val="24"/>
          <w:szCs w:val="24"/>
        </w:rPr>
      </w:pPr>
      <w:r w:rsidRPr="00997841">
        <w:rPr>
          <w:rFonts w:ascii="Arial" w:hAnsi="Arial" w:cs="Arial"/>
          <w:b/>
          <w:sz w:val="24"/>
          <w:szCs w:val="24"/>
        </w:rPr>
        <w:t xml:space="preserve">Initial Investment = </w:t>
      </w:r>
      <w:r w:rsidRPr="00997841">
        <w:rPr>
          <w:rStyle w:val="Strong"/>
          <w:rFonts w:ascii="Arial" w:hAnsi="Arial" w:cs="Arial"/>
          <w:bCs w:val="0"/>
          <w:sz w:val="24"/>
          <w:szCs w:val="24"/>
        </w:rPr>
        <w:t>£50 million</w:t>
      </w:r>
    </w:p>
    <w:p w14:paraId="40F39BE1" w14:textId="77777777" w:rsidR="000F3C7B" w:rsidRPr="00997841" w:rsidRDefault="000F3C7B" w:rsidP="000F3C7B">
      <w:pPr>
        <w:spacing w:line="360" w:lineRule="auto"/>
        <w:jc w:val="both"/>
        <w:rPr>
          <w:rFonts w:ascii="Arial" w:hAnsi="Arial" w:cs="Arial"/>
          <w:b/>
          <w:sz w:val="24"/>
          <w:szCs w:val="24"/>
        </w:rPr>
      </w:pPr>
      <w:r w:rsidRPr="00997841">
        <w:rPr>
          <w:rFonts w:ascii="Arial" w:hAnsi="Arial" w:cs="Arial"/>
          <w:b/>
          <w:sz w:val="24"/>
          <w:szCs w:val="24"/>
        </w:rPr>
        <w:t xml:space="preserve">Discount Rate = </w:t>
      </w:r>
      <w:r w:rsidRPr="00997841">
        <w:rPr>
          <w:rStyle w:val="Strong"/>
          <w:rFonts w:ascii="Arial" w:hAnsi="Arial" w:cs="Arial"/>
          <w:bCs w:val="0"/>
          <w:sz w:val="24"/>
          <w:szCs w:val="24"/>
        </w:rPr>
        <w:t>8%</w:t>
      </w:r>
    </w:p>
    <w:tbl>
      <w:tblPr>
        <w:tblStyle w:val="TableGrid"/>
        <w:tblW w:w="0" w:type="auto"/>
        <w:tblLook w:val="04A0" w:firstRow="1" w:lastRow="0" w:firstColumn="1" w:lastColumn="0" w:noHBand="0" w:noVBand="1"/>
      </w:tblPr>
      <w:tblGrid>
        <w:gridCol w:w="791"/>
        <w:gridCol w:w="1674"/>
        <w:gridCol w:w="2616"/>
        <w:gridCol w:w="2069"/>
        <w:gridCol w:w="1866"/>
      </w:tblGrid>
      <w:tr w:rsidR="000F3C7B" w:rsidRPr="00997841" w14:paraId="079721D8" w14:textId="77777777" w:rsidTr="000F3C7B">
        <w:tc>
          <w:tcPr>
            <w:tcW w:w="0" w:type="auto"/>
            <w:hideMark/>
          </w:tcPr>
          <w:p w14:paraId="5CAFEFF0"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Year</w:t>
            </w:r>
          </w:p>
        </w:tc>
        <w:tc>
          <w:tcPr>
            <w:tcW w:w="0" w:type="auto"/>
            <w:hideMark/>
          </w:tcPr>
          <w:p w14:paraId="6494A4EC"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Cash Inflow (£m)</w:t>
            </w:r>
          </w:p>
        </w:tc>
        <w:tc>
          <w:tcPr>
            <w:tcW w:w="0" w:type="auto"/>
            <w:hideMark/>
          </w:tcPr>
          <w:p w14:paraId="3587F0AA"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Cumulative Cash Flow (£m)</w:t>
            </w:r>
          </w:p>
        </w:tc>
        <w:tc>
          <w:tcPr>
            <w:tcW w:w="0" w:type="auto"/>
            <w:hideMark/>
          </w:tcPr>
          <w:p w14:paraId="3B28780F"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Discount Factor (8%)</w:t>
            </w:r>
          </w:p>
        </w:tc>
        <w:tc>
          <w:tcPr>
            <w:tcW w:w="0" w:type="auto"/>
            <w:hideMark/>
          </w:tcPr>
          <w:p w14:paraId="1A92AA2C"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Present Value (£m)</w:t>
            </w:r>
          </w:p>
        </w:tc>
      </w:tr>
      <w:tr w:rsidR="000F3C7B" w:rsidRPr="00997841" w14:paraId="70DD62C7" w14:textId="77777777" w:rsidTr="000F3C7B">
        <w:tc>
          <w:tcPr>
            <w:tcW w:w="0" w:type="auto"/>
            <w:hideMark/>
          </w:tcPr>
          <w:p w14:paraId="4BFA165D"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w:t>
            </w:r>
          </w:p>
        </w:tc>
        <w:tc>
          <w:tcPr>
            <w:tcW w:w="0" w:type="auto"/>
            <w:hideMark/>
          </w:tcPr>
          <w:p w14:paraId="5438BEC8"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(50.00)</w:t>
            </w:r>
          </w:p>
        </w:tc>
        <w:tc>
          <w:tcPr>
            <w:tcW w:w="0" w:type="auto"/>
            <w:hideMark/>
          </w:tcPr>
          <w:p w14:paraId="1FFBE60F"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(50.00)</w:t>
            </w:r>
          </w:p>
        </w:tc>
        <w:tc>
          <w:tcPr>
            <w:tcW w:w="0" w:type="auto"/>
            <w:hideMark/>
          </w:tcPr>
          <w:p w14:paraId="1DB59A67"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1.000</w:t>
            </w:r>
          </w:p>
        </w:tc>
        <w:tc>
          <w:tcPr>
            <w:tcW w:w="0" w:type="auto"/>
            <w:hideMark/>
          </w:tcPr>
          <w:p w14:paraId="5AF129CC"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(50.00)</w:t>
            </w:r>
          </w:p>
        </w:tc>
      </w:tr>
      <w:tr w:rsidR="000F3C7B" w:rsidRPr="00997841" w14:paraId="297DCD3D" w14:textId="77777777" w:rsidTr="000F3C7B">
        <w:tc>
          <w:tcPr>
            <w:tcW w:w="0" w:type="auto"/>
            <w:hideMark/>
          </w:tcPr>
          <w:p w14:paraId="78236D2B"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w:t>
            </w:r>
          </w:p>
        </w:tc>
        <w:tc>
          <w:tcPr>
            <w:tcW w:w="0" w:type="auto"/>
            <w:hideMark/>
          </w:tcPr>
          <w:p w14:paraId="021FF4A6"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10.00</w:t>
            </w:r>
          </w:p>
        </w:tc>
        <w:tc>
          <w:tcPr>
            <w:tcW w:w="0" w:type="auto"/>
            <w:hideMark/>
          </w:tcPr>
          <w:p w14:paraId="1EF938AF"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(40.00)</w:t>
            </w:r>
          </w:p>
        </w:tc>
        <w:tc>
          <w:tcPr>
            <w:tcW w:w="0" w:type="auto"/>
            <w:hideMark/>
          </w:tcPr>
          <w:p w14:paraId="5A0043C7"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0.9259</w:t>
            </w:r>
          </w:p>
        </w:tc>
        <w:tc>
          <w:tcPr>
            <w:tcW w:w="0" w:type="auto"/>
            <w:hideMark/>
          </w:tcPr>
          <w:p w14:paraId="57350E98"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9.26</w:t>
            </w:r>
          </w:p>
        </w:tc>
      </w:tr>
      <w:tr w:rsidR="000F3C7B" w:rsidRPr="00997841" w14:paraId="3C9F466E" w14:textId="77777777" w:rsidTr="000F3C7B">
        <w:tc>
          <w:tcPr>
            <w:tcW w:w="0" w:type="auto"/>
            <w:hideMark/>
          </w:tcPr>
          <w:p w14:paraId="5A3765D7"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2</w:t>
            </w:r>
          </w:p>
        </w:tc>
        <w:tc>
          <w:tcPr>
            <w:tcW w:w="0" w:type="auto"/>
            <w:hideMark/>
          </w:tcPr>
          <w:p w14:paraId="1A4ACA4A"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12.00</w:t>
            </w:r>
          </w:p>
        </w:tc>
        <w:tc>
          <w:tcPr>
            <w:tcW w:w="0" w:type="auto"/>
            <w:hideMark/>
          </w:tcPr>
          <w:p w14:paraId="423F42EA"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(28.00)</w:t>
            </w:r>
          </w:p>
        </w:tc>
        <w:tc>
          <w:tcPr>
            <w:tcW w:w="0" w:type="auto"/>
            <w:hideMark/>
          </w:tcPr>
          <w:p w14:paraId="0FF6D02B"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0.8573</w:t>
            </w:r>
          </w:p>
        </w:tc>
        <w:tc>
          <w:tcPr>
            <w:tcW w:w="0" w:type="auto"/>
            <w:hideMark/>
          </w:tcPr>
          <w:p w14:paraId="0A9CCE34"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10.29</w:t>
            </w:r>
          </w:p>
        </w:tc>
      </w:tr>
      <w:tr w:rsidR="000F3C7B" w:rsidRPr="00997841" w14:paraId="5BB108B2" w14:textId="77777777" w:rsidTr="000F3C7B">
        <w:tc>
          <w:tcPr>
            <w:tcW w:w="0" w:type="auto"/>
            <w:hideMark/>
          </w:tcPr>
          <w:p w14:paraId="455DC3E0"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3</w:t>
            </w:r>
          </w:p>
        </w:tc>
        <w:tc>
          <w:tcPr>
            <w:tcW w:w="0" w:type="auto"/>
            <w:hideMark/>
          </w:tcPr>
          <w:p w14:paraId="39304104"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14.00</w:t>
            </w:r>
          </w:p>
        </w:tc>
        <w:tc>
          <w:tcPr>
            <w:tcW w:w="0" w:type="auto"/>
            <w:hideMark/>
          </w:tcPr>
          <w:p w14:paraId="0B3B0BBA"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(14.00)</w:t>
            </w:r>
          </w:p>
        </w:tc>
        <w:tc>
          <w:tcPr>
            <w:tcW w:w="0" w:type="auto"/>
            <w:hideMark/>
          </w:tcPr>
          <w:p w14:paraId="733D86CE"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0.7938</w:t>
            </w:r>
          </w:p>
        </w:tc>
        <w:tc>
          <w:tcPr>
            <w:tcW w:w="0" w:type="auto"/>
            <w:hideMark/>
          </w:tcPr>
          <w:p w14:paraId="1A697B6F"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11.11</w:t>
            </w:r>
          </w:p>
        </w:tc>
      </w:tr>
      <w:tr w:rsidR="000F3C7B" w:rsidRPr="00997841" w14:paraId="50745468" w14:textId="77777777" w:rsidTr="000F3C7B">
        <w:tc>
          <w:tcPr>
            <w:tcW w:w="0" w:type="auto"/>
            <w:hideMark/>
          </w:tcPr>
          <w:p w14:paraId="31A7776C"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4</w:t>
            </w:r>
          </w:p>
        </w:tc>
        <w:tc>
          <w:tcPr>
            <w:tcW w:w="0" w:type="auto"/>
            <w:hideMark/>
          </w:tcPr>
          <w:p w14:paraId="009D2D26"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10.00</w:t>
            </w:r>
          </w:p>
        </w:tc>
        <w:tc>
          <w:tcPr>
            <w:tcW w:w="0" w:type="auto"/>
            <w:hideMark/>
          </w:tcPr>
          <w:p w14:paraId="28D9C626"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(4.00)</w:t>
            </w:r>
          </w:p>
        </w:tc>
        <w:tc>
          <w:tcPr>
            <w:tcW w:w="0" w:type="auto"/>
            <w:hideMark/>
          </w:tcPr>
          <w:p w14:paraId="45937440"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0.7350</w:t>
            </w:r>
          </w:p>
        </w:tc>
        <w:tc>
          <w:tcPr>
            <w:tcW w:w="0" w:type="auto"/>
            <w:hideMark/>
          </w:tcPr>
          <w:p w14:paraId="44DF956D"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7.35</w:t>
            </w:r>
          </w:p>
        </w:tc>
      </w:tr>
      <w:tr w:rsidR="000F3C7B" w:rsidRPr="00997841" w14:paraId="0E05C260" w14:textId="77777777" w:rsidTr="000F3C7B">
        <w:tc>
          <w:tcPr>
            <w:tcW w:w="0" w:type="auto"/>
            <w:hideMark/>
          </w:tcPr>
          <w:p w14:paraId="19D70382"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5</w:t>
            </w:r>
          </w:p>
        </w:tc>
        <w:tc>
          <w:tcPr>
            <w:tcW w:w="0" w:type="auto"/>
            <w:hideMark/>
          </w:tcPr>
          <w:p w14:paraId="68AE5104"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8.00</w:t>
            </w:r>
          </w:p>
        </w:tc>
        <w:tc>
          <w:tcPr>
            <w:tcW w:w="0" w:type="auto"/>
            <w:hideMark/>
          </w:tcPr>
          <w:p w14:paraId="0266E88A"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4.00</w:t>
            </w:r>
          </w:p>
        </w:tc>
        <w:tc>
          <w:tcPr>
            <w:tcW w:w="0" w:type="auto"/>
            <w:hideMark/>
          </w:tcPr>
          <w:p w14:paraId="40F3A0B1"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0.6806</w:t>
            </w:r>
          </w:p>
        </w:tc>
        <w:tc>
          <w:tcPr>
            <w:tcW w:w="0" w:type="auto"/>
            <w:hideMark/>
          </w:tcPr>
          <w:p w14:paraId="5D6886BC"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5.44</w:t>
            </w:r>
          </w:p>
        </w:tc>
      </w:tr>
      <w:tr w:rsidR="000F3C7B" w:rsidRPr="00997841" w14:paraId="5CE080CA" w14:textId="77777777" w:rsidTr="000F3C7B">
        <w:tc>
          <w:tcPr>
            <w:tcW w:w="0" w:type="auto"/>
            <w:hideMark/>
          </w:tcPr>
          <w:p w14:paraId="0DFE9BD1"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Total</w:t>
            </w:r>
          </w:p>
        </w:tc>
        <w:tc>
          <w:tcPr>
            <w:tcW w:w="0" w:type="auto"/>
            <w:hideMark/>
          </w:tcPr>
          <w:p w14:paraId="7BAC6A94"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54.00</w:t>
            </w:r>
          </w:p>
        </w:tc>
        <w:tc>
          <w:tcPr>
            <w:tcW w:w="0" w:type="auto"/>
            <w:hideMark/>
          </w:tcPr>
          <w:p w14:paraId="20819ED0" w14:textId="77777777" w:rsidR="000F3C7B" w:rsidRPr="00997841" w:rsidRDefault="000F3C7B" w:rsidP="000F3C7B">
            <w:pPr>
              <w:spacing w:line="360" w:lineRule="auto"/>
              <w:jc w:val="both"/>
              <w:rPr>
                <w:rFonts w:ascii="Arial" w:hAnsi="Arial" w:cs="Arial"/>
                <w:sz w:val="24"/>
                <w:szCs w:val="24"/>
              </w:rPr>
            </w:pPr>
          </w:p>
        </w:tc>
        <w:tc>
          <w:tcPr>
            <w:tcW w:w="0" w:type="auto"/>
            <w:hideMark/>
          </w:tcPr>
          <w:p w14:paraId="27B64C88" w14:textId="77777777" w:rsidR="000F3C7B" w:rsidRPr="00997841" w:rsidRDefault="000F3C7B" w:rsidP="000F3C7B">
            <w:pPr>
              <w:spacing w:line="360" w:lineRule="auto"/>
              <w:jc w:val="both"/>
              <w:rPr>
                <w:rFonts w:ascii="Arial" w:hAnsi="Arial" w:cs="Arial"/>
                <w:sz w:val="24"/>
                <w:szCs w:val="24"/>
              </w:rPr>
            </w:pPr>
          </w:p>
        </w:tc>
        <w:tc>
          <w:tcPr>
            <w:tcW w:w="0" w:type="auto"/>
            <w:hideMark/>
          </w:tcPr>
          <w:p w14:paraId="17A2D560"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43.45</w:t>
            </w:r>
          </w:p>
        </w:tc>
      </w:tr>
    </w:tbl>
    <w:p w14:paraId="2BB9B913"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PBP =</w:t>
      </w:r>
      <w:r w:rsidRPr="00997841">
        <w:rPr>
          <w:rFonts w:ascii="Arial" w:hAnsi="Arial" w:cs="Arial"/>
        </w:rPr>
        <w:t xml:space="preserve"> 4 + (4/8) = </w:t>
      </w:r>
      <w:r w:rsidRPr="00997841">
        <w:rPr>
          <w:rStyle w:val="Strong"/>
          <w:rFonts w:ascii="Arial" w:eastAsiaTheme="majorEastAsia" w:hAnsi="Arial" w:cs="Arial"/>
        </w:rPr>
        <w:t>4.50 years</w:t>
      </w:r>
    </w:p>
    <w:p w14:paraId="0EFDD2C4"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ARR</w:t>
      </w:r>
    </w:p>
    <w:tbl>
      <w:tblPr>
        <w:tblStyle w:val="TableGrid"/>
        <w:tblW w:w="9057" w:type="dxa"/>
        <w:tblLook w:val="04A0" w:firstRow="1" w:lastRow="0" w:firstColumn="1" w:lastColumn="0" w:noHBand="0" w:noVBand="1"/>
      </w:tblPr>
      <w:tblGrid>
        <w:gridCol w:w="7029"/>
        <w:gridCol w:w="2028"/>
      </w:tblGrid>
      <w:tr w:rsidR="000F3C7B" w:rsidRPr="00997841" w14:paraId="4C517989" w14:textId="77777777" w:rsidTr="000F3C7B">
        <w:trPr>
          <w:trHeight w:val="484"/>
        </w:trPr>
        <w:tc>
          <w:tcPr>
            <w:tcW w:w="0" w:type="auto"/>
            <w:hideMark/>
          </w:tcPr>
          <w:p w14:paraId="3A8B59E8"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Particular</w:t>
            </w:r>
          </w:p>
        </w:tc>
        <w:tc>
          <w:tcPr>
            <w:tcW w:w="0" w:type="auto"/>
            <w:hideMark/>
          </w:tcPr>
          <w:p w14:paraId="0F04F5AC"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Value</w:t>
            </w:r>
          </w:p>
        </w:tc>
      </w:tr>
      <w:tr w:rsidR="000F3C7B" w:rsidRPr="00997841" w14:paraId="1DECDEB4" w14:textId="77777777" w:rsidTr="000F3C7B">
        <w:trPr>
          <w:trHeight w:val="484"/>
        </w:trPr>
        <w:tc>
          <w:tcPr>
            <w:tcW w:w="0" w:type="auto"/>
            <w:hideMark/>
          </w:tcPr>
          <w:p w14:paraId="6CB0637E"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lastRenderedPageBreak/>
              <w:t>Total Profit = 54−50</w:t>
            </w:r>
          </w:p>
        </w:tc>
        <w:tc>
          <w:tcPr>
            <w:tcW w:w="0" w:type="auto"/>
            <w:hideMark/>
          </w:tcPr>
          <w:p w14:paraId="45E5DA1A"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£4m</w:t>
            </w:r>
          </w:p>
        </w:tc>
      </w:tr>
      <w:tr w:rsidR="000F3C7B" w:rsidRPr="00997841" w14:paraId="218C47BE" w14:textId="77777777" w:rsidTr="000F3C7B">
        <w:trPr>
          <w:trHeight w:val="506"/>
        </w:trPr>
        <w:tc>
          <w:tcPr>
            <w:tcW w:w="0" w:type="auto"/>
            <w:hideMark/>
          </w:tcPr>
          <w:p w14:paraId="23286F44"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Average Annual Profit</w:t>
            </w:r>
          </w:p>
        </w:tc>
        <w:tc>
          <w:tcPr>
            <w:tcW w:w="0" w:type="auto"/>
            <w:hideMark/>
          </w:tcPr>
          <w:p w14:paraId="61414F4E"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£0.80m</w:t>
            </w:r>
          </w:p>
        </w:tc>
      </w:tr>
      <w:tr w:rsidR="000F3C7B" w:rsidRPr="00997841" w14:paraId="66D4C211" w14:textId="77777777" w:rsidTr="000F3C7B">
        <w:trPr>
          <w:trHeight w:val="484"/>
        </w:trPr>
        <w:tc>
          <w:tcPr>
            <w:tcW w:w="0" w:type="auto"/>
            <w:hideMark/>
          </w:tcPr>
          <w:p w14:paraId="1DA906C9"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Average Investment = (50+0)/2</w:t>
            </w:r>
          </w:p>
        </w:tc>
        <w:tc>
          <w:tcPr>
            <w:tcW w:w="0" w:type="auto"/>
            <w:hideMark/>
          </w:tcPr>
          <w:p w14:paraId="787620C9"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£25m</w:t>
            </w:r>
          </w:p>
        </w:tc>
      </w:tr>
      <w:tr w:rsidR="000F3C7B" w:rsidRPr="00997841" w14:paraId="414ED14F" w14:textId="77777777" w:rsidTr="000F3C7B">
        <w:trPr>
          <w:trHeight w:val="484"/>
        </w:trPr>
        <w:tc>
          <w:tcPr>
            <w:tcW w:w="0" w:type="auto"/>
            <w:hideMark/>
          </w:tcPr>
          <w:p w14:paraId="0B25FA8B"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ARR</w:t>
            </w:r>
          </w:p>
        </w:tc>
        <w:tc>
          <w:tcPr>
            <w:tcW w:w="0" w:type="auto"/>
            <w:hideMark/>
          </w:tcPr>
          <w:p w14:paraId="4B095D58"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3.20%</w:t>
            </w:r>
          </w:p>
        </w:tc>
      </w:tr>
    </w:tbl>
    <w:p w14:paraId="07C0A376"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NPV = 43.45 − 50 = –£6.55 million</w:t>
      </w:r>
    </w:p>
    <w:p w14:paraId="044B9E98"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PI = 43.45 ÷ 50 = 0.87</w:t>
      </w:r>
    </w:p>
    <w:p w14:paraId="640FCD96"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IRR ≈ 2.72%</w:t>
      </w:r>
    </w:p>
    <w:p w14:paraId="4D4EDF50"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bCs w:val="0"/>
          <w:sz w:val="24"/>
          <w:szCs w:val="24"/>
        </w:rPr>
        <w:t>Project B Calculations</w:t>
      </w:r>
    </w:p>
    <w:tbl>
      <w:tblPr>
        <w:tblStyle w:val="TableGrid"/>
        <w:tblW w:w="0" w:type="auto"/>
        <w:tblLook w:val="04A0" w:firstRow="1" w:lastRow="0" w:firstColumn="1" w:lastColumn="0" w:noHBand="0" w:noVBand="1"/>
      </w:tblPr>
      <w:tblGrid>
        <w:gridCol w:w="791"/>
        <w:gridCol w:w="1674"/>
        <w:gridCol w:w="2616"/>
        <w:gridCol w:w="2069"/>
        <w:gridCol w:w="1866"/>
      </w:tblGrid>
      <w:tr w:rsidR="000F3C7B" w:rsidRPr="00997841" w14:paraId="0BF74AC5" w14:textId="77777777" w:rsidTr="000F3C7B">
        <w:tc>
          <w:tcPr>
            <w:tcW w:w="0" w:type="auto"/>
            <w:hideMark/>
          </w:tcPr>
          <w:p w14:paraId="65D9E883"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Year</w:t>
            </w:r>
          </w:p>
        </w:tc>
        <w:tc>
          <w:tcPr>
            <w:tcW w:w="0" w:type="auto"/>
            <w:hideMark/>
          </w:tcPr>
          <w:p w14:paraId="73B9CB5E"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Cash Inflow (£m)</w:t>
            </w:r>
          </w:p>
        </w:tc>
        <w:tc>
          <w:tcPr>
            <w:tcW w:w="0" w:type="auto"/>
            <w:hideMark/>
          </w:tcPr>
          <w:p w14:paraId="39BBD6ED"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Cumulative Cash Flow (£m)</w:t>
            </w:r>
          </w:p>
        </w:tc>
        <w:tc>
          <w:tcPr>
            <w:tcW w:w="0" w:type="auto"/>
            <w:hideMark/>
          </w:tcPr>
          <w:p w14:paraId="76310CA6"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Discount Factor (8%)</w:t>
            </w:r>
          </w:p>
        </w:tc>
        <w:tc>
          <w:tcPr>
            <w:tcW w:w="0" w:type="auto"/>
            <w:hideMark/>
          </w:tcPr>
          <w:p w14:paraId="52BF323E"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Present Value (£m)</w:t>
            </w:r>
          </w:p>
        </w:tc>
      </w:tr>
      <w:tr w:rsidR="000F3C7B" w:rsidRPr="00997841" w14:paraId="051237EB" w14:textId="77777777" w:rsidTr="000F3C7B">
        <w:tc>
          <w:tcPr>
            <w:tcW w:w="0" w:type="auto"/>
            <w:hideMark/>
          </w:tcPr>
          <w:p w14:paraId="28FC1DAB"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w:t>
            </w:r>
          </w:p>
        </w:tc>
        <w:tc>
          <w:tcPr>
            <w:tcW w:w="0" w:type="auto"/>
            <w:hideMark/>
          </w:tcPr>
          <w:p w14:paraId="6B0AE224"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(50.00)</w:t>
            </w:r>
          </w:p>
        </w:tc>
        <w:tc>
          <w:tcPr>
            <w:tcW w:w="0" w:type="auto"/>
            <w:hideMark/>
          </w:tcPr>
          <w:p w14:paraId="1B9261B0"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(50.00)</w:t>
            </w:r>
          </w:p>
        </w:tc>
        <w:tc>
          <w:tcPr>
            <w:tcW w:w="0" w:type="auto"/>
            <w:hideMark/>
          </w:tcPr>
          <w:p w14:paraId="59BA51E9"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1.000</w:t>
            </w:r>
          </w:p>
        </w:tc>
        <w:tc>
          <w:tcPr>
            <w:tcW w:w="0" w:type="auto"/>
            <w:hideMark/>
          </w:tcPr>
          <w:p w14:paraId="5BE54197"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(50.00)</w:t>
            </w:r>
          </w:p>
        </w:tc>
      </w:tr>
      <w:tr w:rsidR="000F3C7B" w:rsidRPr="00997841" w14:paraId="422F9AEA" w14:textId="77777777" w:rsidTr="000F3C7B">
        <w:tc>
          <w:tcPr>
            <w:tcW w:w="0" w:type="auto"/>
            <w:hideMark/>
          </w:tcPr>
          <w:p w14:paraId="26F7E1BA"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w:t>
            </w:r>
          </w:p>
        </w:tc>
        <w:tc>
          <w:tcPr>
            <w:tcW w:w="0" w:type="auto"/>
            <w:hideMark/>
          </w:tcPr>
          <w:p w14:paraId="0E9B6E9F"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11.00</w:t>
            </w:r>
          </w:p>
        </w:tc>
        <w:tc>
          <w:tcPr>
            <w:tcW w:w="0" w:type="auto"/>
            <w:hideMark/>
          </w:tcPr>
          <w:p w14:paraId="7BEF7943"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(39.00)</w:t>
            </w:r>
          </w:p>
        </w:tc>
        <w:tc>
          <w:tcPr>
            <w:tcW w:w="0" w:type="auto"/>
            <w:hideMark/>
          </w:tcPr>
          <w:p w14:paraId="2D0C05B0"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0.9259</w:t>
            </w:r>
          </w:p>
        </w:tc>
        <w:tc>
          <w:tcPr>
            <w:tcW w:w="0" w:type="auto"/>
            <w:hideMark/>
          </w:tcPr>
          <w:p w14:paraId="4142FEA3"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10.19</w:t>
            </w:r>
          </w:p>
        </w:tc>
      </w:tr>
      <w:tr w:rsidR="000F3C7B" w:rsidRPr="00997841" w14:paraId="27580B30" w14:textId="77777777" w:rsidTr="000F3C7B">
        <w:tc>
          <w:tcPr>
            <w:tcW w:w="0" w:type="auto"/>
            <w:hideMark/>
          </w:tcPr>
          <w:p w14:paraId="3756EBD5"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2</w:t>
            </w:r>
          </w:p>
        </w:tc>
        <w:tc>
          <w:tcPr>
            <w:tcW w:w="0" w:type="auto"/>
            <w:hideMark/>
          </w:tcPr>
          <w:p w14:paraId="1CA228A4"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11.00</w:t>
            </w:r>
          </w:p>
        </w:tc>
        <w:tc>
          <w:tcPr>
            <w:tcW w:w="0" w:type="auto"/>
            <w:hideMark/>
          </w:tcPr>
          <w:p w14:paraId="13FDE263"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(28.00)</w:t>
            </w:r>
          </w:p>
        </w:tc>
        <w:tc>
          <w:tcPr>
            <w:tcW w:w="0" w:type="auto"/>
            <w:hideMark/>
          </w:tcPr>
          <w:p w14:paraId="0DE2BC65"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0.8573</w:t>
            </w:r>
          </w:p>
        </w:tc>
        <w:tc>
          <w:tcPr>
            <w:tcW w:w="0" w:type="auto"/>
            <w:hideMark/>
          </w:tcPr>
          <w:p w14:paraId="4E622CA8"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9.43</w:t>
            </w:r>
          </w:p>
        </w:tc>
      </w:tr>
      <w:tr w:rsidR="000F3C7B" w:rsidRPr="00997841" w14:paraId="159AD12C" w14:textId="77777777" w:rsidTr="000F3C7B">
        <w:tc>
          <w:tcPr>
            <w:tcW w:w="0" w:type="auto"/>
            <w:hideMark/>
          </w:tcPr>
          <w:p w14:paraId="77B20853"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3</w:t>
            </w:r>
          </w:p>
        </w:tc>
        <w:tc>
          <w:tcPr>
            <w:tcW w:w="0" w:type="auto"/>
            <w:hideMark/>
          </w:tcPr>
          <w:p w14:paraId="03F65AD5"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11.00</w:t>
            </w:r>
          </w:p>
        </w:tc>
        <w:tc>
          <w:tcPr>
            <w:tcW w:w="0" w:type="auto"/>
            <w:hideMark/>
          </w:tcPr>
          <w:p w14:paraId="1D074877"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(17.00)</w:t>
            </w:r>
          </w:p>
        </w:tc>
        <w:tc>
          <w:tcPr>
            <w:tcW w:w="0" w:type="auto"/>
            <w:hideMark/>
          </w:tcPr>
          <w:p w14:paraId="3B73C1B7"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0.7938</w:t>
            </w:r>
          </w:p>
        </w:tc>
        <w:tc>
          <w:tcPr>
            <w:tcW w:w="0" w:type="auto"/>
            <w:hideMark/>
          </w:tcPr>
          <w:p w14:paraId="62DB6411"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8.73</w:t>
            </w:r>
          </w:p>
        </w:tc>
      </w:tr>
      <w:tr w:rsidR="000F3C7B" w:rsidRPr="00997841" w14:paraId="58116CA9" w14:textId="77777777" w:rsidTr="000F3C7B">
        <w:tc>
          <w:tcPr>
            <w:tcW w:w="0" w:type="auto"/>
            <w:hideMark/>
          </w:tcPr>
          <w:p w14:paraId="6F573529"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4</w:t>
            </w:r>
          </w:p>
        </w:tc>
        <w:tc>
          <w:tcPr>
            <w:tcW w:w="0" w:type="auto"/>
            <w:hideMark/>
          </w:tcPr>
          <w:p w14:paraId="7F9F5E3A"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11.00</w:t>
            </w:r>
          </w:p>
        </w:tc>
        <w:tc>
          <w:tcPr>
            <w:tcW w:w="0" w:type="auto"/>
            <w:hideMark/>
          </w:tcPr>
          <w:p w14:paraId="1FEECC7C"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(6.00)</w:t>
            </w:r>
          </w:p>
        </w:tc>
        <w:tc>
          <w:tcPr>
            <w:tcW w:w="0" w:type="auto"/>
            <w:hideMark/>
          </w:tcPr>
          <w:p w14:paraId="27277CCD"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0.7350</w:t>
            </w:r>
          </w:p>
        </w:tc>
        <w:tc>
          <w:tcPr>
            <w:tcW w:w="0" w:type="auto"/>
            <w:hideMark/>
          </w:tcPr>
          <w:p w14:paraId="30EB9074"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8.09</w:t>
            </w:r>
          </w:p>
        </w:tc>
      </w:tr>
      <w:tr w:rsidR="000F3C7B" w:rsidRPr="00997841" w14:paraId="4CCAE332" w14:textId="77777777" w:rsidTr="000F3C7B">
        <w:tc>
          <w:tcPr>
            <w:tcW w:w="0" w:type="auto"/>
            <w:hideMark/>
          </w:tcPr>
          <w:p w14:paraId="2F8263EA"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5</w:t>
            </w:r>
          </w:p>
        </w:tc>
        <w:tc>
          <w:tcPr>
            <w:tcW w:w="0" w:type="auto"/>
            <w:hideMark/>
          </w:tcPr>
          <w:p w14:paraId="383FDDA7"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11.00</w:t>
            </w:r>
          </w:p>
        </w:tc>
        <w:tc>
          <w:tcPr>
            <w:tcW w:w="0" w:type="auto"/>
            <w:hideMark/>
          </w:tcPr>
          <w:p w14:paraId="05271AC0"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5.00</w:t>
            </w:r>
          </w:p>
        </w:tc>
        <w:tc>
          <w:tcPr>
            <w:tcW w:w="0" w:type="auto"/>
            <w:hideMark/>
          </w:tcPr>
          <w:p w14:paraId="4839EB60"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0.6806</w:t>
            </w:r>
          </w:p>
        </w:tc>
        <w:tc>
          <w:tcPr>
            <w:tcW w:w="0" w:type="auto"/>
            <w:hideMark/>
          </w:tcPr>
          <w:p w14:paraId="7107A17B"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7.49</w:t>
            </w:r>
          </w:p>
        </w:tc>
      </w:tr>
      <w:tr w:rsidR="000F3C7B" w:rsidRPr="00997841" w14:paraId="7F3AB266" w14:textId="77777777" w:rsidTr="000F3C7B">
        <w:tc>
          <w:tcPr>
            <w:tcW w:w="0" w:type="auto"/>
            <w:hideMark/>
          </w:tcPr>
          <w:p w14:paraId="1E7AC437"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Total</w:t>
            </w:r>
          </w:p>
        </w:tc>
        <w:tc>
          <w:tcPr>
            <w:tcW w:w="0" w:type="auto"/>
            <w:hideMark/>
          </w:tcPr>
          <w:p w14:paraId="66C63DA8"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55.00</w:t>
            </w:r>
          </w:p>
        </w:tc>
        <w:tc>
          <w:tcPr>
            <w:tcW w:w="0" w:type="auto"/>
            <w:hideMark/>
          </w:tcPr>
          <w:p w14:paraId="5E384167" w14:textId="77777777" w:rsidR="000F3C7B" w:rsidRPr="00997841" w:rsidRDefault="000F3C7B" w:rsidP="000F3C7B">
            <w:pPr>
              <w:spacing w:line="360" w:lineRule="auto"/>
              <w:jc w:val="both"/>
              <w:rPr>
                <w:rFonts w:ascii="Arial" w:hAnsi="Arial" w:cs="Arial"/>
                <w:sz w:val="24"/>
                <w:szCs w:val="24"/>
              </w:rPr>
            </w:pPr>
          </w:p>
        </w:tc>
        <w:tc>
          <w:tcPr>
            <w:tcW w:w="0" w:type="auto"/>
            <w:hideMark/>
          </w:tcPr>
          <w:p w14:paraId="2F31F16C" w14:textId="77777777" w:rsidR="000F3C7B" w:rsidRPr="00997841" w:rsidRDefault="000F3C7B" w:rsidP="000F3C7B">
            <w:pPr>
              <w:spacing w:line="360" w:lineRule="auto"/>
              <w:jc w:val="both"/>
              <w:rPr>
                <w:rFonts w:ascii="Arial" w:hAnsi="Arial" w:cs="Arial"/>
                <w:sz w:val="24"/>
                <w:szCs w:val="24"/>
              </w:rPr>
            </w:pPr>
          </w:p>
        </w:tc>
        <w:tc>
          <w:tcPr>
            <w:tcW w:w="0" w:type="auto"/>
            <w:hideMark/>
          </w:tcPr>
          <w:p w14:paraId="2A079061"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43.93</w:t>
            </w:r>
          </w:p>
        </w:tc>
      </w:tr>
    </w:tbl>
    <w:p w14:paraId="09DAF91B"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PBP =</w:t>
      </w:r>
      <w:r w:rsidRPr="00997841">
        <w:rPr>
          <w:rFonts w:ascii="Arial" w:hAnsi="Arial" w:cs="Arial"/>
        </w:rPr>
        <w:t xml:space="preserve"> 4 + (6/11) = </w:t>
      </w:r>
      <w:r w:rsidRPr="00997841">
        <w:rPr>
          <w:rStyle w:val="Strong"/>
          <w:rFonts w:ascii="Arial" w:eastAsiaTheme="majorEastAsia" w:hAnsi="Arial" w:cs="Arial"/>
        </w:rPr>
        <w:t>4.55 years</w:t>
      </w:r>
    </w:p>
    <w:p w14:paraId="309332A3"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ARR</w:t>
      </w:r>
    </w:p>
    <w:tbl>
      <w:tblPr>
        <w:tblStyle w:val="TableGrid"/>
        <w:tblW w:w="8605" w:type="dxa"/>
        <w:tblLook w:val="04A0" w:firstRow="1" w:lastRow="0" w:firstColumn="1" w:lastColumn="0" w:noHBand="0" w:noVBand="1"/>
      </w:tblPr>
      <w:tblGrid>
        <w:gridCol w:w="6366"/>
        <w:gridCol w:w="2239"/>
      </w:tblGrid>
      <w:tr w:rsidR="000F3C7B" w:rsidRPr="00997841" w14:paraId="05826492" w14:textId="77777777" w:rsidTr="000F3C7B">
        <w:trPr>
          <w:trHeight w:val="250"/>
        </w:trPr>
        <w:tc>
          <w:tcPr>
            <w:tcW w:w="0" w:type="auto"/>
            <w:hideMark/>
          </w:tcPr>
          <w:p w14:paraId="1A0A690A"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Particular</w:t>
            </w:r>
          </w:p>
        </w:tc>
        <w:tc>
          <w:tcPr>
            <w:tcW w:w="0" w:type="auto"/>
            <w:hideMark/>
          </w:tcPr>
          <w:p w14:paraId="1C6C6599"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Value</w:t>
            </w:r>
          </w:p>
        </w:tc>
      </w:tr>
      <w:tr w:rsidR="000F3C7B" w:rsidRPr="00997841" w14:paraId="46D2EFFA" w14:textId="77777777" w:rsidTr="000F3C7B">
        <w:trPr>
          <w:trHeight w:val="250"/>
        </w:trPr>
        <w:tc>
          <w:tcPr>
            <w:tcW w:w="0" w:type="auto"/>
            <w:hideMark/>
          </w:tcPr>
          <w:p w14:paraId="7658DB2D"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Total Profit = 55−50</w:t>
            </w:r>
          </w:p>
        </w:tc>
        <w:tc>
          <w:tcPr>
            <w:tcW w:w="0" w:type="auto"/>
            <w:hideMark/>
          </w:tcPr>
          <w:p w14:paraId="49DD38A5"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£5m</w:t>
            </w:r>
          </w:p>
        </w:tc>
      </w:tr>
      <w:tr w:rsidR="000F3C7B" w:rsidRPr="00997841" w14:paraId="6F09A1DC" w14:textId="77777777" w:rsidTr="000F3C7B">
        <w:trPr>
          <w:trHeight w:val="261"/>
        </w:trPr>
        <w:tc>
          <w:tcPr>
            <w:tcW w:w="0" w:type="auto"/>
            <w:hideMark/>
          </w:tcPr>
          <w:p w14:paraId="254D2216"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Average Annual Profit</w:t>
            </w:r>
          </w:p>
        </w:tc>
        <w:tc>
          <w:tcPr>
            <w:tcW w:w="0" w:type="auto"/>
            <w:hideMark/>
          </w:tcPr>
          <w:p w14:paraId="1B217EC9"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£1m</w:t>
            </w:r>
          </w:p>
        </w:tc>
      </w:tr>
      <w:tr w:rsidR="000F3C7B" w:rsidRPr="00997841" w14:paraId="4173774C" w14:textId="77777777" w:rsidTr="000F3C7B">
        <w:trPr>
          <w:trHeight w:val="250"/>
        </w:trPr>
        <w:tc>
          <w:tcPr>
            <w:tcW w:w="0" w:type="auto"/>
            <w:hideMark/>
          </w:tcPr>
          <w:p w14:paraId="5F9361A4"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Average Investment</w:t>
            </w:r>
          </w:p>
        </w:tc>
        <w:tc>
          <w:tcPr>
            <w:tcW w:w="0" w:type="auto"/>
            <w:hideMark/>
          </w:tcPr>
          <w:p w14:paraId="3415BFFF"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£25m</w:t>
            </w:r>
          </w:p>
        </w:tc>
      </w:tr>
      <w:tr w:rsidR="000F3C7B" w:rsidRPr="00997841" w14:paraId="5D67C753" w14:textId="77777777" w:rsidTr="000F3C7B">
        <w:trPr>
          <w:trHeight w:val="250"/>
        </w:trPr>
        <w:tc>
          <w:tcPr>
            <w:tcW w:w="0" w:type="auto"/>
            <w:hideMark/>
          </w:tcPr>
          <w:p w14:paraId="05B47A67"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ARR</w:t>
            </w:r>
          </w:p>
        </w:tc>
        <w:tc>
          <w:tcPr>
            <w:tcW w:w="0" w:type="auto"/>
            <w:hideMark/>
          </w:tcPr>
          <w:p w14:paraId="77C86215"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4.00%</w:t>
            </w:r>
          </w:p>
        </w:tc>
      </w:tr>
    </w:tbl>
    <w:p w14:paraId="71569331"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NPV = 43.93 − 50 = –£6.07 million</w:t>
      </w:r>
    </w:p>
    <w:p w14:paraId="2159A90D"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PI = 43.93 ÷ 50 = 0.88</w:t>
      </w:r>
    </w:p>
    <w:p w14:paraId="07B72115"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lastRenderedPageBreak/>
        <w:t>IRR ≈ 3.26%</w:t>
      </w:r>
    </w:p>
    <w:p w14:paraId="177CCF70"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bCs w:val="0"/>
          <w:sz w:val="24"/>
          <w:szCs w:val="24"/>
        </w:rPr>
        <w:t>Project C Calculations</w:t>
      </w:r>
    </w:p>
    <w:tbl>
      <w:tblPr>
        <w:tblStyle w:val="TableGrid"/>
        <w:tblW w:w="0" w:type="auto"/>
        <w:tblLook w:val="04A0" w:firstRow="1" w:lastRow="0" w:firstColumn="1" w:lastColumn="0" w:noHBand="0" w:noVBand="1"/>
      </w:tblPr>
      <w:tblGrid>
        <w:gridCol w:w="791"/>
        <w:gridCol w:w="1674"/>
        <w:gridCol w:w="2616"/>
        <w:gridCol w:w="2069"/>
        <w:gridCol w:w="1866"/>
      </w:tblGrid>
      <w:tr w:rsidR="000F3C7B" w:rsidRPr="00997841" w14:paraId="5ACA1322" w14:textId="77777777" w:rsidTr="000F3C7B">
        <w:tc>
          <w:tcPr>
            <w:tcW w:w="0" w:type="auto"/>
            <w:hideMark/>
          </w:tcPr>
          <w:p w14:paraId="2A2EC6FE"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Year</w:t>
            </w:r>
          </w:p>
        </w:tc>
        <w:tc>
          <w:tcPr>
            <w:tcW w:w="0" w:type="auto"/>
            <w:hideMark/>
          </w:tcPr>
          <w:p w14:paraId="5F94C6CD"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Cash Inflow (£m)</w:t>
            </w:r>
          </w:p>
        </w:tc>
        <w:tc>
          <w:tcPr>
            <w:tcW w:w="0" w:type="auto"/>
            <w:hideMark/>
          </w:tcPr>
          <w:p w14:paraId="699BA014"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Cumulative Cash Flow (£m)</w:t>
            </w:r>
          </w:p>
        </w:tc>
        <w:tc>
          <w:tcPr>
            <w:tcW w:w="0" w:type="auto"/>
            <w:hideMark/>
          </w:tcPr>
          <w:p w14:paraId="125917E7"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Discount Factor (8%)</w:t>
            </w:r>
          </w:p>
        </w:tc>
        <w:tc>
          <w:tcPr>
            <w:tcW w:w="0" w:type="auto"/>
            <w:hideMark/>
          </w:tcPr>
          <w:p w14:paraId="7EF6BD53"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Present Value (£m)</w:t>
            </w:r>
          </w:p>
        </w:tc>
      </w:tr>
      <w:tr w:rsidR="000F3C7B" w:rsidRPr="00997841" w14:paraId="06B62551" w14:textId="77777777" w:rsidTr="000F3C7B">
        <w:tc>
          <w:tcPr>
            <w:tcW w:w="0" w:type="auto"/>
            <w:hideMark/>
          </w:tcPr>
          <w:p w14:paraId="154CF478"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w:t>
            </w:r>
          </w:p>
        </w:tc>
        <w:tc>
          <w:tcPr>
            <w:tcW w:w="0" w:type="auto"/>
            <w:hideMark/>
          </w:tcPr>
          <w:p w14:paraId="444B4F66"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(50.00)</w:t>
            </w:r>
          </w:p>
        </w:tc>
        <w:tc>
          <w:tcPr>
            <w:tcW w:w="0" w:type="auto"/>
            <w:hideMark/>
          </w:tcPr>
          <w:p w14:paraId="1831D18D"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(50.00)</w:t>
            </w:r>
          </w:p>
        </w:tc>
        <w:tc>
          <w:tcPr>
            <w:tcW w:w="0" w:type="auto"/>
            <w:hideMark/>
          </w:tcPr>
          <w:p w14:paraId="4A40CB5D"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1.000</w:t>
            </w:r>
          </w:p>
        </w:tc>
        <w:tc>
          <w:tcPr>
            <w:tcW w:w="0" w:type="auto"/>
            <w:hideMark/>
          </w:tcPr>
          <w:p w14:paraId="32C69104"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(50.00)</w:t>
            </w:r>
          </w:p>
        </w:tc>
      </w:tr>
      <w:tr w:rsidR="000F3C7B" w:rsidRPr="00997841" w14:paraId="7D84D3CE" w14:textId="77777777" w:rsidTr="000F3C7B">
        <w:tc>
          <w:tcPr>
            <w:tcW w:w="0" w:type="auto"/>
            <w:hideMark/>
          </w:tcPr>
          <w:p w14:paraId="14C24642"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w:t>
            </w:r>
          </w:p>
        </w:tc>
        <w:tc>
          <w:tcPr>
            <w:tcW w:w="0" w:type="auto"/>
            <w:hideMark/>
          </w:tcPr>
          <w:p w14:paraId="7C0DFD6E"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5.00</w:t>
            </w:r>
          </w:p>
        </w:tc>
        <w:tc>
          <w:tcPr>
            <w:tcW w:w="0" w:type="auto"/>
            <w:hideMark/>
          </w:tcPr>
          <w:p w14:paraId="3FC072A7"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(45.00)</w:t>
            </w:r>
          </w:p>
        </w:tc>
        <w:tc>
          <w:tcPr>
            <w:tcW w:w="0" w:type="auto"/>
            <w:hideMark/>
          </w:tcPr>
          <w:p w14:paraId="54FB36BA"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0.9259</w:t>
            </w:r>
          </w:p>
        </w:tc>
        <w:tc>
          <w:tcPr>
            <w:tcW w:w="0" w:type="auto"/>
            <w:hideMark/>
          </w:tcPr>
          <w:p w14:paraId="446F510A"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4.63</w:t>
            </w:r>
          </w:p>
        </w:tc>
      </w:tr>
      <w:tr w:rsidR="000F3C7B" w:rsidRPr="00997841" w14:paraId="6FA3A5C1" w14:textId="77777777" w:rsidTr="000F3C7B">
        <w:tc>
          <w:tcPr>
            <w:tcW w:w="0" w:type="auto"/>
            <w:hideMark/>
          </w:tcPr>
          <w:p w14:paraId="6BBE8A9B"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2</w:t>
            </w:r>
          </w:p>
        </w:tc>
        <w:tc>
          <w:tcPr>
            <w:tcW w:w="0" w:type="auto"/>
            <w:hideMark/>
          </w:tcPr>
          <w:p w14:paraId="07D8576B"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10.00</w:t>
            </w:r>
          </w:p>
        </w:tc>
        <w:tc>
          <w:tcPr>
            <w:tcW w:w="0" w:type="auto"/>
            <w:hideMark/>
          </w:tcPr>
          <w:p w14:paraId="119E6822"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(35.00)</w:t>
            </w:r>
          </w:p>
        </w:tc>
        <w:tc>
          <w:tcPr>
            <w:tcW w:w="0" w:type="auto"/>
            <w:hideMark/>
          </w:tcPr>
          <w:p w14:paraId="050DA60A"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0.8573</w:t>
            </w:r>
          </w:p>
        </w:tc>
        <w:tc>
          <w:tcPr>
            <w:tcW w:w="0" w:type="auto"/>
            <w:hideMark/>
          </w:tcPr>
          <w:p w14:paraId="77A77E42"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8.57</w:t>
            </w:r>
          </w:p>
        </w:tc>
      </w:tr>
      <w:tr w:rsidR="000F3C7B" w:rsidRPr="00997841" w14:paraId="4B1EE532" w14:textId="77777777" w:rsidTr="000F3C7B">
        <w:tc>
          <w:tcPr>
            <w:tcW w:w="0" w:type="auto"/>
            <w:hideMark/>
          </w:tcPr>
          <w:p w14:paraId="741AE003"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3</w:t>
            </w:r>
          </w:p>
        </w:tc>
        <w:tc>
          <w:tcPr>
            <w:tcW w:w="0" w:type="auto"/>
            <w:hideMark/>
          </w:tcPr>
          <w:p w14:paraId="4610B984"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20.00</w:t>
            </w:r>
          </w:p>
        </w:tc>
        <w:tc>
          <w:tcPr>
            <w:tcW w:w="0" w:type="auto"/>
            <w:hideMark/>
          </w:tcPr>
          <w:p w14:paraId="0AA9E27C"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(15.00)</w:t>
            </w:r>
          </w:p>
        </w:tc>
        <w:tc>
          <w:tcPr>
            <w:tcW w:w="0" w:type="auto"/>
            <w:hideMark/>
          </w:tcPr>
          <w:p w14:paraId="3262673F"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0.7938</w:t>
            </w:r>
          </w:p>
        </w:tc>
        <w:tc>
          <w:tcPr>
            <w:tcW w:w="0" w:type="auto"/>
            <w:hideMark/>
          </w:tcPr>
          <w:p w14:paraId="041F9835"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15.88</w:t>
            </w:r>
          </w:p>
        </w:tc>
      </w:tr>
      <w:tr w:rsidR="000F3C7B" w:rsidRPr="00997841" w14:paraId="2116F85E" w14:textId="77777777" w:rsidTr="000F3C7B">
        <w:tc>
          <w:tcPr>
            <w:tcW w:w="0" w:type="auto"/>
            <w:hideMark/>
          </w:tcPr>
          <w:p w14:paraId="7B4B94FD"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4</w:t>
            </w:r>
          </w:p>
        </w:tc>
        <w:tc>
          <w:tcPr>
            <w:tcW w:w="0" w:type="auto"/>
            <w:hideMark/>
          </w:tcPr>
          <w:p w14:paraId="1D9FA858"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25.00</w:t>
            </w:r>
          </w:p>
        </w:tc>
        <w:tc>
          <w:tcPr>
            <w:tcW w:w="0" w:type="auto"/>
            <w:hideMark/>
          </w:tcPr>
          <w:p w14:paraId="110A0A51"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10.00</w:t>
            </w:r>
          </w:p>
        </w:tc>
        <w:tc>
          <w:tcPr>
            <w:tcW w:w="0" w:type="auto"/>
            <w:hideMark/>
          </w:tcPr>
          <w:p w14:paraId="493A90CE"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0.7350</w:t>
            </w:r>
          </w:p>
        </w:tc>
        <w:tc>
          <w:tcPr>
            <w:tcW w:w="0" w:type="auto"/>
            <w:hideMark/>
          </w:tcPr>
          <w:p w14:paraId="66D1FE55"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18.38</w:t>
            </w:r>
          </w:p>
        </w:tc>
      </w:tr>
      <w:tr w:rsidR="000F3C7B" w:rsidRPr="00997841" w14:paraId="2EE50F36" w14:textId="77777777" w:rsidTr="000F3C7B">
        <w:tc>
          <w:tcPr>
            <w:tcW w:w="0" w:type="auto"/>
            <w:hideMark/>
          </w:tcPr>
          <w:p w14:paraId="094300CC"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5</w:t>
            </w:r>
          </w:p>
        </w:tc>
        <w:tc>
          <w:tcPr>
            <w:tcW w:w="0" w:type="auto"/>
            <w:hideMark/>
          </w:tcPr>
          <w:p w14:paraId="6A8252FF"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5.00</w:t>
            </w:r>
          </w:p>
        </w:tc>
        <w:tc>
          <w:tcPr>
            <w:tcW w:w="0" w:type="auto"/>
            <w:hideMark/>
          </w:tcPr>
          <w:p w14:paraId="24B6E604"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15.00</w:t>
            </w:r>
          </w:p>
        </w:tc>
        <w:tc>
          <w:tcPr>
            <w:tcW w:w="0" w:type="auto"/>
            <w:hideMark/>
          </w:tcPr>
          <w:p w14:paraId="17A2F814"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0.6806</w:t>
            </w:r>
          </w:p>
        </w:tc>
        <w:tc>
          <w:tcPr>
            <w:tcW w:w="0" w:type="auto"/>
            <w:hideMark/>
          </w:tcPr>
          <w:p w14:paraId="6213DBD3"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3.40</w:t>
            </w:r>
          </w:p>
        </w:tc>
      </w:tr>
      <w:tr w:rsidR="000F3C7B" w:rsidRPr="00997841" w14:paraId="28167376" w14:textId="77777777" w:rsidTr="000F3C7B">
        <w:tc>
          <w:tcPr>
            <w:tcW w:w="0" w:type="auto"/>
            <w:hideMark/>
          </w:tcPr>
          <w:p w14:paraId="24855120"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Total</w:t>
            </w:r>
          </w:p>
        </w:tc>
        <w:tc>
          <w:tcPr>
            <w:tcW w:w="0" w:type="auto"/>
            <w:hideMark/>
          </w:tcPr>
          <w:p w14:paraId="29860F8B"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65.00</w:t>
            </w:r>
          </w:p>
        </w:tc>
        <w:tc>
          <w:tcPr>
            <w:tcW w:w="0" w:type="auto"/>
            <w:hideMark/>
          </w:tcPr>
          <w:p w14:paraId="170F15F3" w14:textId="77777777" w:rsidR="000F3C7B" w:rsidRPr="00997841" w:rsidRDefault="000F3C7B" w:rsidP="000F3C7B">
            <w:pPr>
              <w:spacing w:line="360" w:lineRule="auto"/>
              <w:jc w:val="both"/>
              <w:rPr>
                <w:rFonts w:ascii="Arial" w:hAnsi="Arial" w:cs="Arial"/>
                <w:sz w:val="24"/>
                <w:szCs w:val="24"/>
              </w:rPr>
            </w:pPr>
          </w:p>
        </w:tc>
        <w:tc>
          <w:tcPr>
            <w:tcW w:w="0" w:type="auto"/>
            <w:hideMark/>
          </w:tcPr>
          <w:p w14:paraId="38C9C593" w14:textId="77777777" w:rsidR="000F3C7B" w:rsidRPr="00997841" w:rsidRDefault="000F3C7B" w:rsidP="000F3C7B">
            <w:pPr>
              <w:spacing w:line="360" w:lineRule="auto"/>
              <w:jc w:val="both"/>
              <w:rPr>
                <w:rFonts w:ascii="Arial" w:hAnsi="Arial" w:cs="Arial"/>
                <w:sz w:val="24"/>
                <w:szCs w:val="24"/>
              </w:rPr>
            </w:pPr>
          </w:p>
        </w:tc>
        <w:tc>
          <w:tcPr>
            <w:tcW w:w="0" w:type="auto"/>
            <w:hideMark/>
          </w:tcPr>
          <w:p w14:paraId="2FAD5805"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50.86</w:t>
            </w:r>
          </w:p>
        </w:tc>
      </w:tr>
    </w:tbl>
    <w:p w14:paraId="00583FD3"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PBP =</w:t>
      </w:r>
      <w:r w:rsidRPr="00997841">
        <w:rPr>
          <w:rFonts w:ascii="Arial" w:hAnsi="Arial" w:cs="Arial"/>
        </w:rPr>
        <w:t xml:space="preserve"> 3 + (15/25) = </w:t>
      </w:r>
      <w:r w:rsidRPr="00997841">
        <w:rPr>
          <w:rStyle w:val="Strong"/>
          <w:rFonts w:ascii="Arial" w:eastAsiaTheme="majorEastAsia" w:hAnsi="Arial" w:cs="Arial"/>
        </w:rPr>
        <w:t>3.60 years</w:t>
      </w:r>
    </w:p>
    <w:p w14:paraId="54953FD8"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ARR</w:t>
      </w:r>
    </w:p>
    <w:tbl>
      <w:tblPr>
        <w:tblStyle w:val="TableGrid"/>
        <w:tblW w:w="8437" w:type="dxa"/>
        <w:tblLook w:val="04A0" w:firstRow="1" w:lastRow="0" w:firstColumn="1" w:lastColumn="0" w:noHBand="0" w:noVBand="1"/>
      </w:tblPr>
      <w:tblGrid>
        <w:gridCol w:w="6010"/>
        <w:gridCol w:w="2427"/>
      </w:tblGrid>
      <w:tr w:rsidR="000F3C7B" w:rsidRPr="00997841" w14:paraId="3E94C169" w14:textId="77777777" w:rsidTr="000F3C7B">
        <w:trPr>
          <w:trHeight w:val="250"/>
        </w:trPr>
        <w:tc>
          <w:tcPr>
            <w:tcW w:w="0" w:type="auto"/>
            <w:hideMark/>
          </w:tcPr>
          <w:p w14:paraId="7CBF122A"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Particular</w:t>
            </w:r>
          </w:p>
        </w:tc>
        <w:tc>
          <w:tcPr>
            <w:tcW w:w="0" w:type="auto"/>
            <w:hideMark/>
          </w:tcPr>
          <w:p w14:paraId="4928D589" w14:textId="77777777" w:rsidR="000F3C7B" w:rsidRPr="00997841" w:rsidRDefault="000F3C7B" w:rsidP="000F3C7B">
            <w:pPr>
              <w:spacing w:line="360" w:lineRule="auto"/>
              <w:jc w:val="both"/>
              <w:rPr>
                <w:rFonts w:ascii="Arial" w:hAnsi="Arial" w:cs="Arial"/>
                <w:b/>
                <w:bCs/>
                <w:sz w:val="24"/>
                <w:szCs w:val="24"/>
              </w:rPr>
            </w:pPr>
            <w:r w:rsidRPr="00997841">
              <w:rPr>
                <w:rFonts w:ascii="Arial" w:hAnsi="Arial" w:cs="Arial"/>
                <w:b/>
                <w:bCs/>
                <w:sz w:val="24"/>
                <w:szCs w:val="24"/>
              </w:rPr>
              <w:t>Value</w:t>
            </w:r>
          </w:p>
        </w:tc>
      </w:tr>
      <w:tr w:rsidR="000F3C7B" w:rsidRPr="00997841" w14:paraId="48EDE57A" w14:textId="77777777" w:rsidTr="000F3C7B">
        <w:trPr>
          <w:trHeight w:val="250"/>
        </w:trPr>
        <w:tc>
          <w:tcPr>
            <w:tcW w:w="0" w:type="auto"/>
            <w:hideMark/>
          </w:tcPr>
          <w:p w14:paraId="6BCCAE69"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Total Profit = 65−50</w:t>
            </w:r>
          </w:p>
        </w:tc>
        <w:tc>
          <w:tcPr>
            <w:tcW w:w="0" w:type="auto"/>
            <w:hideMark/>
          </w:tcPr>
          <w:p w14:paraId="264BE71C"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£15m</w:t>
            </w:r>
          </w:p>
        </w:tc>
      </w:tr>
      <w:tr w:rsidR="000F3C7B" w:rsidRPr="00997841" w14:paraId="63851736" w14:textId="77777777" w:rsidTr="000F3C7B">
        <w:trPr>
          <w:trHeight w:val="261"/>
        </w:trPr>
        <w:tc>
          <w:tcPr>
            <w:tcW w:w="0" w:type="auto"/>
            <w:hideMark/>
          </w:tcPr>
          <w:p w14:paraId="69895E06"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Average Annual Profit</w:t>
            </w:r>
          </w:p>
        </w:tc>
        <w:tc>
          <w:tcPr>
            <w:tcW w:w="0" w:type="auto"/>
            <w:hideMark/>
          </w:tcPr>
          <w:p w14:paraId="55E8EAD0"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£3m</w:t>
            </w:r>
          </w:p>
        </w:tc>
      </w:tr>
      <w:tr w:rsidR="000F3C7B" w:rsidRPr="00997841" w14:paraId="5B59F365" w14:textId="77777777" w:rsidTr="000F3C7B">
        <w:trPr>
          <w:trHeight w:val="250"/>
        </w:trPr>
        <w:tc>
          <w:tcPr>
            <w:tcW w:w="0" w:type="auto"/>
            <w:hideMark/>
          </w:tcPr>
          <w:p w14:paraId="03D850CE"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Average Investment</w:t>
            </w:r>
          </w:p>
        </w:tc>
        <w:tc>
          <w:tcPr>
            <w:tcW w:w="0" w:type="auto"/>
            <w:hideMark/>
          </w:tcPr>
          <w:p w14:paraId="1CA0AEAD"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£25m</w:t>
            </w:r>
          </w:p>
        </w:tc>
      </w:tr>
      <w:tr w:rsidR="000F3C7B" w:rsidRPr="00997841" w14:paraId="5871D1E5" w14:textId="77777777" w:rsidTr="000F3C7B">
        <w:trPr>
          <w:trHeight w:val="250"/>
        </w:trPr>
        <w:tc>
          <w:tcPr>
            <w:tcW w:w="0" w:type="auto"/>
            <w:hideMark/>
          </w:tcPr>
          <w:p w14:paraId="24DB4DA6" w14:textId="77777777" w:rsidR="000F3C7B" w:rsidRPr="00997841" w:rsidRDefault="000F3C7B" w:rsidP="000F3C7B">
            <w:pPr>
              <w:spacing w:line="360" w:lineRule="auto"/>
              <w:jc w:val="both"/>
              <w:rPr>
                <w:rFonts w:ascii="Arial" w:hAnsi="Arial" w:cs="Arial"/>
                <w:sz w:val="24"/>
                <w:szCs w:val="24"/>
              </w:rPr>
            </w:pPr>
            <w:r w:rsidRPr="00997841">
              <w:rPr>
                <w:rFonts w:ascii="Arial" w:hAnsi="Arial" w:cs="Arial"/>
                <w:sz w:val="24"/>
                <w:szCs w:val="24"/>
              </w:rPr>
              <w:t>ARR</w:t>
            </w:r>
          </w:p>
        </w:tc>
        <w:tc>
          <w:tcPr>
            <w:tcW w:w="0" w:type="auto"/>
            <w:hideMark/>
          </w:tcPr>
          <w:p w14:paraId="0C3E989F" w14:textId="77777777" w:rsidR="000F3C7B" w:rsidRPr="00997841" w:rsidRDefault="000F3C7B" w:rsidP="000F3C7B">
            <w:pPr>
              <w:spacing w:line="360" w:lineRule="auto"/>
              <w:jc w:val="both"/>
              <w:rPr>
                <w:rFonts w:ascii="Arial" w:hAnsi="Arial" w:cs="Arial"/>
                <w:sz w:val="24"/>
                <w:szCs w:val="24"/>
              </w:rPr>
            </w:pPr>
            <w:r w:rsidRPr="00997841">
              <w:rPr>
                <w:rStyle w:val="Strong"/>
                <w:rFonts w:ascii="Arial" w:hAnsi="Arial" w:cs="Arial"/>
                <w:sz w:val="24"/>
                <w:szCs w:val="24"/>
              </w:rPr>
              <w:t>12.00%</w:t>
            </w:r>
          </w:p>
        </w:tc>
      </w:tr>
    </w:tbl>
    <w:p w14:paraId="218E18A2"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NPV = 50.86 − 50 = £0.86 million</w:t>
      </w:r>
    </w:p>
    <w:p w14:paraId="6353BB8B"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PI = 50.86 ÷ 50 = 1.02</w:t>
      </w:r>
    </w:p>
    <w:p w14:paraId="1E4EA248" w14:textId="77777777" w:rsidR="000F3C7B" w:rsidRPr="00997841" w:rsidRDefault="000F3C7B" w:rsidP="000F3C7B">
      <w:pPr>
        <w:pStyle w:val="NormalWeb"/>
        <w:spacing w:line="360" w:lineRule="auto"/>
        <w:jc w:val="both"/>
        <w:rPr>
          <w:rFonts w:ascii="Arial" w:hAnsi="Arial" w:cs="Arial"/>
        </w:rPr>
      </w:pPr>
      <w:r w:rsidRPr="00997841">
        <w:rPr>
          <w:rStyle w:val="Strong"/>
          <w:rFonts w:ascii="Arial" w:eastAsiaTheme="majorEastAsia" w:hAnsi="Arial" w:cs="Arial"/>
        </w:rPr>
        <w:t>IRR ≈ 8.59%</w:t>
      </w:r>
    </w:p>
    <w:p w14:paraId="49B47561" w14:textId="77777777" w:rsidR="000D50CB" w:rsidRPr="00224F7C" w:rsidRDefault="00224F7C" w:rsidP="00224F7C">
      <w:pPr>
        <w:pStyle w:val="Heading2"/>
        <w:spacing w:line="360" w:lineRule="auto"/>
        <w:rPr>
          <w:rFonts w:ascii="Arial" w:hAnsi="Arial" w:cs="Arial"/>
          <w:b/>
          <w:sz w:val="24"/>
          <w:szCs w:val="24"/>
        </w:rPr>
      </w:pPr>
      <w:bookmarkStart w:id="27" w:name="_Toc236846147"/>
      <w:r w:rsidRPr="00224F7C">
        <w:rPr>
          <w:rFonts w:ascii="Arial" w:hAnsi="Arial" w:cs="Arial"/>
          <w:b/>
          <w:sz w:val="24"/>
          <w:szCs w:val="24"/>
        </w:rPr>
        <w:t>c. Annual Reports</w:t>
      </w:r>
      <w:bookmarkEnd w:id="27"/>
    </w:p>
    <w:p w14:paraId="2B07E02F" w14:textId="77777777" w:rsidR="00224F7C" w:rsidRDefault="00224F7C" w:rsidP="00224F7C">
      <w:pPr>
        <w:spacing w:line="360" w:lineRule="auto"/>
        <w:rPr>
          <w:rFonts w:ascii="Arial" w:hAnsi="Arial" w:cs="Arial"/>
          <w:b/>
          <w:sz w:val="24"/>
          <w:szCs w:val="24"/>
        </w:rPr>
      </w:pPr>
      <w:r w:rsidRPr="00224F7C">
        <w:rPr>
          <w:rFonts w:ascii="Arial" w:hAnsi="Arial" w:cs="Arial"/>
          <w:b/>
          <w:sz w:val="24"/>
          <w:szCs w:val="24"/>
        </w:rPr>
        <w:t>2021</w:t>
      </w:r>
    </w:p>
    <w:p w14:paraId="68302BA9" w14:textId="77777777" w:rsidR="00224F7C" w:rsidRDefault="00224F7C" w:rsidP="00224F7C">
      <w:pPr>
        <w:spacing w:line="360" w:lineRule="auto"/>
        <w:rPr>
          <w:rFonts w:ascii="Arial" w:hAnsi="Arial" w:cs="Arial"/>
          <w:b/>
          <w:sz w:val="24"/>
          <w:szCs w:val="24"/>
        </w:rPr>
      </w:pPr>
      <w:r w:rsidRPr="00224F7C">
        <w:rPr>
          <w:rFonts w:ascii="Arial" w:hAnsi="Arial" w:cs="Arial"/>
          <w:b/>
          <w:noProof/>
          <w:sz w:val="24"/>
          <w:szCs w:val="24"/>
        </w:rPr>
        <w:lastRenderedPageBreak/>
        <w:drawing>
          <wp:inline distT="0" distB="0" distL="0" distR="0" wp14:anchorId="7AA40D38" wp14:editId="7037726F">
            <wp:extent cx="5075360" cy="6302286"/>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075360" cy="6302286"/>
                    </a:xfrm>
                    <a:prstGeom prst="rect">
                      <a:avLst/>
                    </a:prstGeom>
                  </pic:spPr>
                </pic:pic>
              </a:graphicData>
            </a:graphic>
          </wp:inline>
        </w:drawing>
      </w:r>
    </w:p>
    <w:p w14:paraId="1B07E244" w14:textId="77777777" w:rsidR="00224F7C" w:rsidRDefault="00224F7C" w:rsidP="00224F7C">
      <w:pPr>
        <w:spacing w:line="360" w:lineRule="auto"/>
        <w:rPr>
          <w:rFonts w:ascii="Arial" w:hAnsi="Arial" w:cs="Arial"/>
          <w:b/>
          <w:sz w:val="24"/>
          <w:szCs w:val="24"/>
        </w:rPr>
      </w:pPr>
      <w:r w:rsidRPr="00224F7C">
        <w:rPr>
          <w:rFonts w:ascii="Arial" w:hAnsi="Arial" w:cs="Arial"/>
          <w:b/>
          <w:noProof/>
          <w:sz w:val="24"/>
          <w:szCs w:val="24"/>
        </w:rPr>
        <w:lastRenderedPageBreak/>
        <w:drawing>
          <wp:inline distT="0" distB="0" distL="0" distR="0" wp14:anchorId="64803EE3" wp14:editId="48EE717B">
            <wp:extent cx="5037257" cy="596697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037257" cy="5966977"/>
                    </a:xfrm>
                    <a:prstGeom prst="rect">
                      <a:avLst/>
                    </a:prstGeom>
                  </pic:spPr>
                </pic:pic>
              </a:graphicData>
            </a:graphic>
          </wp:inline>
        </w:drawing>
      </w:r>
    </w:p>
    <w:p w14:paraId="18800573" w14:textId="77777777" w:rsidR="00224F7C" w:rsidRPr="00224F7C" w:rsidRDefault="00224F7C" w:rsidP="00224F7C">
      <w:pPr>
        <w:spacing w:line="360" w:lineRule="auto"/>
        <w:rPr>
          <w:rFonts w:ascii="Arial" w:hAnsi="Arial" w:cs="Arial"/>
          <w:b/>
          <w:sz w:val="24"/>
          <w:szCs w:val="24"/>
        </w:rPr>
      </w:pPr>
      <w:r w:rsidRPr="00224F7C">
        <w:rPr>
          <w:rFonts w:ascii="Arial" w:hAnsi="Arial" w:cs="Arial"/>
          <w:b/>
          <w:noProof/>
          <w:sz w:val="24"/>
          <w:szCs w:val="24"/>
        </w:rPr>
        <w:lastRenderedPageBreak/>
        <w:drawing>
          <wp:inline distT="0" distB="0" distL="0" distR="0" wp14:anchorId="78E91ECF" wp14:editId="4F064033">
            <wp:extent cx="5731510" cy="3256915"/>
            <wp:effectExtent l="0" t="0" r="2540"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3256915"/>
                    </a:xfrm>
                    <a:prstGeom prst="rect">
                      <a:avLst/>
                    </a:prstGeom>
                  </pic:spPr>
                </pic:pic>
              </a:graphicData>
            </a:graphic>
          </wp:inline>
        </w:drawing>
      </w:r>
    </w:p>
    <w:p w14:paraId="025DCFD8" w14:textId="77777777" w:rsidR="00224F7C" w:rsidRDefault="00224F7C" w:rsidP="00224F7C">
      <w:pPr>
        <w:spacing w:line="360" w:lineRule="auto"/>
        <w:rPr>
          <w:rFonts w:ascii="Arial" w:hAnsi="Arial" w:cs="Arial"/>
          <w:b/>
          <w:sz w:val="24"/>
          <w:szCs w:val="24"/>
        </w:rPr>
      </w:pPr>
      <w:r w:rsidRPr="00224F7C">
        <w:rPr>
          <w:rFonts w:ascii="Arial" w:hAnsi="Arial" w:cs="Arial"/>
          <w:b/>
          <w:sz w:val="24"/>
          <w:szCs w:val="24"/>
        </w:rPr>
        <w:t>2022</w:t>
      </w:r>
    </w:p>
    <w:p w14:paraId="63FB3462" w14:textId="77777777" w:rsidR="00224F7C" w:rsidRDefault="00E77D38" w:rsidP="00E77D38">
      <w:pPr>
        <w:spacing w:line="360" w:lineRule="auto"/>
        <w:jc w:val="center"/>
        <w:rPr>
          <w:rFonts w:ascii="Arial" w:hAnsi="Arial" w:cs="Arial"/>
          <w:b/>
          <w:sz w:val="24"/>
          <w:szCs w:val="24"/>
        </w:rPr>
      </w:pPr>
      <w:r w:rsidRPr="00E77D38">
        <w:rPr>
          <w:rFonts w:ascii="Arial" w:hAnsi="Arial" w:cs="Arial"/>
          <w:b/>
          <w:noProof/>
          <w:sz w:val="24"/>
          <w:szCs w:val="24"/>
        </w:rPr>
        <w:drawing>
          <wp:inline distT="0" distB="0" distL="0" distR="0" wp14:anchorId="15D8BB40" wp14:editId="7058B1F0">
            <wp:extent cx="4580017" cy="4701947"/>
            <wp:effectExtent l="0" t="0" r="0"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580017" cy="4701947"/>
                    </a:xfrm>
                    <a:prstGeom prst="rect">
                      <a:avLst/>
                    </a:prstGeom>
                  </pic:spPr>
                </pic:pic>
              </a:graphicData>
            </a:graphic>
          </wp:inline>
        </w:drawing>
      </w:r>
    </w:p>
    <w:p w14:paraId="3715862C" w14:textId="77777777" w:rsidR="00E77D38" w:rsidRDefault="00E77D38" w:rsidP="00E77D38">
      <w:pPr>
        <w:spacing w:line="360" w:lineRule="auto"/>
        <w:jc w:val="center"/>
        <w:rPr>
          <w:rFonts w:ascii="Arial" w:hAnsi="Arial" w:cs="Arial"/>
          <w:b/>
          <w:sz w:val="24"/>
          <w:szCs w:val="24"/>
        </w:rPr>
      </w:pPr>
      <w:r w:rsidRPr="00E77D38">
        <w:rPr>
          <w:rFonts w:ascii="Arial" w:hAnsi="Arial" w:cs="Arial"/>
          <w:b/>
          <w:noProof/>
          <w:sz w:val="24"/>
          <w:szCs w:val="24"/>
        </w:rPr>
        <w:lastRenderedPageBreak/>
        <w:drawing>
          <wp:inline distT="0" distB="0" distL="0" distR="0" wp14:anchorId="337DF4AA" wp14:editId="1D4B32B3">
            <wp:extent cx="4572396" cy="1737511"/>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572396" cy="1737511"/>
                    </a:xfrm>
                    <a:prstGeom prst="rect">
                      <a:avLst/>
                    </a:prstGeom>
                  </pic:spPr>
                </pic:pic>
              </a:graphicData>
            </a:graphic>
          </wp:inline>
        </w:drawing>
      </w:r>
    </w:p>
    <w:p w14:paraId="4FC9060C" w14:textId="77777777" w:rsidR="00E77D38" w:rsidRDefault="00E77D38" w:rsidP="00E77D38">
      <w:pPr>
        <w:spacing w:line="360" w:lineRule="auto"/>
        <w:jc w:val="center"/>
        <w:rPr>
          <w:rFonts w:ascii="Arial" w:hAnsi="Arial" w:cs="Arial"/>
          <w:b/>
          <w:sz w:val="24"/>
          <w:szCs w:val="24"/>
        </w:rPr>
      </w:pPr>
      <w:r w:rsidRPr="00E77D38">
        <w:rPr>
          <w:rFonts w:ascii="Arial" w:hAnsi="Arial" w:cs="Arial"/>
          <w:b/>
          <w:noProof/>
          <w:sz w:val="24"/>
          <w:szCs w:val="24"/>
        </w:rPr>
        <w:drawing>
          <wp:inline distT="0" distB="0" distL="0" distR="0" wp14:anchorId="3CB820C4" wp14:editId="2E4C2849">
            <wp:extent cx="4427604" cy="6035563"/>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427604" cy="6035563"/>
                    </a:xfrm>
                    <a:prstGeom prst="rect">
                      <a:avLst/>
                    </a:prstGeom>
                  </pic:spPr>
                </pic:pic>
              </a:graphicData>
            </a:graphic>
          </wp:inline>
        </w:drawing>
      </w:r>
    </w:p>
    <w:p w14:paraId="6DF9DFCF" w14:textId="77777777" w:rsidR="00E77D38" w:rsidRDefault="00E77D38" w:rsidP="00E77D38">
      <w:pPr>
        <w:spacing w:line="360" w:lineRule="auto"/>
        <w:jc w:val="center"/>
        <w:rPr>
          <w:rFonts w:ascii="Arial" w:hAnsi="Arial" w:cs="Arial"/>
          <w:b/>
          <w:sz w:val="24"/>
          <w:szCs w:val="24"/>
        </w:rPr>
      </w:pPr>
      <w:r w:rsidRPr="00E77D38">
        <w:rPr>
          <w:rFonts w:ascii="Arial" w:hAnsi="Arial" w:cs="Arial"/>
          <w:b/>
          <w:noProof/>
          <w:sz w:val="24"/>
          <w:szCs w:val="24"/>
        </w:rPr>
        <w:lastRenderedPageBreak/>
        <w:drawing>
          <wp:inline distT="0" distB="0" distL="0" distR="0" wp14:anchorId="38CF352E" wp14:editId="7DF205CC">
            <wp:extent cx="4572396" cy="560118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572396" cy="5601185"/>
                    </a:xfrm>
                    <a:prstGeom prst="rect">
                      <a:avLst/>
                    </a:prstGeom>
                  </pic:spPr>
                </pic:pic>
              </a:graphicData>
            </a:graphic>
          </wp:inline>
        </w:drawing>
      </w:r>
    </w:p>
    <w:p w14:paraId="260C0628" w14:textId="77777777" w:rsidR="00E77D38" w:rsidRPr="00224F7C" w:rsidRDefault="00E77D38" w:rsidP="00E77D38">
      <w:pPr>
        <w:spacing w:line="360" w:lineRule="auto"/>
        <w:jc w:val="center"/>
        <w:rPr>
          <w:rFonts w:ascii="Arial" w:hAnsi="Arial" w:cs="Arial"/>
          <w:b/>
          <w:sz w:val="24"/>
          <w:szCs w:val="24"/>
        </w:rPr>
      </w:pPr>
    </w:p>
    <w:p w14:paraId="3654ED0C" w14:textId="77777777" w:rsidR="00224F7C" w:rsidRDefault="00224F7C" w:rsidP="00224F7C">
      <w:pPr>
        <w:spacing w:line="360" w:lineRule="auto"/>
        <w:rPr>
          <w:rFonts w:ascii="Arial" w:hAnsi="Arial" w:cs="Arial"/>
          <w:b/>
          <w:sz w:val="24"/>
          <w:szCs w:val="24"/>
        </w:rPr>
      </w:pPr>
      <w:r w:rsidRPr="00224F7C">
        <w:rPr>
          <w:rFonts w:ascii="Arial" w:hAnsi="Arial" w:cs="Arial"/>
          <w:b/>
          <w:sz w:val="24"/>
          <w:szCs w:val="24"/>
        </w:rPr>
        <w:t>2023</w:t>
      </w:r>
    </w:p>
    <w:p w14:paraId="7316A7E5" w14:textId="77777777" w:rsidR="00224F7C" w:rsidRDefault="00224F7C" w:rsidP="00224F7C">
      <w:pPr>
        <w:spacing w:line="360" w:lineRule="auto"/>
        <w:rPr>
          <w:rFonts w:ascii="Arial" w:hAnsi="Arial" w:cs="Arial"/>
          <w:b/>
          <w:sz w:val="24"/>
          <w:szCs w:val="24"/>
        </w:rPr>
      </w:pPr>
      <w:r w:rsidRPr="00224F7C">
        <w:rPr>
          <w:rFonts w:ascii="Arial" w:hAnsi="Arial" w:cs="Arial"/>
          <w:b/>
          <w:noProof/>
          <w:sz w:val="24"/>
          <w:szCs w:val="24"/>
        </w:rPr>
        <w:lastRenderedPageBreak/>
        <w:drawing>
          <wp:inline distT="0" distB="0" distL="0" distR="0" wp14:anchorId="40FBB878" wp14:editId="5C66F658">
            <wp:extent cx="5731510" cy="5476875"/>
            <wp:effectExtent l="0" t="0" r="254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5476875"/>
                    </a:xfrm>
                    <a:prstGeom prst="rect">
                      <a:avLst/>
                    </a:prstGeom>
                  </pic:spPr>
                </pic:pic>
              </a:graphicData>
            </a:graphic>
          </wp:inline>
        </w:drawing>
      </w:r>
    </w:p>
    <w:p w14:paraId="4733E16B" w14:textId="77777777" w:rsidR="00224F7C" w:rsidRDefault="00224F7C" w:rsidP="00224F7C">
      <w:pPr>
        <w:spacing w:line="360" w:lineRule="auto"/>
        <w:rPr>
          <w:rFonts w:ascii="Arial" w:hAnsi="Arial" w:cs="Arial"/>
          <w:b/>
          <w:sz w:val="24"/>
          <w:szCs w:val="24"/>
        </w:rPr>
      </w:pPr>
      <w:r w:rsidRPr="00224F7C">
        <w:rPr>
          <w:rFonts w:ascii="Arial" w:hAnsi="Arial" w:cs="Arial"/>
          <w:b/>
          <w:noProof/>
          <w:sz w:val="24"/>
          <w:szCs w:val="24"/>
        </w:rPr>
        <w:drawing>
          <wp:inline distT="0" distB="0" distL="0" distR="0" wp14:anchorId="12C001C3" wp14:editId="528F20BF">
            <wp:extent cx="5731510" cy="208026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2080260"/>
                    </a:xfrm>
                    <a:prstGeom prst="rect">
                      <a:avLst/>
                    </a:prstGeom>
                  </pic:spPr>
                </pic:pic>
              </a:graphicData>
            </a:graphic>
          </wp:inline>
        </w:drawing>
      </w:r>
    </w:p>
    <w:p w14:paraId="2C5BAEFF" w14:textId="77777777" w:rsidR="00E77D38" w:rsidRDefault="00E77D38" w:rsidP="00E77D38">
      <w:pPr>
        <w:spacing w:line="360" w:lineRule="auto"/>
        <w:jc w:val="center"/>
        <w:rPr>
          <w:rFonts w:ascii="Arial" w:hAnsi="Arial" w:cs="Arial"/>
          <w:b/>
          <w:sz w:val="24"/>
          <w:szCs w:val="24"/>
        </w:rPr>
      </w:pPr>
      <w:r w:rsidRPr="00E77D38">
        <w:rPr>
          <w:rFonts w:ascii="Arial" w:hAnsi="Arial" w:cs="Arial"/>
          <w:b/>
          <w:noProof/>
          <w:sz w:val="24"/>
          <w:szCs w:val="24"/>
        </w:rPr>
        <w:lastRenderedPageBreak/>
        <w:drawing>
          <wp:inline distT="0" distB="0" distL="0" distR="0" wp14:anchorId="162C15E0" wp14:editId="51DD9793">
            <wp:extent cx="4580017" cy="6340389"/>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4580017" cy="6340389"/>
                    </a:xfrm>
                    <a:prstGeom prst="rect">
                      <a:avLst/>
                    </a:prstGeom>
                  </pic:spPr>
                </pic:pic>
              </a:graphicData>
            </a:graphic>
          </wp:inline>
        </w:drawing>
      </w:r>
    </w:p>
    <w:p w14:paraId="54554068" w14:textId="77777777" w:rsidR="00E77D38" w:rsidRDefault="00E77D38" w:rsidP="00E77D38">
      <w:pPr>
        <w:spacing w:line="360" w:lineRule="auto"/>
        <w:jc w:val="center"/>
        <w:rPr>
          <w:rFonts w:ascii="Arial" w:hAnsi="Arial" w:cs="Arial"/>
          <w:b/>
          <w:sz w:val="24"/>
          <w:szCs w:val="24"/>
        </w:rPr>
      </w:pPr>
      <w:r w:rsidRPr="00E77D38">
        <w:rPr>
          <w:rFonts w:ascii="Arial" w:hAnsi="Arial" w:cs="Arial"/>
          <w:b/>
          <w:noProof/>
          <w:sz w:val="24"/>
          <w:szCs w:val="24"/>
        </w:rPr>
        <w:lastRenderedPageBreak/>
        <w:drawing>
          <wp:inline distT="0" distB="0" distL="0" distR="0" wp14:anchorId="6C5D863A" wp14:editId="46024D85">
            <wp:extent cx="4915326" cy="5913632"/>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4915326" cy="5913632"/>
                    </a:xfrm>
                    <a:prstGeom prst="rect">
                      <a:avLst/>
                    </a:prstGeom>
                  </pic:spPr>
                </pic:pic>
              </a:graphicData>
            </a:graphic>
          </wp:inline>
        </w:drawing>
      </w:r>
    </w:p>
    <w:p w14:paraId="6594B277" w14:textId="77777777" w:rsidR="00224F7C" w:rsidRPr="00224F7C" w:rsidRDefault="00224F7C" w:rsidP="00224F7C">
      <w:pPr>
        <w:spacing w:line="360" w:lineRule="auto"/>
        <w:rPr>
          <w:rFonts w:ascii="Arial" w:hAnsi="Arial" w:cs="Arial"/>
          <w:b/>
          <w:sz w:val="24"/>
          <w:szCs w:val="24"/>
        </w:rPr>
      </w:pPr>
    </w:p>
    <w:p w14:paraId="148F7386" w14:textId="77777777" w:rsidR="00224F7C" w:rsidRDefault="00224F7C" w:rsidP="00224F7C">
      <w:pPr>
        <w:spacing w:line="360" w:lineRule="auto"/>
        <w:rPr>
          <w:rFonts w:ascii="Arial" w:hAnsi="Arial" w:cs="Arial"/>
          <w:b/>
          <w:sz w:val="24"/>
          <w:szCs w:val="24"/>
        </w:rPr>
      </w:pPr>
      <w:r w:rsidRPr="00224F7C">
        <w:rPr>
          <w:rFonts w:ascii="Arial" w:hAnsi="Arial" w:cs="Arial"/>
          <w:b/>
          <w:sz w:val="24"/>
          <w:szCs w:val="24"/>
        </w:rPr>
        <w:t>2024</w:t>
      </w:r>
    </w:p>
    <w:p w14:paraId="5E4F8B8F" w14:textId="77777777" w:rsidR="00E77D38" w:rsidRDefault="00E77D38" w:rsidP="00224F7C">
      <w:pPr>
        <w:spacing w:line="360" w:lineRule="auto"/>
        <w:rPr>
          <w:rFonts w:ascii="Arial" w:hAnsi="Arial" w:cs="Arial"/>
          <w:b/>
          <w:sz w:val="24"/>
          <w:szCs w:val="24"/>
        </w:rPr>
      </w:pPr>
    </w:p>
    <w:p w14:paraId="2CA9C96A" w14:textId="77777777" w:rsidR="00224F7C" w:rsidRDefault="00E77D38" w:rsidP="00224F7C">
      <w:pPr>
        <w:spacing w:line="360" w:lineRule="auto"/>
        <w:rPr>
          <w:rFonts w:ascii="Arial" w:hAnsi="Arial" w:cs="Arial"/>
          <w:b/>
          <w:sz w:val="24"/>
          <w:szCs w:val="24"/>
        </w:rPr>
      </w:pPr>
      <w:r w:rsidRPr="00E77D38">
        <w:rPr>
          <w:rFonts w:ascii="Arial" w:hAnsi="Arial" w:cs="Arial"/>
          <w:b/>
          <w:noProof/>
          <w:sz w:val="24"/>
          <w:szCs w:val="24"/>
        </w:rPr>
        <w:lastRenderedPageBreak/>
        <w:drawing>
          <wp:inline distT="0" distB="0" distL="0" distR="0" wp14:anchorId="0738D0D0" wp14:editId="5D4D10C4">
            <wp:extent cx="5731510" cy="5557520"/>
            <wp:effectExtent l="0" t="0" r="254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5557520"/>
                    </a:xfrm>
                    <a:prstGeom prst="rect">
                      <a:avLst/>
                    </a:prstGeom>
                  </pic:spPr>
                </pic:pic>
              </a:graphicData>
            </a:graphic>
          </wp:inline>
        </w:drawing>
      </w:r>
    </w:p>
    <w:p w14:paraId="08A0A088" w14:textId="77777777" w:rsidR="00E77D38" w:rsidRDefault="00E77D38" w:rsidP="00224F7C">
      <w:pPr>
        <w:spacing w:line="360" w:lineRule="auto"/>
        <w:rPr>
          <w:rFonts w:ascii="Arial" w:hAnsi="Arial" w:cs="Arial"/>
          <w:b/>
          <w:sz w:val="24"/>
          <w:szCs w:val="24"/>
        </w:rPr>
      </w:pPr>
      <w:r w:rsidRPr="00E77D38">
        <w:rPr>
          <w:rFonts w:ascii="Arial" w:hAnsi="Arial" w:cs="Arial"/>
          <w:b/>
          <w:noProof/>
          <w:sz w:val="24"/>
          <w:szCs w:val="24"/>
        </w:rPr>
        <w:drawing>
          <wp:inline distT="0" distB="0" distL="0" distR="0" wp14:anchorId="3948122E" wp14:editId="24A5C174">
            <wp:extent cx="5731510" cy="2282190"/>
            <wp:effectExtent l="0" t="0" r="254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2282190"/>
                    </a:xfrm>
                    <a:prstGeom prst="rect">
                      <a:avLst/>
                    </a:prstGeom>
                  </pic:spPr>
                </pic:pic>
              </a:graphicData>
            </a:graphic>
          </wp:inline>
        </w:drawing>
      </w:r>
    </w:p>
    <w:p w14:paraId="153B3DA7" w14:textId="77777777" w:rsidR="00E77D38" w:rsidRDefault="00E77D38" w:rsidP="00E77D38">
      <w:pPr>
        <w:spacing w:line="360" w:lineRule="auto"/>
        <w:jc w:val="center"/>
        <w:rPr>
          <w:rFonts w:ascii="Arial" w:hAnsi="Arial" w:cs="Arial"/>
          <w:b/>
          <w:sz w:val="24"/>
          <w:szCs w:val="24"/>
        </w:rPr>
      </w:pPr>
      <w:r w:rsidRPr="00E77D38">
        <w:rPr>
          <w:rFonts w:ascii="Arial" w:hAnsi="Arial" w:cs="Arial"/>
          <w:b/>
          <w:noProof/>
          <w:sz w:val="24"/>
          <w:szCs w:val="24"/>
        </w:rPr>
        <w:lastRenderedPageBreak/>
        <w:drawing>
          <wp:inline distT="0" distB="0" distL="0" distR="0" wp14:anchorId="60154043" wp14:editId="462E5033">
            <wp:extent cx="3932261" cy="5349704"/>
            <wp:effectExtent l="0" t="0" r="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3932261" cy="5349704"/>
                    </a:xfrm>
                    <a:prstGeom prst="rect">
                      <a:avLst/>
                    </a:prstGeom>
                  </pic:spPr>
                </pic:pic>
              </a:graphicData>
            </a:graphic>
          </wp:inline>
        </w:drawing>
      </w:r>
    </w:p>
    <w:p w14:paraId="1CB8E4A5" w14:textId="77777777" w:rsidR="00E77D38" w:rsidRDefault="00E77D38" w:rsidP="00E77D38">
      <w:pPr>
        <w:spacing w:line="360" w:lineRule="auto"/>
        <w:jc w:val="center"/>
        <w:rPr>
          <w:rFonts w:ascii="Arial" w:hAnsi="Arial" w:cs="Arial"/>
          <w:b/>
          <w:sz w:val="24"/>
          <w:szCs w:val="24"/>
        </w:rPr>
      </w:pPr>
      <w:r w:rsidRPr="00E77D38">
        <w:rPr>
          <w:rFonts w:ascii="Arial" w:hAnsi="Arial" w:cs="Arial"/>
          <w:b/>
          <w:noProof/>
          <w:sz w:val="24"/>
          <w:szCs w:val="24"/>
        </w:rPr>
        <w:lastRenderedPageBreak/>
        <w:drawing>
          <wp:inline distT="0" distB="0" distL="0" distR="0" wp14:anchorId="4F54C2E2" wp14:editId="0710DC99">
            <wp:extent cx="4115157" cy="4938188"/>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4115157" cy="4938188"/>
                    </a:xfrm>
                    <a:prstGeom prst="rect">
                      <a:avLst/>
                    </a:prstGeom>
                  </pic:spPr>
                </pic:pic>
              </a:graphicData>
            </a:graphic>
          </wp:inline>
        </w:drawing>
      </w:r>
    </w:p>
    <w:p w14:paraId="7C285186" w14:textId="77777777" w:rsidR="00E77D38" w:rsidRPr="00224F7C" w:rsidRDefault="00E77D38" w:rsidP="00224F7C">
      <w:pPr>
        <w:spacing w:line="360" w:lineRule="auto"/>
        <w:rPr>
          <w:rFonts w:ascii="Arial" w:hAnsi="Arial" w:cs="Arial"/>
          <w:b/>
          <w:sz w:val="24"/>
          <w:szCs w:val="24"/>
        </w:rPr>
      </w:pPr>
    </w:p>
    <w:p w14:paraId="31CC7BBD" w14:textId="77777777" w:rsidR="00224F7C" w:rsidRDefault="00224F7C" w:rsidP="00224F7C">
      <w:pPr>
        <w:spacing w:line="360" w:lineRule="auto"/>
        <w:rPr>
          <w:rFonts w:ascii="Arial" w:hAnsi="Arial" w:cs="Arial"/>
          <w:b/>
          <w:sz w:val="24"/>
          <w:szCs w:val="24"/>
        </w:rPr>
      </w:pPr>
      <w:r w:rsidRPr="00224F7C">
        <w:rPr>
          <w:rFonts w:ascii="Arial" w:hAnsi="Arial" w:cs="Arial"/>
          <w:b/>
          <w:sz w:val="24"/>
          <w:szCs w:val="24"/>
        </w:rPr>
        <w:t>2025</w:t>
      </w:r>
    </w:p>
    <w:p w14:paraId="0CB3D775" w14:textId="77777777" w:rsidR="00224F7C" w:rsidRDefault="00E77D38" w:rsidP="00224F7C">
      <w:pPr>
        <w:spacing w:line="360" w:lineRule="auto"/>
        <w:rPr>
          <w:rFonts w:ascii="Arial" w:hAnsi="Arial" w:cs="Arial"/>
          <w:b/>
          <w:sz w:val="24"/>
          <w:szCs w:val="24"/>
        </w:rPr>
      </w:pPr>
      <w:r w:rsidRPr="00E77D38">
        <w:rPr>
          <w:rFonts w:ascii="Arial" w:hAnsi="Arial" w:cs="Arial"/>
          <w:b/>
          <w:noProof/>
          <w:sz w:val="24"/>
          <w:szCs w:val="24"/>
        </w:rPr>
        <w:lastRenderedPageBreak/>
        <w:drawing>
          <wp:inline distT="0" distB="0" distL="0" distR="0" wp14:anchorId="1B625C0F" wp14:editId="27F5B3B5">
            <wp:extent cx="5731510" cy="566610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5666105"/>
                    </a:xfrm>
                    <a:prstGeom prst="rect">
                      <a:avLst/>
                    </a:prstGeom>
                  </pic:spPr>
                </pic:pic>
              </a:graphicData>
            </a:graphic>
          </wp:inline>
        </w:drawing>
      </w:r>
    </w:p>
    <w:p w14:paraId="6A5D5627" w14:textId="77777777" w:rsidR="00E77D38" w:rsidRDefault="00E77D38" w:rsidP="00224F7C">
      <w:pPr>
        <w:spacing w:line="360" w:lineRule="auto"/>
        <w:rPr>
          <w:rFonts w:ascii="Arial" w:hAnsi="Arial" w:cs="Arial"/>
          <w:b/>
          <w:sz w:val="24"/>
          <w:szCs w:val="24"/>
        </w:rPr>
      </w:pPr>
      <w:r w:rsidRPr="00E77D38">
        <w:rPr>
          <w:rFonts w:ascii="Arial" w:hAnsi="Arial" w:cs="Arial"/>
          <w:b/>
          <w:noProof/>
          <w:sz w:val="24"/>
          <w:szCs w:val="24"/>
        </w:rPr>
        <w:drawing>
          <wp:inline distT="0" distB="0" distL="0" distR="0" wp14:anchorId="37C456C6" wp14:editId="4447BD2D">
            <wp:extent cx="5731510" cy="228663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2286635"/>
                    </a:xfrm>
                    <a:prstGeom prst="rect">
                      <a:avLst/>
                    </a:prstGeom>
                  </pic:spPr>
                </pic:pic>
              </a:graphicData>
            </a:graphic>
          </wp:inline>
        </w:drawing>
      </w:r>
    </w:p>
    <w:p w14:paraId="19BF0E48" w14:textId="77777777" w:rsidR="00E77D38" w:rsidRDefault="00E77D38" w:rsidP="00E77D38">
      <w:pPr>
        <w:spacing w:line="360" w:lineRule="auto"/>
        <w:jc w:val="center"/>
        <w:rPr>
          <w:rFonts w:ascii="Arial" w:hAnsi="Arial" w:cs="Arial"/>
          <w:b/>
          <w:sz w:val="24"/>
          <w:szCs w:val="24"/>
        </w:rPr>
      </w:pPr>
      <w:r w:rsidRPr="00E77D38">
        <w:rPr>
          <w:rFonts w:ascii="Arial" w:hAnsi="Arial" w:cs="Arial"/>
          <w:b/>
          <w:noProof/>
          <w:sz w:val="24"/>
          <w:szCs w:val="24"/>
        </w:rPr>
        <w:lastRenderedPageBreak/>
        <w:drawing>
          <wp:inline distT="0" distB="0" distL="0" distR="0" wp14:anchorId="44B82D4D" wp14:editId="42EC0E49">
            <wp:extent cx="3467400" cy="4778154"/>
            <wp:effectExtent l="0" t="0" r="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3467400" cy="4778154"/>
                    </a:xfrm>
                    <a:prstGeom prst="rect">
                      <a:avLst/>
                    </a:prstGeom>
                  </pic:spPr>
                </pic:pic>
              </a:graphicData>
            </a:graphic>
          </wp:inline>
        </w:drawing>
      </w:r>
    </w:p>
    <w:p w14:paraId="51939A26" w14:textId="77777777" w:rsidR="00E77D38" w:rsidRPr="00224F7C" w:rsidRDefault="00E77D38" w:rsidP="00E77D38">
      <w:pPr>
        <w:spacing w:line="360" w:lineRule="auto"/>
        <w:jc w:val="center"/>
        <w:rPr>
          <w:rFonts w:ascii="Arial" w:hAnsi="Arial" w:cs="Arial"/>
          <w:b/>
          <w:sz w:val="24"/>
          <w:szCs w:val="24"/>
        </w:rPr>
      </w:pPr>
      <w:r w:rsidRPr="00E77D38">
        <w:rPr>
          <w:rFonts w:ascii="Arial" w:hAnsi="Arial" w:cs="Arial"/>
          <w:b/>
          <w:noProof/>
          <w:sz w:val="24"/>
          <w:szCs w:val="24"/>
        </w:rPr>
        <w:lastRenderedPageBreak/>
        <w:drawing>
          <wp:inline distT="0" distB="0" distL="0" distR="0" wp14:anchorId="268D509B" wp14:editId="22156ECC">
            <wp:extent cx="4305673" cy="5311600"/>
            <wp:effectExtent l="0" t="0" r="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4305673" cy="5311600"/>
                    </a:xfrm>
                    <a:prstGeom prst="rect">
                      <a:avLst/>
                    </a:prstGeom>
                  </pic:spPr>
                </pic:pic>
              </a:graphicData>
            </a:graphic>
          </wp:inline>
        </w:drawing>
      </w:r>
    </w:p>
    <w:p w14:paraId="268D9446" w14:textId="77777777" w:rsidR="000D50CB" w:rsidRPr="00997841" w:rsidRDefault="000D50CB" w:rsidP="00BC7E61">
      <w:pPr>
        <w:spacing w:line="360" w:lineRule="auto"/>
        <w:jc w:val="both"/>
        <w:rPr>
          <w:rFonts w:ascii="Arial" w:hAnsi="Arial" w:cs="Arial"/>
          <w:sz w:val="24"/>
          <w:szCs w:val="24"/>
        </w:rPr>
      </w:pPr>
    </w:p>
    <w:p w14:paraId="207E0D8F" w14:textId="77777777" w:rsidR="0004573B" w:rsidRPr="00997841" w:rsidRDefault="0004573B" w:rsidP="00BC7E61">
      <w:pPr>
        <w:spacing w:line="360" w:lineRule="auto"/>
        <w:jc w:val="both"/>
        <w:rPr>
          <w:rFonts w:ascii="Arial" w:hAnsi="Arial" w:cs="Arial"/>
          <w:sz w:val="24"/>
          <w:szCs w:val="24"/>
        </w:rPr>
      </w:pPr>
    </w:p>
    <w:sectPr w:rsidR="0004573B" w:rsidRPr="00997841">
      <w:footerReference w:type="default" r:id="rId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A38890" w14:textId="77777777" w:rsidR="000065CE" w:rsidRDefault="000065CE" w:rsidP="00997841">
      <w:pPr>
        <w:spacing w:after="0" w:line="240" w:lineRule="auto"/>
      </w:pPr>
      <w:r>
        <w:separator/>
      </w:r>
    </w:p>
  </w:endnote>
  <w:endnote w:type="continuationSeparator" w:id="0">
    <w:p w14:paraId="296B542F" w14:textId="77777777" w:rsidR="000065CE" w:rsidRDefault="000065CE" w:rsidP="00997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1146097537"/>
      <w:docPartObj>
        <w:docPartGallery w:val="Page Numbers (Bottom of Page)"/>
        <w:docPartUnique/>
      </w:docPartObj>
    </w:sdtPr>
    <w:sdtEndPr>
      <w:rPr>
        <w:noProof/>
      </w:rPr>
    </w:sdtEndPr>
    <w:sdtContent>
      <w:p w14:paraId="50CBA2C6" w14:textId="77777777" w:rsidR="00224F7C" w:rsidRPr="00997841" w:rsidRDefault="00224F7C">
        <w:pPr>
          <w:pStyle w:val="Footer"/>
          <w:jc w:val="right"/>
          <w:rPr>
            <w:rFonts w:ascii="Arial" w:hAnsi="Arial" w:cs="Arial"/>
            <w:sz w:val="24"/>
            <w:szCs w:val="24"/>
          </w:rPr>
        </w:pPr>
        <w:r w:rsidRPr="00997841">
          <w:rPr>
            <w:rFonts w:ascii="Arial" w:hAnsi="Arial" w:cs="Arial"/>
            <w:sz w:val="24"/>
            <w:szCs w:val="24"/>
          </w:rPr>
          <w:fldChar w:fldCharType="begin"/>
        </w:r>
        <w:r w:rsidRPr="00997841">
          <w:rPr>
            <w:rFonts w:ascii="Arial" w:hAnsi="Arial" w:cs="Arial"/>
            <w:sz w:val="24"/>
            <w:szCs w:val="24"/>
          </w:rPr>
          <w:instrText xml:space="preserve"> PAGE   \* MERGEFORMAT </w:instrText>
        </w:r>
        <w:r w:rsidRPr="00997841">
          <w:rPr>
            <w:rFonts w:ascii="Arial" w:hAnsi="Arial" w:cs="Arial"/>
            <w:sz w:val="24"/>
            <w:szCs w:val="24"/>
          </w:rPr>
          <w:fldChar w:fldCharType="separate"/>
        </w:r>
        <w:r w:rsidR="00A6289C">
          <w:rPr>
            <w:rFonts w:ascii="Arial" w:hAnsi="Arial" w:cs="Arial"/>
            <w:noProof/>
            <w:sz w:val="24"/>
            <w:szCs w:val="24"/>
          </w:rPr>
          <w:t>3</w:t>
        </w:r>
        <w:r w:rsidRPr="00997841">
          <w:rPr>
            <w:rFonts w:ascii="Arial" w:hAnsi="Arial" w:cs="Arial"/>
            <w:noProof/>
            <w:sz w:val="24"/>
            <w:szCs w:val="24"/>
          </w:rPr>
          <w:fldChar w:fldCharType="end"/>
        </w:r>
      </w:p>
    </w:sdtContent>
  </w:sdt>
  <w:p w14:paraId="2F306C5C" w14:textId="77777777" w:rsidR="00224F7C" w:rsidRPr="00997841" w:rsidRDefault="00224F7C">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3AAF3D" w14:textId="77777777" w:rsidR="000065CE" w:rsidRDefault="000065CE" w:rsidP="00997841">
      <w:pPr>
        <w:spacing w:after="0" w:line="240" w:lineRule="auto"/>
      </w:pPr>
      <w:r>
        <w:separator/>
      </w:r>
    </w:p>
  </w:footnote>
  <w:footnote w:type="continuationSeparator" w:id="0">
    <w:p w14:paraId="3C1DDAFA" w14:textId="77777777" w:rsidR="000065CE" w:rsidRDefault="000065CE" w:rsidP="009978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0CB"/>
    <w:rsid w:val="000065CE"/>
    <w:rsid w:val="00007F77"/>
    <w:rsid w:val="0004573B"/>
    <w:rsid w:val="000819B0"/>
    <w:rsid w:val="000D50CB"/>
    <w:rsid w:val="000F3C7B"/>
    <w:rsid w:val="001112B1"/>
    <w:rsid w:val="001B271D"/>
    <w:rsid w:val="001C5097"/>
    <w:rsid w:val="00224F7C"/>
    <w:rsid w:val="002717BF"/>
    <w:rsid w:val="00353C18"/>
    <w:rsid w:val="003A5AFF"/>
    <w:rsid w:val="003D5F42"/>
    <w:rsid w:val="003E64B4"/>
    <w:rsid w:val="0042479A"/>
    <w:rsid w:val="0047217B"/>
    <w:rsid w:val="004860BC"/>
    <w:rsid w:val="004F32A8"/>
    <w:rsid w:val="0057019F"/>
    <w:rsid w:val="005D2B4F"/>
    <w:rsid w:val="00626449"/>
    <w:rsid w:val="00627486"/>
    <w:rsid w:val="00665912"/>
    <w:rsid w:val="00832C44"/>
    <w:rsid w:val="00883EA6"/>
    <w:rsid w:val="00943F12"/>
    <w:rsid w:val="00997841"/>
    <w:rsid w:val="00A6289C"/>
    <w:rsid w:val="00A66082"/>
    <w:rsid w:val="00A72417"/>
    <w:rsid w:val="00AE75B3"/>
    <w:rsid w:val="00B33111"/>
    <w:rsid w:val="00B373E8"/>
    <w:rsid w:val="00BC7E61"/>
    <w:rsid w:val="00C12C3B"/>
    <w:rsid w:val="00CA1B74"/>
    <w:rsid w:val="00CA3781"/>
    <w:rsid w:val="00E1716F"/>
    <w:rsid w:val="00E77D38"/>
    <w:rsid w:val="00EA40FE"/>
    <w:rsid w:val="00F21A85"/>
    <w:rsid w:val="00FB6A4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AF764"/>
  <w15:chartTrackingRefBased/>
  <w15:docId w15:val="{E8F190D2-CEA2-4E90-8CCD-43F819881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C7B"/>
    <w:rPr>
      <w:lang w:val="en-GB"/>
    </w:rPr>
  </w:style>
  <w:style w:type="paragraph" w:styleId="Heading1">
    <w:name w:val="heading 1"/>
    <w:basedOn w:val="Normal"/>
    <w:next w:val="Normal"/>
    <w:link w:val="Heading1Char"/>
    <w:uiPriority w:val="9"/>
    <w:qFormat/>
    <w:rsid w:val="003A5A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5AF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4573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50CB"/>
    <w:pPr>
      <w:ind w:left="720"/>
      <w:contextualSpacing/>
    </w:pPr>
  </w:style>
  <w:style w:type="character" w:customStyle="1" w:styleId="Heading1Char">
    <w:name w:val="Heading 1 Char"/>
    <w:basedOn w:val="DefaultParagraphFont"/>
    <w:link w:val="Heading1"/>
    <w:uiPriority w:val="9"/>
    <w:rsid w:val="003A5AFF"/>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3A5AFF"/>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04573B"/>
    <w:rPr>
      <w:b/>
      <w:bCs/>
    </w:rPr>
  </w:style>
  <w:style w:type="table" w:styleId="TableGrid">
    <w:name w:val="Table Grid"/>
    <w:basedOn w:val="TableNormal"/>
    <w:uiPriority w:val="39"/>
    <w:rsid w:val="00045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04573B"/>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04573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B373E8"/>
    <w:rPr>
      <w:color w:val="0000FF"/>
      <w:u w:val="single"/>
    </w:rPr>
  </w:style>
  <w:style w:type="paragraph" w:styleId="TOCHeading">
    <w:name w:val="TOC Heading"/>
    <w:basedOn w:val="Heading1"/>
    <w:next w:val="Normal"/>
    <w:uiPriority w:val="39"/>
    <w:unhideWhenUsed/>
    <w:qFormat/>
    <w:rsid w:val="000F3C7B"/>
    <w:pPr>
      <w:outlineLvl w:val="9"/>
    </w:pPr>
    <w:rPr>
      <w:lang w:val="en-US"/>
    </w:rPr>
  </w:style>
  <w:style w:type="paragraph" w:styleId="TOC1">
    <w:name w:val="toc 1"/>
    <w:basedOn w:val="Normal"/>
    <w:next w:val="Normal"/>
    <w:autoRedefine/>
    <w:uiPriority w:val="39"/>
    <w:unhideWhenUsed/>
    <w:rsid w:val="000F3C7B"/>
    <w:pPr>
      <w:spacing w:after="100"/>
    </w:pPr>
  </w:style>
  <w:style w:type="paragraph" w:styleId="TOC2">
    <w:name w:val="toc 2"/>
    <w:basedOn w:val="Normal"/>
    <w:next w:val="Normal"/>
    <w:autoRedefine/>
    <w:uiPriority w:val="39"/>
    <w:unhideWhenUsed/>
    <w:rsid w:val="000F3C7B"/>
    <w:pPr>
      <w:spacing w:after="100"/>
      <w:ind w:left="220"/>
    </w:pPr>
  </w:style>
  <w:style w:type="paragraph" w:styleId="Header">
    <w:name w:val="header"/>
    <w:basedOn w:val="Normal"/>
    <w:link w:val="HeaderChar"/>
    <w:uiPriority w:val="99"/>
    <w:unhideWhenUsed/>
    <w:rsid w:val="00997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841"/>
    <w:rPr>
      <w:lang w:val="en-GB"/>
    </w:rPr>
  </w:style>
  <w:style w:type="paragraph" w:styleId="Footer">
    <w:name w:val="footer"/>
    <w:basedOn w:val="Normal"/>
    <w:link w:val="FooterChar"/>
    <w:uiPriority w:val="99"/>
    <w:unhideWhenUsed/>
    <w:rsid w:val="00997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84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08047">
      <w:bodyDiv w:val="1"/>
      <w:marLeft w:val="0"/>
      <w:marRight w:val="0"/>
      <w:marTop w:val="0"/>
      <w:marBottom w:val="0"/>
      <w:divBdr>
        <w:top w:val="none" w:sz="0" w:space="0" w:color="auto"/>
        <w:left w:val="none" w:sz="0" w:space="0" w:color="auto"/>
        <w:bottom w:val="none" w:sz="0" w:space="0" w:color="auto"/>
        <w:right w:val="none" w:sz="0" w:space="0" w:color="auto"/>
      </w:divBdr>
    </w:div>
    <w:div w:id="48237371">
      <w:bodyDiv w:val="1"/>
      <w:marLeft w:val="0"/>
      <w:marRight w:val="0"/>
      <w:marTop w:val="0"/>
      <w:marBottom w:val="0"/>
      <w:divBdr>
        <w:top w:val="none" w:sz="0" w:space="0" w:color="auto"/>
        <w:left w:val="none" w:sz="0" w:space="0" w:color="auto"/>
        <w:bottom w:val="none" w:sz="0" w:space="0" w:color="auto"/>
        <w:right w:val="none" w:sz="0" w:space="0" w:color="auto"/>
      </w:divBdr>
      <w:divsChild>
        <w:div w:id="202791305">
          <w:marLeft w:val="0"/>
          <w:marRight w:val="0"/>
          <w:marTop w:val="0"/>
          <w:marBottom w:val="0"/>
          <w:divBdr>
            <w:top w:val="none" w:sz="0" w:space="0" w:color="auto"/>
            <w:left w:val="none" w:sz="0" w:space="0" w:color="auto"/>
            <w:bottom w:val="none" w:sz="0" w:space="0" w:color="auto"/>
            <w:right w:val="none" w:sz="0" w:space="0" w:color="auto"/>
          </w:divBdr>
          <w:divsChild>
            <w:div w:id="1920872178">
              <w:marLeft w:val="0"/>
              <w:marRight w:val="0"/>
              <w:marTop w:val="0"/>
              <w:marBottom w:val="0"/>
              <w:divBdr>
                <w:top w:val="none" w:sz="0" w:space="0" w:color="auto"/>
                <w:left w:val="none" w:sz="0" w:space="0" w:color="auto"/>
                <w:bottom w:val="none" w:sz="0" w:space="0" w:color="auto"/>
                <w:right w:val="none" w:sz="0" w:space="0" w:color="auto"/>
              </w:divBdr>
              <w:divsChild>
                <w:div w:id="181551128">
                  <w:marLeft w:val="0"/>
                  <w:marRight w:val="0"/>
                  <w:marTop w:val="0"/>
                  <w:marBottom w:val="0"/>
                  <w:divBdr>
                    <w:top w:val="none" w:sz="0" w:space="0" w:color="auto"/>
                    <w:left w:val="none" w:sz="0" w:space="0" w:color="auto"/>
                    <w:bottom w:val="none" w:sz="0" w:space="0" w:color="auto"/>
                    <w:right w:val="none" w:sz="0" w:space="0" w:color="auto"/>
                  </w:divBdr>
                  <w:divsChild>
                    <w:div w:id="112485540">
                      <w:marLeft w:val="0"/>
                      <w:marRight w:val="0"/>
                      <w:marTop w:val="0"/>
                      <w:marBottom w:val="0"/>
                      <w:divBdr>
                        <w:top w:val="none" w:sz="0" w:space="0" w:color="auto"/>
                        <w:left w:val="none" w:sz="0" w:space="0" w:color="auto"/>
                        <w:bottom w:val="none" w:sz="0" w:space="0" w:color="auto"/>
                        <w:right w:val="none" w:sz="0" w:space="0" w:color="auto"/>
                      </w:divBdr>
                      <w:divsChild>
                        <w:div w:id="1529219246">
                          <w:marLeft w:val="0"/>
                          <w:marRight w:val="0"/>
                          <w:marTop w:val="0"/>
                          <w:marBottom w:val="0"/>
                          <w:divBdr>
                            <w:top w:val="none" w:sz="0" w:space="0" w:color="auto"/>
                            <w:left w:val="none" w:sz="0" w:space="0" w:color="auto"/>
                            <w:bottom w:val="none" w:sz="0" w:space="0" w:color="auto"/>
                            <w:right w:val="none" w:sz="0" w:space="0" w:color="auto"/>
                          </w:divBdr>
                          <w:divsChild>
                            <w:div w:id="1051614393">
                              <w:marLeft w:val="0"/>
                              <w:marRight w:val="0"/>
                              <w:marTop w:val="0"/>
                              <w:marBottom w:val="0"/>
                              <w:divBdr>
                                <w:top w:val="none" w:sz="0" w:space="0" w:color="auto"/>
                                <w:left w:val="none" w:sz="0" w:space="0" w:color="auto"/>
                                <w:bottom w:val="none" w:sz="0" w:space="0" w:color="auto"/>
                                <w:right w:val="none" w:sz="0" w:space="0" w:color="auto"/>
                              </w:divBdr>
                              <w:divsChild>
                                <w:div w:id="213394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208055">
      <w:bodyDiv w:val="1"/>
      <w:marLeft w:val="0"/>
      <w:marRight w:val="0"/>
      <w:marTop w:val="0"/>
      <w:marBottom w:val="0"/>
      <w:divBdr>
        <w:top w:val="none" w:sz="0" w:space="0" w:color="auto"/>
        <w:left w:val="none" w:sz="0" w:space="0" w:color="auto"/>
        <w:bottom w:val="none" w:sz="0" w:space="0" w:color="auto"/>
        <w:right w:val="none" w:sz="0" w:space="0" w:color="auto"/>
      </w:divBdr>
    </w:div>
    <w:div w:id="180436813">
      <w:bodyDiv w:val="1"/>
      <w:marLeft w:val="0"/>
      <w:marRight w:val="0"/>
      <w:marTop w:val="0"/>
      <w:marBottom w:val="0"/>
      <w:divBdr>
        <w:top w:val="none" w:sz="0" w:space="0" w:color="auto"/>
        <w:left w:val="none" w:sz="0" w:space="0" w:color="auto"/>
        <w:bottom w:val="none" w:sz="0" w:space="0" w:color="auto"/>
        <w:right w:val="none" w:sz="0" w:space="0" w:color="auto"/>
      </w:divBdr>
      <w:divsChild>
        <w:div w:id="2073766291">
          <w:marLeft w:val="0"/>
          <w:marRight w:val="0"/>
          <w:marTop w:val="0"/>
          <w:marBottom w:val="0"/>
          <w:divBdr>
            <w:top w:val="none" w:sz="0" w:space="0" w:color="auto"/>
            <w:left w:val="none" w:sz="0" w:space="0" w:color="auto"/>
            <w:bottom w:val="none" w:sz="0" w:space="0" w:color="auto"/>
            <w:right w:val="none" w:sz="0" w:space="0" w:color="auto"/>
          </w:divBdr>
          <w:divsChild>
            <w:div w:id="1835532498">
              <w:marLeft w:val="0"/>
              <w:marRight w:val="0"/>
              <w:marTop w:val="0"/>
              <w:marBottom w:val="0"/>
              <w:divBdr>
                <w:top w:val="none" w:sz="0" w:space="0" w:color="auto"/>
                <w:left w:val="none" w:sz="0" w:space="0" w:color="auto"/>
                <w:bottom w:val="none" w:sz="0" w:space="0" w:color="auto"/>
                <w:right w:val="none" w:sz="0" w:space="0" w:color="auto"/>
              </w:divBdr>
              <w:divsChild>
                <w:div w:id="696583548">
                  <w:marLeft w:val="0"/>
                  <w:marRight w:val="0"/>
                  <w:marTop w:val="0"/>
                  <w:marBottom w:val="0"/>
                  <w:divBdr>
                    <w:top w:val="none" w:sz="0" w:space="0" w:color="auto"/>
                    <w:left w:val="none" w:sz="0" w:space="0" w:color="auto"/>
                    <w:bottom w:val="none" w:sz="0" w:space="0" w:color="auto"/>
                    <w:right w:val="none" w:sz="0" w:space="0" w:color="auto"/>
                  </w:divBdr>
                  <w:divsChild>
                    <w:div w:id="61148846">
                      <w:marLeft w:val="0"/>
                      <w:marRight w:val="0"/>
                      <w:marTop w:val="0"/>
                      <w:marBottom w:val="0"/>
                      <w:divBdr>
                        <w:top w:val="none" w:sz="0" w:space="0" w:color="auto"/>
                        <w:left w:val="none" w:sz="0" w:space="0" w:color="auto"/>
                        <w:bottom w:val="none" w:sz="0" w:space="0" w:color="auto"/>
                        <w:right w:val="none" w:sz="0" w:space="0" w:color="auto"/>
                      </w:divBdr>
                      <w:divsChild>
                        <w:div w:id="1957908339">
                          <w:marLeft w:val="0"/>
                          <w:marRight w:val="0"/>
                          <w:marTop w:val="0"/>
                          <w:marBottom w:val="0"/>
                          <w:divBdr>
                            <w:top w:val="none" w:sz="0" w:space="0" w:color="auto"/>
                            <w:left w:val="none" w:sz="0" w:space="0" w:color="auto"/>
                            <w:bottom w:val="none" w:sz="0" w:space="0" w:color="auto"/>
                            <w:right w:val="none" w:sz="0" w:space="0" w:color="auto"/>
                          </w:divBdr>
                          <w:divsChild>
                            <w:div w:id="314337203">
                              <w:marLeft w:val="0"/>
                              <w:marRight w:val="0"/>
                              <w:marTop w:val="0"/>
                              <w:marBottom w:val="0"/>
                              <w:divBdr>
                                <w:top w:val="none" w:sz="0" w:space="0" w:color="auto"/>
                                <w:left w:val="none" w:sz="0" w:space="0" w:color="auto"/>
                                <w:bottom w:val="none" w:sz="0" w:space="0" w:color="auto"/>
                                <w:right w:val="none" w:sz="0" w:space="0" w:color="auto"/>
                              </w:divBdr>
                              <w:divsChild>
                                <w:div w:id="472137356">
                                  <w:marLeft w:val="0"/>
                                  <w:marRight w:val="0"/>
                                  <w:marTop w:val="0"/>
                                  <w:marBottom w:val="0"/>
                                  <w:divBdr>
                                    <w:top w:val="none" w:sz="0" w:space="0" w:color="auto"/>
                                    <w:left w:val="none" w:sz="0" w:space="0" w:color="auto"/>
                                    <w:bottom w:val="none" w:sz="0" w:space="0" w:color="auto"/>
                                    <w:right w:val="none" w:sz="0" w:space="0" w:color="auto"/>
                                  </w:divBdr>
                                  <w:divsChild>
                                    <w:div w:id="189630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8513238">
      <w:bodyDiv w:val="1"/>
      <w:marLeft w:val="0"/>
      <w:marRight w:val="0"/>
      <w:marTop w:val="0"/>
      <w:marBottom w:val="0"/>
      <w:divBdr>
        <w:top w:val="none" w:sz="0" w:space="0" w:color="auto"/>
        <w:left w:val="none" w:sz="0" w:space="0" w:color="auto"/>
        <w:bottom w:val="none" w:sz="0" w:space="0" w:color="auto"/>
        <w:right w:val="none" w:sz="0" w:space="0" w:color="auto"/>
      </w:divBdr>
    </w:div>
    <w:div w:id="338311335">
      <w:bodyDiv w:val="1"/>
      <w:marLeft w:val="0"/>
      <w:marRight w:val="0"/>
      <w:marTop w:val="0"/>
      <w:marBottom w:val="0"/>
      <w:divBdr>
        <w:top w:val="none" w:sz="0" w:space="0" w:color="auto"/>
        <w:left w:val="none" w:sz="0" w:space="0" w:color="auto"/>
        <w:bottom w:val="none" w:sz="0" w:space="0" w:color="auto"/>
        <w:right w:val="none" w:sz="0" w:space="0" w:color="auto"/>
      </w:divBdr>
    </w:div>
    <w:div w:id="466243508">
      <w:bodyDiv w:val="1"/>
      <w:marLeft w:val="0"/>
      <w:marRight w:val="0"/>
      <w:marTop w:val="0"/>
      <w:marBottom w:val="0"/>
      <w:divBdr>
        <w:top w:val="none" w:sz="0" w:space="0" w:color="auto"/>
        <w:left w:val="none" w:sz="0" w:space="0" w:color="auto"/>
        <w:bottom w:val="none" w:sz="0" w:space="0" w:color="auto"/>
        <w:right w:val="none" w:sz="0" w:space="0" w:color="auto"/>
      </w:divBdr>
    </w:div>
    <w:div w:id="576549906">
      <w:bodyDiv w:val="1"/>
      <w:marLeft w:val="0"/>
      <w:marRight w:val="0"/>
      <w:marTop w:val="0"/>
      <w:marBottom w:val="0"/>
      <w:divBdr>
        <w:top w:val="none" w:sz="0" w:space="0" w:color="auto"/>
        <w:left w:val="none" w:sz="0" w:space="0" w:color="auto"/>
        <w:bottom w:val="none" w:sz="0" w:space="0" w:color="auto"/>
        <w:right w:val="none" w:sz="0" w:space="0" w:color="auto"/>
      </w:divBdr>
      <w:divsChild>
        <w:div w:id="1769884842">
          <w:marLeft w:val="0"/>
          <w:marRight w:val="0"/>
          <w:marTop w:val="0"/>
          <w:marBottom w:val="0"/>
          <w:divBdr>
            <w:top w:val="none" w:sz="0" w:space="0" w:color="auto"/>
            <w:left w:val="none" w:sz="0" w:space="0" w:color="auto"/>
            <w:bottom w:val="none" w:sz="0" w:space="0" w:color="auto"/>
            <w:right w:val="none" w:sz="0" w:space="0" w:color="auto"/>
          </w:divBdr>
          <w:divsChild>
            <w:div w:id="78966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524345">
      <w:bodyDiv w:val="1"/>
      <w:marLeft w:val="0"/>
      <w:marRight w:val="0"/>
      <w:marTop w:val="0"/>
      <w:marBottom w:val="0"/>
      <w:divBdr>
        <w:top w:val="none" w:sz="0" w:space="0" w:color="auto"/>
        <w:left w:val="none" w:sz="0" w:space="0" w:color="auto"/>
        <w:bottom w:val="none" w:sz="0" w:space="0" w:color="auto"/>
        <w:right w:val="none" w:sz="0" w:space="0" w:color="auto"/>
      </w:divBdr>
      <w:divsChild>
        <w:div w:id="286277757">
          <w:marLeft w:val="0"/>
          <w:marRight w:val="0"/>
          <w:marTop w:val="0"/>
          <w:marBottom w:val="0"/>
          <w:divBdr>
            <w:top w:val="none" w:sz="0" w:space="0" w:color="auto"/>
            <w:left w:val="none" w:sz="0" w:space="0" w:color="auto"/>
            <w:bottom w:val="none" w:sz="0" w:space="0" w:color="auto"/>
            <w:right w:val="none" w:sz="0" w:space="0" w:color="auto"/>
          </w:divBdr>
          <w:divsChild>
            <w:div w:id="301665822">
              <w:marLeft w:val="0"/>
              <w:marRight w:val="0"/>
              <w:marTop w:val="0"/>
              <w:marBottom w:val="0"/>
              <w:divBdr>
                <w:top w:val="none" w:sz="0" w:space="0" w:color="auto"/>
                <w:left w:val="none" w:sz="0" w:space="0" w:color="auto"/>
                <w:bottom w:val="none" w:sz="0" w:space="0" w:color="auto"/>
                <w:right w:val="none" w:sz="0" w:space="0" w:color="auto"/>
              </w:divBdr>
            </w:div>
          </w:divsChild>
        </w:div>
        <w:div w:id="842747144">
          <w:marLeft w:val="0"/>
          <w:marRight w:val="0"/>
          <w:marTop w:val="0"/>
          <w:marBottom w:val="0"/>
          <w:divBdr>
            <w:top w:val="none" w:sz="0" w:space="0" w:color="auto"/>
            <w:left w:val="none" w:sz="0" w:space="0" w:color="auto"/>
            <w:bottom w:val="none" w:sz="0" w:space="0" w:color="auto"/>
            <w:right w:val="none" w:sz="0" w:space="0" w:color="auto"/>
          </w:divBdr>
          <w:divsChild>
            <w:div w:id="2095004647">
              <w:marLeft w:val="0"/>
              <w:marRight w:val="0"/>
              <w:marTop w:val="0"/>
              <w:marBottom w:val="0"/>
              <w:divBdr>
                <w:top w:val="none" w:sz="0" w:space="0" w:color="auto"/>
                <w:left w:val="none" w:sz="0" w:space="0" w:color="auto"/>
                <w:bottom w:val="none" w:sz="0" w:space="0" w:color="auto"/>
                <w:right w:val="none" w:sz="0" w:space="0" w:color="auto"/>
              </w:divBdr>
            </w:div>
          </w:divsChild>
        </w:div>
        <w:div w:id="1421490947">
          <w:marLeft w:val="0"/>
          <w:marRight w:val="0"/>
          <w:marTop w:val="0"/>
          <w:marBottom w:val="0"/>
          <w:divBdr>
            <w:top w:val="none" w:sz="0" w:space="0" w:color="auto"/>
            <w:left w:val="none" w:sz="0" w:space="0" w:color="auto"/>
            <w:bottom w:val="none" w:sz="0" w:space="0" w:color="auto"/>
            <w:right w:val="none" w:sz="0" w:space="0" w:color="auto"/>
          </w:divBdr>
          <w:divsChild>
            <w:div w:id="1544513742">
              <w:marLeft w:val="0"/>
              <w:marRight w:val="0"/>
              <w:marTop w:val="0"/>
              <w:marBottom w:val="0"/>
              <w:divBdr>
                <w:top w:val="none" w:sz="0" w:space="0" w:color="auto"/>
                <w:left w:val="none" w:sz="0" w:space="0" w:color="auto"/>
                <w:bottom w:val="none" w:sz="0" w:space="0" w:color="auto"/>
                <w:right w:val="none" w:sz="0" w:space="0" w:color="auto"/>
              </w:divBdr>
            </w:div>
          </w:divsChild>
        </w:div>
        <w:div w:id="142507957">
          <w:marLeft w:val="0"/>
          <w:marRight w:val="0"/>
          <w:marTop w:val="0"/>
          <w:marBottom w:val="0"/>
          <w:divBdr>
            <w:top w:val="none" w:sz="0" w:space="0" w:color="auto"/>
            <w:left w:val="none" w:sz="0" w:space="0" w:color="auto"/>
            <w:bottom w:val="none" w:sz="0" w:space="0" w:color="auto"/>
            <w:right w:val="none" w:sz="0" w:space="0" w:color="auto"/>
          </w:divBdr>
          <w:divsChild>
            <w:div w:id="282270025">
              <w:marLeft w:val="0"/>
              <w:marRight w:val="0"/>
              <w:marTop w:val="0"/>
              <w:marBottom w:val="0"/>
              <w:divBdr>
                <w:top w:val="none" w:sz="0" w:space="0" w:color="auto"/>
                <w:left w:val="none" w:sz="0" w:space="0" w:color="auto"/>
                <w:bottom w:val="none" w:sz="0" w:space="0" w:color="auto"/>
                <w:right w:val="none" w:sz="0" w:space="0" w:color="auto"/>
              </w:divBdr>
            </w:div>
          </w:divsChild>
        </w:div>
        <w:div w:id="1667247044">
          <w:marLeft w:val="0"/>
          <w:marRight w:val="0"/>
          <w:marTop w:val="0"/>
          <w:marBottom w:val="0"/>
          <w:divBdr>
            <w:top w:val="none" w:sz="0" w:space="0" w:color="auto"/>
            <w:left w:val="none" w:sz="0" w:space="0" w:color="auto"/>
            <w:bottom w:val="none" w:sz="0" w:space="0" w:color="auto"/>
            <w:right w:val="none" w:sz="0" w:space="0" w:color="auto"/>
          </w:divBdr>
          <w:divsChild>
            <w:div w:id="1751542037">
              <w:marLeft w:val="0"/>
              <w:marRight w:val="0"/>
              <w:marTop w:val="0"/>
              <w:marBottom w:val="0"/>
              <w:divBdr>
                <w:top w:val="none" w:sz="0" w:space="0" w:color="auto"/>
                <w:left w:val="none" w:sz="0" w:space="0" w:color="auto"/>
                <w:bottom w:val="none" w:sz="0" w:space="0" w:color="auto"/>
                <w:right w:val="none" w:sz="0" w:space="0" w:color="auto"/>
              </w:divBdr>
            </w:div>
          </w:divsChild>
        </w:div>
        <w:div w:id="185753267">
          <w:marLeft w:val="0"/>
          <w:marRight w:val="0"/>
          <w:marTop w:val="0"/>
          <w:marBottom w:val="0"/>
          <w:divBdr>
            <w:top w:val="none" w:sz="0" w:space="0" w:color="auto"/>
            <w:left w:val="none" w:sz="0" w:space="0" w:color="auto"/>
            <w:bottom w:val="none" w:sz="0" w:space="0" w:color="auto"/>
            <w:right w:val="none" w:sz="0" w:space="0" w:color="auto"/>
          </w:divBdr>
          <w:divsChild>
            <w:div w:id="69373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023573">
      <w:bodyDiv w:val="1"/>
      <w:marLeft w:val="0"/>
      <w:marRight w:val="0"/>
      <w:marTop w:val="0"/>
      <w:marBottom w:val="0"/>
      <w:divBdr>
        <w:top w:val="none" w:sz="0" w:space="0" w:color="auto"/>
        <w:left w:val="none" w:sz="0" w:space="0" w:color="auto"/>
        <w:bottom w:val="none" w:sz="0" w:space="0" w:color="auto"/>
        <w:right w:val="none" w:sz="0" w:space="0" w:color="auto"/>
      </w:divBdr>
    </w:div>
    <w:div w:id="665861651">
      <w:bodyDiv w:val="1"/>
      <w:marLeft w:val="0"/>
      <w:marRight w:val="0"/>
      <w:marTop w:val="0"/>
      <w:marBottom w:val="0"/>
      <w:divBdr>
        <w:top w:val="none" w:sz="0" w:space="0" w:color="auto"/>
        <w:left w:val="none" w:sz="0" w:space="0" w:color="auto"/>
        <w:bottom w:val="none" w:sz="0" w:space="0" w:color="auto"/>
        <w:right w:val="none" w:sz="0" w:space="0" w:color="auto"/>
      </w:divBdr>
      <w:divsChild>
        <w:div w:id="1095514877">
          <w:marLeft w:val="0"/>
          <w:marRight w:val="0"/>
          <w:marTop w:val="0"/>
          <w:marBottom w:val="0"/>
          <w:divBdr>
            <w:top w:val="none" w:sz="0" w:space="0" w:color="auto"/>
            <w:left w:val="none" w:sz="0" w:space="0" w:color="auto"/>
            <w:bottom w:val="none" w:sz="0" w:space="0" w:color="auto"/>
            <w:right w:val="none" w:sz="0" w:space="0" w:color="auto"/>
          </w:divBdr>
          <w:divsChild>
            <w:div w:id="1468161296">
              <w:marLeft w:val="0"/>
              <w:marRight w:val="0"/>
              <w:marTop w:val="0"/>
              <w:marBottom w:val="0"/>
              <w:divBdr>
                <w:top w:val="none" w:sz="0" w:space="0" w:color="auto"/>
                <w:left w:val="none" w:sz="0" w:space="0" w:color="auto"/>
                <w:bottom w:val="none" w:sz="0" w:space="0" w:color="auto"/>
                <w:right w:val="none" w:sz="0" w:space="0" w:color="auto"/>
              </w:divBdr>
              <w:divsChild>
                <w:div w:id="646517286">
                  <w:marLeft w:val="0"/>
                  <w:marRight w:val="0"/>
                  <w:marTop w:val="0"/>
                  <w:marBottom w:val="0"/>
                  <w:divBdr>
                    <w:top w:val="none" w:sz="0" w:space="0" w:color="auto"/>
                    <w:left w:val="none" w:sz="0" w:space="0" w:color="auto"/>
                    <w:bottom w:val="none" w:sz="0" w:space="0" w:color="auto"/>
                    <w:right w:val="none" w:sz="0" w:space="0" w:color="auto"/>
                  </w:divBdr>
                  <w:divsChild>
                    <w:div w:id="662852405">
                      <w:marLeft w:val="0"/>
                      <w:marRight w:val="0"/>
                      <w:marTop w:val="0"/>
                      <w:marBottom w:val="0"/>
                      <w:divBdr>
                        <w:top w:val="none" w:sz="0" w:space="0" w:color="auto"/>
                        <w:left w:val="none" w:sz="0" w:space="0" w:color="auto"/>
                        <w:bottom w:val="none" w:sz="0" w:space="0" w:color="auto"/>
                        <w:right w:val="none" w:sz="0" w:space="0" w:color="auto"/>
                      </w:divBdr>
                      <w:divsChild>
                        <w:div w:id="1655405584">
                          <w:marLeft w:val="0"/>
                          <w:marRight w:val="0"/>
                          <w:marTop w:val="0"/>
                          <w:marBottom w:val="0"/>
                          <w:divBdr>
                            <w:top w:val="none" w:sz="0" w:space="0" w:color="auto"/>
                            <w:left w:val="none" w:sz="0" w:space="0" w:color="auto"/>
                            <w:bottom w:val="none" w:sz="0" w:space="0" w:color="auto"/>
                            <w:right w:val="none" w:sz="0" w:space="0" w:color="auto"/>
                          </w:divBdr>
                          <w:divsChild>
                            <w:div w:id="14815376">
                              <w:marLeft w:val="0"/>
                              <w:marRight w:val="0"/>
                              <w:marTop w:val="0"/>
                              <w:marBottom w:val="0"/>
                              <w:divBdr>
                                <w:top w:val="none" w:sz="0" w:space="0" w:color="auto"/>
                                <w:left w:val="none" w:sz="0" w:space="0" w:color="auto"/>
                                <w:bottom w:val="none" w:sz="0" w:space="0" w:color="auto"/>
                                <w:right w:val="none" w:sz="0" w:space="0" w:color="auto"/>
                              </w:divBdr>
                              <w:divsChild>
                                <w:div w:id="1519732371">
                                  <w:marLeft w:val="0"/>
                                  <w:marRight w:val="0"/>
                                  <w:marTop w:val="0"/>
                                  <w:marBottom w:val="0"/>
                                  <w:divBdr>
                                    <w:top w:val="none" w:sz="0" w:space="0" w:color="auto"/>
                                    <w:left w:val="none" w:sz="0" w:space="0" w:color="auto"/>
                                    <w:bottom w:val="none" w:sz="0" w:space="0" w:color="auto"/>
                                    <w:right w:val="none" w:sz="0" w:space="0" w:color="auto"/>
                                  </w:divBdr>
                                  <w:divsChild>
                                    <w:div w:id="1203055171">
                                      <w:marLeft w:val="0"/>
                                      <w:marRight w:val="0"/>
                                      <w:marTop w:val="0"/>
                                      <w:marBottom w:val="0"/>
                                      <w:divBdr>
                                        <w:top w:val="none" w:sz="0" w:space="0" w:color="auto"/>
                                        <w:left w:val="none" w:sz="0" w:space="0" w:color="auto"/>
                                        <w:bottom w:val="none" w:sz="0" w:space="0" w:color="auto"/>
                                        <w:right w:val="none" w:sz="0" w:space="0" w:color="auto"/>
                                      </w:divBdr>
                                      <w:divsChild>
                                        <w:div w:id="1992977641">
                                          <w:marLeft w:val="0"/>
                                          <w:marRight w:val="0"/>
                                          <w:marTop w:val="0"/>
                                          <w:marBottom w:val="0"/>
                                          <w:divBdr>
                                            <w:top w:val="none" w:sz="0" w:space="0" w:color="auto"/>
                                            <w:left w:val="none" w:sz="0" w:space="0" w:color="auto"/>
                                            <w:bottom w:val="none" w:sz="0" w:space="0" w:color="auto"/>
                                            <w:right w:val="none" w:sz="0" w:space="0" w:color="auto"/>
                                          </w:divBdr>
                                          <w:divsChild>
                                            <w:div w:id="14738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08416822">
      <w:bodyDiv w:val="1"/>
      <w:marLeft w:val="0"/>
      <w:marRight w:val="0"/>
      <w:marTop w:val="0"/>
      <w:marBottom w:val="0"/>
      <w:divBdr>
        <w:top w:val="none" w:sz="0" w:space="0" w:color="auto"/>
        <w:left w:val="none" w:sz="0" w:space="0" w:color="auto"/>
        <w:bottom w:val="none" w:sz="0" w:space="0" w:color="auto"/>
        <w:right w:val="none" w:sz="0" w:space="0" w:color="auto"/>
      </w:divBdr>
    </w:div>
    <w:div w:id="1030296525">
      <w:bodyDiv w:val="1"/>
      <w:marLeft w:val="0"/>
      <w:marRight w:val="0"/>
      <w:marTop w:val="0"/>
      <w:marBottom w:val="0"/>
      <w:divBdr>
        <w:top w:val="none" w:sz="0" w:space="0" w:color="auto"/>
        <w:left w:val="none" w:sz="0" w:space="0" w:color="auto"/>
        <w:bottom w:val="none" w:sz="0" w:space="0" w:color="auto"/>
        <w:right w:val="none" w:sz="0" w:space="0" w:color="auto"/>
      </w:divBdr>
    </w:div>
    <w:div w:id="1248617312">
      <w:bodyDiv w:val="1"/>
      <w:marLeft w:val="0"/>
      <w:marRight w:val="0"/>
      <w:marTop w:val="0"/>
      <w:marBottom w:val="0"/>
      <w:divBdr>
        <w:top w:val="none" w:sz="0" w:space="0" w:color="auto"/>
        <w:left w:val="none" w:sz="0" w:space="0" w:color="auto"/>
        <w:bottom w:val="none" w:sz="0" w:space="0" w:color="auto"/>
        <w:right w:val="none" w:sz="0" w:space="0" w:color="auto"/>
      </w:divBdr>
      <w:divsChild>
        <w:div w:id="2077581771">
          <w:marLeft w:val="0"/>
          <w:marRight w:val="0"/>
          <w:marTop w:val="0"/>
          <w:marBottom w:val="0"/>
          <w:divBdr>
            <w:top w:val="none" w:sz="0" w:space="0" w:color="auto"/>
            <w:left w:val="none" w:sz="0" w:space="0" w:color="auto"/>
            <w:bottom w:val="none" w:sz="0" w:space="0" w:color="auto"/>
            <w:right w:val="none" w:sz="0" w:space="0" w:color="auto"/>
          </w:divBdr>
          <w:divsChild>
            <w:div w:id="846216026">
              <w:marLeft w:val="0"/>
              <w:marRight w:val="0"/>
              <w:marTop w:val="0"/>
              <w:marBottom w:val="0"/>
              <w:divBdr>
                <w:top w:val="none" w:sz="0" w:space="0" w:color="auto"/>
                <w:left w:val="none" w:sz="0" w:space="0" w:color="auto"/>
                <w:bottom w:val="none" w:sz="0" w:space="0" w:color="auto"/>
                <w:right w:val="none" w:sz="0" w:space="0" w:color="auto"/>
              </w:divBdr>
              <w:divsChild>
                <w:div w:id="1652174576">
                  <w:marLeft w:val="0"/>
                  <w:marRight w:val="0"/>
                  <w:marTop w:val="0"/>
                  <w:marBottom w:val="0"/>
                  <w:divBdr>
                    <w:top w:val="none" w:sz="0" w:space="0" w:color="auto"/>
                    <w:left w:val="none" w:sz="0" w:space="0" w:color="auto"/>
                    <w:bottom w:val="none" w:sz="0" w:space="0" w:color="auto"/>
                    <w:right w:val="none" w:sz="0" w:space="0" w:color="auto"/>
                  </w:divBdr>
                  <w:divsChild>
                    <w:div w:id="1888251400">
                      <w:marLeft w:val="0"/>
                      <w:marRight w:val="0"/>
                      <w:marTop w:val="0"/>
                      <w:marBottom w:val="0"/>
                      <w:divBdr>
                        <w:top w:val="none" w:sz="0" w:space="0" w:color="auto"/>
                        <w:left w:val="none" w:sz="0" w:space="0" w:color="auto"/>
                        <w:bottom w:val="none" w:sz="0" w:space="0" w:color="auto"/>
                        <w:right w:val="none" w:sz="0" w:space="0" w:color="auto"/>
                      </w:divBdr>
                      <w:divsChild>
                        <w:div w:id="1055354337">
                          <w:marLeft w:val="0"/>
                          <w:marRight w:val="0"/>
                          <w:marTop w:val="0"/>
                          <w:marBottom w:val="0"/>
                          <w:divBdr>
                            <w:top w:val="none" w:sz="0" w:space="0" w:color="auto"/>
                            <w:left w:val="none" w:sz="0" w:space="0" w:color="auto"/>
                            <w:bottom w:val="none" w:sz="0" w:space="0" w:color="auto"/>
                            <w:right w:val="none" w:sz="0" w:space="0" w:color="auto"/>
                          </w:divBdr>
                          <w:divsChild>
                            <w:div w:id="1863129768">
                              <w:marLeft w:val="0"/>
                              <w:marRight w:val="0"/>
                              <w:marTop w:val="0"/>
                              <w:marBottom w:val="0"/>
                              <w:divBdr>
                                <w:top w:val="none" w:sz="0" w:space="0" w:color="auto"/>
                                <w:left w:val="none" w:sz="0" w:space="0" w:color="auto"/>
                                <w:bottom w:val="none" w:sz="0" w:space="0" w:color="auto"/>
                                <w:right w:val="none" w:sz="0" w:space="0" w:color="auto"/>
                              </w:divBdr>
                              <w:divsChild>
                                <w:div w:id="1866861872">
                                  <w:marLeft w:val="0"/>
                                  <w:marRight w:val="0"/>
                                  <w:marTop w:val="0"/>
                                  <w:marBottom w:val="0"/>
                                  <w:divBdr>
                                    <w:top w:val="none" w:sz="0" w:space="0" w:color="auto"/>
                                    <w:left w:val="none" w:sz="0" w:space="0" w:color="auto"/>
                                    <w:bottom w:val="none" w:sz="0" w:space="0" w:color="auto"/>
                                    <w:right w:val="none" w:sz="0" w:space="0" w:color="auto"/>
                                  </w:divBdr>
                                  <w:divsChild>
                                    <w:div w:id="138159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0137788">
      <w:bodyDiv w:val="1"/>
      <w:marLeft w:val="0"/>
      <w:marRight w:val="0"/>
      <w:marTop w:val="0"/>
      <w:marBottom w:val="0"/>
      <w:divBdr>
        <w:top w:val="none" w:sz="0" w:space="0" w:color="auto"/>
        <w:left w:val="none" w:sz="0" w:space="0" w:color="auto"/>
        <w:bottom w:val="none" w:sz="0" w:space="0" w:color="auto"/>
        <w:right w:val="none" w:sz="0" w:space="0" w:color="auto"/>
      </w:divBdr>
      <w:divsChild>
        <w:div w:id="379523215">
          <w:marLeft w:val="0"/>
          <w:marRight w:val="0"/>
          <w:marTop w:val="0"/>
          <w:marBottom w:val="0"/>
          <w:divBdr>
            <w:top w:val="none" w:sz="0" w:space="0" w:color="auto"/>
            <w:left w:val="none" w:sz="0" w:space="0" w:color="auto"/>
            <w:bottom w:val="none" w:sz="0" w:space="0" w:color="auto"/>
            <w:right w:val="none" w:sz="0" w:space="0" w:color="auto"/>
          </w:divBdr>
          <w:divsChild>
            <w:div w:id="77219111">
              <w:marLeft w:val="0"/>
              <w:marRight w:val="0"/>
              <w:marTop w:val="0"/>
              <w:marBottom w:val="0"/>
              <w:divBdr>
                <w:top w:val="none" w:sz="0" w:space="0" w:color="auto"/>
                <w:left w:val="none" w:sz="0" w:space="0" w:color="auto"/>
                <w:bottom w:val="none" w:sz="0" w:space="0" w:color="auto"/>
                <w:right w:val="none" w:sz="0" w:space="0" w:color="auto"/>
              </w:divBdr>
              <w:divsChild>
                <w:div w:id="395393168">
                  <w:marLeft w:val="0"/>
                  <w:marRight w:val="0"/>
                  <w:marTop w:val="0"/>
                  <w:marBottom w:val="0"/>
                  <w:divBdr>
                    <w:top w:val="none" w:sz="0" w:space="0" w:color="auto"/>
                    <w:left w:val="none" w:sz="0" w:space="0" w:color="auto"/>
                    <w:bottom w:val="none" w:sz="0" w:space="0" w:color="auto"/>
                    <w:right w:val="none" w:sz="0" w:space="0" w:color="auto"/>
                  </w:divBdr>
                  <w:divsChild>
                    <w:div w:id="1218856979">
                      <w:marLeft w:val="0"/>
                      <w:marRight w:val="0"/>
                      <w:marTop w:val="0"/>
                      <w:marBottom w:val="0"/>
                      <w:divBdr>
                        <w:top w:val="none" w:sz="0" w:space="0" w:color="auto"/>
                        <w:left w:val="none" w:sz="0" w:space="0" w:color="auto"/>
                        <w:bottom w:val="none" w:sz="0" w:space="0" w:color="auto"/>
                        <w:right w:val="none" w:sz="0" w:space="0" w:color="auto"/>
                      </w:divBdr>
                      <w:divsChild>
                        <w:div w:id="1714648237">
                          <w:marLeft w:val="0"/>
                          <w:marRight w:val="0"/>
                          <w:marTop w:val="0"/>
                          <w:marBottom w:val="0"/>
                          <w:divBdr>
                            <w:top w:val="none" w:sz="0" w:space="0" w:color="auto"/>
                            <w:left w:val="none" w:sz="0" w:space="0" w:color="auto"/>
                            <w:bottom w:val="none" w:sz="0" w:space="0" w:color="auto"/>
                            <w:right w:val="none" w:sz="0" w:space="0" w:color="auto"/>
                          </w:divBdr>
                          <w:divsChild>
                            <w:div w:id="1521163108">
                              <w:marLeft w:val="0"/>
                              <w:marRight w:val="0"/>
                              <w:marTop w:val="0"/>
                              <w:marBottom w:val="0"/>
                              <w:divBdr>
                                <w:top w:val="none" w:sz="0" w:space="0" w:color="auto"/>
                                <w:left w:val="none" w:sz="0" w:space="0" w:color="auto"/>
                                <w:bottom w:val="none" w:sz="0" w:space="0" w:color="auto"/>
                                <w:right w:val="none" w:sz="0" w:space="0" w:color="auto"/>
                              </w:divBdr>
                              <w:divsChild>
                                <w:div w:id="1225484121">
                                  <w:marLeft w:val="0"/>
                                  <w:marRight w:val="0"/>
                                  <w:marTop w:val="0"/>
                                  <w:marBottom w:val="0"/>
                                  <w:divBdr>
                                    <w:top w:val="none" w:sz="0" w:space="0" w:color="auto"/>
                                    <w:left w:val="none" w:sz="0" w:space="0" w:color="auto"/>
                                    <w:bottom w:val="none" w:sz="0" w:space="0" w:color="auto"/>
                                    <w:right w:val="none" w:sz="0" w:space="0" w:color="auto"/>
                                  </w:divBdr>
                                  <w:divsChild>
                                    <w:div w:id="108226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8959762">
      <w:bodyDiv w:val="1"/>
      <w:marLeft w:val="0"/>
      <w:marRight w:val="0"/>
      <w:marTop w:val="0"/>
      <w:marBottom w:val="0"/>
      <w:divBdr>
        <w:top w:val="none" w:sz="0" w:space="0" w:color="auto"/>
        <w:left w:val="none" w:sz="0" w:space="0" w:color="auto"/>
        <w:bottom w:val="none" w:sz="0" w:space="0" w:color="auto"/>
        <w:right w:val="none" w:sz="0" w:space="0" w:color="auto"/>
      </w:divBdr>
    </w:div>
    <w:div w:id="1673491614">
      <w:bodyDiv w:val="1"/>
      <w:marLeft w:val="0"/>
      <w:marRight w:val="0"/>
      <w:marTop w:val="0"/>
      <w:marBottom w:val="0"/>
      <w:divBdr>
        <w:top w:val="none" w:sz="0" w:space="0" w:color="auto"/>
        <w:left w:val="none" w:sz="0" w:space="0" w:color="auto"/>
        <w:bottom w:val="none" w:sz="0" w:space="0" w:color="auto"/>
        <w:right w:val="none" w:sz="0" w:space="0" w:color="auto"/>
      </w:divBdr>
    </w:div>
    <w:div w:id="1709066787">
      <w:bodyDiv w:val="1"/>
      <w:marLeft w:val="0"/>
      <w:marRight w:val="0"/>
      <w:marTop w:val="0"/>
      <w:marBottom w:val="0"/>
      <w:divBdr>
        <w:top w:val="none" w:sz="0" w:space="0" w:color="auto"/>
        <w:left w:val="none" w:sz="0" w:space="0" w:color="auto"/>
        <w:bottom w:val="none" w:sz="0" w:space="0" w:color="auto"/>
        <w:right w:val="none" w:sz="0" w:space="0" w:color="auto"/>
      </w:divBdr>
    </w:div>
    <w:div w:id="1755778012">
      <w:bodyDiv w:val="1"/>
      <w:marLeft w:val="0"/>
      <w:marRight w:val="0"/>
      <w:marTop w:val="0"/>
      <w:marBottom w:val="0"/>
      <w:divBdr>
        <w:top w:val="none" w:sz="0" w:space="0" w:color="auto"/>
        <w:left w:val="none" w:sz="0" w:space="0" w:color="auto"/>
        <w:bottom w:val="none" w:sz="0" w:space="0" w:color="auto"/>
        <w:right w:val="none" w:sz="0" w:space="0" w:color="auto"/>
      </w:divBdr>
    </w:div>
    <w:div w:id="1765497188">
      <w:bodyDiv w:val="1"/>
      <w:marLeft w:val="0"/>
      <w:marRight w:val="0"/>
      <w:marTop w:val="0"/>
      <w:marBottom w:val="0"/>
      <w:divBdr>
        <w:top w:val="none" w:sz="0" w:space="0" w:color="auto"/>
        <w:left w:val="none" w:sz="0" w:space="0" w:color="auto"/>
        <w:bottom w:val="none" w:sz="0" w:space="0" w:color="auto"/>
        <w:right w:val="none" w:sz="0" w:space="0" w:color="auto"/>
      </w:divBdr>
      <w:divsChild>
        <w:div w:id="1733427753">
          <w:marLeft w:val="0"/>
          <w:marRight w:val="0"/>
          <w:marTop w:val="0"/>
          <w:marBottom w:val="0"/>
          <w:divBdr>
            <w:top w:val="none" w:sz="0" w:space="0" w:color="auto"/>
            <w:left w:val="none" w:sz="0" w:space="0" w:color="auto"/>
            <w:bottom w:val="none" w:sz="0" w:space="0" w:color="auto"/>
            <w:right w:val="none" w:sz="0" w:space="0" w:color="auto"/>
          </w:divBdr>
          <w:divsChild>
            <w:div w:id="160975106">
              <w:marLeft w:val="0"/>
              <w:marRight w:val="0"/>
              <w:marTop w:val="0"/>
              <w:marBottom w:val="0"/>
              <w:divBdr>
                <w:top w:val="none" w:sz="0" w:space="0" w:color="auto"/>
                <w:left w:val="none" w:sz="0" w:space="0" w:color="auto"/>
                <w:bottom w:val="none" w:sz="0" w:space="0" w:color="auto"/>
                <w:right w:val="none" w:sz="0" w:space="0" w:color="auto"/>
              </w:divBdr>
              <w:divsChild>
                <w:div w:id="353195324">
                  <w:marLeft w:val="0"/>
                  <w:marRight w:val="0"/>
                  <w:marTop w:val="0"/>
                  <w:marBottom w:val="0"/>
                  <w:divBdr>
                    <w:top w:val="none" w:sz="0" w:space="0" w:color="auto"/>
                    <w:left w:val="none" w:sz="0" w:space="0" w:color="auto"/>
                    <w:bottom w:val="none" w:sz="0" w:space="0" w:color="auto"/>
                    <w:right w:val="none" w:sz="0" w:space="0" w:color="auto"/>
                  </w:divBdr>
                  <w:divsChild>
                    <w:div w:id="1995910898">
                      <w:marLeft w:val="0"/>
                      <w:marRight w:val="0"/>
                      <w:marTop w:val="0"/>
                      <w:marBottom w:val="0"/>
                      <w:divBdr>
                        <w:top w:val="none" w:sz="0" w:space="0" w:color="auto"/>
                        <w:left w:val="none" w:sz="0" w:space="0" w:color="auto"/>
                        <w:bottom w:val="none" w:sz="0" w:space="0" w:color="auto"/>
                        <w:right w:val="none" w:sz="0" w:space="0" w:color="auto"/>
                      </w:divBdr>
                      <w:divsChild>
                        <w:div w:id="919679486">
                          <w:marLeft w:val="0"/>
                          <w:marRight w:val="0"/>
                          <w:marTop w:val="0"/>
                          <w:marBottom w:val="0"/>
                          <w:divBdr>
                            <w:top w:val="none" w:sz="0" w:space="0" w:color="auto"/>
                            <w:left w:val="none" w:sz="0" w:space="0" w:color="auto"/>
                            <w:bottom w:val="none" w:sz="0" w:space="0" w:color="auto"/>
                            <w:right w:val="none" w:sz="0" w:space="0" w:color="auto"/>
                          </w:divBdr>
                          <w:divsChild>
                            <w:div w:id="1026952331">
                              <w:marLeft w:val="0"/>
                              <w:marRight w:val="0"/>
                              <w:marTop w:val="0"/>
                              <w:marBottom w:val="0"/>
                              <w:divBdr>
                                <w:top w:val="none" w:sz="0" w:space="0" w:color="auto"/>
                                <w:left w:val="none" w:sz="0" w:space="0" w:color="auto"/>
                                <w:bottom w:val="none" w:sz="0" w:space="0" w:color="auto"/>
                                <w:right w:val="none" w:sz="0" w:space="0" w:color="auto"/>
                              </w:divBdr>
                              <w:divsChild>
                                <w:div w:id="453522914">
                                  <w:marLeft w:val="0"/>
                                  <w:marRight w:val="0"/>
                                  <w:marTop w:val="0"/>
                                  <w:marBottom w:val="0"/>
                                  <w:divBdr>
                                    <w:top w:val="none" w:sz="0" w:space="0" w:color="auto"/>
                                    <w:left w:val="none" w:sz="0" w:space="0" w:color="auto"/>
                                    <w:bottom w:val="none" w:sz="0" w:space="0" w:color="auto"/>
                                    <w:right w:val="none" w:sz="0" w:space="0" w:color="auto"/>
                                  </w:divBdr>
                                  <w:divsChild>
                                    <w:div w:id="97251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6994568">
      <w:bodyDiv w:val="1"/>
      <w:marLeft w:val="0"/>
      <w:marRight w:val="0"/>
      <w:marTop w:val="0"/>
      <w:marBottom w:val="0"/>
      <w:divBdr>
        <w:top w:val="none" w:sz="0" w:space="0" w:color="auto"/>
        <w:left w:val="none" w:sz="0" w:space="0" w:color="auto"/>
        <w:bottom w:val="none" w:sz="0" w:space="0" w:color="auto"/>
        <w:right w:val="none" w:sz="0" w:space="0" w:color="auto"/>
      </w:divBdr>
    </w:div>
    <w:div w:id="1902472898">
      <w:bodyDiv w:val="1"/>
      <w:marLeft w:val="0"/>
      <w:marRight w:val="0"/>
      <w:marTop w:val="0"/>
      <w:marBottom w:val="0"/>
      <w:divBdr>
        <w:top w:val="none" w:sz="0" w:space="0" w:color="auto"/>
        <w:left w:val="none" w:sz="0" w:space="0" w:color="auto"/>
        <w:bottom w:val="none" w:sz="0" w:space="0" w:color="auto"/>
        <w:right w:val="none" w:sz="0" w:space="0" w:color="auto"/>
      </w:divBdr>
    </w:div>
    <w:div w:id="2005935613">
      <w:bodyDiv w:val="1"/>
      <w:marLeft w:val="0"/>
      <w:marRight w:val="0"/>
      <w:marTop w:val="0"/>
      <w:marBottom w:val="0"/>
      <w:divBdr>
        <w:top w:val="none" w:sz="0" w:space="0" w:color="auto"/>
        <w:left w:val="none" w:sz="0" w:space="0" w:color="auto"/>
        <w:bottom w:val="none" w:sz="0" w:space="0" w:color="auto"/>
        <w:right w:val="none" w:sz="0" w:space="0" w:color="auto"/>
      </w:divBdr>
    </w:div>
    <w:div w:id="2124112417">
      <w:bodyDiv w:val="1"/>
      <w:marLeft w:val="0"/>
      <w:marRight w:val="0"/>
      <w:marTop w:val="0"/>
      <w:marBottom w:val="0"/>
      <w:divBdr>
        <w:top w:val="none" w:sz="0" w:space="0" w:color="auto"/>
        <w:left w:val="none" w:sz="0" w:space="0" w:color="auto"/>
        <w:bottom w:val="none" w:sz="0" w:space="0" w:color="auto"/>
        <w:right w:val="none" w:sz="0" w:space="0" w:color="auto"/>
      </w:divBdr>
      <w:divsChild>
        <w:div w:id="412630958">
          <w:marLeft w:val="0"/>
          <w:marRight w:val="0"/>
          <w:marTop w:val="0"/>
          <w:marBottom w:val="0"/>
          <w:divBdr>
            <w:top w:val="none" w:sz="0" w:space="0" w:color="auto"/>
            <w:left w:val="none" w:sz="0" w:space="0" w:color="auto"/>
            <w:bottom w:val="none" w:sz="0" w:space="0" w:color="auto"/>
            <w:right w:val="none" w:sz="0" w:space="0" w:color="auto"/>
          </w:divBdr>
          <w:divsChild>
            <w:div w:id="8551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8.png"/><Relationship Id="rId42" Type="http://schemas.openxmlformats.org/officeDocument/2006/relationships/hyperlink" Target="https://marriott.gcs-web.com/annual?utm_source=chatgpt.com" TargetMode="External"/><Relationship Id="rId47" Type="http://schemas.openxmlformats.org/officeDocument/2006/relationships/hyperlink" Target="https://marriott.gcs-web.com/corporate-governance" TargetMode="External"/><Relationship Id="rId63" Type="http://schemas.openxmlformats.org/officeDocument/2006/relationships/hyperlink" Target="https://data.worldbank.org" TargetMode="External"/><Relationship Id="rId68" Type="http://schemas.openxmlformats.org/officeDocument/2006/relationships/chart" Target="charts/chart12.xml"/><Relationship Id="rId84" Type="http://schemas.openxmlformats.org/officeDocument/2006/relationships/image" Target="media/image25.png"/><Relationship Id="rId89" Type="http://schemas.openxmlformats.org/officeDocument/2006/relationships/image" Target="media/image30.png"/><Relationship Id="rId16" Type="http://schemas.openxmlformats.org/officeDocument/2006/relationships/chart" Target="charts/chart5.xml"/><Relationship Id="rId11" Type="http://schemas.openxmlformats.org/officeDocument/2006/relationships/image" Target="media/image3.png"/><Relationship Id="rId32" Type="http://schemas.openxmlformats.org/officeDocument/2006/relationships/hyperlink" Target="https://www.ifrs.org" TargetMode="External"/><Relationship Id="rId37" Type="http://schemas.openxmlformats.org/officeDocument/2006/relationships/hyperlink" Target="https://www.iea.org" TargetMode="External"/><Relationship Id="rId53" Type="http://schemas.openxmlformats.org/officeDocument/2006/relationships/hyperlink" Target="https://www.msci.com/our-solutions/esg-investing/esg-ratings" TargetMode="External"/><Relationship Id="rId58" Type="http://schemas.openxmlformats.org/officeDocument/2006/relationships/hyperlink" Target="https://www.pwc.com" TargetMode="External"/><Relationship Id="rId74" Type="http://schemas.openxmlformats.org/officeDocument/2006/relationships/image" Target="media/image15.png"/><Relationship Id="rId79" Type="http://schemas.openxmlformats.org/officeDocument/2006/relationships/image" Target="media/image20.png"/><Relationship Id="rId5" Type="http://schemas.openxmlformats.org/officeDocument/2006/relationships/footnotes" Target="footnotes.xml"/><Relationship Id="rId90" Type="http://schemas.openxmlformats.org/officeDocument/2006/relationships/image" Target="media/image31.png"/><Relationship Id="rId22" Type="http://schemas.openxmlformats.org/officeDocument/2006/relationships/chart" Target="charts/chart8.xml"/><Relationship Id="rId27" Type="http://schemas.openxmlformats.org/officeDocument/2006/relationships/image" Target="media/image12.png"/><Relationship Id="rId43" Type="http://schemas.openxmlformats.org/officeDocument/2006/relationships/hyperlink" Target="https://marriott.gcs-web.com/sec-filings/sec-filing/10-k/0001628280-25-004818?utm_source=chatgpt.com" TargetMode="External"/><Relationship Id="rId48" Type="http://schemas.openxmlformats.org/officeDocument/2006/relationships/hyperlink" Target="https://serve360.marriott.com" TargetMode="External"/><Relationship Id="rId64" Type="http://schemas.openxmlformats.org/officeDocument/2006/relationships/hyperlink" Target="https://www.weforum.org" TargetMode="External"/><Relationship Id="rId69" Type="http://schemas.openxmlformats.org/officeDocument/2006/relationships/chart" Target="charts/chart13.xml"/><Relationship Id="rId8" Type="http://schemas.openxmlformats.org/officeDocument/2006/relationships/chart" Target="charts/chart1.xml"/><Relationship Id="rId51" Type="http://schemas.openxmlformats.org/officeDocument/2006/relationships/hyperlink" Target="https://www.sec.gov/Archives/edgar/data/1048286/000104828626000007/0001048286-26-000007-index.htm?utm_source=chatgpt.com" TargetMode="External"/><Relationship Id="rId72" Type="http://schemas.openxmlformats.org/officeDocument/2006/relationships/image" Target="media/image13.png"/><Relationship Id="rId80" Type="http://schemas.openxmlformats.org/officeDocument/2006/relationships/image" Target="media/image21.png"/><Relationship Id="rId85" Type="http://schemas.openxmlformats.org/officeDocument/2006/relationships/image" Target="media/image26.png"/><Relationship Id="rId93"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chart" Target="charts/chart3.xm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hyperlink" Target="https://www.ifrs.org/groups/international-accounting-standards-board" TargetMode="External"/><Relationship Id="rId38" Type="http://schemas.openxmlformats.org/officeDocument/2006/relationships/hyperlink" Target="https://www.imf.org" TargetMode="External"/><Relationship Id="rId46" Type="http://schemas.openxmlformats.org/officeDocument/2006/relationships/hyperlink" Target="https://marriott.gcs-web.com" TargetMode="External"/><Relationship Id="rId59" Type="http://schemas.openxmlformats.org/officeDocument/2006/relationships/hyperlink" Target="https://www.statista.com" TargetMode="External"/><Relationship Id="rId67" Type="http://schemas.openxmlformats.org/officeDocument/2006/relationships/chart" Target="charts/chart11.xml"/><Relationship Id="rId20" Type="http://schemas.openxmlformats.org/officeDocument/2006/relationships/chart" Target="charts/chart7.xml"/><Relationship Id="rId41" Type="http://schemas.openxmlformats.org/officeDocument/2006/relationships/hyperlink" Target="https://www.macrotrends.net" TargetMode="External"/><Relationship Id="rId54" Type="http://schemas.openxmlformats.org/officeDocument/2006/relationships/hyperlink" Target="https://www.nasdaq.com/market-activity/stocks/mar" TargetMode="External"/><Relationship Id="rId62" Type="http://schemas.openxmlformats.org/officeDocument/2006/relationships/hyperlink" Target="https://www.unwto.org" TargetMode="External"/><Relationship Id="rId70" Type="http://schemas.openxmlformats.org/officeDocument/2006/relationships/chart" Target="charts/chart14.xml"/><Relationship Id="rId75" Type="http://schemas.openxmlformats.org/officeDocument/2006/relationships/image" Target="media/image16.png"/><Relationship Id="rId83" Type="http://schemas.openxmlformats.org/officeDocument/2006/relationships/image" Target="media/image24.png"/><Relationship Id="rId88" Type="http://schemas.openxmlformats.org/officeDocument/2006/relationships/image" Target="media/image29.png"/><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hyperlink" Target="https://corporatefinanceinstitute.com" TargetMode="External"/><Relationship Id="rId36" Type="http://schemas.openxmlformats.org/officeDocument/2006/relationships/hyperlink" Target="https://www.imanet.org" TargetMode="External"/><Relationship Id="rId49" Type="http://schemas.openxmlformats.org/officeDocument/2006/relationships/hyperlink" Target="https://www.marriott.com" TargetMode="External"/><Relationship Id="rId57" Type="http://schemas.openxmlformats.org/officeDocument/2006/relationships/hyperlink" Target="https://www.pwc.com/us/en/industries/consumer-markets/library/esg-reporting-in-hospitality.html?utm_source=chatgpt.com" TargetMode="External"/><Relationship Id="rId10" Type="http://schemas.openxmlformats.org/officeDocument/2006/relationships/chart" Target="charts/chart2.xml"/><Relationship Id="rId31" Type="http://schemas.openxmlformats.org/officeDocument/2006/relationships/hyperlink" Target="https://www.globalreporting.org" TargetMode="External"/><Relationship Id="rId44" Type="http://schemas.openxmlformats.org/officeDocument/2006/relationships/hyperlink" Target="https://marriott.gcs-web.com/download-library?utm_source=chatgpt.com" TargetMode="External"/><Relationship Id="rId52" Type="http://schemas.openxmlformats.org/officeDocument/2006/relationships/hyperlink" Target="https://www.morningstar.com" TargetMode="External"/><Relationship Id="rId60" Type="http://schemas.openxmlformats.org/officeDocument/2006/relationships/hyperlink" Target="https://tradingeconomics.com" TargetMode="External"/><Relationship Id="rId65" Type="http://schemas.openxmlformats.org/officeDocument/2006/relationships/hyperlink" Target="https://finance.yahoo.com/quote/MAR" TargetMode="External"/><Relationship Id="rId73" Type="http://schemas.openxmlformats.org/officeDocument/2006/relationships/image" Target="media/image14.png"/><Relationship Id="rId78" Type="http://schemas.openxmlformats.org/officeDocument/2006/relationships/image" Target="media/image19.png"/><Relationship Id="rId81" Type="http://schemas.openxmlformats.org/officeDocument/2006/relationships/image" Target="media/image22.png"/><Relationship Id="rId86"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chart" Target="charts/chart6.xml"/><Relationship Id="rId39" Type="http://schemas.openxmlformats.org/officeDocument/2006/relationships/hyperlink" Target="https://www.investopedia.com" TargetMode="External"/><Relationship Id="rId34" Type="http://schemas.openxmlformats.org/officeDocument/2006/relationships/hyperlink" Target="https://www.ifrs.org/groups/international-sustainability-standards-board" TargetMode="External"/><Relationship Id="rId50" Type="http://schemas.openxmlformats.org/officeDocument/2006/relationships/hyperlink" Target="https://marriott.gcs-web.com/sec-filings/sec-filing/ars/0001140361-26-011592?utm_source=chatgpt.com" TargetMode="External"/><Relationship Id="rId55" Type="http://schemas.openxmlformats.org/officeDocument/2006/relationships/hyperlink" Target="https://www.nyse.com" TargetMode="External"/><Relationship Id="rId76" Type="http://schemas.openxmlformats.org/officeDocument/2006/relationships/image" Target="media/image17.png"/><Relationship Id="rId7" Type="http://schemas.openxmlformats.org/officeDocument/2006/relationships/image" Target="media/image1.png"/><Relationship Id="rId71" Type="http://schemas.openxmlformats.org/officeDocument/2006/relationships/chart" Target="charts/chart15.xml"/><Relationship Id="rId92" Type="http://schemas.openxmlformats.org/officeDocument/2006/relationships/fontTable" Target="fontTable.xml"/><Relationship Id="rId2" Type="http://schemas.openxmlformats.org/officeDocument/2006/relationships/styles" Target="styles.xml"/><Relationship Id="rId29" Type="http://schemas.openxmlformats.org/officeDocument/2006/relationships/hyperlink" Target="https://www.ey.com/en_gl/insights" TargetMode="External"/><Relationship Id="rId24" Type="http://schemas.openxmlformats.org/officeDocument/2006/relationships/chart" Target="charts/chart9.xml"/><Relationship Id="rId40" Type="http://schemas.openxmlformats.org/officeDocument/2006/relationships/hyperlink" Target="https://kpmg.com/xx/en/home/insights.html" TargetMode="External"/><Relationship Id="rId45" Type="http://schemas.openxmlformats.org/officeDocument/2006/relationships/hyperlink" Target="https://marriott.gcs-web.com/sustainability-and-social-impact?utm_source=chatgpt.com" TargetMode="External"/><Relationship Id="rId66" Type="http://schemas.openxmlformats.org/officeDocument/2006/relationships/chart" Target="charts/chart10.xml"/><Relationship Id="rId87" Type="http://schemas.openxmlformats.org/officeDocument/2006/relationships/image" Target="media/image28.png"/><Relationship Id="rId61" Type="http://schemas.openxmlformats.org/officeDocument/2006/relationships/hyperlink" Target="https://www.sec.gov" TargetMode="External"/><Relationship Id="rId82" Type="http://schemas.openxmlformats.org/officeDocument/2006/relationships/image" Target="media/image23.png"/><Relationship Id="rId19" Type="http://schemas.openxmlformats.org/officeDocument/2006/relationships/image" Target="media/image7.png"/><Relationship Id="rId14" Type="http://schemas.openxmlformats.org/officeDocument/2006/relationships/chart" Target="charts/chart4.xml"/><Relationship Id="rId30" Type="http://schemas.openxmlformats.org/officeDocument/2006/relationships/hyperlink" Target="https://fred.stlouisfed.org" TargetMode="External"/><Relationship Id="rId35" Type="http://schemas.openxmlformats.org/officeDocument/2006/relationships/hyperlink" Target="https://sasb.ifrs.org" TargetMode="External"/><Relationship Id="rId56" Type="http://schemas.openxmlformats.org/officeDocument/2006/relationships/hyperlink" Target="https://www.oecd.org" TargetMode="External"/><Relationship Id="rId77" Type="http://schemas.openxmlformats.org/officeDocument/2006/relationships/image" Target="media/image18.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Downloads\14565.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P\Downloads\14565.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HP\Downloads\14565.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HP\Downloads\14565.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HP\Downloads\14565.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HP\Downloads\14565.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Sheet1!$A$2</c:f>
              <c:strCache>
                <c:ptCount val="1"/>
                <c:pt idx="0">
                  <c:v>Revenue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Sheet1!$B$1:$F$1</c:f>
              <c:strCache>
                <c:ptCount val="5"/>
                <c:pt idx="0">
                  <c:v>2021 (US$ m)</c:v>
                </c:pt>
                <c:pt idx="1">
                  <c:v>2022 (US$ m)</c:v>
                </c:pt>
                <c:pt idx="2">
                  <c:v>2023 (US$ m)</c:v>
                </c:pt>
                <c:pt idx="3">
                  <c:v>2024 (US$ m)</c:v>
                </c:pt>
                <c:pt idx="4">
                  <c:v>2025 (US$ m)</c:v>
                </c:pt>
              </c:strCache>
            </c:strRef>
          </c:cat>
          <c:val>
            <c:numRef>
              <c:f>Sheet1!$B$2:$F$2</c:f>
              <c:numCache>
                <c:formatCode>#,##0</c:formatCode>
                <c:ptCount val="5"/>
                <c:pt idx="0">
                  <c:v>13857</c:v>
                </c:pt>
                <c:pt idx="1">
                  <c:v>20773</c:v>
                </c:pt>
                <c:pt idx="2">
                  <c:v>23713</c:v>
                </c:pt>
                <c:pt idx="3">
                  <c:v>25099</c:v>
                </c:pt>
                <c:pt idx="4">
                  <c:v>27456</c:v>
                </c:pt>
              </c:numCache>
            </c:numRef>
          </c:val>
          <c:extLst>
            <c:ext xmlns:c16="http://schemas.microsoft.com/office/drawing/2014/chart" uri="{C3380CC4-5D6E-409C-BE32-E72D297353CC}">
              <c16:uniqueId val="{00000000-93CA-4B9F-9F68-16AAFE049D12}"/>
            </c:ext>
          </c:extLst>
        </c:ser>
        <c:ser>
          <c:idx val="1"/>
          <c:order val="1"/>
          <c:tx>
            <c:strRef>
              <c:f>Sheet1!$A$3</c:f>
              <c:strCache>
                <c:ptCount val="1"/>
                <c:pt idx="0">
                  <c:v>Operating Costs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Sheet1!$B$1:$F$1</c:f>
              <c:strCache>
                <c:ptCount val="5"/>
                <c:pt idx="0">
                  <c:v>2021 (US$ m)</c:v>
                </c:pt>
                <c:pt idx="1">
                  <c:v>2022 (US$ m)</c:v>
                </c:pt>
                <c:pt idx="2">
                  <c:v>2023 (US$ m)</c:v>
                </c:pt>
                <c:pt idx="3">
                  <c:v>2024 (US$ m)</c:v>
                </c:pt>
                <c:pt idx="4">
                  <c:v>2025 (US$ m)</c:v>
                </c:pt>
              </c:strCache>
            </c:strRef>
          </c:cat>
          <c:val>
            <c:numRef>
              <c:f>Sheet1!$B$3:$F$3</c:f>
              <c:numCache>
                <c:formatCode>#,##0</c:formatCode>
                <c:ptCount val="5"/>
                <c:pt idx="0">
                  <c:v>12107</c:v>
                </c:pt>
                <c:pt idx="1">
                  <c:v>17684</c:v>
                </c:pt>
                <c:pt idx="2">
                  <c:v>20149</c:v>
                </c:pt>
                <c:pt idx="3">
                  <c:v>21210</c:v>
                </c:pt>
                <c:pt idx="4">
                  <c:v>23170</c:v>
                </c:pt>
              </c:numCache>
            </c:numRef>
          </c:val>
          <c:extLst>
            <c:ext xmlns:c16="http://schemas.microsoft.com/office/drawing/2014/chart" uri="{C3380CC4-5D6E-409C-BE32-E72D297353CC}">
              <c16:uniqueId val="{00000001-93CA-4B9F-9F68-16AAFE049D12}"/>
            </c:ext>
          </c:extLst>
        </c:ser>
        <c:ser>
          <c:idx val="2"/>
          <c:order val="2"/>
          <c:tx>
            <c:strRef>
              <c:f>Sheet1!$A$4</c:f>
              <c:strCache>
                <c:ptCount val="1"/>
                <c:pt idx="0">
                  <c:v>Net Profit</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Sheet1!$B$1:$F$1</c:f>
              <c:strCache>
                <c:ptCount val="5"/>
                <c:pt idx="0">
                  <c:v>2021 (US$ m)</c:v>
                </c:pt>
                <c:pt idx="1">
                  <c:v>2022 (US$ m)</c:v>
                </c:pt>
                <c:pt idx="2">
                  <c:v>2023 (US$ m)</c:v>
                </c:pt>
                <c:pt idx="3">
                  <c:v>2024 (US$ m)</c:v>
                </c:pt>
                <c:pt idx="4">
                  <c:v>2025 (US$ m)</c:v>
                </c:pt>
              </c:strCache>
            </c:strRef>
          </c:cat>
          <c:val>
            <c:numRef>
              <c:f>Sheet1!$B$4:$F$4</c:f>
              <c:numCache>
                <c:formatCode>#,##0</c:formatCode>
                <c:ptCount val="5"/>
                <c:pt idx="0">
                  <c:v>1099</c:v>
                </c:pt>
                <c:pt idx="1">
                  <c:v>2358</c:v>
                </c:pt>
                <c:pt idx="2">
                  <c:v>3083</c:v>
                </c:pt>
                <c:pt idx="3">
                  <c:v>3083</c:v>
                </c:pt>
                <c:pt idx="4">
                  <c:v>3410</c:v>
                </c:pt>
              </c:numCache>
            </c:numRef>
          </c:val>
          <c:extLst>
            <c:ext xmlns:c16="http://schemas.microsoft.com/office/drawing/2014/chart" uri="{C3380CC4-5D6E-409C-BE32-E72D297353CC}">
              <c16:uniqueId val="{00000002-93CA-4B9F-9F68-16AAFE049D12}"/>
            </c:ext>
          </c:extLst>
        </c:ser>
        <c:ser>
          <c:idx val="3"/>
          <c:order val="3"/>
          <c:tx>
            <c:strRef>
              <c:f>Sheet1!$A$5</c:f>
              <c:strCache>
                <c:ptCount val="1"/>
                <c:pt idx="0">
                  <c:v>Dividends Paid</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Sheet1!$B$1:$F$1</c:f>
              <c:strCache>
                <c:ptCount val="5"/>
                <c:pt idx="0">
                  <c:v>2021 (US$ m)</c:v>
                </c:pt>
                <c:pt idx="1">
                  <c:v>2022 (US$ m)</c:v>
                </c:pt>
                <c:pt idx="2">
                  <c:v>2023 (US$ m)</c:v>
                </c:pt>
                <c:pt idx="3">
                  <c:v>2024 (US$ m)</c:v>
                </c:pt>
                <c:pt idx="4">
                  <c:v>2025 (US$ m)</c:v>
                </c:pt>
              </c:strCache>
            </c:strRef>
          </c:cat>
          <c:val>
            <c:numRef>
              <c:f>Sheet1!$B$5:$F$5</c:f>
              <c:numCache>
                <c:formatCode>General</c:formatCode>
                <c:ptCount val="5"/>
                <c:pt idx="0">
                  <c:v>273</c:v>
                </c:pt>
                <c:pt idx="1">
                  <c:v>613</c:v>
                </c:pt>
                <c:pt idx="2">
                  <c:v>750</c:v>
                </c:pt>
                <c:pt idx="3">
                  <c:v>858</c:v>
                </c:pt>
                <c:pt idx="4">
                  <c:v>950</c:v>
                </c:pt>
              </c:numCache>
            </c:numRef>
          </c:val>
          <c:extLst>
            <c:ext xmlns:c16="http://schemas.microsoft.com/office/drawing/2014/chart" uri="{C3380CC4-5D6E-409C-BE32-E72D297353CC}">
              <c16:uniqueId val="{00000003-93CA-4B9F-9F68-16AAFE049D12}"/>
            </c:ext>
          </c:extLst>
        </c:ser>
        <c:dLbls>
          <c:dLblPos val="outEnd"/>
          <c:showLegendKey val="0"/>
          <c:showVal val="1"/>
          <c:showCatName val="0"/>
          <c:showSerName val="0"/>
          <c:showPercent val="0"/>
          <c:showBubbleSize val="0"/>
        </c:dLbls>
        <c:gapWidth val="444"/>
        <c:overlap val="-90"/>
        <c:axId val="725043024"/>
        <c:axId val="725043568"/>
      </c:barChart>
      <c:catAx>
        <c:axId val="7250430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25043568"/>
        <c:crosses val="autoZero"/>
        <c:auto val="1"/>
        <c:lblAlgn val="ctr"/>
        <c:lblOffset val="100"/>
        <c:noMultiLvlLbl val="0"/>
      </c:catAx>
      <c:valAx>
        <c:axId val="725043568"/>
        <c:scaling>
          <c:orientation val="minMax"/>
        </c:scaling>
        <c:delete val="1"/>
        <c:axPos val="l"/>
        <c:numFmt formatCode="#,##0" sourceLinked="1"/>
        <c:majorTickMark val="none"/>
        <c:minorTickMark val="none"/>
        <c:tickLblPos val="nextTo"/>
        <c:crossAx val="7250430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'[14565.xlsx]Sheet2'!$A$12:$B$12</c:f>
              <c:strCache>
                <c:ptCount val="2"/>
                <c:pt idx="0">
                  <c:v>Net Profit Margin</c:v>
                </c:pt>
                <c:pt idx="1">
                  <c:v>C/A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'[14565.xlsx]Sheet2'!$C$11:$G$11</c:f>
              <c:numCache>
                <c:formatCode>General</c:formatCode>
                <c:ptCount val="5"/>
                <c:pt idx="0">
                  <c:v>2021</c:v>
                </c:pt>
                <c:pt idx="1">
                  <c:v>2022</c:v>
                </c:pt>
                <c:pt idx="2">
                  <c:v>2023</c:v>
                </c:pt>
                <c:pt idx="3">
                  <c:v>2024</c:v>
                </c:pt>
                <c:pt idx="4">
                  <c:v>2025</c:v>
                </c:pt>
              </c:numCache>
            </c:numRef>
          </c:cat>
          <c:val>
            <c:numRef>
              <c:f>'[14565.xlsx]Sheet2'!$C$12:$G$12</c:f>
              <c:numCache>
                <c:formatCode>0.00%</c:formatCode>
                <c:ptCount val="5"/>
                <c:pt idx="0">
                  <c:v>7.9299999999999995E-2</c:v>
                </c:pt>
                <c:pt idx="1">
                  <c:v>0.1135</c:v>
                </c:pt>
                <c:pt idx="2">
                  <c:v>0.13</c:v>
                </c:pt>
                <c:pt idx="3">
                  <c:v>0.12280000000000001</c:v>
                </c:pt>
                <c:pt idx="4">
                  <c:v>0.1242</c:v>
                </c:pt>
              </c:numCache>
            </c:numRef>
          </c:val>
          <c:extLst>
            <c:ext xmlns:c16="http://schemas.microsoft.com/office/drawing/2014/chart" uri="{C3380CC4-5D6E-409C-BE32-E72D297353CC}">
              <c16:uniqueId val="{00000000-FB68-457C-8C91-C9783AE785C7}"/>
            </c:ext>
          </c:extLst>
        </c:ser>
        <c:ser>
          <c:idx val="1"/>
          <c:order val="1"/>
          <c:tx>
            <c:strRef>
              <c:f>'[14565.xlsx]Sheet2'!$A$13:$B$13</c:f>
              <c:strCache>
                <c:ptCount val="2"/>
                <c:pt idx="0">
                  <c:v>Return on Capital Employed (ROCE)</c:v>
                </c:pt>
                <c:pt idx="1">
                  <c:v>B/(D−E)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'[14565.xlsx]Sheet2'!$C$11:$G$11</c:f>
              <c:numCache>
                <c:formatCode>General</c:formatCode>
                <c:ptCount val="5"/>
                <c:pt idx="0">
                  <c:v>2021</c:v>
                </c:pt>
                <c:pt idx="1">
                  <c:v>2022</c:v>
                </c:pt>
                <c:pt idx="2">
                  <c:v>2023</c:v>
                </c:pt>
                <c:pt idx="3">
                  <c:v>2024</c:v>
                </c:pt>
                <c:pt idx="4">
                  <c:v>2025</c:v>
                </c:pt>
              </c:numCache>
            </c:numRef>
          </c:cat>
          <c:val>
            <c:numRef>
              <c:f>'[14565.xlsx]Sheet2'!$C$13:$G$13</c:f>
              <c:numCache>
                <c:formatCode>0.00%</c:formatCode>
                <c:ptCount val="5"/>
                <c:pt idx="0">
                  <c:v>9.2700000000000005E-2</c:v>
                </c:pt>
                <c:pt idx="1">
                  <c:v>0.16309999999999999</c:v>
                </c:pt>
                <c:pt idx="2">
                  <c:v>0.17730000000000001</c:v>
                </c:pt>
                <c:pt idx="3">
                  <c:v>0.18010000000000001</c:v>
                </c:pt>
                <c:pt idx="4">
                  <c:v>0.18740000000000001</c:v>
                </c:pt>
              </c:numCache>
            </c:numRef>
          </c:val>
          <c:extLst>
            <c:ext xmlns:c16="http://schemas.microsoft.com/office/drawing/2014/chart" uri="{C3380CC4-5D6E-409C-BE32-E72D297353CC}">
              <c16:uniqueId val="{00000001-FB68-457C-8C91-C9783AE785C7}"/>
            </c:ext>
          </c:extLst>
        </c:ser>
        <c:dLbls>
          <c:dLblPos val="outEnd"/>
          <c:showLegendKey val="0"/>
          <c:showVal val="1"/>
          <c:showCatName val="0"/>
          <c:showSerName val="0"/>
          <c:showPercent val="0"/>
          <c:showBubbleSize val="0"/>
        </c:dLbls>
        <c:gapWidth val="100"/>
        <c:overlap val="-24"/>
        <c:axId val="725044656"/>
        <c:axId val="725045200"/>
      </c:barChart>
      <c:catAx>
        <c:axId val="72504465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25045200"/>
        <c:crosses val="autoZero"/>
        <c:auto val="1"/>
        <c:lblAlgn val="ctr"/>
        <c:lblOffset val="100"/>
        <c:noMultiLvlLbl val="0"/>
      </c:catAx>
      <c:valAx>
        <c:axId val="725045200"/>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25044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Sheet3!$A$2:$B$2</c:f>
              <c:strCache>
                <c:ptCount val="2"/>
                <c:pt idx="0">
                  <c:v>Current Assets (US$ m)</c:v>
                </c:pt>
                <c:pt idx="1">
                  <c:v>A</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Sheet3!$C$2:$G$2</c:f>
              <c:numCache>
                <c:formatCode>#,##0</c:formatCode>
                <c:ptCount val="5"/>
                <c:pt idx="0">
                  <c:v>3632</c:v>
                </c:pt>
                <c:pt idx="1">
                  <c:v>3997</c:v>
                </c:pt>
                <c:pt idx="2">
                  <c:v>4415</c:v>
                </c:pt>
                <c:pt idx="3">
                  <c:v>4765</c:v>
                </c:pt>
                <c:pt idx="4">
                  <c:v>5198</c:v>
                </c:pt>
              </c:numCache>
            </c:numRef>
          </c:val>
          <c:extLst>
            <c:ext xmlns:c16="http://schemas.microsoft.com/office/drawing/2014/chart" uri="{C3380CC4-5D6E-409C-BE32-E72D297353CC}">
              <c16:uniqueId val="{00000000-E59B-437A-A5FD-C04D4455C662}"/>
            </c:ext>
          </c:extLst>
        </c:ser>
        <c:ser>
          <c:idx val="1"/>
          <c:order val="1"/>
          <c:tx>
            <c:strRef>
              <c:f>Sheet3!$A$3:$B$3</c:f>
              <c:strCache>
                <c:ptCount val="2"/>
                <c:pt idx="0">
                  <c:v>Inventories (US$ m)</c:v>
                </c:pt>
                <c:pt idx="1">
                  <c:v>B</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Sheet3!$C$3:$G$3</c:f>
              <c:numCache>
                <c:formatCode>General</c:formatCode>
                <c:ptCount val="5"/>
                <c:pt idx="0">
                  <c:v>108</c:v>
                </c:pt>
                <c:pt idx="1">
                  <c:v>121</c:v>
                </c:pt>
                <c:pt idx="2">
                  <c:v>133</c:v>
                </c:pt>
                <c:pt idx="3">
                  <c:v>142</c:v>
                </c:pt>
                <c:pt idx="4">
                  <c:v>150</c:v>
                </c:pt>
              </c:numCache>
            </c:numRef>
          </c:val>
          <c:extLst>
            <c:ext xmlns:c16="http://schemas.microsoft.com/office/drawing/2014/chart" uri="{C3380CC4-5D6E-409C-BE32-E72D297353CC}">
              <c16:uniqueId val="{00000001-E59B-437A-A5FD-C04D4455C662}"/>
            </c:ext>
          </c:extLst>
        </c:ser>
        <c:ser>
          <c:idx val="2"/>
          <c:order val="2"/>
          <c:tx>
            <c:strRef>
              <c:f>Sheet3!$A$4:$B$4</c:f>
              <c:strCache>
                <c:ptCount val="2"/>
                <c:pt idx="0">
                  <c:v>Current Liabilities (US$ m)</c:v>
                </c:pt>
                <c:pt idx="1">
                  <c:v>C</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Sheet3!$C$4:$G$4</c:f>
              <c:numCache>
                <c:formatCode>#,##0</c:formatCode>
                <c:ptCount val="5"/>
                <c:pt idx="0">
                  <c:v>5790</c:v>
                </c:pt>
                <c:pt idx="1">
                  <c:v>6180</c:v>
                </c:pt>
                <c:pt idx="2">
                  <c:v>6640</c:v>
                </c:pt>
                <c:pt idx="3">
                  <c:v>6940</c:v>
                </c:pt>
                <c:pt idx="4">
                  <c:v>7250</c:v>
                </c:pt>
              </c:numCache>
            </c:numRef>
          </c:val>
          <c:extLst>
            <c:ext xmlns:c16="http://schemas.microsoft.com/office/drawing/2014/chart" uri="{C3380CC4-5D6E-409C-BE32-E72D297353CC}">
              <c16:uniqueId val="{00000002-E59B-437A-A5FD-C04D4455C662}"/>
            </c:ext>
          </c:extLst>
        </c:ser>
        <c:ser>
          <c:idx val="3"/>
          <c:order val="3"/>
          <c:tx>
            <c:strRef>
              <c:f>Sheet3!$A$5:$B$5</c:f>
              <c:strCache>
                <c:ptCount val="2"/>
                <c:pt idx="0">
                  <c:v>Current Ratio</c:v>
                </c:pt>
                <c:pt idx="1">
                  <c:v>A/C</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Sheet3!$C$5:$G$5</c:f>
              <c:numCache>
                <c:formatCode>General</c:formatCode>
                <c:ptCount val="5"/>
                <c:pt idx="0">
                  <c:v>0.63</c:v>
                </c:pt>
                <c:pt idx="1">
                  <c:v>0.65</c:v>
                </c:pt>
                <c:pt idx="2">
                  <c:v>0.66</c:v>
                </c:pt>
                <c:pt idx="3">
                  <c:v>0.69</c:v>
                </c:pt>
                <c:pt idx="4">
                  <c:v>0.72</c:v>
                </c:pt>
              </c:numCache>
            </c:numRef>
          </c:val>
          <c:extLst>
            <c:ext xmlns:c16="http://schemas.microsoft.com/office/drawing/2014/chart" uri="{C3380CC4-5D6E-409C-BE32-E72D297353CC}">
              <c16:uniqueId val="{00000003-E59B-437A-A5FD-C04D4455C662}"/>
            </c:ext>
          </c:extLst>
        </c:ser>
        <c:ser>
          <c:idx val="4"/>
          <c:order val="4"/>
          <c:tx>
            <c:strRef>
              <c:f>Sheet3!$A$6:$B$6</c:f>
              <c:strCache>
                <c:ptCount val="2"/>
                <c:pt idx="0">
                  <c:v>Quick Ratio</c:v>
                </c:pt>
                <c:pt idx="1">
                  <c:v>(A−B)/C</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Sheet3!$C$6:$G$6</c:f>
              <c:numCache>
                <c:formatCode>General</c:formatCode>
                <c:ptCount val="5"/>
                <c:pt idx="0">
                  <c:v>0.61</c:v>
                </c:pt>
                <c:pt idx="1">
                  <c:v>0.63</c:v>
                </c:pt>
                <c:pt idx="2">
                  <c:v>0.64</c:v>
                </c:pt>
                <c:pt idx="3">
                  <c:v>0.67</c:v>
                </c:pt>
                <c:pt idx="4">
                  <c:v>0.7</c:v>
                </c:pt>
              </c:numCache>
            </c:numRef>
          </c:val>
          <c:extLst>
            <c:ext xmlns:c16="http://schemas.microsoft.com/office/drawing/2014/chart" uri="{C3380CC4-5D6E-409C-BE32-E72D297353CC}">
              <c16:uniqueId val="{00000004-E59B-437A-A5FD-C04D4455C662}"/>
            </c:ext>
          </c:extLst>
        </c:ser>
        <c:dLbls>
          <c:dLblPos val="outEnd"/>
          <c:showLegendKey val="0"/>
          <c:showVal val="1"/>
          <c:showCatName val="0"/>
          <c:showSerName val="0"/>
          <c:showPercent val="0"/>
          <c:showBubbleSize val="0"/>
        </c:dLbls>
        <c:gapWidth val="444"/>
        <c:overlap val="-90"/>
        <c:axId val="725045744"/>
        <c:axId val="725040848"/>
      </c:barChart>
      <c:catAx>
        <c:axId val="7250457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25040848"/>
        <c:crosses val="autoZero"/>
        <c:auto val="1"/>
        <c:lblAlgn val="ctr"/>
        <c:lblOffset val="100"/>
        <c:noMultiLvlLbl val="0"/>
      </c:catAx>
      <c:valAx>
        <c:axId val="725040848"/>
        <c:scaling>
          <c:orientation val="minMax"/>
        </c:scaling>
        <c:delete val="1"/>
        <c:axPos val="l"/>
        <c:numFmt formatCode="#,##0" sourceLinked="1"/>
        <c:majorTickMark val="none"/>
        <c:minorTickMark val="none"/>
        <c:tickLblPos val="nextTo"/>
        <c:crossAx val="72504574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Sheet4!$A$2:$B$2</c:f>
              <c:strCache>
                <c:ptCount val="2"/>
                <c:pt idx="0">
                  <c:v>Revenue (US$ m)</c:v>
                </c:pt>
                <c:pt idx="1">
                  <c:v>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Sheet4!$C$2:$G$2</c:f>
              <c:numCache>
                <c:formatCode>#,##0</c:formatCode>
                <c:ptCount val="5"/>
                <c:pt idx="0">
                  <c:v>13857</c:v>
                </c:pt>
                <c:pt idx="1">
                  <c:v>20773</c:v>
                </c:pt>
                <c:pt idx="2">
                  <c:v>23713</c:v>
                </c:pt>
                <c:pt idx="3">
                  <c:v>25099</c:v>
                </c:pt>
                <c:pt idx="4">
                  <c:v>27456</c:v>
                </c:pt>
              </c:numCache>
            </c:numRef>
          </c:val>
          <c:extLst>
            <c:ext xmlns:c16="http://schemas.microsoft.com/office/drawing/2014/chart" uri="{C3380CC4-5D6E-409C-BE32-E72D297353CC}">
              <c16:uniqueId val="{00000000-5425-435B-9C3D-1833C4898BC9}"/>
            </c:ext>
          </c:extLst>
        </c:ser>
        <c:ser>
          <c:idx val="1"/>
          <c:order val="1"/>
          <c:tx>
            <c:strRef>
              <c:f>Sheet4!$A$3:$B$3</c:f>
              <c:strCache>
                <c:ptCount val="2"/>
                <c:pt idx="0">
                  <c:v>Operating Costs (US$ m)</c:v>
                </c:pt>
                <c:pt idx="1">
                  <c:v>B</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Sheet4!$C$3:$G$3</c:f>
              <c:numCache>
                <c:formatCode>#,##0</c:formatCode>
                <c:ptCount val="5"/>
                <c:pt idx="0">
                  <c:v>12107</c:v>
                </c:pt>
                <c:pt idx="1">
                  <c:v>17684</c:v>
                </c:pt>
                <c:pt idx="2">
                  <c:v>20149</c:v>
                </c:pt>
                <c:pt idx="3">
                  <c:v>21210</c:v>
                </c:pt>
                <c:pt idx="4">
                  <c:v>23170</c:v>
                </c:pt>
              </c:numCache>
            </c:numRef>
          </c:val>
          <c:extLst>
            <c:ext xmlns:c16="http://schemas.microsoft.com/office/drawing/2014/chart" uri="{C3380CC4-5D6E-409C-BE32-E72D297353CC}">
              <c16:uniqueId val="{00000001-5425-435B-9C3D-1833C4898BC9}"/>
            </c:ext>
          </c:extLst>
        </c:ser>
        <c:dLbls>
          <c:dLblPos val="outEnd"/>
          <c:showLegendKey val="0"/>
          <c:showVal val="1"/>
          <c:showCatName val="0"/>
          <c:showSerName val="0"/>
          <c:showPercent val="0"/>
          <c:showBubbleSize val="0"/>
        </c:dLbls>
        <c:gapWidth val="100"/>
        <c:overlap val="-24"/>
        <c:axId val="725041392"/>
        <c:axId val="788052912"/>
      </c:barChart>
      <c:catAx>
        <c:axId val="72504139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8052912"/>
        <c:crosses val="autoZero"/>
        <c:auto val="1"/>
        <c:lblAlgn val="ctr"/>
        <c:lblOffset val="100"/>
        <c:noMultiLvlLbl val="0"/>
      </c:catAx>
      <c:valAx>
        <c:axId val="788052912"/>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25041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'[14565.xlsx]Sheet5'!$A$11:$B$11</c:f>
              <c:strCache>
                <c:ptCount val="2"/>
                <c:pt idx="0">
                  <c:v>Debt-to-Assets Ratio</c:v>
                </c:pt>
                <c:pt idx="1">
                  <c:v>A/B</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'[14565.xlsx]Sheet5'!$C$10:$G$10</c:f>
              <c:numCache>
                <c:formatCode>General</c:formatCode>
                <c:ptCount val="5"/>
                <c:pt idx="0">
                  <c:v>2021</c:v>
                </c:pt>
                <c:pt idx="1">
                  <c:v>2022</c:v>
                </c:pt>
                <c:pt idx="2">
                  <c:v>2023</c:v>
                </c:pt>
                <c:pt idx="3">
                  <c:v>2024</c:v>
                </c:pt>
                <c:pt idx="4">
                  <c:v>2025</c:v>
                </c:pt>
              </c:numCache>
            </c:numRef>
          </c:cat>
          <c:val>
            <c:numRef>
              <c:f>'[14565.xlsx]Sheet5'!$C$11:$G$11</c:f>
              <c:numCache>
                <c:formatCode>General</c:formatCode>
                <c:ptCount val="5"/>
                <c:pt idx="0">
                  <c:v>1.1499999999999999</c:v>
                </c:pt>
                <c:pt idx="1">
                  <c:v>1.1499999999999999</c:v>
                </c:pt>
                <c:pt idx="2">
                  <c:v>1.1399999999999999</c:v>
                </c:pt>
                <c:pt idx="3">
                  <c:v>1.1200000000000001</c:v>
                </c:pt>
                <c:pt idx="4">
                  <c:v>1.1200000000000001</c:v>
                </c:pt>
              </c:numCache>
            </c:numRef>
          </c:val>
          <c:extLst>
            <c:ext xmlns:c16="http://schemas.microsoft.com/office/drawing/2014/chart" uri="{C3380CC4-5D6E-409C-BE32-E72D297353CC}">
              <c16:uniqueId val="{00000000-EF0D-45E3-A226-DAB891E52FD2}"/>
            </c:ext>
          </c:extLst>
        </c:ser>
        <c:ser>
          <c:idx val="1"/>
          <c:order val="1"/>
          <c:tx>
            <c:strRef>
              <c:f>'[14565.xlsx]Sheet5'!$A$12:$B$12</c:f>
              <c:strCache>
                <c:ptCount val="2"/>
                <c:pt idx="0">
                  <c:v>Interest Coverage Ratio (Times)</c:v>
                </c:pt>
                <c:pt idx="1">
                  <c:v>C/D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'[14565.xlsx]Sheet5'!$C$10:$G$10</c:f>
              <c:numCache>
                <c:formatCode>General</c:formatCode>
                <c:ptCount val="5"/>
                <c:pt idx="0">
                  <c:v>2021</c:v>
                </c:pt>
                <c:pt idx="1">
                  <c:v>2022</c:v>
                </c:pt>
                <c:pt idx="2">
                  <c:v>2023</c:v>
                </c:pt>
                <c:pt idx="3">
                  <c:v>2024</c:v>
                </c:pt>
                <c:pt idx="4">
                  <c:v>2025</c:v>
                </c:pt>
              </c:numCache>
            </c:numRef>
          </c:cat>
          <c:val>
            <c:numRef>
              <c:f>'[14565.xlsx]Sheet5'!$C$12:$G$12</c:f>
              <c:numCache>
                <c:formatCode>General</c:formatCode>
                <c:ptCount val="5"/>
                <c:pt idx="0">
                  <c:v>4.0199999999999996</c:v>
                </c:pt>
                <c:pt idx="1">
                  <c:v>6.69</c:v>
                </c:pt>
                <c:pt idx="2">
                  <c:v>7.29</c:v>
                </c:pt>
                <c:pt idx="3">
                  <c:v>7.48</c:v>
                </c:pt>
                <c:pt idx="4">
                  <c:v>7.82</c:v>
                </c:pt>
              </c:numCache>
            </c:numRef>
          </c:val>
          <c:extLst>
            <c:ext xmlns:c16="http://schemas.microsoft.com/office/drawing/2014/chart" uri="{C3380CC4-5D6E-409C-BE32-E72D297353CC}">
              <c16:uniqueId val="{00000001-EF0D-45E3-A226-DAB891E52FD2}"/>
            </c:ext>
          </c:extLst>
        </c:ser>
        <c:dLbls>
          <c:dLblPos val="outEnd"/>
          <c:showLegendKey val="0"/>
          <c:showVal val="1"/>
          <c:showCatName val="0"/>
          <c:showSerName val="0"/>
          <c:showPercent val="0"/>
          <c:showBubbleSize val="0"/>
        </c:dLbls>
        <c:gapWidth val="100"/>
        <c:overlap val="-24"/>
        <c:axId val="788056720"/>
        <c:axId val="788057264"/>
      </c:barChart>
      <c:catAx>
        <c:axId val="78805672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8057264"/>
        <c:crosses val="autoZero"/>
        <c:auto val="1"/>
        <c:lblAlgn val="ctr"/>
        <c:lblOffset val="100"/>
        <c:noMultiLvlLbl val="0"/>
      </c:catAx>
      <c:valAx>
        <c:axId val="78805726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805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'[14565.xlsx]Sheet6'!$A$11:$B$11</c:f>
              <c:strCache>
                <c:ptCount val="2"/>
                <c:pt idx="0">
                  <c:v>Earnings per Share (US$)</c:v>
                </c:pt>
                <c:pt idx="1">
                  <c:v>A/C</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'[14565.xlsx]Sheet6'!$C$10:$G$10</c:f>
              <c:numCache>
                <c:formatCode>General</c:formatCode>
                <c:ptCount val="5"/>
                <c:pt idx="0">
                  <c:v>2021</c:v>
                </c:pt>
                <c:pt idx="1">
                  <c:v>2022</c:v>
                </c:pt>
                <c:pt idx="2">
                  <c:v>2023</c:v>
                </c:pt>
                <c:pt idx="3">
                  <c:v>2024</c:v>
                </c:pt>
                <c:pt idx="4">
                  <c:v>2025</c:v>
                </c:pt>
              </c:numCache>
            </c:numRef>
          </c:cat>
          <c:val>
            <c:numRef>
              <c:f>'[14565.xlsx]Sheet6'!$C$11:$G$11</c:f>
              <c:numCache>
                <c:formatCode>General</c:formatCode>
                <c:ptCount val="5"/>
                <c:pt idx="0">
                  <c:v>3.28</c:v>
                </c:pt>
                <c:pt idx="1">
                  <c:v>7.37</c:v>
                </c:pt>
                <c:pt idx="2">
                  <c:v>10.17</c:v>
                </c:pt>
                <c:pt idx="3">
                  <c:v>10.59</c:v>
                </c:pt>
                <c:pt idx="4">
                  <c:v>12.18</c:v>
                </c:pt>
              </c:numCache>
            </c:numRef>
          </c:val>
          <c:extLst>
            <c:ext xmlns:c16="http://schemas.microsoft.com/office/drawing/2014/chart" uri="{C3380CC4-5D6E-409C-BE32-E72D297353CC}">
              <c16:uniqueId val="{00000000-7950-40B2-B8FA-C89750E71FBE}"/>
            </c:ext>
          </c:extLst>
        </c:ser>
        <c:ser>
          <c:idx val="1"/>
          <c:order val="1"/>
          <c:tx>
            <c:strRef>
              <c:f>'[14565.xlsx]Sheet6'!$A$12:$B$12</c:f>
              <c:strCache>
                <c:ptCount val="2"/>
                <c:pt idx="0">
                  <c:v>Dividend per Share (US$)</c:v>
                </c:pt>
                <c:pt idx="1">
                  <c:v>B/C</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'[14565.xlsx]Sheet6'!$C$10:$G$10</c:f>
              <c:numCache>
                <c:formatCode>General</c:formatCode>
                <c:ptCount val="5"/>
                <c:pt idx="0">
                  <c:v>2021</c:v>
                </c:pt>
                <c:pt idx="1">
                  <c:v>2022</c:v>
                </c:pt>
                <c:pt idx="2">
                  <c:v>2023</c:v>
                </c:pt>
                <c:pt idx="3">
                  <c:v>2024</c:v>
                </c:pt>
                <c:pt idx="4">
                  <c:v>2025</c:v>
                </c:pt>
              </c:numCache>
            </c:numRef>
          </c:cat>
          <c:val>
            <c:numRef>
              <c:f>'[14565.xlsx]Sheet6'!$C$12:$G$12</c:f>
              <c:numCache>
                <c:formatCode>General</c:formatCode>
                <c:ptCount val="5"/>
                <c:pt idx="0">
                  <c:v>0.81</c:v>
                </c:pt>
                <c:pt idx="1">
                  <c:v>1.92</c:v>
                </c:pt>
                <c:pt idx="2">
                  <c:v>2.48</c:v>
                </c:pt>
                <c:pt idx="3">
                  <c:v>2.95</c:v>
                </c:pt>
                <c:pt idx="4">
                  <c:v>3.39</c:v>
                </c:pt>
              </c:numCache>
            </c:numRef>
          </c:val>
          <c:extLst>
            <c:ext xmlns:c16="http://schemas.microsoft.com/office/drawing/2014/chart" uri="{C3380CC4-5D6E-409C-BE32-E72D297353CC}">
              <c16:uniqueId val="{00000001-7950-40B2-B8FA-C89750E71FBE}"/>
            </c:ext>
          </c:extLst>
        </c:ser>
        <c:ser>
          <c:idx val="2"/>
          <c:order val="2"/>
          <c:tx>
            <c:strRef>
              <c:f>'[14565.xlsx]Sheet6'!$A$13:$B$13</c:f>
              <c:strCache>
                <c:ptCount val="2"/>
                <c:pt idx="0">
                  <c:v>Dividend Payout Ratio</c:v>
                </c:pt>
                <c:pt idx="1">
                  <c:v>B/A</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'[14565.xlsx]Sheet6'!$C$10:$G$10</c:f>
              <c:numCache>
                <c:formatCode>General</c:formatCode>
                <c:ptCount val="5"/>
                <c:pt idx="0">
                  <c:v>2021</c:v>
                </c:pt>
                <c:pt idx="1">
                  <c:v>2022</c:v>
                </c:pt>
                <c:pt idx="2">
                  <c:v>2023</c:v>
                </c:pt>
                <c:pt idx="3">
                  <c:v>2024</c:v>
                </c:pt>
                <c:pt idx="4">
                  <c:v>2025</c:v>
                </c:pt>
              </c:numCache>
            </c:numRef>
          </c:cat>
          <c:val>
            <c:numRef>
              <c:f>'[14565.xlsx]Sheet6'!$C$13:$G$13</c:f>
              <c:numCache>
                <c:formatCode>0.00%</c:formatCode>
                <c:ptCount val="5"/>
                <c:pt idx="0">
                  <c:v>0.24840000000000001</c:v>
                </c:pt>
                <c:pt idx="1">
                  <c:v>0.26</c:v>
                </c:pt>
                <c:pt idx="2">
                  <c:v>0.24329999999999999</c:v>
                </c:pt>
                <c:pt idx="3">
                  <c:v>0.27829999999999999</c:v>
                </c:pt>
                <c:pt idx="4">
                  <c:v>0.27860000000000001</c:v>
                </c:pt>
              </c:numCache>
            </c:numRef>
          </c:val>
          <c:extLst>
            <c:ext xmlns:c16="http://schemas.microsoft.com/office/drawing/2014/chart" uri="{C3380CC4-5D6E-409C-BE32-E72D297353CC}">
              <c16:uniqueId val="{00000002-7950-40B2-B8FA-C89750E71FBE}"/>
            </c:ext>
          </c:extLst>
        </c:ser>
        <c:dLbls>
          <c:dLblPos val="outEnd"/>
          <c:showLegendKey val="0"/>
          <c:showVal val="1"/>
          <c:showCatName val="0"/>
          <c:showSerName val="0"/>
          <c:showPercent val="0"/>
          <c:showBubbleSize val="0"/>
        </c:dLbls>
        <c:gapWidth val="444"/>
        <c:overlap val="-90"/>
        <c:axId val="788053456"/>
        <c:axId val="788052368"/>
      </c:barChart>
      <c:catAx>
        <c:axId val="7880534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88052368"/>
        <c:crosses val="autoZero"/>
        <c:auto val="1"/>
        <c:lblAlgn val="ctr"/>
        <c:lblOffset val="100"/>
        <c:noMultiLvlLbl val="0"/>
      </c:catAx>
      <c:valAx>
        <c:axId val="788052368"/>
        <c:scaling>
          <c:orientation val="minMax"/>
        </c:scaling>
        <c:delete val="1"/>
        <c:axPos val="l"/>
        <c:numFmt formatCode="General" sourceLinked="1"/>
        <c:majorTickMark val="none"/>
        <c:minorTickMark val="none"/>
        <c:tickLblPos val="nextTo"/>
        <c:crossAx val="7880534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Sheet7!$A$2:$B$2</c:f>
              <c:strCache>
                <c:ptCount val="2"/>
                <c:pt idx="0">
                  <c:v>Net Cash from Operating Activities (US$ m)</c:v>
                </c:pt>
                <c:pt idx="1">
                  <c:v>A</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Sheet7!$C$2:$G$2</c:f>
              <c:numCache>
                <c:formatCode>#,##0</c:formatCode>
                <c:ptCount val="5"/>
                <c:pt idx="0">
                  <c:v>2804</c:v>
                </c:pt>
                <c:pt idx="1">
                  <c:v>3003</c:v>
                </c:pt>
                <c:pt idx="2">
                  <c:v>3267</c:v>
                </c:pt>
                <c:pt idx="3">
                  <c:v>3512</c:v>
                </c:pt>
                <c:pt idx="4">
                  <c:v>3845</c:v>
                </c:pt>
              </c:numCache>
            </c:numRef>
          </c:val>
          <c:extLst>
            <c:ext xmlns:c16="http://schemas.microsoft.com/office/drawing/2014/chart" uri="{C3380CC4-5D6E-409C-BE32-E72D297353CC}">
              <c16:uniqueId val="{00000000-18FD-4057-97CD-5F5C9B48BAB3}"/>
            </c:ext>
          </c:extLst>
        </c:ser>
        <c:ser>
          <c:idx val="1"/>
          <c:order val="1"/>
          <c:tx>
            <c:strRef>
              <c:f>Sheet7!$A$3:$B$3</c:f>
              <c:strCache>
                <c:ptCount val="2"/>
                <c:pt idx="0">
                  <c:v>Current Liabilities (US$ m)</c:v>
                </c:pt>
                <c:pt idx="1">
                  <c:v>B</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Sheet7!$C$3:$G$3</c:f>
              <c:numCache>
                <c:formatCode>#,##0</c:formatCode>
                <c:ptCount val="5"/>
                <c:pt idx="0">
                  <c:v>5790</c:v>
                </c:pt>
                <c:pt idx="1">
                  <c:v>6180</c:v>
                </c:pt>
                <c:pt idx="2">
                  <c:v>6640</c:v>
                </c:pt>
                <c:pt idx="3">
                  <c:v>6940</c:v>
                </c:pt>
                <c:pt idx="4">
                  <c:v>7250</c:v>
                </c:pt>
              </c:numCache>
            </c:numRef>
          </c:val>
          <c:extLst>
            <c:ext xmlns:c16="http://schemas.microsoft.com/office/drawing/2014/chart" uri="{C3380CC4-5D6E-409C-BE32-E72D297353CC}">
              <c16:uniqueId val="{00000001-18FD-4057-97CD-5F5C9B48BAB3}"/>
            </c:ext>
          </c:extLst>
        </c:ser>
        <c:ser>
          <c:idx val="2"/>
          <c:order val="2"/>
          <c:tx>
            <c:strRef>
              <c:f>Sheet7!$A$4:$B$4</c:f>
              <c:strCache>
                <c:ptCount val="2"/>
                <c:pt idx="0">
                  <c:v>Capital Expenditure (US$ m)</c:v>
                </c:pt>
                <c:pt idx="1">
                  <c:v>C</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Sheet7!$C$4:$G$4</c:f>
              <c:numCache>
                <c:formatCode>General</c:formatCode>
                <c:ptCount val="5"/>
                <c:pt idx="0">
                  <c:v>584</c:v>
                </c:pt>
                <c:pt idx="1">
                  <c:v>675</c:v>
                </c:pt>
                <c:pt idx="2">
                  <c:v>762</c:v>
                </c:pt>
                <c:pt idx="3">
                  <c:v>815</c:v>
                </c:pt>
                <c:pt idx="4">
                  <c:v>890</c:v>
                </c:pt>
              </c:numCache>
            </c:numRef>
          </c:val>
          <c:extLst>
            <c:ext xmlns:c16="http://schemas.microsoft.com/office/drawing/2014/chart" uri="{C3380CC4-5D6E-409C-BE32-E72D297353CC}">
              <c16:uniqueId val="{00000002-18FD-4057-97CD-5F5C9B48BAB3}"/>
            </c:ext>
          </c:extLst>
        </c:ser>
        <c:ser>
          <c:idx val="3"/>
          <c:order val="3"/>
          <c:tx>
            <c:strRef>
              <c:f>Sheet7!$A$5:$B$5</c:f>
              <c:strCache>
                <c:ptCount val="2"/>
                <c:pt idx="0">
                  <c:v>Total Liabilities (US$ m)</c:v>
                </c:pt>
                <c:pt idx="1">
                  <c:v>D</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Sheet7!$C$5:$G$5</c:f>
              <c:numCache>
                <c:formatCode>#,##0</c:formatCode>
                <c:ptCount val="5"/>
                <c:pt idx="0">
                  <c:v>28376</c:v>
                </c:pt>
                <c:pt idx="1">
                  <c:v>28931</c:v>
                </c:pt>
                <c:pt idx="2">
                  <c:v>30512</c:v>
                </c:pt>
                <c:pt idx="3">
                  <c:v>31960</c:v>
                </c:pt>
                <c:pt idx="4">
                  <c:v>33705</c:v>
                </c:pt>
              </c:numCache>
            </c:numRef>
          </c:val>
          <c:extLst>
            <c:ext xmlns:c16="http://schemas.microsoft.com/office/drawing/2014/chart" uri="{C3380CC4-5D6E-409C-BE32-E72D297353CC}">
              <c16:uniqueId val="{00000003-18FD-4057-97CD-5F5C9B48BAB3}"/>
            </c:ext>
          </c:extLst>
        </c:ser>
        <c:dLbls>
          <c:dLblPos val="outEnd"/>
          <c:showLegendKey val="0"/>
          <c:showVal val="1"/>
          <c:showCatName val="0"/>
          <c:showSerName val="0"/>
          <c:showPercent val="0"/>
          <c:showBubbleSize val="0"/>
        </c:dLbls>
        <c:gapWidth val="444"/>
        <c:overlap val="-90"/>
        <c:axId val="788058896"/>
        <c:axId val="788051824"/>
      </c:barChart>
      <c:catAx>
        <c:axId val="7880588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88051824"/>
        <c:crosses val="autoZero"/>
        <c:auto val="1"/>
        <c:lblAlgn val="ctr"/>
        <c:lblOffset val="100"/>
        <c:noMultiLvlLbl val="0"/>
      </c:catAx>
      <c:valAx>
        <c:axId val="788051824"/>
        <c:scaling>
          <c:orientation val="minMax"/>
        </c:scaling>
        <c:delete val="1"/>
        <c:axPos val="l"/>
        <c:numFmt formatCode="#,##0" sourceLinked="1"/>
        <c:majorTickMark val="none"/>
        <c:minorTickMark val="none"/>
        <c:tickLblPos val="nextTo"/>
        <c:crossAx val="78805889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Sheet8!$A$2:$B$2</c:f>
              <c:strCache>
                <c:ptCount val="2"/>
                <c:pt idx="0">
                  <c:v>Inventory Turnover Days</c:v>
                </c:pt>
                <c:pt idx="1">
                  <c:v>A</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Sheet8!$C$1:$G$1</c:f>
              <c:numCache>
                <c:formatCode>General</c:formatCode>
                <c:ptCount val="5"/>
                <c:pt idx="0">
                  <c:v>2021</c:v>
                </c:pt>
                <c:pt idx="1">
                  <c:v>2022</c:v>
                </c:pt>
                <c:pt idx="2">
                  <c:v>2023</c:v>
                </c:pt>
                <c:pt idx="3">
                  <c:v>2024</c:v>
                </c:pt>
                <c:pt idx="4">
                  <c:v>2025</c:v>
                </c:pt>
              </c:numCache>
            </c:numRef>
          </c:cat>
          <c:val>
            <c:numRef>
              <c:f>Sheet8!$C$2:$G$2</c:f>
              <c:numCache>
                <c:formatCode>General</c:formatCode>
                <c:ptCount val="5"/>
                <c:pt idx="0">
                  <c:v>3.06</c:v>
                </c:pt>
                <c:pt idx="1">
                  <c:v>2.36</c:v>
                </c:pt>
                <c:pt idx="2">
                  <c:v>2.2999999999999998</c:v>
                </c:pt>
                <c:pt idx="3">
                  <c:v>2.37</c:v>
                </c:pt>
                <c:pt idx="4">
                  <c:v>2.2999999999999998</c:v>
                </c:pt>
              </c:numCache>
            </c:numRef>
          </c:val>
          <c:extLst>
            <c:ext xmlns:c16="http://schemas.microsoft.com/office/drawing/2014/chart" uri="{C3380CC4-5D6E-409C-BE32-E72D297353CC}">
              <c16:uniqueId val="{00000000-C712-4D21-97DA-D5FD741DE4AC}"/>
            </c:ext>
          </c:extLst>
        </c:ser>
        <c:ser>
          <c:idx val="1"/>
          <c:order val="1"/>
          <c:tx>
            <c:strRef>
              <c:f>Sheet8!$A$3:$B$3</c:f>
              <c:strCache>
                <c:ptCount val="2"/>
                <c:pt idx="0">
                  <c:v>Receivables Turnover Days</c:v>
                </c:pt>
                <c:pt idx="1">
                  <c:v>B</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Sheet8!$C$1:$G$1</c:f>
              <c:numCache>
                <c:formatCode>General</c:formatCode>
                <c:ptCount val="5"/>
                <c:pt idx="0">
                  <c:v>2021</c:v>
                </c:pt>
                <c:pt idx="1">
                  <c:v>2022</c:v>
                </c:pt>
                <c:pt idx="2">
                  <c:v>2023</c:v>
                </c:pt>
                <c:pt idx="3">
                  <c:v>2024</c:v>
                </c:pt>
                <c:pt idx="4">
                  <c:v>2025</c:v>
                </c:pt>
              </c:numCache>
            </c:numRef>
          </c:cat>
          <c:val>
            <c:numRef>
              <c:f>Sheet8!$C$3:$G$3</c:f>
              <c:numCache>
                <c:formatCode>General</c:formatCode>
                <c:ptCount val="5"/>
                <c:pt idx="0">
                  <c:v>14.88</c:v>
                </c:pt>
                <c:pt idx="1">
                  <c:v>11.69</c:v>
                </c:pt>
                <c:pt idx="2">
                  <c:v>11.62</c:v>
                </c:pt>
                <c:pt idx="3">
                  <c:v>11.93</c:v>
                </c:pt>
                <c:pt idx="4">
                  <c:v>11.7</c:v>
                </c:pt>
              </c:numCache>
            </c:numRef>
          </c:val>
          <c:extLst>
            <c:ext xmlns:c16="http://schemas.microsoft.com/office/drawing/2014/chart" uri="{C3380CC4-5D6E-409C-BE32-E72D297353CC}">
              <c16:uniqueId val="{00000001-C712-4D21-97DA-D5FD741DE4AC}"/>
            </c:ext>
          </c:extLst>
        </c:ser>
        <c:ser>
          <c:idx val="2"/>
          <c:order val="2"/>
          <c:tx>
            <c:strRef>
              <c:f>Sheet8!$A$4:$B$4</c:f>
              <c:strCache>
                <c:ptCount val="2"/>
                <c:pt idx="0">
                  <c:v>Payables Turnover Days</c:v>
                </c:pt>
                <c:pt idx="1">
                  <c:v>C</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Sheet8!$C$1:$G$1</c:f>
              <c:numCache>
                <c:formatCode>General</c:formatCode>
                <c:ptCount val="5"/>
                <c:pt idx="0">
                  <c:v>2021</c:v>
                </c:pt>
                <c:pt idx="1">
                  <c:v>2022</c:v>
                </c:pt>
                <c:pt idx="2">
                  <c:v>2023</c:v>
                </c:pt>
                <c:pt idx="3">
                  <c:v>2024</c:v>
                </c:pt>
                <c:pt idx="4">
                  <c:v>2025</c:v>
                </c:pt>
              </c:numCache>
            </c:numRef>
          </c:cat>
          <c:val>
            <c:numRef>
              <c:f>Sheet8!$C$4:$G$4</c:f>
              <c:numCache>
                <c:formatCode>General</c:formatCode>
                <c:ptCount val="5"/>
                <c:pt idx="0">
                  <c:v>42.05</c:v>
                </c:pt>
                <c:pt idx="1">
                  <c:v>31.88</c:v>
                </c:pt>
                <c:pt idx="2">
                  <c:v>30.35</c:v>
                </c:pt>
                <c:pt idx="3">
                  <c:v>30.88</c:v>
                </c:pt>
                <c:pt idx="4">
                  <c:v>30.24</c:v>
                </c:pt>
              </c:numCache>
            </c:numRef>
          </c:val>
          <c:extLst>
            <c:ext xmlns:c16="http://schemas.microsoft.com/office/drawing/2014/chart" uri="{C3380CC4-5D6E-409C-BE32-E72D297353CC}">
              <c16:uniqueId val="{00000002-C712-4D21-97DA-D5FD741DE4AC}"/>
            </c:ext>
          </c:extLst>
        </c:ser>
        <c:ser>
          <c:idx val="3"/>
          <c:order val="3"/>
          <c:tx>
            <c:strRef>
              <c:f>Sheet8!$A$5:$B$5</c:f>
              <c:strCache>
                <c:ptCount val="2"/>
                <c:pt idx="0">
                  <c:v>Cash Conversion Cycle (Days)</c:v>
                </c:pt>
                <c:pt idx="1">
                  <c:v>A + B − C</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Sheet8!$C$1:$G$1</c:f>
              <c:numCache>
                <c:formatCode>General</c:formatCode>
                <c:ptCount val="5"/>
                <c:pt idx="0">
                  <c:v>2021</c:v>
                </c:pt>
                <c:pt idx="1">
                  <c:v>2022</c:v>
                </c:pt>
                <c:pt idx="2">
                  <c:v>2023</c:v>
                </c:pt>
                <c:pt idx="3">
                  <c:v>2024</c:v>
                </c:pt>
                <c:pt idx="4">
                  <c:v>2025</c:v>
                </c:pt>
              </c:numCache>
            </c:numRef>
          </c:cat>
          <c:val>
            <c:numRef>
              <c:f>Sheet8!$C$5:$G$5</c:f>
              <c:numCache>
                <c:formatCode>General</c:formatCode>
                <c:ptCount val="5"/>
                <c:pt idx="0">
                  <c:v>-24.11</c:v>
                </c:pt>
                <c:pt idx="1">
                  <c:v>-17.829999999999998</c:v>
                </c:pt>
                <c:pt idx="2">
                  <c:v>-16.43</c:v>
                </c:pt>
                <c:pt idx="3">
                  <c:v>-16.579999999999998</c:v>
                </c:pt>
                <c:pt idx="4">
                  <c:v>-16.239999999999998</c:v>
                </c:pt>
              </c:numCache>
            </c:numRef>
          </c:val>
          <c:extLst>
            <c:ext xmlns:c16="http://schemas.microsoft.com/office/drawing/2014/chart" uri="{C3380CC4-5D6E-409C-BE32-E72D297353CC}">
              <c16:uniqueId val="{00000003-C712-4D21-97DA-D5FD741DE4AC}"/>
            </c:ext>
          </c:extLst>
        </c:ser>
        <c:dLbls>
          <c:dLblPos val="outEnd"/>
          <c:showLegendKey val="0"/>
          <c:showVal val="1"/>
          <c:showCatName val="0"/>
          <c:showSerName val="0"/>
          <c:showPercent val="0"/>
          <c:showBubbleSize val="0"/>
        </c:dLbls>
        <c:gapWidth val="444"/>
        <c:overlap val="-90"/>
        <c:axId val="789476320"/>
        <c:axId val="789475232"/>
      </c:barChart>
      <c:catAx>
        <c:axId val="7894763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89475232"/>
        <c:crosses val="autoZero"/>
        <c:auto val="1"/>
        <c:lblAlgn val="ctr"/>
        <c:lblOffset val="100"/>
        <c:noMultiLvlLbl val="0"/>
      </c:catAx>
      <c:valAx>
        <c:axId val="789475232"/>
        <c:scaling>
          <c:orientation val="minMax"/>
        </c:scaling>
        <c:delete val="1"/>
        <c:axPos val="l"/>
        <c:numFmt formatCode="General" sourceLinked="1"/>
        <c:majorTickMark val="none"/>
        <c:minorTickMark val="none"/>
        <c:tickLblPos val="nextTo"/>
        <c:crossAx val="78947632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Sheet9!$A$2:$B$2</c:f>
              <c:strCache>
                <c:ptCount val="2"/>
                <c:pt idx="0">
                  <c:v>Current Assets (US$ m)</c:v>
                </c:pt>
                <c:pt idx="1">
                  <c:v>A</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Sheet9!$C$1:$G$1</c:f>
              <c:numCache>
                <c:formatCode>General</c:formatCode>
                <c:ptCount val="5"/>
                <c:pt idx="0">
                  <c:v>2021</c:v>
                </c:pt>
                <c:pt idx="1">
                  <c:v>2022</c:v>
                </c:pt>
                <c:pt idx="2">
                  <c:v>2023</c:v>
                </c:pt>
                <c:pt idx="3">
                  <c:v>2024</c:v>
                </c:pt>
                <c:pt idx="4">
                  <c:v>2025</c:v>
                </c:pt>
              </c:numCache>
            </c:numRef>
          </c:cat>
          <c:val>
            <c:numRef>
              <c:f>Sheet9!$C$2:$G$2</c:f>
              <c:numCache>
                <c:formatCode>#,##0</c:formatCode>
                <c:ptCount val="5"/>
                <c:pt idx="0">
                  <c:v>3632</c:v>
                </c:pt>
                <c:pt idx="1">
                  <c:v>3997</c:v>
                </c:pt>
                <c:pt idx="2">
                  <c:v>4415</c:v>
                </c:pt>
                <c:pt idx="3">
                  <c:v>4765</c:v>
                </c:pt>
                <c:pt idx="4">
                  <c:v>5198</c:v>
                </c:pt>
              </c:numCache>
            </c:numRef>
          </c:val>
          <c:extLst>
            <c:ext xmlns:c16="http://schemas.microsoft.com/office/drawing/2014/chart" uri="{C3380CC4-5D6E-409C-BE32-E72D297353CC}">
              <c16:uniqueId val="{00000000-6493-44F1-9CF9-8742D678A24F}"/>
            </c:ext>
          </c:extLst>
        </c:ser>
        <c:ser>
          <c:idx val="1"/>
          <c:order val="1"/>
          <c:tx>
            <c:strRef>
              <c:f>Sheet9!$A$3:$B$3</c:f>
              <c:strCache>
                <c:ptCount val="2"/>
                <c:pt idx="0">
                  <c:v>Current Liabilities (US$ m)</c:v>
                </c:pt>
                <c:pt idx="1">
                  <c:v>B</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Sheet9!$C$1:$G$1</c:f>
              <c:numCache>
                <c:formatCode>General</c:formatCode>
                <c:ptCount val="5"/>
                <c:pt idx="0">
                  <c:v>2021</c:v>
                </c:pt>
                <c:pt idx="1">
                  <c:v>2022</c:v>
                </c:pt>
                <c:pt idx="2">
                  <c:v>2023</c:v>
                </c:pt>
                <c:pt idx="3">
                  <c:v>2024</c:v>
                </c:pt>
                <c:pt idx="4">
                  <c:v>2025</c:v>
                </c:pt>
              </c:numCache>
            </c:numRef>
          </c:cat>
          <c:val>
            <c:numRef>
              <c:f>Sheet9!$C$3:$G$3</c:f>
              <c:numCache>
                <c:formatCode>#,##0</c:formatCode>
                <c:ptCount val="5"/>
                <c:pt idx="0">
                  <c:v>5790</c:v>
                </c:pt>
                <c:pt idx="1">
                  <c:v>6180</c:v>
                </c:pt>
                <c:pt idx="2">
                  <c:v>6640</c:v>
                </c:pt>
                <c:pt idx="3">
                  <c:v>6940</c:v>
                </c:pt>
                <c:pt idx="4">
                  <c:v>7250</c:v>
                </c:pt>
              </c:numCache>
            </c:numRef>
          </c:val>
          <c:extLst>
            <c:ext xmlns:c16="http://schemas.microsoft.com/office/drawing/2014/chart" uri="{C3380CC4-5D6E-409C-BE32-E72D297353CC}">
              <c16:uniqueId val="{00000001-6493-44F1-9CF9-8742D678A24F}"/>
            </c:ext>
          </c:extLst>
        </c:ser>
        <c:ser>
          <c:idx val="2"/>
          <c:order val="2"/>
          <c:tx>
            <c:strRef>
              <c:f>Sheet9!$A$4:$B$4</c:f>
              <c:strCache>
                <c:ptCount val="2"/>
                <c:pt idx="0">
                  <c:v>Working Capital (US$ m)</c:v>
                </c:pt>
                <c:pt idx="1">
                  <c:v>A – B</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Sheet9!$C$1:$G$1</c:f>
              <c:numCache>
                <c:formatCode>General</c:formatCode>
                <c:ptCount val="5"/>
                <c:pt idx="0">
                  <c:v>2021</c:v>
                </c:pt>
                <c:pt idx="1">
                  <c:v>2022</c:v>
                </c:pt>
                <c:pt idx="2">
                  <c:v>2023</c:v>
                </c:pt>
                <c:pt idx="3">
                  <c:v>2024</c:v>
                </c:pt>
                <c:pt idx="4">
                  <c:v>2025</c:v>
                </c:pt>
              </c:numCache>
            </c:numRef>
          </c:cat>
          <c:val>
            <c:numRef>
              <c:f>Sheet9!$C$4:$G$4</c:f>
              <c:numCache>
                <c:formatCode>#,##0</c:formatCode>
                <c:ptCount val="5"/>
                <c:pt idx="0">
                  <c:v>-2158</c:v>
                </c:pt>
                <c:pt idx="1">
                  <c:v>-2183</c:v>
                </c:pt>
                <c:pt idx="2">
                  <c:v>-2225</c:v>
                </c:pt>
                <c:pt idx="3">
                  <c:v>-2175</c:v>
                </c:pt>
                <c:pt idx="4">
                  <c:v>-2052</c:v>
                </c:pt>
              </c:numCache>
            </c:numRef>
          </c:val>
          <c:extLst>
            <c:ext xmlns:c16="http://schemas.microsoft.com/office/drawing/2014/chart" uri="{C3380CC4-5D6E-409C-BE32-E72D297353CC}">
              <c16:uniqueId val="{00000002-6493-44F1-9CF9-8742D678A24F}"/>
            </c:ext>
          </c:extLst>
        </c:ser>
        <c:dLbls>
          <c:dLblPos val="outEnd"/>
          <c:showLegendKey val="0"/>
          <c:showVal val="1"/>
          <c:showCatName val="0"/>
          <c:showSerName val="0"/>
          <c:showPercent val="0"/>
          <c:showBubbleSize val="0"/>
        </c:dLbls>
        <c:gapWidth val="444"/>
        <c:overlap val="-90"/>
        <c:axId val="789479584"/>
        <c:axId val="789478496"/>
      </c:barChart>
      <c:catAx>
        <c:axId val="789479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89478496"/>
        <c:crosses val="autoZero"/>
        <c:auto val="1"/>
        <c:lblAlgn val="ctr"/>
        <c:lblOffset val="100"/>
        <c:noMultiLvlLbl val="0"/>
      </c:catAx>
      <c:valAx>
        <c:axId val="789478496"/>
        <c:scaling>
          <c:orientation val="minMax"/>
        </c:scaling>
        <c:delete val="1"/>
        <c:axPos val="l"/>
        <c:numFmt formatCode="#,##0" sourceLinked="1"/>
        <c:majorTickMark val="none"/>
        <c:minorTickMark val="none"/>
        <c:tickLblPos val="nextTo"/>
        <c:crossAx val="7894795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'[14565.xlsx]Sheet2'!$A$12:$B$12</c:f>
              <c:strCache>
                <c:ptCount val="2"/>
                <c:pt idx="0">
                  <c:v>Net Profit Margin</c:v>
                </c:pt>
                <c:pt idx="1">
                  <c:v>C/A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'[14565.xlsx]Sheet2'!$C$11:$G$11</c:f>
              <c:numCache>
                <c:formatCode>General</c:formatCode>
                <c:ptCount val="5"/>
                <c:pt idx="0">
                  <c:v>2021</c:v>
                </c:pt>
                <c:pt idx="1">
                  <c:v>2022</c:v>
                </c:pt>
                <c:pt idx="2">
                  <c:v>2023</c:v>
                </c:pt>
                <c:pt idx="3">
                  <c:v>2024</c:v>
                </c:pt>
                <c:pt idx="4">
                  <c:v>2025</c:v>
                </c:pt>
              </c:numCache>
            </c:numRef>
          </c:cat>
          <c:val>
            <c:numRef>
              <c:f>'[14565.xlsx]Sheet2'!$C$12:$G$12</c:f>
              <c:numCache>
                <c:formatCode>0.00%</c:formatCode>
                <c:ptCount val="5"/>
                <c:pt idx="0">
                  <c:v>7.9299999999999995E-2</c:v>
                </c:pt>
                <c:pt idx="1">
                  <c:v>0.1135</c:v>
                </c:pt>
                <c:pt idx="2">
                  <c:v>0.13</c:v>
                </c:pt>
                <c:pt idx="3">
                  <c:v>0.12280000000000001</c:v>
                </c:pt>
                <c:pt idx="4">
                  <c:v>0.1242</c:v>
                </c:pt>
              </c:numCache>
            </c:numRef>
          </c:val>
          <c:extLst>
            <c:ext xmlns:c16="http://schemas.microsoft.com/office/drawing/2014/chart" uri="{C3380CC4-5D6E-409C-BE32-E72D297353CC}">
              <c16:uniqueId val="{00000000-6166-43BC-9E47-BD8D46699D2E}"/>
            </c:ext>
          </c:extLst>
        </c:ser>
        <c:ser>
          <c:idx val="1"/>
          <c:order val="1"/>
          <c:tx>
            <c:strRef>
              <c:f>'[14565.xlsx]Sheet2'!$A$13:$B$13</c:f>
              <c:strCache>
                <c:ptCount val="2"/>
                <c:pt idx="0">
                  <c:v>Return on Capital Employed (ROCE)</c:v>
                </c:pt>
                <c:pt idx="1">
                  <c:v>B/(D−E)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'[14565.xlsx]Sheet2'!$C$11:$G$11</c:f>
              <c:numCache>
                <c:formatCode>General</c:formatCode>
                <c:ptCount val="5"/>
                <c:pt idx="0">
                  <c:v>2021</c:v>
                </c:pt>
                <c:pt idx="1">
                  <c:v>2022</c:v>
                </c:pt>
                <c:pt idx="2">
                  <c:v>2023</c:v>
                </c:pt>
                <c:pt idx="3">
                  <c:v>2024</c:v>
                </c:pt>
                <c:pt idx="4">
                  <c:v>2025</c:v>
                </c:pt>
              </c:numCache>
            </c:numRef>
          </c:cat>
          <c:val>
            <c:numRef>
              <c:f>'[14565.xlsx]Sheet2'!$C$13:$G$13</c:f>
              <c:numCache>
                <c:formatCode>0.00%</c:formatCode>
                <c:ptCount val="5"/>
                <c:pt idx="0">
                  <c:v>9.2700000000000005E-2</c:v>
                </c:pt>
                <c:pt idx="1">
                  <c:v>0.16309999999999999</c:v>
                </c:pt>
                <c:pt idx="2">
                  <c:v>0.17730000000000001</c:v>
                </c:pt>
                <c:pt idx="3">
                  <c:v>0.18010000000000001</c:v>
                </c:pt>
                <c:pt idx="4">
                  <c:v>0.18740000000000001</c:v>
                </c:pt>
              </c:numCache>
            </c:numRef>
          </c:val>
          <c:extLst>
            <c:ext xmlns:c16="http://schemas.microsoft.com/office/drawing/2014/chart" uri="{C3380CC4-5D6E-409C-BE32-E72D297353CC}">
              <c16:uniqueId val="{00000001-6166-43BC-9E47-BD8D46699D2E}"/>
            </c:ext>
          </c:extLst>
        </c:ser>
        <c:dLbls>
          <c:dLblPos val="outEnd"/>
          <c:showLegendKey val="0"/>
          <c:showVal val="1"/>
          <c:showCatName val="0"/>
          <c:showSerName val="0"/>
          <c:showPercent val="0"/>
          <c:showBubbleSize val="0"/>
        </c:dLbls>
        <c:gapWidth val="100"/>
        <c:overlap val="-24"/>
        <c:axId val="789474688"/>
        <c:axId val="789480672"/>
      </c:barChart>
      <c:catAx>
        <c:axId val="78947468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89480672"/>
        <c:crosses val="autoZero"/>
        <c:auto val="1"/>
        <c:lblAlgn val="ctr"/>
        <c:lblOffset val="100"/>
        <c:noMultiLvlLbl val="0"/>
      </c:catAx>
      <c:valAx>
        <c:axId val="789480672"/>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89474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Sheet3!$A$2:$B$2</c:f>
              <c:strCache>
                <c:ptCount val="2"/>
                <c:pt idx="0">
                  <c:v>Current Assets (US$ m)</c:v>
                </c:pt>
                <c:pt idx="1">
                  <c:v>A</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Sheet3!$C$2:$G$2</c:f>
              <c:numCache>
                <c:formatCode>#,##0</c:formatCode>
                <c:ptCount val="5"/>
                <c:pt idx="0">
                  <c:v>3632</c:v>
                </c:pt>
                <c:pt idx="1">
                  <c:v>3997</c:v>
                </c:pt>
                <c:pt idx="2">
                  <c:v>4415</c:v>
                </c:pt>
                <c:pt idx="3">
                  <c:v>4765</c:v>
                </c:pt>
                <c:pt idx="4">
                  <c:v>5198</c:v>
                </c:pt>
              </c:numCache>
            </c:numRef>
          </c:val>
          <c:extLst>
            <c:ext xmlns:c16="http://schemas.microsoft.com/office/drawing/2014/chart" uri="{C3380CC4-5D6E-409C-BE32-E72D297353CC}">
              <c16:uniqueId val="{00000000-C866-4839-AE79-4E5D9BFDAC70}"/>
            </c:ext>
          </c:extLst>
        </c:ser>
        <c:ser>
          <c:idx val="1"/>
          <c:order val="1"/>
          <c:tx>
            <c:strRef>
              <c:f>Sheet3!$A$3:$B$3</c:f>
              <c:strCache>
                <c:ptCount val="2"/>
                <c:pt idx="0">
                  <c:v>Inventories (US$ m)</c:v>
                </c:pt>
                <c:pt idx="1">
                  <c:v>B</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Sheet3!$C$3:$G$3</c:f>
              <c:numCache>
                <c:formatCode>General</c:formatCode>
                <c:ptCount val="5"/>
                <c:pt idx="0">
                  <c:v>108</c:v>
                </c:pt>
                <c:pt idx="1">
                  <c:v>121</c:v>
                </c:pt>
                <c:pt idx="2">
                  <c:v>133</c:v>
                </c:pt>
                <c:pt idx="3">
                  <c:v>142</c:v>
                </c:pt>
                <c:pt idx="4">
                  <c:v>150</c:v>
                </c:pt>
              </c:numCache>
            </c:numRef>
          </c:val>
          <c:extLst>
            <c:ext xmlns:c16="http://schemas.microsoft.com/office/drawing/2014/chart" uri="{C3380CC4-5D6E-409C-BE32-E72D297353CC}">
              <c16:uniqueId val="{00000001-C866-4839-AE79-4E5D9BFDAC70}"/>
            </c:ext>
          </c:extLst>
        </c:ser>
        <c:ser>
          <c:idx val="2"/>
          <c:order val="2"/>
          <c:tx>
            <c:strRef>
              <c:f>Sheet3!$A$4:$B$4</c:f>
              <c:strCache>
                <c:ptCount val="2"/>
                <c:pt idx="0">
                  <c:v>Current Liabilities (US$ m)</c:v>
                </c:pt>
                <c:pt idx="1">
                  <c:v>C</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Sheet3!$C$4:$G$4</c:f>
              <c:numCache>
                <c:formatCode>#,##0</c:formatCode>
                <c:ptCount val="5"/>
                <c:pt idx="0">
                  <c:v>5790</c:v>
                </c:pt>
                <c:pt idx="1">
                  <c:v>6180</c:v>
                </c:pt>
                <c:pt idx="2">
                  <c:v>6640</c:v>
                </c:pt>
                <c:pt idx="3">
                  <c:v>6940</c:v>
                </c:pt>
                <c:pt idx="4">
                  <c:v>7250</c:v>
                </c:pt>
              </c:numCache>
            </c:numRef>
          </c:val>
          <c:extLst>
            <c:ext xmlns:c16="http://schemas.microsoft.com/office/drawing/2014/chart" uri="{C3380CC4-5D6E-409C-BE32-E72D297353CC}">
              <c16:uniqueId val="{00000002-C866-4839-AE79-4E5D9BFDAC70}"/>
            </c:ext>
          </c:extLst>
        </c:ser>
        <c:ser>
          <c:idx val="3"/>
          <c:order val="3"/>
          <c:tx>
            <c:strRef>
              <c:f>Sheet3!$A$5:$B$5</c:f>
              <c:strCache>
                <c:ptCount val="2"/>
                <c:pt idx="0">
                  <c:v>Current Ratio</c:v>
                </c:pt>
                <c:pt idx="1">
                  <c:v>A/C</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Sheet3!$C$5:$G$5</c:f>
              <c:numCache>
                <c:formatCode>General</c:formatCode>
                <c:ptCount val="5"/>
                <c:pt idx="0">
                  <c:v>0.63</c:v>
                </c:pt>
                <c:pt idx="1">
                  <c:v>0.65</c:v>
                </c:pt>
                <c:pt idx="2">
                  <c:v>0.66</c:v>
                </c:pt>
                <c:pt idx="3">
                  <c:v>0.69</c:v>
                </c:pt>
                <c:pt idx="4">
                  <c:v>0.72</c:v>
                </c:pt>
              </c:numCache>
            </c:numRef>
          </c:val>
          <c:extLst>
            <c:ext xmlns:c16="http://schemas.microsoft.com/office/drawing/2014/chart" uri="{C3380CC4-5D6E-409C-BE32-E72D297353CC}">
              <c16:uniqueId val="{00000003-C866-4839-AE79-4E5D9BFDAC70}"/>
            </c:ext>
          </c:extLst>
        </c:ser>
        <c:ser>
          <c:idx val="4"/>
          <c:order val="4"/>
          <c:tx>
            <c:strRef>
              <c:f>Sheet3!$A$6:$B$6</c:f>
              <c:strCache>
                <c:ptCount val="2"/>
                <c:pt idx="0">
                  <c:v>Quick Ratio</c:v>
                </c:pt>
                <c:pt idx="1">
                  <c:v>(A−B)/C</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Sheet3!$C$1:$G$1</c:f>
              <c:numCache>
                <c:formatCode>General</c:formatCode>
                <c:ptCount val="5"/>
                <c:pt idx="0">
                  <c:v>2021</c:v>
                </c:pt>
                <c:pt idx="1">
                  <c:v>2022</c:v>
                </c:pt>
                <c:pt idx="2">
                  <c:v>2023</c:v>
                </c:pt>
                <c:pt idx="3">
                  <c:v>2024</c:v>
                </c:pt>
                <c:pt idx="4">
                  <c:v>2025</c:v>
                </c:pt>
              </c:numCache>
            </c:numRef>
          </c:cat>
          <c:val>
            <c:numRef>
              <c:f>Sheet3!$C$6:$G$6</c:f>
              <c:numCache>
                <c:formatCode>General</c:formatCode>
                <c:ptCount val="5"/>
                <c:pt idx="0">
                  <c:v>0.61</c:v>
                </c:pt>
                <c:pt idx="1">
                  <c:v>0.63</c:v>
                </c:pt>
                <c:pt idx="2">
                  <c:v>0.64</c:v>
                </c:pt>
                <c:pt idx="3">
                  <c:v>0.67</c:v>
                </c:pt>
                <c:pt idx="4">
                  <c:v>0.7</c:v>
                </c:pt>
              </c:numCache>
            </c:numRef>
          </c:val>
          <c:extLst>
            <c:ext xmlns:c16="http://schemas.microsoft.com/office/drawing/2014/chart" uri="{C3380CC4-5D6E-409C-BE32-E72D297353CC}">
              <c16:uniqueId val="{00000004-C866-4839-AE79-4E5D9BFDAC70}"/>
            </c:ext>
          </c:extLst>
        </c:ser>
        <c:dLbls>
          <c:dLblPos val="outEnd"/>
          <c:showLegendKey val="0"/>
          <c:showVal val="1"/>
          <c:showCatName val="0"/>
          <c:showSerName val="0"/>
          <c:showPercent val="0"/>
          <c:showBubbleSize val="0"/>
        </c:dLbls>
        <c:gapWidth val="444"/>
        <c:overlap val="-90"/>
        <c:axId val="789477408"/>
        <c:axId val="732327824"/>
      </c:barChart>
      <c:catAx>
        <c:axId val="7894774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32327824"/>
        <c:crosses val="autoZero"/>
        <c:auto val="1"/>
        <c:lblAlgn val="ctr"/>
        <c:lblOffset val="100"/>
        <c:noMultiLvlLbl val="0"/>
      </c:catAx>
      <c:valAx>
        <c:axId val="732327824"/>
        <c:scaling>
          <c:orientation val="minMax"/>
        </c:scaling>
        <c:delete val="1"/>
        <c:axPos val="l"/>
        <c:numFmt formatCode="#,##0" sourceLinked="1"/>
        <c:majorTickMark val="none"/>
        <c:minorTickMark val="none"/>
        <c:tickLblPos val="nextTo"/>
        <c:crossAx val="7894774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Sheet4!$A$2:$B$2</c:f>
              <c:strCache>
                <c:ptCount val="2"/>
                <c:pt idx="0">
                  <c:v>Revenue (US$ m)</c:v>
                </c:pt>
                <c:pt idx="1">
                  <c:v>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Sheet4!$C$2:$G$2</c:f>
              <c:numCache>
                <c:formatCode>#,##0</c:formatCode>
                <c:ptCount val="5"/>
                <c:pt idx="0">
                  <c:v>13857</c:v>
                </c:pt>
                <c:pt idx="1">
                  <c:v>20773</c:v>
                </c:pt>
                <c:pt idx="2">
                  <c:v>23713</c:v>
                </c:pt>
                <c:pt idx="3">
                  <c:v>25099</c:v>
                </c:pt>
                <c:pt idx="4">
                  <c:v>27456</c:v>
                </c:pt>
              </c:numCache>
            </c:numRef>
          </c:val>
          <c:extLst>
            <c:ext xmlns:c16="http://schemas.microsoft.com/office/drawing/2014/chart" uri="{C3380CC4-5D6E-409C-BE32-E72D297353CC}">
              <c16:uniqueId val="{00000000-4A69-4941-8358-DB880F308812}"/>
            </c:ext>
          </c:extLst>
        </c:ser>
        <c:ser>
          <c:idx val="1"/>
          <c:order val="1"/>
          <c:tx>
            <c:strRef>
              <c:f>Sheet4!$A$3:$B$3</c:f>
              <c:strCache>
                <c:ptCount val="2"/>
                <c:pt idx="0">
                  <c:v>Operating Costs (US$ m)</c:v>
                </c:pt>
                <c:pt idx="1">
                  <c:v>B</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Sheet4!$C$3:$G$3</c:f>
              <c:numCache>
                <c:formatCode>#,##0</c:formatCode>
                <c:ptCount val="5"/>
                <c:pt idx="0">
                  <c:v>12107</c:v>
                </c:pt>
                <c:pt idx="1">
                  <c:v>17684</c:v>
                </c:pt>
                <c:pt idx="2">
                  <c:v>20149</c:v>
                </c:pt>
                <c:pt idx="3">
                  <c:v>21210</c:v>
                </c:pt>
                <c:pt idx="4">
                  <c:v>23170</c:v>
                </c:pt>
              </c:numCache>
            </c:numRef>
          </c:val>
          <c:extLst>
            <c:ext xmlns:c16="http://schemas.microsoft.com/office/drawing/2014/chart" uri="{C3380CC4-5D6E-409C-BE32-E72D297353CC}">
              <c16:uniqueId val="{00000001-4A69-4941-8358-DB880F308812}"/>
            </c:ext>
          </c:extLst>
        </c:ser>
        <c:dLbls>
          <c:dLblPos val="outEnd"/>
          <c:showLegendKey val="0"/>
          <c:showVal val="1"/>
          <c:showCatName val="0"/>
          <c:showSerName val="0"/>
          <c:showPercent val="0"/>
          <c:showBubbleSize val="0"/>
        </c:dLbls>
        <c:gapWidth val="100"/>
        <c:overlap val="-24"/>
        <c:axId val="732326192"/>
        <c:axId val="732328912"/>
      </c:barChart>
      <c:catAx>
        <c:axId val="73232619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2328912"/>
        <c:crosses val="autoZero"/>
        <c:auto val="1"/>
        <c:lblAlgn val="ctr"/>
        <c:lblOffset val="100"/>
        <c:noMultiLvlLbl val="0"/>
      </c:catAx>
      <c:valAx>
        <c:axId val="732328912"/>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2326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'[14565.xlsx]Sheet5'!$A$11:$B$11</c:f>
              <c:strCache>
                <c:ptCount val="2"/>
                <c:pt idx="0">
                  <c:v>Debt-to-Assets Ratio</c:v>
                </c:pt>
                <c:pt idx="1">
                  <c:v>A/B</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'[14565.xlsx]Sheet5'!$C$10:$G$10</c:f>
              <c:numCache>
                <c:formatCode>General</c:formatCode>
                <c:ptCount val="5"/>
                <c:pt idx="0">
                  <c:v>2021</c:v>
                </c:pt>
                <c:pt idx="1">
                  <c:v>2022</c:v>
                </c:pt>
                <c:pt idx="2">
                  <c:v>2023</c:v>
                </c:pt>
                <c:pt idx="3">
                  <c:v>2024</c:v>
                </c:pt>
                <c:pt idx="4">
                  <c:v>2025</c:v>
                </c:pt>
              </c:numCache>
            </c:numRef>
          </c:cat>
          <c:val>
            <c:numRef>
              <c:f>'[14565.xlsx]Sheet5'!$C$11:$G$11</c:f>
              <c:numCache>
                <c:formatCode>General</c:formatCode>
                <c:ptCount val="5"/>
                <c:pt idx="0">
                  <c:v>1.1499999999999999</c:v>
                </c:pt>
                <c:pt idx="1">
                  <c:v>1.1499999999999999</c:v>
                </c:pt>
                <c:pt idx="2">
                  <c:v>1.1399999999999999</c:v>
                </c:pt>
                <c:pt idx="3">
                  <c:v>1.1200000000000001</c:v>
                </c:pt>
                <c:pt idx="4">
                  <c:v>1.1200000000000001</c:v>
                </c:pt>
              </c:numCache>
            </c:numRef>
          </c:val>
          <c:extLst>
            <c:ext xmlns:c16="http://schemas.microsoft.com/office/drawing/2014/chart" uri="{C3380CC4-5D6E-409C-BE32-E72D297353CC}">
              <c16:uniqueId val="{00000000-8411-41BE-AED1-A4C164983F13}"/>
            </c:ext>
          </c:extLst>
        </c:ser>
        <c:ser>
          <c:idx val="1"/>
          <c:order val="1"/>
          <c:tx>
            <c:strRef>
              <c:f>'[14565.xlsx]Sheet5'!$A$12:$B$12</c:f>
              <c:strCache>
                <c:ptCount val="2"/>
                <c:pt idx="0">
                  <c:v>Interest Coverage Ratio (Times)</c:v>
                </c:pt>
                <c:pt idx="1">
                  <c:v>C/D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'[14565.xlsx]Sheet5'!$C$10:$G$10</c:f>
              <c:numCache>
                <c:formatCode>General</c:formatCode>
                <c:ptCount val="5"/>
                <c:pt idx="0">
                  <c:v>2021</c:v>
                </c:pt>
                <c:pt idx="1">
                  <c:v>2022</c:v>
                </c:pt>
                <c:pt idx="2">
                  <c:v>2023</c:v>
                </c:pt>
                <c:pt idx="3">
                  <c:v>2024</c:v>
                </c:pt>
                <c:pt idx="4">
                  <c:v>2025</c:v>
                </c:pt>
              </c:numCache>
            </c:numRef>
          </c:cat>
          <c:val>
            <c:numRef>
              <c:f>'[14565.xlsx]Sheet5'!$C$12:$G$12</c:f>
              <c:numCache>
                <c:formatCode>General</c:formatCode>
                <c:ptCount val="5"/>
                <c:pt idx="0">
                  <c:v>4.0199999999999996</c:v>
                </c:pt>
                <c:pt idx="1">
                  <c:v>6.69</c:v>
                </c:pt>
                <c:pt idx="2">
                  <c:v>7.29</c:v>
                </c:pt>
                <c:pt idx="3">
                  <c:v>7.48</c:v>
                </c:pt>
                <c:pt idx="4">
                  <c:v>7.82</c:v>
                </c:pt>
              </c:numCache>
            </c:numRef>
          </c:val>
          <c:extLst>
            <c:ext xmlns:c16="http://schemas.microsoft.com/office/drawing/2014/chart" uri="{C3380CC4-5D6E-409C-BE32-E72D297353CC}">
              <c16:uniqueId val="{00000001-8411-41BE-AED1-A4C164983F13}"/>
            </c:ext>
          </c:extLst>
        </c:ser>
        <c:dLbls>
          <c:dLblPos val="outEnd"/>
          <c:showLegendKey val="0"/>
          <c:showVal val="1"/>
          <c:showCatName val="0"/>
          <c:showSerName val="0"/>
          <c:showPercent val="0"/>
          <c:showBubbleSize val="0"/>
        </c:dLbls>
        <c:gapWidth val="100"/>
        <c:overlap val="-24"/>
        <c:axId val="732328368"/>
        <c:axId val="732329456"/>
      </c:barChart>
      <c:catAx>
        <c:axId val="73232836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2329456"/>
        <c:crosses val="autoZero"/>
        <c:auto val="1"/>
        <c:lblAlgn val="ctr"/>
        <c:lblOffset val="100"/>
        <c:noMultiLvlLbl val="0"/>
      </c:catAx>
      <c:valAx>
        <c:axId val="73232945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2328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'[14565.xlsx]Sheet6'!$A$11:$B$11</c:f>
              <c:strCache>
                <c:ptCount val="2"/>
                <c:pt idx="0">
                  <c:v>Earnings per Share (US$)</c:v>
                </c:pt>
                <c:pt idx="1">
                  <c:v>A/C</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'[14565.xlsx]Sheet6'!$C$10:$G$10</c:f>
              <c:numCache>
                <c:formatCode>General</c:formatCode>
                <c:ptCount val="5"/>
                <c:pt idx="0">
                  <c:v>2021</c:v>
                </c:pt>
                <c:pt idx="1">
                  <c:v>2022</c:v>
                </c:pt>
                <c:pt idx="2">
                  <c:v>2023</c:v>
                </c:pt>
                <c:pt idx="3">
                  <c:v>2024</c:v>
                </c:pt>
                <c:pt idx="4">
                  <c:v>2025</c:v>
                </c:pt>
              </c:numCache>
            </c:numRef>
          </c:cat>
          <c:val>
            <c:numRef>
              <c:f>'[14565.xlsx]Sheet6'!$C$11:$G$11</c:f>
              <c:numCache>
                <c:formatCode>General</c:formatCode>
                <c:ptCount val="5"/>
                <c:pt idx="0">
                  <c:v>3.28</c:v>
                </c:pt>
                <c:pt idx="1">
                  <c:v>7.37</c:v>
                </c:pt>
                <c:pt idx="2">
                  <c:v>10.17</c:v>
                </c:pt>
                <c:pt idx="3">
                  <c:v>10.59</c:v>
                </c:pt>
                <c:pt idx="4">
                  <c:v>12.18</c:v>
                </c:pt>
              </c:numCache>
            </c:numRef>
          </c:val>
          <c:extLst>
            <c:ext xmlns:c16="http://schemas.microsoft.com/office/drawing/2014/chart" uri="{C3380CC4-5D6E-409C-BE32-E72D297353CC}">
              <c16:uniqueId val="{00000000-ACE8-410B-B6E8-34D7B5803EE9}"/>
            </c:ext>
          </c:extLst>
        </c:ser>
        <c:ser>
          <c:idx val="1"/>
          <c:order val="1"/>
          <c:tx>
            <c:strRef>
              <c:f>'[14565.xlsx]Sheet6'!$A$12:$B$12</c:f>
              <c:strCache>
                <c:ptCount val="2"/>
                <c:pt idx="0">
                  <c:v>Dividend per Share (US$)</c:v>
                </c:pt>
                <c:pt idx="1">
                  <c:v>B/C</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'[14565.xlsx]Sheet6'!$C$10:$G$10</c:f>
              <c:numCache>
                <c:formatCode>General</c:formatCode>
                <c:ptCount val="5"/>
                <c:pt idx="0">
                  <c:v>2021</c:v>
                </c:pt>
                <c:pt idx="1">
                  <c:v>2022</c:v>
                </c:pt>
                <c:pt idx="2">
                  <c:v>2023</c:v>
                </c:pt>
                <c:pt idx="3">
                  <c:v>2024</c:v>
                </c:pt>
                <c:pt idx="4">
                  <c:v>2025</c:v>
                </c:pt>
              </c:numCache>
            </c:numRef>
          </c:cat>
          <c:val>
            <c:numRef>
              <c:f>'[14565.xlsx]Sheet6'!$C$12:$G$12</c:f>
              <c:numCache>
                <c:formatCode>General</c:formatCode>
                <c:ptCount val="5"/>
                <c:pt idx="0">
                  <c:v>0.81</c:v>
                </c:pt>
                <c:pt idx="1">
                  <c:v>1.92</c:v>
                </c:pt>
                <c:pt idx="2">
                  <c:v>2.48</c:v>
                </c:pt>
                <c:pt idx="3">
                  <c:v>2.95</c:v>
                </c:pt>
                <c:pt idx="4">
                  <c:v>3.39</c:v>
                </c:pt>
              </c:numCache>
            </c:numRef>
          </c:val>
          <c:extLst>
            <c:ext xmlns:c16="http://schemas.microsoft.com/office/drawing/2014/chart" uri="{C3380CC4-5D6E-409C-BE32-E72D297353CC}">
              <c16:uniqueId val="{00000001-ACE8-410B-B6E8-34D7B5803EE9}"/>
            </c:ext>
          </c:extLst>
        </c:ser>
        <c:ser>
          <c:idx val="2"/>
          <c:order val="2"/>
          <c:tx>
            <c:strRef>
              <c:f>'[14565.xlsx]Sheet6'!$A$13:$B$13</c:f>
              <c:strCache>
                <c:ptCount val="2"/>
                <c:pt idx="0">
                  <c:v>Dividend Payout Ratio</c:v>
                </c:pt>
                <c:pt idx="1">
                  <c:v>B/A</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'[14565.xlsx]Sheet6'!$C$10:$G$10</c:f>
              <c:numCache>
                <c:formatCode>General</c:formatCode>
                <c:ptCount val="5"/>
                <c:pt idx="0">
                  <c:v>2021</c:v>
                </c:pt>
                <c:pt idx="1">
                  <c:v>2022</c:v>
                </c:pt>
                <c:pt idx="2">
                  <c:v>2023</c:v>
                </c:pt>
                <c:pt idx="3">
                  <c:v>2024</c:v>
                </c:pt>
                <c:pt idx="4">
                  <c:v>2025</c:v>
                </c:pt>
              </c:numCache>
            </c:numRef>
          </c:cat>
          <c:val>
            <c:numRef>
              <c:f>'[14565.xlsx]Sheet6'!$C$13:$G$13</c:f>
              <c:numCache>
                <c:formatCode>0.00%</c:formatCode>
                <c:ptCount val="5"/>
                <c:pt idx="0">
                  <c:v>0.24840000000000001</c:v>
                </c:pt>
                <c:pt idx="1">
                  <c:v>0.26</c:v>
                </c:pt>
                <c:pt idx="2">
                  <c:v>0.24329999999999999</c:v>
                </c:pt>
                <c:pt idx="3">
                  <c:v>0.27829999999999999</c:v>
                </c:pt>
                <c:pt idx="4">
                  <c:v>0.27860000000000001</c:v>
                </c:pt>
              </c:numCache>
            </c:numRef>
          </c:val>
          <c:extLst>
            <c:ext xmlns:c16="http://schemas.microsoft.com/office/drawing/2014/chart" uri="{C3380CC4-5D6E-409C-BE32-E72D297353CC}">
              <c16:uniqueId val="{00000002-ACE8-410B-B6E8-34D7B5803EE9}"/>
            </c:ext>
          </c:extLst>
        </c:ser>
        <c:dLbls>
          <c:dLblPos val="outEnd"/>
          <c:showLegendKey val="0"/>
          <c:showVal val="1"/>
          <c:showCatName val="0"/>
          <c:showSerName val="0"/>
          <c:showPercent val="0"/>
          <c:showBubbleSize val="0"/>
        </c:dLbls>
        <c:gapWidth val="444"/>
        <c:overlap val="-90"/>
        <c:axId val="732325104"/>
        <c:axId val="732330000"/>
      </c:barChart>
      <c:catAx>
        <c:axId val="7323251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32330000"/>
        <c:crosses val="autoZero"/>
        <c:auto val="1"/>
        <c:lblAlgn val="ctr"/>
        <c:lblOffset val="100"/>
        <c:noMultiLvlLbl val="0"/>
      </c:catAx>
      <c:valAx>
        <c:axId val="732330000"/>
        <c:scaling>
          <c:orientation val="minMax"/>
        </c:scaling>
        <c:delete val="1"/>
        <c:axPos val="l"/>
        <c:numFmt formatCode="General" sourceLinked="1"/>
        <c:majorTickMark val="none"/>
        <c:minorTickMark val="none"/>
        <c:tickLblPos val="nextTo"/>
        <c:crossAx val="73232510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Sheet7!$A$2:$B$2</c:f>
              <c:strCache>
                <c:ptCount val="2"/>
                <c:pt idx="0">
                  <c:v>Net Cash from Operating Activities (US$ m)</c:v>
                </c:pt>
                <c:pt idx="1">
                  <c:v>A</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Sheet7!$C$2:$G$2</c:f>
              <c:numCache>
                <c:formatCode>#,##0</c:formatCode>
                <c:ptCount val="5"/>
                <c:pt idx="0">
                  <c:v>2804</c:v>
                </c:pt>
                <c:pt idx="1">
                  <c:v>3003</c:v>
                </c:pt>
                <c:pt idx="2">
                  <c:v>3267</c:v>
                </c:pt>
                <c:pt idx="3">
                  <c:v>3512</c:v>
                </c:pt>
                <c:pt idx="4">
                  <c:v>3845</c:v>
                </c:pt>
              </c:numCache>
            </c:numRef>
          </c:val>
          <c:extLst>
            <c:ext xmlns:c16="http://schemas.microsoft.com/office/drawing/2014/chart" uri="{C3380CC4-5D6E-409C-BE32-E72D297353CC}">
              <c16:uniqueId val="{00000000-DBCE-4168-AF81-0D954A3BA367}"/>
            </c:ext>
          </c:extLst>
        </c:ser>
        <c:ser>
          <c:idx val="1"/>
          <c:order val="1"/>
          <c:tx>
            <c:strRef>
              <c:f>Sheet7!$A$3:$B$3</c:f>
              <c:strCache>
                <c:ptCount val="2"/>
                <c:pt idx="0">
                  <c:v>Current Liabilities (US$ m)</c:v>
                </c:pt>
                <c:pt idx="1">
                  <c:v>B</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Sheet7!$C$3:$G$3</c:f>
              <c:numCache>
                <c:formatCode>#,##0</c:formatCode>
                <c:ptCount val="5"/>
                <c:pt idx="0">
                  <c:v>5790</c:v>
                </c:pt>
                <c:pt idx="1">
                  <c:v>6180</c:v>
                </c:pt>
                <c:pt idx="2">
                  <c:v>6640</c:v>
                </c:pt>
                <c:pt idx="3">
                  <c:v>6940</c:v>
                </c:pt>
                <c:pt idx="4">
                  <c:v>7250</c:v>
                </c:pt>
              </c:numCache>
            </c:numRef>
          </c:val>
          <c:extLst>
            <c:ext xmlns:c16="http://schemas.microsoft.com/office/drawing/2014/chart" uri="{C3380CC4-5D6E-409C-BE32-E72D297353CC}">
              <c16:uniqueId val="{00000001-DBCE-4168-AF81-0D954A3BA367}"/>
            </c:ext>
          </c:extLst>
        </c:ser>
        <c:ser>
          <c:idx val="2"/>
          <c:order val="2"/>
          <c:tx>
            <c:strRef>
              <c:f>Sheet7!$A$4:$B$4</c:f>
              <c:strCache>
                <c:ptCount val="2"/>
                <c:pt idx="0">
                  <c:v>Capital Expenditure (US$ m)</c:v>
                </c:pt>
                <c:pt idx="1">
                  <c:v>C</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Sheet7!$C$4:$G$4</c:f>
              <c:numCache>
                <c:formatCode>General</c:formatCode>
                <c:ptCount val="5"/>
                <c:pt idx="0">
                  <c:v>584</c:v>
                </c:pt>
                <c:pt idx="1">
                  <c:v>675</c:v>
                </c:pt>
                <c:pt idx="2">
                  <c:v>762</c:v>
                </c:pt>
                <c:pt idx="3">
                  <c:v>815</c:v>
                </c:pt>
                <c:pt idx="4">
                  <c:v>890</c:v>
                </c:pt>
              </c:numCache>
            </c:numRef>
          </c:val>
          <c:extLst>
            <c:ext xmlns:c16="http://schemas.microsoft.com/office/drawing/2014/chart" uri="{C3380CC4-5D6E-409C-BE32-E72D297353CC}">
              <c16:uniqueId val="{00000002-DBCE-4168-AF81-0D954A3BA367}"/>
            </c:ext>
          </c:extLst>
        </c:ser>
        <c:ser>
          <c:idx val="3"/>
          <c:order val="3"/>
          <c:tx>
            <c:strRef>
              <c:f>Sheet7!$A$5:$B$5</c:f>
              <c:strCache>
                <c:ptCount val="2"/>
                <c:pt idx="0">
                  <c:v>Total Liabilities (US$ m)</c:v>
                </c:pt>
                <c:pt idx="1">
                  <c:v>D</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Sheet7!$C$1:$G$1</c:f>
              <c:numCache>
                <c:formatCode>General</c:formatCode>
                <c:ptCount val="5"/>
                <c:pt idx="0">
                  <c:v>2021</c:v>
                </c:pt>
                <c:pt idx="1">
                  <c:v>2022</c:v>
                </c:pt>
                <c:pt idx="2">
                  <c:v>2023</c:v>
                </c:pt>
                <c:pt idx="3">
                  <c:v>2024</c:v>
                </c:pt>
                <c:pt idx="4">
                  <c:v>2025</c:v>
                </c:pt>
              </c:numCache>
            </c:numRef>
          </c:cat>
          <c:val>
            <c:numRef>
              <c:f>Sheet7!$C$5:$G$5</c:f>
              <c:numCache>
                <c:formatCode>#,##0</c:formatCode>
                <c:ptCount val="5"/>
                <c:pt idx="0">
                  <c:v>28376</c:v>
                </c:pt>
                <c:pt idx="1">
                  <c:v>28931</c:v>
                </c:pt>
                <c:pt idx="2">
                  <c:v>30512</c:v>
                </c:pt>
                <c:pt idx="3">
                  <c:v>31960</c:v>
                </c:pt>
                <c:pt idx="4">
                  <c:v>33705</c:v>
                </c:pt>
              </c:numCache>
            </c:numRef>
          </c:val>
          <c:extLst>
            <c:ext xmlns:c16="http://schemas.microsoft.com/office/drawing/2014/chart" uri="{C3380CC4-5D6E-409C-BE32-E72D297353CC}">
              <c16:uniqueId val="{00000003-DBCE-4168-AF81-0D954A3BA367}"/>
            </c:ext>
          </c:extLst>
        </c:ser>
        <c:dLbls>
          <c:dLblPos val="outEnd"/>
          <c:showLegendKey val="0"/>
          <c:showVal val="1"/>
          <c:showCatName val="0"/>
          <c:showSerName val="0"/>
          <c:showPercent val="0"/>
          <c:showBubbleSize val="0"/>
        </c:dLbls>
        <c:gapWidth val="444"/>
        <c:overlap val="-90"/>
        <c:axId val="739923680"/>
        <c:axId val="739928576"/>
      </c:barChart>
      <c:catAx>
        <c:axId val="7399236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39928576"/>
        <c:crosses val="autoZero"/>
        <c:auto val="1"/>
        <c:lblAlgn val="ctr"/>
        <c:lblOffset val="100"/>
        <c:noMultiLvlLbl val="0"/>
      </c:catAx>
      <c:valAx>
        <c:axId val="739928576"/>
        <c:scaling>
          <c:orientation val="minMax"/>
        </c:scaling>
        <c:delete val="1"/>
        <c:axPos val="l"/>
        <c:numFmt formatCode="#,##0" sourceLinked="1"/>
        <c:majorTickMark val="none"/>
        <c:minorTickMark val="none"/>
        <c:tickLblPos val="nextTo"/>
        <c:crossAx val="7399236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268906-DC56-4882-A504-F06085474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55</Pages>
  <Words>7422</Words>
  <Characters>42310</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Bending Moments</cp:lastModifiedBy>
  <cp:revision>5</cp:revision>
  <dcterms:created xsi:type="dcterms:W3CDTF">2026-08-05T12:44:00Z</dcterms:created>
  <dcterms:modified xsi:type="dcterms:W3CDTF">2026-08-07T00:34:00Z</dcterms:modified>
</cp:coreProperties>
</file>