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D39A5" w:rsidRPr="000A74E3" w:rsidRDefault="00CD47DC" w:rsidP="000A74E3">
      <w:pPr>
        <w:rPr>
          <w:rFonts w:cs="Arial"/>
          <w:b/>
        </w:rPr>
      </w:pPr>
      <w:r w:rsidRPr="000A74E3">
        <w:rPr>
          <w:rFonts w:cs="Arial"/>
          <w:b/>
        </w:rPr>
        <w:t xml:space="preserve">Supporting </w:t>
      </w:r>
      <w:r w:rsidR="00CB2D33" w:rsidRPr="000A74E3">
        <w:rPr>
          <w:rFonts w:cs="Arial"/>
          <w:b/>
        </w:rPr>
        <w:t>Handout</w:t>
      </w:r>
      <w:r w:rsidRPr="000A74E3">
        <w:rPr>
          <w:rFonts w:cs="Arial"/>
          <w:b/>
        </w:rPr>
        <w:t xml:space="preserve"> </w:t>
      </w:r>
    </w:p>
    <w:p w:rsidR="00CD47DC" w:rsidRPr="000A74E3" w:rsidRDefault="00CD47DC" w:rsidP="000A74E3">
      <w:pPr>
        <w:rPr>
          <w:rFonts w:cs="Arial"/>
        </w:rPr>
      </w:pPr>
    </w:p>
    <w:p w:rsidR="000A74E3" w:rsidRPr="000A74E3" w:rsidRDefault="000A74E3" w:rsidP="000A74E3">
      <w:pPr>
        <w:pStyle w:val="a5"/>
        <w:spacing w:before="0" w:beforeAutospacing="0" w:after="0" w:afterAutospacing="0"/>
        <w:jc w:val="both"/>
        <w:rPr>
          <w:rFonts w:ascii="Arial" w:hAnsi="Arial" w:cs="Arial"/>
          <w:color w:val="0E101A"/>
        </w:rPr>
      </w:pPr>
      <w:r w:rsidRPr="000A74E3">
        <w:rPr>
          <w:rStyle w:val="a6"/>
          <w:rFonts w:ascii="Arial" w:hAnsi="Arial" w:cs="Arial"/>
          <w:color w:val="0E101A"/>
        </w:rPr>
        <w:t>Introduction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Due to the advanced development in international communication techniques and transportation methods, modern business organisations have to consider expanding their market to an international market (Glaister and Buckley, 1998). By having noticed the product life cycle, we find that in the domestic market, our product is in the declining stage. Therefore, it is an inevitable trend to develop an international market. The board of directors in our Jewellery Retail group has decided to expand our business to the Asian market. Hence, it is very essential to develop a sustainable partnership with an Asian partner. However, this partnership requires different skills in international business communication.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Style w:val="a6"/>
          <w:rFonts w:ascii="Arial" w:hAnsi="Arial" w:cs="Arial"/>
          <w:color w:val="0E101A"/>
        </w:rPr>
        <w:t>Requires skills and competencies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By checking Hofstede’s (2011) theory in international business communication, he argues that Asian countries are having different business cultures compared with the western world. There are many required skills based on Hall’s (Bai, 2016) high-context and low-context culture. In China, Japan, Hong Kong, Taiwan, South Korea, Singapore, and Malaysia, business cultures are highly affected by Confucian culture (Pandya, 2013). Therefore, by cooperating with Confucian culture, there are required several skills to form a sustainable relationship with Asian businesses. Firstly, forming a formal business context is one of the most important skills. In several dimensions, a formal business context can be formed: a) using professional title b) adhering to local business etiquette c) body language. To be more specific, using “Mayor” or “Director” or “Manager” to call Asian partners would be more suitable compared with calling “Mr” or “Mrs” (Chuan, 2003). On the other hand, to know the local business etiquette is also an essential ability. For example, in Japan, during the phrase of exchanging business cards, our representative should never put a pile of business cards on the table. It is a very impolite behavior in the business context. It is proper to sliding a card from the card deck and using two-hands to hand-on to a business partner (Williams, 2003). The other skill is to adhere to local business courtesy in the Asian market. Some business courtesies including applause, shaking hands and polite smiling are favourable in the Asian business context. </w:t>
      </w:r>
    </w:p>
    <w:p w:rsidR="000A74E3" w:rsidRPr="000A74E3" w:rsidRDefault="000A74E3" w:rsidP="000A74E3">
      <w:pPr>
        <w:pStyle w:val="a5"/>
        <w:spacing w:before="0" w:beforeAutospacing="0" w:after="0" w:afterAutospacing="0"/>
        <w:jc w:val="both"/>
        <w:rPr>
          <w:rFonts w:ascii="Arial" w:hAnsi="Arial" w:cs="Arial"/>
          <w:color w:val="0E101A"/>
        </w:rPr>
      </w:pP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 xml:space="preserve">The most crucial competency to corporate with Asian business organisations is a sustainable relationship or “Guanxi”. Except for granting profit, communication is critical. Therefore, having a very good command of the local language is the core. Including Chinese mandarin, Japanese, Cantonese, and other languages, it is much more difficult to be commanded by a native English mother-tongue (Peters, 2014). It could form a barrier to protect this relationship </w:t>
      </w:r>
      <w:r w:rsidRPr="000A74E3">
        <w:rPr>
          <w:rFonts w:ascii="Arial" w:hAnsi="Arial" w:cs="Arial"/>
          <w:color w:val="0E101A"/>
        </w:rPr>
        <w:lastRenderedPageBreak/>
        <w:t>by sustaining good direct communication using the local language (Hofstede, 2011).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    </w:t>
      </w:r>
    </w:p>
    <w:p w:rsidR="000A74E3" w:rsidRPr="000A74E3" w:rsidRDefault="000A74E3" w:rsidP="000A74E3">
      <w:pPr>
        <w:pStyle w:val="a5"/>
        <w:spacing w:before="0" w:beforeAutospacing="0" w:after="0" w:afterAutospacing="0"/>
        <w:jc w:val="both"/>
        <w:rPr>
          <w:rFonts w:ascii="Arial" w:hAnsi="Arial" w:cs="Arial"/>
          <w:color w:val="0E101A"/>
        </w:rPr>
      </w:pPr>
    </w:p>
    <w:p w:rsidR="000A74E3" w:rsidRPr="000A74E3" w:rsidRDefault="000A74E3" w:rsidP="000A74E3">
      <w:pPr>
        <w:pStyle w:val="a5"/>
        <w:spacing w:before="0" w:beforeAutospacing="0" w:after="0" w:afterAutospacing="0"/>
        <w:jc w:val="both"/>
        <w:rPr>
          <w:rFonts w:ascii="Arial" w:hAnsi="Arial" w:cs="Arial"/>
          <w:color w:val="0E101A"/>
        </w:rPr>
      </w:pPr>
      <w:r w:rsidRPr="000A74E3">
        <w:rPr>
          <w:rStyle w:val="a6"/>
          <w:rFonts w:ascii="Arial" w:hAnsi="Arial" w:cs="Arial"/>
          <w:color w:val="0E101A"/>
        </w:rPr>
        <w:t>International communication approach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The definition of the international communication approach is to form a good communication and information delivering a system with an international partner (Glaister and Buckley, 1998). Therefore, the understandings of cultural background are critical to know the target partner. South Korea (S.Korea) for example, is one of the biggest jewellery consumption nations in Asia. Our company is a British company. The cultural divergences are based on several dimensions by checking Hofstede’s cultural dimension theory. </w:t>
      </w:r>
    </w:p>
    <w:p w:rsidR="00CD47DC" w:rsidRPr="000A74E3" w:rsidRDefault="006B7604" w:rsidP="000A74E3">
      <w:pPr>
        <w:rPr>
          <w:rFonts w:cs="Arial"/>
        </w:rPr>
      </w:pPr>
      <w:r w:rsidRPr="000A74E3">
        <w:rPr>
          <w:rFonts w:cs="Arial"/>
          <w:noProof/>
          <w:lang w:val="en-US"/>
        </w:rPr>
        <w:drawing>
          <wp:inline distT="0" distB="0" distL="0" distR="0">
            <wp:extent cx="4518561" cy="1787783"/>
            <wp:effectExtent l="0" t="0" r="0" b="3175"/>
            <wp:docPr id="1" name="图片 1" descr="C:\Users\ADMINI~1\AppData\Local\Temp\1596355820(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DMINI~1\AppData\Local\Temp\1596355820(1).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538629" cy="1795723"/>
                    </a:xfrm>
                    <a:prstGeom prst="rect">
                      <a:avLst/>
                    </a:prstGeom>
                    <a:noFill/>
                    <a:ln>
                      <a:noFill/>
                    </a:ln>
                  </pic:spPr>
                </pic:pic>
              </a:graphicData>
            </a:graphic>
          </wp:inline>
        </w:drawing>
      </w:r>
    </w:p>
    <w:p w:rsidR="005E5F1B" w:rsidRPr="000A74E3" w:rsidRDefault="006B7604" w:rsidP="000A74E3">
      <w:pPr>
        <w:rPr>
          <w:rFonts w:cs="Arial"/>
        </w:rPr>
      </w:pPr>
      <w:r w:rsidRPr="000A74E3">
        <w:rPr>
          <w:rFonts w:cs="Arial"/>
        </w:rPr>
        <w:t xml:space="preserve">Exhibit 1.1 Hofstede’s Country Comparison UK </w:t>
      </w:r>
      <w:r w:rsidR="00B3643C" w:rsidRPr="000A74E3">
        <w:rPr>
          <w:rFonts w:cs="Arial"/>
        </w:rPr>
        <w:t xml:space="preserve">(right side) </w:t>
      </w:r>
      <w:r w:rsidRPr="000A74E3">
        <w:rPr>
          <w:rFonts w:cs="Arial"/>
        </w:rPr>
        <w:t>and S.Korea</w:t>
      </w:r>
      <w:r w:rsidR="00E93648" w:rsidRPr="000A74E3">
        <w:rPr>
          <w:rFonts w:cs="Arial"/>
        </w:rPr>
        <w:t xml:space="preserve"> (left</w:t>
      </w:r>
      <w:r w:rsidR="00B3643C" w:rsidRPr="000A74E3">
        <w:rPr>
          <w:rFonts w:cs="Arial"/>
        </w:rPr>
        <w:t xml:space="preserve"> side)</w:t>
      </w:r>
      <w:r w:rsidRPr="000A74E3">
        <w:rPr>
          <w:rFonts w:cs="Arial"/>
        </w:rPr>
        <w:t xml:space="preserve"> </w:t>
      </w:r>
      <w:r w:rsidR="00A56952" w:rsidRPr="000A74E3">
        <w:rPr>
          <w:rFonts w:cs="Arial"/>
        </w:rPr>
        <w:t>(Hofstede, 2020)</w:t>
      </w:r>
    </w:p>
    <w:p w:rsidR="00B22F49" w:rsidRPr="000A74E3" w:rsidRDefault="00B22F49" w:rsidP="000A74E3">
      <w:pPr>
        <w:rPr>
          <w:rFonts w:cs="Arial"/>
        </w:rPr>
      </w:pPr>
    </w:p>
    <w:p w:rsidR="000A74E3" w:rsidRPr="000A74E3" w:rsidRDefault="000A74E3" w:rsidP="000A74E3">
      <w:pPr>
        <w:pStyle w:val="a5"/>
        <w:spacing w:before="0" w:beforeAutospacing="0" w:after="0" w:afterAutospacing="0"/>
        <w:jc w:val="both"/>
        <w:rPr>
          <w:rFonts w:ascii="Arial" w:hAnsi="Arial" w:cs="Arial" w:hint="eastAsia"/>
          <w:color w:val="0E101A"/>
        </w:rPr>
      </w:pPr>
      <w:r w:rsidRPr="000A74E3">
        <w:rPr>
          <w:rFonts w:ascii="Arial" w:hAnsi="Arial" w:cs="Arial"/>
          <w:color w:val="0E101A"/>
        </w:rPr>
        <w:t>We can see the hugest divergences between British society and Korean society are based on individualism, uncertainty avoidance, and long-term orientation. By referring to Hofstede’s theory, collectivism and individualism are highly conflictive ideologies in the business context. Korean people are normally grouping’s to form a mutually beneficial group (Choe, 2007). However, in the UK, people are self-centred by maximising self-interest rather than the group’s interest. To mitigate this conflict, our company has to form a new stimulation system and a bonus mechanism based on group performance rather than individual performance. Moreover, it is a good strategy to send expatriates from the UK to Korea to be a performance supervisor. Although, it is very unlikely to be a part of their cultural ideology. But, it is good to form a supervision system to prevent the damage of organisational interest. The group of Koreans can form a conspiracy group to protect each other’s misconduct behaviours (Jeon, 2019). On the other hand, Koreans can never accept a high level of uncertainty and a high-level of short-term orientation based on the chart above. Hence, the international communication approach ought to be based on long-term orientation to form a sustainable relationship with Asian partners. It is also an important issue to make Korean partners believe that the partnering contract is to show some degree of certainty.  </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Style w:val="a6"/>
          <w:rFonts w:ascii="Arial" w:hAnsi="Arial" w:cs="Arial"/>
          <w:color w:val="0E101A"/>
        </w:rPr>
        <w:lastRenderedPageBreak/>
        <w:t>Expected result and organisation’s benefits</w:t>
      </w: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There are several possibilities by applying those mentioned skills, competencies, and corresponding approaches to real partnerships in Asian countries. The most ideal result is to form a good relationship with a target company and to generate substantial profit to achieve mutual benefits (Chuan, 2003). However, there are also some less desirable outcomes. The potential conflictive situations can be predicted in several parts. At first, the conflicts between expatriates and Korean partners can be expected. The different cultural background in the dimensions of individualism, long-term orientation, and uncertainty avoidance is the trigger. For example, the British company might ask for short-term profit only while the Korean partners are seeking long-term success. Hence, for the organisation’s and partner's mutual benefits, cultural divergences have to be identified for sure. </w:t>
      </w:r>
    </w:p>
    <w:p w:rsidR="000A74E3" w:rsidRPr="000A74E3" w:rsidRDefault="000A74E3" w:rsidP="000A74E3">
      <w:pPr>
        <w:pStyle w:val="a5"/>
        <w:spacing w:before="0" w:beforeAutospacing="0" w:after="0" w:afterAutospacing="0"/>
        <w:jc w:val="both"/>
        <w:rPr>
          <w:rFonts w:ascii="Arial" w:hAnsi="Arial" w:cs="Arial"/>
          <w:color w:val="0E101A"/>
        </w:rPr>
      </w:pPr>
    </w:p>
    <w:p w:rsidR="000A74E3" w:rsidRPr="000A74E3" w:rsidRDefault="000A74E3" w:rsidP="000A74E3">
      <w:pPr>
        <w:pStyle w:val="a5"/>
        <w:spacing w:before="0" w:beforeAutospacing="0" w:after="0" w:afterAutospacing="0"/>
        <w:jc w:val="both"/>
        <w:rPr>
          <w:rFonts w:ascii="Arial" w:hAnsi="Arial" w:cs="Arial"/>
          <w:color w:val="0E101A"/>
        </w:rPr>
      </w:pPr>
      <w:r w:rsidRPr="000A74E3">
        <w:rPr>
          <w:rFonts w:ascii="Arial" w:hAnsi="Arial" w:cs="Arial"/>
          <w:color w:val="0E101A"/>
        </w:rPr>
        <w:t>The second step is to mitigate those identified cultural divergences. Still using Korean culture as an example, the British company has to consider how to maximise collective benefits within the partnering contract. </w:t>
      </w:r>
    </w:p>
    <w:p w:rsidR="000A74E3" w:rsidRPr="000A74E3" w:rsidRDefault="000A74E3" w:rsidP="000A74E3">
      <w:pPr>
        <w:pStyle w:val="a5"/>
        <w:spacing w:before="0" w:beforeAutospacing="0" w:after="0" w:afterAutospacing="0"/>
        <w:jc w:val="both"/>
        <w:rPr>
          <w:rFonts w:ascii="Arial" w:hAnsi="Arial" w:cs="Arial"/>
          <w:color w:val="0E101A"/>
        </w:rPr>
      </w:pPr>
    </w:p>
    <w:p w:rsidR="000A74E3" w:rsidRPr="000A74E3" w:rsidRDefault="000A74E3" w:rsidP="000A74E3">
      <w:pPr>
        <w:pStyle w:val="a5"/>
        <w:spacing w:before="0" w:beforeAutospacing="0" w:after="0" w:afterAutospacing="0"/>
        <w:jc w:val="both"/>
        <w:rPr>
          <w:rFonts w:ascii="Arial" w:hAnsi="Arial" w:cs="Arial"/>
          <w:color w:val="0E101A"/>
        </w:rPr>
      </w:pPr>
      <w:r w:rsidRPr="000A74E3">
        <w:rPr>
          <w:rStyle w:val="a6"/>
          <w:rFonts w:ascii="Arial" w:hAnsi="Arial" w:cs="Arial"/>
          <w:color w:val="0E101A"/>
        </w:rPr>
        <w:t>Conclusion </w:t>
      </w:r>
    </w:p>
    <w:p w:rsidR="000A74E3" w:rsidRDefault="000A74E3" w:rsidP="000A74E3">
      <w:pPr>
        <w:pStyle w:val="a5"/>
        <w:spacing w:before="0" w:beforeAutospacing="0" w:after="0" w:afterAutospacing="0"/>
        <w:jc w:val="both"/>
        <w:rPr>
          <w:color w:val="0E101A"/>
        </w:rPr>
      </w:pPr>
      <w:r w:rsidRPr="000A74E3">
        <w:rPr>
          <w:rFonts w:ascii="Arial" w:hAnsi="Arial" w:cs="Arial"/>
          <w:color w:val="0E101A"/>
        </w:rPr>
        <w:t>In conclusion, the Asian market has shown good potential and capacity in recent years. Seeking an Asian partner to be a technique of business expansion is an excellent method. International business communication would help us to avoid some taboos within the process of communication. This handout is mainly using Korean culture as a representative example to demonstrate the cultural divergences between Asian countries and the western world. However, there are also some expected results. Some methods of mitigating less desirable results have already been provided.</w:t>
      </w:r>
      <w:r>
        <w:rPr>
          <w:color w:val="0E101A"/>
        </w:rPr>
        <w:t>   </w:t>
      </w:r>
    </w:p>
    <w:p w:rsidR="000A74E3" w:rsidRDefault="000A74E3" w:rsidP="000A74E3">
      <w:pPr>
        <w:pStyle w:val="a5"/>
        <w:spacing w:before="0" w:beforeAutospacing="0" w:after="0" w:afterAutospacing="0"/>
        <w:rPr>
          <w:color w:val="0E101A"/>
        </w:rPr>
      </w:pPr>
    </w:p>
    <w:p w:rsidR="000A74E3" w:rsidRDefault="000A74E3" w:rsidP="000A74E3">
      <w:pPr>
        <w:pStyle w:val="a5"/>
        <w:spacing w:before="0" w:beforeAutospacing="0" w:after="0" w:afterAutospacing="0"/>
        <w:rPr>
          <w:color w:val="0E101A"/>
        </w:rPr>
      </w:pPr>
    </w:p>
    <w:p w:rsidR="000A74E3" w:rsidRDefault="000A74E3" w:rsidP="000A74E3">
      <w:pPr>
        <w:pStyle w:val="a5"/>
        <w:spacing w:before="0" w:beforeAutospacing="0" w:after="0" w:afterAutospacing="0"/>
        <w:rPr>
          <w:color w:val="0E101A"/>
        </w:rPr>
      </w:pPr>
    </w:p>
    <w:p w:rsidR="00BE3941" w:rsidRPr="000A74E3" w:rsidRDefault="00BE3941">
      <w:pPr>
        <w:rPr>
          <w:lang w:val="en-US"/>
        </w:rPr>
      </w:pPr>
    </w:p>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 w:rsidR="00BE3941" w:rsidRDefault="00BE3941">
      <w:pPr>
        <w:rPr>
          <w:rFonts w:hint="eastAsia"/>
        </w:rPr>
      </w:pPr>
      <w:bookmarkStart w:id="0" w:name="_GoBack"/>
      <w:bookmarkEnd w:id="0"/>
    </w:p>
    <w:p w:rsidR="000A74E3" w:rsidRPr="000A74E3" w:rsidRDefault="00BE3941">
      <w:pPr>
        <w:rPr>
          <w:rFonts w:hint="eastAsia"/>
          <w:b/>
        </w:rPr>
      </w:pPr>
      <w:r w:rsidRPr="00BE3941">
        <w:rPr>
          <w:rFonts w:hint="eastAsia"/>
          <w:b/>
        </w:rPr>
        <w:lastRenderedPageBreak/>
        <w:t>R</w:t>
      </w:r>
      <w:r w:rsidRPr="00BE3941">
        <w:rPr>
          <w:b/>
        </w:rPr>
        <w:t>eference</w:t>
      </w:r>
    </w:p>
    <w:p w:rsidR="000A74E3" w:rsidRDefault="000A74E3">
      <w:pPr>
        <w:rPr>
          <w:rFonts w:cs="Arial"/>
          <w:color w:val="000000"/>
          <w:szCs w:val="24"/>
          <w:shd w:val="clear" w:color="auto" w:fill="FFFFFF"/>
        </w:rPr>
      </w:pPr>
      <w:r w:rsidRPr="000A74E3">
        <w:rPr>
          <w:rFonts w:cs="Arial"/>
          <w:color w:val="000000"/>
          <w:szCs w:val="24"/>
          <w:shd w:val="clear" w:color="auto" w:fill="FFFFFF"/>
        </w:rPr>
        <w:t>Bai, H., 2016. A Cross-Cultural Analysis of Advertisements from High-Context Cultures and Low-Context Cultures. </w:t>
      </w:r>
      <w:r w:rsidRPr="000A74E3">
        <w:rPr>
          <w:rFonts w:cs="Arial"/>
          <w:i/>
          <w:iCs/>
          <w:color w:val="000000"/>
          <w:szCs w:val="24"/>
          <w:shd w:val="clear" w:color="auto" w:fill="FFFFFF"/>
        </w:rPr>
        <w:t>English Language Teaching</w:t>
      </w:r>
      <w:r w:rsidRPr="000A74E3">
        <w:rPr>
          <w:rFonts w:cs="Arial"/>
          <w:color w:val="000000"/>
          <w:szCs w:val="24"/>
          <w:shd w:val="clear" w:color="auto" w:fill="FFFFFF"/>
        </w:rPr>
        <w:t>, 9(8), p.21.</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Choe, S., 2007. The Korean Wave: Reinterpretation of Korean Traditional Culture. </w:t>
      </w:r>
      <w:r w:rsidRPr="000A74E3">
        <w:rPr>
          <w:rFonts w:cs="Arial"/>
          <w:i/>
          <w:iCs/>
          <w:color w:val="000000"/>
          <w:szCs w:val="24"/>
          <w:shd w:val="clear" w:color="auto" w:fill="FFFFFF"/>
        </w:rPr>
        <w:t>Jonrnal of Social Thoughts and Culture</w:t>
      </w:r>
      <w:r w:rsidRPr="000A74E3">
        <w:rPr>
          <w:rFonts w:cs="Arial"/>
          <w:color w:val="000000"/>
          <w:szCs w:val="24"/>
          <w:shd w:val="clear" w:color="auto" w:fill="FFFFFF"/>
        </w:rPr>
        <w:t>, 15, p.5.</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Chuan, T., 2003. Maximizing Human Intelligence Deployment in Asian Business. </w:t>
      </w:r>
      <w:r w:rsidRPr="000A74E3">
        <w:rPr>
          <w:rFonts w:cs="Arial"/>
          <w:i/>
          <w:iCs/>
          <w:color w:val="000000"/>
          <w:szCs w:val="24"/>
          <w:shd w:val="clear" w:color="auto" w:fill="FFFFFF"/>
        </w:rPr>
        <w:t>Asian Business &amp; Management</w:t>
      </w:r>
      <w:r w:rsidRPr="000A74E3">
        <w:rPr>
          <w:rFonts w:cs="Arial"/>
          <w:color w:val="000000"/>
          <w:szCs w:val="24"/>
          <w:shd w:val="clear" w:color="auto" w:fill="FFFFFF"/>
        </w:rPr>
        <w:t>, 2(2), pp.285-287.</w:t>
      </w:r>
    </w:p>
    <w:p w:rsidR="000A74E3" w:rsidRPr="000A74E3" w:rsidRDefault="000A74E3">
      <w:pPr>
        <w:rPr>
          <w:szCs w:val="24"/>
        </w:rPr>
      </w:pPr>
    </w:p>
    <w:p w:rsidR="000A74E3" w:rsidRDefault="000A74E3">
      <w:pPr>
        <w:rPr>
          <w:rFonts w:cs="Arial"/>
          <w:color w:val="000000"/>
          <w:szCs w:val="24"/>
          <w:shd w:val="clear" w:color="auto" w:fill="FFFFFF"/>
        </w:rPr>
      </w:pPr>
      <w:r w:rsidRPr="000A74E3">
        <w:rPr>
          <w:rFonts w:cs="Arial"/>
          <w:color w:val="000000"/>
          <w:szCs w:val="24"/>
          <w:shd w:val="clear" w:color="auto" w:fill="FFFFFF"/>
        </w:rPr>
        <w:t>Glaister, K. and Buckley, P., 1998. Management–performance relationships in UK joint ventures. </w:t>
      </w:r>
      <w:r w:rsidRPr="000A74E3">
        <w:rPr>
          <w:rFonts w:cs="Arial"/>
          <w:i/>
          <w:iCs/>
          <w:color w:val="000000"/>
          <w:szCs w:val="24"/>
          <w:shd w:val="clear" w:color="auto" w:fill="FFFFFF"/>
        </w:rPr>
        <w:t>International Business Review</w:t>
      </w:r>
      <w:r w:rsidRPr="000A74E3">
        <w:rPr>
          <w:rFonts w:cs="Arial"/>
          <w:color w:val="000000"/>
          <w:szCs w:val="24"/>
          <w:shd w:val="clear" w:color="auto" w:fill="FFFFFF"/>
        </w:rPr>
        <w:t>, 7(3), pp.235-257.</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Hofstede, 2020. </w:t>
      </w:r>
      <w:r w:rsidRPr="000A74E3">
        <w:rPr>
          <w:rFonts w:cs="Arial"/>
          <w:i/>
          <w:iCs/>
          <w:color w:val="000000"/>
          <w:szCs w:val="24"/>
          <w:shd w:val="clear" w:color="auto" w:fill="FFFFFF"/>
        </w:rPr>
        <w:t>Compare Countries - Hofstede Insights</w:t>
      </w:r>
      <w:r w:rsidRPr="000A74E3">
        <w:rPr>
          <w:rFonts w:cs="Arial"/>
          <w:color w:val="000000"/>
          <w:szCs w:val="24"/>
          <w:shd w:val="clear" w:color="auto" w:fill="FFFFFF"/>
        </w:rPr>
        <w:t>. [online] Hofstede Insights. Available at: &lt;https://www.hofstede-insights.com/product/compare-countries/&gt; [Accessed 2 August 2020].</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Hofstede, G., 2011. Dimensionalizing Cultures: The Hofstede Model in Context. </w:t>
      </w:r>
      <w:r w:rsidRPr="000A74E3">
        <w:rPr>
          <w:rFonts w:cs="Arial"/>
          <w:i/>
          <w:iCs/>
          <w:color w:val="000000"/>
          <w:szCs w:val="24"/>
          <w:shd w:val="clear" w:color="auto" w:fill="FFFFFF"/>
        </w:rPr>
        <w:t>Online Readings in Psychology and Culture</w:t>
      </w:r>
      <w:r w:rsidRPr="000A74E3">
        <w:rPr>
          <w:rFonts w:cs="Arial"/>
          <w:color w:val="000000"/>
          <w:szCs w:val="24"/>
          <w:shd w:val="clear" w:color="auto" w:fill="FFFFFF"/>
        </w:rPr>
        <w:t>, 2(1).</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Jeon, H., 2019. A Study of the Current Status and Future Directions of Korean Popular Culture Education in Korean Textbooks. </w:t>
      </w:r>
      <w:r w:rsidRPr="000A74E3">
        <w:rPr>
          <w:rFonts w:cs="Arial"/>
          <w:i/>
          <w:iCs/>
          <w:color w:val="000000"/>
          <w:szCs w:val="24"/>
          <w:shd w:val="clear" w:color="auto" w:fill="FFFFFF"/>
        </w:rPr>
        <w:t>The Korean Society of Culture and Convergence</w:t>
      </w:r>
      <w:r w:rsidRPr="000A74E3">
        <w:rPr>
          <w:rFonts w:cs="Arial"/>
          <w:color w:val="000000"/>
          <w:szCs w:val="24"/>
          <w:shd w:val="clear" w:color="auto" w:fill="FFFFFF"/>
        </w:rPr>
        <w:t>, 41(6), pp.669-704.</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Pandya, S., 2013. Situating Vijay Singh in (Asian) America. </w:t>
      </w:r>
      <w:r w:rsidRPr="000A74E3">
        <w:rPr>
          <w:rFonts w:cs="Arial"/>
          <w:i/>
          <w:iCs/>
          <w:color w:val="000000"/>
          <w:szCs w:val="24"/>
          <w:shd w:val="clear" w:color="auto" w:fill="FFFFFF"/>
        </w:rPr>
        <w:t>South Asian Popular Culture</w:t>
      </w:r>
      <w:r w:rsidRPr="000A74E3">
        <w:rPr>
          <w:rFonts w:cs="Arial"/>
          <w:color w:val="000000"/>
          <w:szCs w:val="24"/>
          <w:shd w:val="clear" w:color="auto" w:fill="FFFFFF"/>
        </w:rPr>
        <w:t>, 11(3), pp.219-230.</w:t>
      </w:r>
    </w:p>
    <w:p w:rsidR="000A74E3" w:rsidRPr="000A74E3" w:rsidRDefault="000A74E3">
      <w:pPr>
        <w:rPr>
          <w:rFonts w:cs="Arial"/>
          <w:color w:val="000000"/>
          <w:szCs w:val="24"/>
          <w:shd w:val="clear" w:color="auto" w:fill="FFFFFF"/>
        </w:rPr>
      </w:pPr>
    </w:p>
    <w:p w:rsidR="000A74E3" w:rsidRDefault="000A74E3">
      <w:pPr>
        <w:rPr>
          <w:rFonts w:cs="Arial"/>
          <w:color w:val="000000"/>
          <w:szCs w:val="24"/>
          <w:shd w:val="clear" w:color="auto" w:fill="FFFFFF"/>
        </w:rPr>
      </w:pPr>
      <w:r w:rsidRPr="000A74E3">
        <w:rPr>
          <w:rFonts w:cs="Arial"/>
          <w:color w:val="000000"/>
          <w:szCs w:val="24"/>
          <w:shd w:val="clear" w:color="auto" w:fill="FFFFFF"/>
        </w:rPr>
        <w:t>Peters, J., 2014. Social Responsibility is Free &amp; Sustainable - Why Doing Good While Doing Business is Good Business. </w:t>
      </w:r>
      <w:r w:rsidRPr="000A74E3">
        <w:rPr>
          <w:rFonts w:cs="Arial"/>
          <w:i/>
          <w:iCs/>
          <w:color w:val="000000"/>
          <w:szCs w:val="24"/>
          <w:shd w:val="clear" w:color="auto" w:fill="FFFFFF"/>
        </w:rPr>
        <w:t>Nang Yan Business Journal</w:t>
      </w:r>
      <w:r w:rsidRPr="000A74E3">
        <w:rPr>
          <w:rFonts w:cs="Arial"/>
          <w:color w:val="000000"/>
          <w:szCs w:val="24"/>
          <w:shd w:val="clear" w:color="auto" w:fill="FFFFFF"/>
        </w:rPr>
        <w:t>, 2(1), pp.160-165.</w:t>
      </w:r>
    </w:p>
    <w:p w:rsidR="000A74E3" w:rsidRPr="000A74E3" w:rsidRDefault="000A74E3">
      <w:pPr>
        <w:rPr>
          <w:rFonts w:cs="Arial"/>
          <w:color w:val="000000"/>
          <w:szCs w:val="24"/>
          <w:shd w:val="clear" w:color="auto" w:fill="FFFFFF"/>
        </w:rPr>
      </w:pPr>
    </w:p>
    <w:p w:rsidR="000A74E3" w:rsidRPr="000A74E3" w:rsidRDefault="000A74E3">
      <w:pPr>
        <w:rPr>
          <w:szCs w:val="24"/>
        </w:rPr>
      </w:pPr>
      <w:r w:rsidRPr="000A74E3">
        <w:rPr>
          <w:rFonts w:cs="Arial"/>
          <w:color w:val="000000"/>
          <w:szCs w:val="24"/>
          <w:shd w:val="clear" w:color="auto" w:fill="FFFFFF"/>
        </w:rPr>
        <w:t>Williams, D., 2003. Explaining employment changes in foreign manufacturing investment in the UK. </w:t>
      </w:r>
      <w:r w:rsidRPr="000A74E3">
        <w:rPr>
          <w:rFonts w:cs="Arial"/>
          <w:i/>
          <w:iCs/>
          <w:color w:val="000000"/>
          <w:szCs w:val="24"/>
          <w:shd w:val="clear" w:color="auto" w:fill="FFFFFF"/>
        </w:rPr>
        <w:t>International Business Review</w:t>
      </w:r>
      <w:r w:rsidRPr="000A74E3">
        <w:rPr>
          <w:rFonts w:cs="Arial"/>
          <w:color w:val="000000"/>
          <w:szCs w:val="24"/>
          <w:shd w:val="clear" w:color="auto" w:fill="FFFFFF"/>
        </w:rPr>
        <w:t>, 12(4), pp.479-497.</w:t>
      </w:r>
    </w:p>
    <w:sectPr w:rsidR="000A74E3" w:rsidRPr="000A74E3">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F10B4D" w:rsidRDefault="00F10B4D" w:rsidP="00CD47DC">
      <w:r>
        <w:separator/>
      </w:r>
    </w:p>
  </w:endnote>
  <w:endnote w:type="continuationSeparator" w:id="0">
    <w:p w:rsidR="00F10B4D" w:rsidRDefault="00F10B4D" w:rsidP="00CD47D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F10B4D" w:rsidRDefault="00F10B4D" w:rsidP="00CD47DC">
      <w:r>
        <w:separator/>
      </w:r>
    </w:p>
  </w:footnote>
  <w:footnote w:type="continuationSeparator" w:id="0">
    <w:p w:rsidR="00F10B4D" w:rsidRDefault="00F10B4D" w:rsidP="00CD47D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60"/>
  <w:bordersDoNotSurroundHeader/>
  <w:bordersDoNotSurroundFooter/>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577B5"/>
    <w:rsid w:val="00024302"/>
    <w:rsid w:val="000A74E3"/>
    <w:rsid w:val="001577B5"/>
    <w:rsid w:val="001714A3"/>
    <w:rsid w:val="002639C0"/>
    <w:rsid w:val="00290F8F"/>
    <w:rsid w:val="002E2521"/>
    <w:rsid w:val="002E4682"/>
    <w:rsid w:val="00303C79"/>
    <w:rsid w:val="00353E79"/>
    <w:rsid w:val="003575AB"/>
    <w:rsid w:val="00365C15"/>
    <w:rsid w:val="0037331A"/>
    <w:rsid w:val="003A64D5"/>
    <w:rsid w:val="004021F1"/>
    <w:rsid w:val="00443D05"/>
    <w:rsid w:val="00483A7F"/>
    <w:rsid w:val="00484DE9"/>
    <w:rsid w:val="004A74D0"/>
    <w:rsid w:val="004D4DFB"/>
    <w:rsid w:val="00513125"/>
    <w:rsid w:val="00530660"/>
    <w:rsid w:val="0056227E"/>
    <w:rsid w:val="005836AB"/>
    <w:rsid w:val="005903B3"/>
    <w:rsid w:val="005D6905"/>
    <w:rsid w:val="005E5F1B"/>
    <w:rsid w:val="00626C88"/>
    <w:rsid w:val="00627593"/>
    <w:rsid w:val="00652099"/>
    <w:rsid w:val="0067764F"/>
    <w:rsid w:val="00687670"/>
    <w:rsid w:val="006B7604"/>
    <w:rsid w:val="00717B74"/>
    <w:rsid w:val="0074198A"/>
    <w:rsid w:val="0076777F"/>
    <w:rsid w:val="007E1765"/>
    <w:rsid w:val="00814D84"/>
    <w:rsid w:val="008C38E0"/>
    <w:rsid w:val="008E03F4"/>
    <w:rsid w:val="00900B81"/>
    <w:rsid w:val="009C4D4B"/>
    <w:rsid w:val="00A14F67"/>
    <w:rsid w:val="00A450FE"/>
    <w:rsid w:val="00A56952"/>
    <w:rsid w:val="00A605CC"/>
    <w:rsid w:val="00A77BE3"/>
    <w:rsid w:val="00A82A57"/>
    <w:rsid w:val="00AA1F78"/>
    <w:rsid w:val="00AC7B8C"/>
    <w:rsid w:val="00AD751D"/>
    <w:rsid w:val="00B06E1E"/>
    <w:rsid w:val="00B22F49"/>
    <w:rsid w:val="00B319D6"/>
    <w:rsid w:val="00B3643C"/>
    <w:rsid w:val="00B55269"/>
    <w:rsid w:val="00BE3941"/>
    <w:rsid w:val="00C15DCB"/>
    <w:rsid w:val="00CB2D33"/>
    <w:rsid w:val="00CC4834"/>
    <w:rsid w:val="00CD47DC"/>
    <w:rsid w:val="00CE7B18"/>
    <w:rsid w:val="00CF6CED"/>
    <w:rsid w:val="00D41B91"/>
    <w:rsid w:val="00D4756B"/>
    <w:rsid w:val="00D6772E"/>
    <w:rsid w:val="00D92E53"/>
    <w:rsid w:val="00D939D6"/>
    <w:rsid w:val="00DC3426"/>
    <w:rsid w:val="00DE11A9"/>
    <w:rsid w:val="00DE309F"/>
    <w:rsid w:val="00DE7E61"/>
    <w:rsid w:val="00E239CD"/>
    <w:rsid w:val="00E67D65"/>
    <w:rsid w:val="00E93648"/>
    <w:rsid w:val="00EA014C"/>
    <w:rsid w:val="00ED39A5"/>
    <w:rsid w:val="00F10B4D"/>
    <w:rsid w:val="00F93D7B"/>
    <w:rsid w:val="00F94014"/>
    <w:rsid w:val="00FC0D2F"/>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EFD3E1C1-5D0E-40C7-ADA7-1E16AA2847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CB2D33"/>
    <w:pPr>
      <w:widowControl w:val="0"/>
      <w:jc w:val="both"/>
    </w:pPr>
    <w:rPr>
      <w:rFonts w:ascii="Arial" w:hAnsi="Arial"/>
      <w:color w:val="000000" w:themeColor="text1"/>
      <w:sz w:val="24"/>
      <w:lang w:val="en-GB"/>
    </w:rPr>
  </w:style>
  <w:style w:type="paragraph" w:styleId="1">
    <w:name w:val="heading 1"/>
    <w:basedOn w:val="a"/>
    <w:next w:val="a"/>
    <w:link w:val="1Char"/>
    <w:uiPriority w:val="9"/>
    <w:qFormat/>
    <w:rsid w:val="00CB2D33"/>
    <w:pPr>
      <w:keepNext/>
      <w:keepLines/>
      <w:spacing w:before="340" w:after="330" w:line="578" w:lineRule="auto"/>
      <w:outlineLvl w:val="0"/>
    </w:pPr>
    <w:rPr>
      <w:b/>
      <w:bCs/>
      <w:kern w:val="44"/>
      <w:szCs w:val="44"/>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CD47DC"/>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CD47DC"/>
    <w:rPr>
      <w:sz w:val="18"/>
      <w:szCs w:val="18"/>
    </w:rPr>
  </w:style>
  <w:style w:type="paragraph" w:styleId="a4">
    <w:name w:val="footer"/>
    <w:basedOn w:val="a"/>
    <w:link w:val="Char0"/>
    <w:uiPriority w:val="99"/>
    <w:unhideWhenUsed/>
    <w:rsid w:val="00CD47DC"/>
    <w:pPr>
      <w:tabs>
        <w:tab w:val="center" w:pos="4153"/>
        <w:tab w:val="right" w:pos="8306"/>
      </w:tabs>
      <w:snapToGrid w:val="0"/>
      <w:jc w:val="left"/>
    </w:pPr>
    <w:rPr>
      <w:sz w:val="18"/>
      <w:szCs w:val="18"/>
    </w:rPr>
  </w:style>
  <w:style w:type="character" w:customStyle="1" w:styleId="Char0">
    <w:name w:val="页脚 Char"/>
    <w:basedOn w:val="a0"/>
    <w:link w:val="a4"/>
    <w:uiPriority w:val="99"/>
    <w:rsid w:val="00CD47DC"/>
    <w:rPr>
      <w:sz w:val="18"/>
      <w:szCs w:val="18"/>
    </w:rPr>
  </w:style>
  <w:style w:type="character" w:customStyle="1" w:styleId="1Char">
    <w:name w:val="标题 1 Char"/>
    <w:basedOn w:val="a0"/>
    <w:link w:val="1"/>
    <w:uiPriority w:val="9"/>
    <w:rsid w:val="00CB2D33"/>
    <w:rPr>
      <w:rFonts w:ascii="Arial" w:hAnsi="Arial"/>
      <w:b/>
      <w:bCs/>
      <w:color w:val="000000" w:themeColor="text1"/>
      <w:kern w:val="44"/>
      <w:sz w:val="24"/>
      <w:szCs w:val="44"/>
    </w:rPr>
  </w:style>
  <w:style w:type="paragraph" w:styleId="a5">
    <w:name w:val="Normal (Web)"/>
    <w:basedOn w:val="a"/>
    <w:uiPriority w:val="99"/>
    <w:semiHidden/>
    <w:unhideWhenUsed/>
    <w:rsid w:val="000A74E3"/>
    <w:pPr>
      <w:widowControl/>
      <w:spacing w:before="100" w:beforeAutospacing="1" w:after="100" w:afterAutospacing="1"/>
      <w:jc w:val="left"/>
    </w:pPr>
    <w:rPr>
      <w:rFonts w:ascii="宋体" w:eastAsia="宋体" w:hAnsi="宋体" w:cs="宋体"/>
      <w:color w:val="auto"/>
      <w:kern w:val="0"/>
      <w:szCs w:val="24"/>
      <w:lang w:val="en-US"/>
    </w:rPr>
  </w:style>
  <w:style w:type="character" w:styleId="a6">
    <w:name w:val="Strong"/>
    <w:basedOn w:val="a0"/>
    <w:uiPriority w:val="22"/>
    <w:qFormat/>
    <w:rsid w:val="000A74E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36757428">
      <w:bodyDiv w:val="1"/>
      <w:marLeft w:val="0"/>
      <w:marRight w:val="0"/>
      <w:marTop w:val="0"/>
      <w:marBottom w:val="0"/>
      <w:divBdr>
        <w:top w:val="none" w:sz="0" w:space="0" w:color="auto"/>
        <w:left w:val="none" w:sz="0" w:space="0" w:color="auto"/>
        <w:bottom w:val="none" w:sz="0" w:space="0" w:color="auto"/>
        <w:right w:val="none" w:sz="0" w:space="0" w:color="auto"/>
      </w:divBdr>
    </w:div>
    <w:div w:id="8314088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320</TotalTime>
  <Pages>4</Pages>
  <Words>1230</Words>
  <Characters>7013</Characters>
  <Application>Microsoft Office Word</Application>
  <DocSecurity>0</DocSecurity>
  <Lines>58</Lines>
  <Paragraphs>16</Paragraphs>
  <ScaleCrop>false</ScaleCrop>
  <Company>Microsoft</Company>
  <LinksUpToDate>false</LinksUpToDate>
  <CharactersWithSpaces>8227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Administrator</dc:creator>
  <cp:keywords/>
  <dc:description/>
  <cp:lastModifiedBy>Administrator</cp:lastModifiedBy>
  <cp:revision>65</cp:revision>
  <dcterms:created xsi:type="dcterms:W3CDTF">2020-08-01T09:04:00Z</dcterms:created>
  <dcterms:modified xsi:type="dcterms:W3CDTF">2020-08-04T10:40:00Z</dcterms:modified>
</cp:coreProperties>
</file>