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A52BD0" w14:textId="77777777" w:rsidR="00FE7797" w:rsidRDefault="00FE7797" w:rsidP="00F30A2B">
      <w:pPr>
        <w:pStyle w:val="Title"/>
        <w:rPr>
          <w:rFonts w:eastAsia="Times New Roman"/>
          <w:lang w:eastAsia="en-GB"/>
        </w:rPr>
      </w:pPr>
    </w:p>
    <w:p w14:paraId="7E98D841" w14:textId="6338B5D9" w:rsidR="00F30A2B" w:rsidRDefault="00F30A2B" w:rsidP="00F30A2B">
      <w:pPr>
        <w:pStyle w:val="Title"/>
        <w:rPr>
          <w:rFonts w:eastAsia="Times New Roman"/>
          <w:lang w:eastAsia="en-GB"/>
        </w:rPr>
      </w:pPr>
      <w:r>
        <w:rPr>
          <w:rFonts w:eastAsia="Times New Roman"/>
          <w:lang w:eastAsia="en-GB"/>
        </w:rPr>
        <w:t>Niall Carribine (2031210) Academic Assignment 2</w:t>
      </w:r>
    </w:p>
    <w:p w14:paraId="04587383" w14:textId="77777777" w:rsidR="00F30A2B" w:rsidRPr="00F30A2B" w:rsidRDefault="00F30A2B" w:rsidP="00F30A2B">
      <w:pPr>
        <w:rPr>
          <w:lang w:eastAsia="en-GB"/>
        </w:rPr>
      </w:pPr>
    </w:p>
    <w:p w14:paraId="6224C04D" w14:textId="6D629B03" w:rsidR="00411701" w:rsidRDefault="00967729" w:rsidP="00DA780D">
      <w:pPr>
        <w:pStyle w:val="Heading1"/>
        <w:rPr>
          <w:rFonts w:eastAsia="Times New Roman"/>
          <w:lang w:eastAsia="en-GB"/>
        </w:rPr>
      </w:pPr>
      <w:r w:rsidRPr="009447F7">
        <w:rPr>
          <w:rFonts w:eastAsia="Times New Roman"/>
          <w:u w:val="single"/>
          <w:lang w:eastAsia="en-GB"/>
        </w:rPr>
        <w:t>Evaluate</w:t>
      </w:r>
      <w:r w:rsidRPr="009447F7">
        <w:rPr>
          <w:rFonts w:eastAsia="Times New Roman"/>
          <w:lang w:eastAsia="en-GB"/>
        </w:rPr>
        <w:t xml:space="preserve"> the effectiveness of specific crime prevention initiatives, and </w:t>
      </w:r>
      <w:r w:rsidRPr="009447F7">
        <w:rPr>
          <w:rFonts w:eastAsia="Times New Roman"/>
          <w:u w:val="single"/>
          <w:lang w:eastAsia="en-GB"/>
        </w:rPr>
        <w:t>consider</w:t>
      </w:r>
      <w:r w:rsidRPr="009447F7">
        <w:rPr>
          <w:rFonts w:eastAsia="Times New Roman"/>
          <w:lang w:eastAsia="en-GB"/>
        </w:rPr>
        <w:t xml:space="preserve"> how these have been informed by relevant policing models (e.g. problem-oriented policing, intelligence-led policing).</w:t>
      </w:r>
    </w:p>
    <w:p w14:paraId="7AE1B686" w14:textId="77777777" w:rsidR="00DA780D" w:rsidRPr="00DA780D" w:rsidRDefault="00DA780D" w:rsidP="00DA780D">
      <w:pPr>
        <w:rPr>
          <w:lang w:eastAsia="en-GB"/>
        </w:rPr>
      </w:pPr>
    </w:p>
    <w:p w14:paraId="7154E3D7" w14:textId="2111ADBF" w:rsidR="003B131B" w:rsidRDefault="00411701">
      <w:r>
        <w:t xml:space="preserve">One such method of policing is partnership-based policing. The method whereby police forces work with external agencies is not only encouraged but is a national requirement for UK police forces. </w:t>
      </w:r>
      <w:r w:rsidR="003B131B">
        <w:t xml:space="preserve">There are around 320 community safety partnerships in England and Wales. Each work with their local police force and policing and crime commissioner to identify and tackle problems surrounding crime and </w:t>
      </w:r>
      <w:r w:rsidR="00DA780D">
        <w:t>crime-related</w:t>
      </w:r>
      <w:r w:rsidR="003B131B">
        <w:t xml:space="preserve"> activity within their area. Community safety partnerships should be aiming to </w:t>
      </w:r>
      <w:r w:rsidR="00DA780D">
        <w:t>reduce</w:t>
      </w:r>
      <w:r w:rsidR="003B131B">
        <w:t xml:space="preserve"> crime levels and improve the quality of life for those in the community </w:t>
      </w:r>
      <w:sdt>
        <w:sdtPr>
          <w:id w:val="705064737"/>
          <w:citation/>
        </w:sdtPr>
        <w:sdtContent>
          <w:r w:rsidR="003B131B">
            <w:fldChar w:fldCharType="begin"/>
          </w:r>
          <w:r w:rsidR="00E27ABD">
            <w:instrText xml:space="preserve">CITATION Bla21 \p 169 \l 2057 </w:instrText>
          </w:r>
          <w:r w:rsidR="003B131B">
            <w:fldChar w:fldCharType="separate"/>
          </w:r>
          <w:r w:rsidR="00E27ABD" w:rsidRPr="00E27ABD">
            <w:rPr>
              <w:noProof/>
            </w:rPr>
            <w:t>(Bryant &amp; Bryant, 2021, p. 169)</w:t>
          </w:r>
          <w:r w:rsidR="003B131B">
            <w:fldChar w:fldCharType="end"/>
          </w:r>
        </w:sdtContent>
      </w:sdt>
      <w:r w:rsidR="003B131B">
        <w:t>.</w:t>
      </w:r>
    </w:p>
    <w:p w14:paraId="301A59E8" w14:textId="4BFDBACA" w:rsidR="003B131B" w:rsidRDefault="003B131B">
      <w:r>
        <w:t>One specific crime prevention initiative is The Aston Project. Set up in 2011 and operating in</w:t>
      </w:r>
      <w:r w:rsidR="00BC6009">
        <w:t xml:space="preserve"> the wider county of Gloucestershire</w:t>
      </w:r>
      <w:r>
        <w:t xml:space="preserve">, the project operates on a simple </w:t>
      </w:r>
      <w:r w:rsidR="00DA780D">
        <w:t>work-for-reward</w:t>
      </w:r>
      <w:r>
        <w:t xml:space="preserve"> method. Open to young people aged nine to seventeen, the </w:t>
      </w:r>
      <w:r w:rsidR="0054778D">
        <w:t>participants</w:t>
      </w:r>
      <w:r>
        <w:t xml:space="preserve"> complete activities and earn ‘time credits’ by doing so. They then choose reward activities that all have a ‘time credit’ cost</w:t>
      </w:r>
      <w:r w:rsidR="0054778D">
        <w:t xml:space="preserve"> to participate</w:t>
      </w:r>
      <w:r>
        <w:t xml:space="preserve"> </w:t>
      </w:r>
      <w:sdt>
        <w:sdtPr>
          <w:id w:val="669067598"/>
          <w:citation/>
        </w:sdtPr>
        <w:sdtContent>
          <w:r>
            <w:fldChar w:fldCharType="begin"/>
          </w:r>
          <w:r>
            <w:instrText xml:space="preserve"> CITATION Ast18 \l 2057 </w:instrText>
          </w:r>
          <w:r>
            <w:fldChar w:fldCharType="separate"/>
          </w:r>
          <w:r w:rsidRPr="003B131B">
            <w:rPr>
              <w:noProof/>
            </w:rPr>
            <w:t>(Aston Project, 2018)</w:t>
          </w:r>
          <w:r>
            <w:fldChar w:fldCharType="end"/>
          </w:r>
        </w:sdtContent>
      </w:sdt>
      <w:r>
        <w:t>.</w:t>
      </w:r>
    </w:p>
    <w:p w14:paraId="0857AEA2" w14:textId="2C7D3CD3" w:rsidR="00311B6A" w:rsidRDefault="00BC6009">
      <w:r>
        <w:t xml:space="preserve">The project </w:t>
      </w:r>
      <w:r w:rsidR="00A614A4">
        <w:t xml:space="preserve">works on a prevention philosophy and identifies young people that are thought </w:t>
      </w:r>
      <w:r w:rsidR="0054778D">
        <w:t>to</w:t>
      </w:r>
      <w:r w:rsidR="00A614A4">
        <w:t xml:space="preserve"> be at risk of becoming involved in criminal</w:t>
      </w:r>
      <w:r w:rsidR="0054778D">
        <w:t xml:space="preserve">ity </w:t>
      </w:r>
      <w:r w:rsidR="00A614A4">
        <w:t>if they were to have no intervention. Those young people are then invited to become involved with the Aston Project. It does not appear that those who may have already been involved in the criminal justice system cannot join the project, however, it is clear that being</w:t>
      </w:r>
      <w:r w:rsidR="0054778D">
        <w:t xml:space="preserve"> already </w:t>
      </w:r>
      <w:r w:rsidR="00A614A4">
        <w:t xml:space="preserve">involved </w:t>
      </w:r>
      <w:r w:rsidR="0054778D">
        <w:t>with criminality</w:t>
      </w:r>
      <w:r w:rsidR="00A614A4">
        <w:t xml:space="preserve"> is not a caveat for joining the project </w:t>
      </w:r>
      <w:sdt>
        <w:sdtPr>
          <w:id w:val="-438531225"/>
          <w:citation/>
        </w:sdtPr>
        <w:sdtContent>
          <w:r w:rsidR="00240DC7">
            <w:fldChar w:fldCharType="begin"/>
          </w:r>
          <w:r w:rsidR="00240DC7">
            <w:instrText xml:space="preserve"> CITATION Ast181 \l 2057 </w:instrText>
          </w:r>
          <w:r w:rsidR="00240DC7">
            <w:fldChar w:fldCharType="separate"/>
          </w:r>
          <w:r w:rsidR="00240DC7" w:rsidRPr="00240DC7">
            <w:rPr>
              <w:noProof/>
            </w:rPr>
            <w:t>(Aston Project, 2018)</w:t>
          </w:r>
          <w:r w:rsidR="00240DC7">
            <w:fldChar w:fldCharType="end"/>
          </w:r>
        </w:sdtContent>
      </w:sdt>
      <w:r w:rsidR="00240DC7">
        <w:t>.</w:t>
      </w:r>
    </w:p>
    <w:p w14:paraId="3BC7DB79" w14:textId="3AB4B316" w:rsidR="00564D46" w:rsidRDefault="00311B6A">
      <w:r>
        <w:t xml:space="preserve">Both quantitative and qualitative research will be used to understand the effectiveness of the Aston Project. Whilst quantitative data often provides the researcher with more objective and clearer results </w:t>
      </w:r>
      <w:sdt>
        <w:sdtPr>
          <w:id w:val="-1388176884"/>
          <w:citation/>
        </w:sdtPr>
        <w:sdtContent>
          <w:r>
            <w:fldChar w:fldCharType="begin"/>
          </w:r>
          <w:r>
            <w:instrText xml:space="preserve"> CITATION SAM22 \l 2057 </w:instrText>
          </w:r>
          <w:r>
            <w:fldChar w:fldCharType="separate"/>
          </w:r>
          <w:r w:rsidRPr="00311B6A">
            <w:rPr>
              <w:noProof/>
            </w:rPr>
            <w:t>(SAMHSA, 2022)</w:t>
          </w:r>
          <w:r>
            <w:fldChar w:fldCharType="end"/>
          </w:r>
        </w:sdtContent>
      </w:sdt>
      <w:r>
        <w:t xml:space="preserve">, there may be difficulty in evaluating the effectiveness, given the project’s philosophy. It is not possible to definitively say whether a young person not exposed to the criminal justice system negatively, would have later become involved in criminality if they had not been exposed to the Aston Project. A re-offending rate would be an ideal measurement of the project’s success, however, with such data available not being as clear cut, some qualitative research will be considered. </w:t>
      </w:r>
    </w:p>
    <w:p w14:paraId="27F07C30" w14:textId="1F83ECA3" w:rsidR="006A690B" w:rsidRDefault="006A690B">
      <w:r>
        <w:t xml:space="preserve">In one video on the Aston Project’s website, a few parents discuss their experiences </w:t>
      </w:r>
      <w:r w:rsidR="00DA780D">
        <w:t>with</w:t>
      </w:r>
      <w:r>
        <w:t xml:space="preserve"> the project, and how it has affected their children who have become involved.</w:t>
      </w:r>
    </w:p>
    <w:p w14:paraId="2BA9A18A" w14:textId="2558EE9F" w:rsidR="006A690B" w:rsidRDefault="00564D46">
      <w:r>
        <w:lastRenderedPageBreak/>
        <w:t xml:space="preserve">One parent, Kelly, has described the benefit of the Aston Project since her daughter </w:t>
      </w:r>
      <w:r w:rsidR="00684887">
        <w:t xml:space="preserve">became involved. </w:t>
      </w:r>
      <w:r w:rsidR="00DA780D">
        <w:t>Before</w:t>
      </w:r>
      <w:r w:rsidR="00684887">
        <w:t xml:space="preserve"> joining, Kelly said her daughter was not </w:t>
      </w:r>
      <w:r w:rsidR="00DA780D">
        <w:t>well-behaved</w:t>
      </w:r>
      <w:r w:rsidR="00684887">
        <w:t xml:space="preserve">. She would </w:t>
      </w:r>
      <w:r w:rsidR="00DA780D">
        <w:t>struggle to control her emotions and</w:t>
      </w:r>
      <w:r w:rsidR="00684887">
        <w:t xml:space="preserve"> go off the rails when she did not get what she wanted. This behaviour would cause Kelly’s daughter to become violent towards her brother and sister. Since being in the Aston Project, Kelly has noted </w:t>
      </w:r>
      <w:r w:rsidR="00DA780D">
        <w:t>its positive impact</w:t>
      </w:r>
      <w:r w:rsidR="00684887">
        <w:t xml:space="preserve"> on her daughter’s character. Kelly states that not only does her daughter love being a part of the project, but </w:t>
      </w:r>
      <w:r w:rsidR="00DA780D">
        <w:t>can</w:t>
      </w:r>
      <w:r w:rsidR="00684887">
        <w:t xml:space="preserve"> think before she acts, and considers the consequences of her actions. Kelly believes</w:t>
      </w:r>
      <w:r w:rsidR="006A690B">
        <w:t xml:space="preserve"> without the project her house would be a warzone because of her daughter’s past behaviour </w:t>
      </w:r>
      <w:sdt>
        <w:sdtPr>
          <w:id w:val="1186876792"/>
          <w:citation/>
        </w:sdtPr>
        <w:sdtContent>
          <w:r w:rsidR="006A690B">
            <w:fldChar w:fldCharType="begin"/>
          </w:r>
          <w:r w:rsidR="006A690B">
            <w:instrText xml:space="preserve"> CITATION Ast18 \l 2057 </w:instrText>
          </w:r>
          <w:r w:rsidR="006A690B">
            <w:fldChar w:fldCharType="separate"/>
          </w:r>
          <w:r w:rsidR="006A690B" w:rsidRPr="006A690B">
            <w:rPr>
              <w:noProof/>
            </w:rPr>
            <w:t>(Aston Project, 2018)</w:t>
          </w:r>
          <w:r w:rsidR="006A690B">
            <w:fldChar w:fldCharType="end"/>
          </w:r>
        </w:sdtContent>
      </w:sdt>
      <w:r w:rsidR="006A690B">
        <w:t>.</w:t>
      </w:r>
    </w:p>
    <w:p w14:paraId="5CECA5E4" w14:textId="4807E616" w:rsidR="00136D80" w:rsidRDefault="006A690B">
      <w:r>
        <w:t xml:space="preserve">Another parent, Ginette, describes how she went to a police station asking for help managing her son and his very violent behaviour. </w:t>
      </w:r>
      <w:r w:rsidR="00136D80">
        <w:t xml:space="preserve">From his time in the Aston Project, Ginette states that </w:t>
      </w:r>
      <w:r w:rsidR="00DA780D">
        <w:t>his</w:t>
      </w:r>
      <w:r w:rsidR="00136D80">
        <w:t xml:space="preserve"> son has gained life skills and the project has opened up the ability for children to partake in activities that outside of the project that they otherwise would not have the opportunity for. Ginette is in no doubt that without the exposure of the project, her son would be negatively involved within the judicial system and has noted a significant change in the span of just a year relating to her son </w:t>
      </w:r>
      <w:sdt>
        <w:sdtPr>
          <w:id w:val="-1097943256"/>
          <w:citation/>
        </w:sdtPr>
        <w:sdtContent>
          <w:r w:rsidR="00136D80">
            <w:fldChar w:fldCharType="begin"/>
          </w:r>
          <w:r w:rsidR="00136D80">
            <w:instrText xml:space="preserve"> CITATION Ast18 \l 2057 </w:instrText>
          </w:r>
          <w:r w:rsidR="00136D80">
            <w:fldChar w:fldCharType="separate"/>
          </w:r>
          <w:r w:rsidR="00136D80" w:rsidRPr="00136D80">
            <w:rPr>
              <w:noProof/>
            </w:rPr>
            <w:t>(Aston Project, 2018)</w:t>
          </w:r>
          <w:r w:rsidR="00136D80">
            <w:fldChar w:fldCharType="end"/>
          </w:r>
        </w:sdtContent>
      </w:sdt>
      <w:r w:rsidR="00136D80">
        <w:t>.</w:t>
      </w:r>
    </w:p>
    <w:p w14:paraId="530A871D" w14:textId="77FC7807" w:rsidR="00136D80" w:rsidRDefault="00136D80">
      <w:r>
        <w:t xml:space="preserve">Whilst the opinions of these parents paint the Aston Project in such a positive light, it is still not enough to make </w:t>
      </w:r>
      <w:r w:rsidR="00DA780D">
        <w:t xml:space="preserve">a </w:t>
      </w:r>
      <w:r>
        <w:t xml:space="preserve">judgement on the project’s success. It must be noted that the video from which these parents </w:t>
      </w:r>
      <w:r w:rsidR="00DA780D">
        <w:t>were</w:t>
      </w:r>
      <w:r>
        <w:t xml:space="preserve"> able to make such </w:t>
      </w:r>
      <w:r w:rsidR="004C029F">
        <w:t xml:space="preserve">an </w:t>
      </w:r>
      <w:r>
        <w:t xml:space="preserve">opinion, is one featured on the Aston Project website and appears to be produced by the project. The video acts as a promotional video for the project, and it is unlikely that any opinions shared that question or cause doubt to the project’s success or worth, may not have </w:t>
      </w:r>
      <w:r w:rsidR="004C029F">
        <w:t xml:space="preserve">been </w:t>
      </w:r>
      <w:r>
        <w:t xml:space="preserve">featured in such a video. However, even with the circumstances surrounding the bias of the video’s production, these parents take the clear stance that the Aston Project has had a positive impact on their children. If their opinion is shared amongst most or even just the majority of parents and guardians of those young people in the project, then there would be a feeling of value and worth of the project, and a perceived effectiveness that it has on preventing young people </w:t>
      </w:r>
      <w:r w:rsidR="004C029F">
        <w:t xml:space="preserve">from </w:t>
      </w:r>
      <w:r>
        <w:t xml:space="preserve">becoming involved within the criminal justice system negatively, which is what the project has set out to do. </w:t>
      </w:r>
    </w:p>
    <w:p w14:paraId="6553D568" w14:textId="77777777" w:rsidR="0054778D" w:rsidRDefault="00417177">
      <w:r>
        <w:t xml:space="preserve">A review of the Aston Project was funded by the office of the police and crime </w:t>
      </w:r>
      <w:r w:rsidR="004C029F">
        <w:t>commissioner</w:t>
      </w:r>
      <w:r>
        <w:t xml:space="preserve"> for Gloucester in 2017. In the report, there is also </w:t>
      </w:r>
      <w:r w:rsidR="004C029F">
        <w:t xml:space="preserve">a </w:t>
      </w:r>
      <w:r>
        <w:t xml:space="preserve">reference to the difficulty </w:t>
      </w:r>
      <w:r w:rsidR="004C029F">
        <w:t>of</w:t>
      </w:r>
      <w:r>
        <w:t xml:space="preserve"> measuring the success of the project, given its nature of preventing young people from becoming involved in crime. However, in the review, conducted by a research team at the University of Gloucester, there is </w:t>
      </w:r>
      <w:r w:rsidR="004C029F">
        <w:t xml:space="preserve">a </w:t>
      </w:r>
      <w:r>
        <w:t xml:space="preserve">reference to the </w:t>
      </w:r>
      <w:r w:rsidR="004C029F">
        <w:t>participation</w:t>
      </w:r>
      <w:r>
        <w:t xml:space="preserve"> rate </w:t>
      </w:r>
      <w:r w:rsidR="004C029F">
        <w:t>of</w:t>
      </w:r>
      <w:r>
        <w:t xml:space="preserve"> those within the project. Their data, which was collected at the end of 2016, showed that of the total young people enrolled </w:t>
      </w:r>
      <w:r w:rsidR="004C029F">
        <w:t>on</w:t>
      </w:r>
      <w:r>
        <w:t xml:space="preserve"> the project, 79% were actively participating. That is to say, the young people had chosen to participate in a ‘time banking’ activity within a 12-week period to be considered active </w:t>
      </w:r>
      <w:r w:rsidR="004C029F">
        <w:t>participants</w:t>
      </w:r>
      <w:r>
        <w:t xml:space="preserve"> </w:t>
      </w:r>
      <w:sdt>
        <w:sdtPr>
          <w:id w:val="-1003278479"/>
          <w:citation/>
        </w:sdtPr>
        <w:sdtContent>
          <w:r>
            <w:fldChar w:fldCharType="begin"/>
          </w:r>
          <w:r>
            <w:instrText xml:space="preserve"> CITATION Sch17 \l 2057 </w:instrText>
          </w:r>
          <w:r>
            <w:fldChar w:fldCharType="separate"/>
          </w:r>
          <w:r w:rsidRPr="00417177">
            <w:rPr>
              <w:noProof/>
            </w:rPr>
            <w:t>(School of Natural and Social Sciences, University of Gloucestershire, 2017)</w:t>
          </w:r>
          <w:r>
            <w:fldChar w:fldCharType="end"/>
          </w:r>
        </w:sdtContent>
      </w:sdt>
      <w:r>
        <w:t xml:space="preserve">. </w:t>
      </w:r>
    </w:p>
    <w:p w14:paraId="0F788239" w14:textId="77777777" w:rsidR="0054778D" w:rsidRDefault="0054778D">
      <w:r>
        <w:br w:type="page"/>
      </w:r>
    </w:p>
    <w:p w14:paraId="30692097" w14:textId="5C2EEE4A" w:rsidR="002B6B8E" w:rsidRDefault="002B6B8E">
      <w:r>
        <w:lastRenderedPageBreak/>
        <w:t xml:space="preserve">This quantitative statistic supports the earlier quantitative opinion that there is a perceived effectiveness of the project. This is made under the assumption that those who perceive the project as ineffective are not continuing to actively participate in the project, or support those to actively participate in the project </w:t>
      </w:r>
      <w:proofErr w:type="gramStart"/>
      <w:r>
        <w:t>i.e.</w:t>
      </w:r>
      <w:proofErr w:type="gramEnd"/>
      <w:r>
        <w:t xml:space="preserve"> parents and guardians.</w:t>
      </w:r>
    </w:p>
    <w:p w14:paraId="0E7EA2B8" w14:textId="761AC4A3" w:rsidR="00B36EB2" w:rsidRDefault="002B6B8E">
      <w:r>
        <w:t xml:space="preserve">Another </w:t>
      </w:r>
      <w:r w:rsidR="00E468B0">
        <w:t xml:space="preserve">researcher has published their evaluation of the Aston Project, using data largely captured </w:t>
      </w:r>
      <w:r w:rsidR="004C029F">
        <w:t xml:space="preserve">in </w:t>
      </w:r>
      <w:r w:rsidR="00E468B0">
        <w:t xml:space="preserve">2016. </w:t>
      </w:r>
      <w:r>
        <w:t xml:space="preserve"> </w:t>
      </w:r>
      <w:r w:rsidR="00E468B0">
        <w:t xml:space="preserve">The project is not operated isolated from police involvement </w:t>
      </w:r>
      <w:sdt>
        <w:sdtPr>
          <w:id w:val="723803526"/>
          <w:citation/>
        </w:sdtPr>
        <w:sdtContent>
          <w:r w:rsidR="00E468B0">
            <w:fldChar w:fldCharType="begin"/>
          </w:r>
          <w:r w:rsidR="00E468B0">
            <w:instrText xml:space="preserve"> CITATION Ast181 \l 2057 </w:instrText>
          </w:r>
          <w:r w:rsidR="00E468B0">
            <w:fldChar w:fldCharType="separate"/>
          </w:r>
          <w:r w:rsidR="00E468B0" w:rsidRPr="00E468B0">
            <w:rPr>
              <w:noProof/>
            </w:rPr>
            <w:t>(Aston Project, 2018)</w:t>
          </w:r>
          <w:r w:rsidR="00E468B0">
            <w:fldChar w:fldCharType="end"/>
          </w:r>
        </w:sdtContent>
      </w:sdt>
      <w:r w:rsidR="00E468B0">
        <w:t xml:space="preserve">, and the police officers and staff that work to support the project cost £321,200 in the 2015-2016 tax year. During the same period, an estimation has been made by Jonathan Hobson et al, the authors of the report, </w:t>
      </w:r>
      <w:r w:rsidR="00B36EB2">
        <w:t xml:space="preserve">based </w:t>
      </w:r>
      <w:r w:rsidR="004C029F">
        <w:t>on</w:t>
      </w:r>
      <w:r w:rsidR="00B36EB2">
        <w:t xml:space="preserve"> reoffending rates and </w:t>
      </w:r>
      <w:r w:rsidR="004C029F">
        <w:t>their</w:t>
      </w:r>
      <w:r w:rsidR="00B36EB2">
        <w:t xml:space="preserve"> cost to the taxpayer. The financial saving is calculated by using National Audit Office estimations on how much it would cost the taxpayer if a young person was to become criminally involved. This calculation is £512,000. As previously mentioned, this is only an assumption, as it is impossible to determine if the project is a key contributor </w:t>
      </w:r>
      <w:r w:rsidR="004C029F">
        <w:t xml:space="preserve">to </w:t>
      </w:r>
      <w:r w:rsidR="00B36EB2">
        <w:t xml:space="preserve">whether a young person would go on to be criminally involved in the judicial system. Also calculated is a saving that volunteering produces, both by the young people and those running the activities, which is approximately £30,000. This </w:t>
      </w:r>
      <w:r w:rsidR="004C029F">
        <w:t>cost-benefit</w:t>
      </w:r>
      <w:r w:rsidR="00B36EB2">
        <w:t xml:space="preserve"> analysis shows that the project saved approximately £221,000 across the tax year the data was taken from. This figure, whilst taken from assumptions and average calculations, still shows that there is </w:t>
      </w:r>
      <w:r w:rsidR="004C029F">
        <w:t xml:space="preserve">a </w:t>
      </w:r>
      <w:r w:rsidR="00B36EB2">
        <w:t xml:space="preserve">financial benefit to the project too. Furthermore, through gathering this data, the author has shown that out of the 61 active participants </w:t>
      </w:r>
      <w:r w:rsidR="004C029F">
        <w:t>within</w:t>
      </w:r>
      <w:r w:rsidR="00B36EB2">
        <w:t xml:space="preserve"> the project during the data collection period, only 4 have offended since their engagement </w:t>
      </w:r>
      <w:sdt>
        <w:sdtPr>
          <w:id w:val="2099901792"/>
          <w:citation/>
        </w:sdtPr>
        <w:sdtContent>
          <w:r w:rsidR="00B36EB2">
            <w:fldChar w:fldCharType="begin"/>
          </w:r>
          <w:r w:rsidR="00B36EB2">
            <w:instrText xml:space="preserve"> CITATION Hob211 \l 2057 </w:instrText>
          </w:r>
          <w:r w:rsidR="00B36EB2">
            <w:fldChar w:fldCharType="separate"/>
          </w:r>
          <w:r w:rsidR="00B36EB2" w:rsidRPr="00B36EB2">
            <w:rPr>
              <w:noProof/>
            </w:rPr>
            <w:t>(Hobson, et al., 2021)</w:t>
          </w:r>
          <w:r w:rsidR="00B36EB2">
            <w:fldChar w:fldCharType="end"/>
          </w:r>
        </w:sdtContent>
      </w:sdt>
      <w:r w:rsidR="00B36EB2">
        <w:t>.</w:t>
      </w:r>
    </w:p>
    <w:p w14:paraId="63F1F40B" w14:textId="75627C85" w:rsidR="00DD54C0" w:rsidRDefault="00B36EB2">
      <w:r>
        <w:t xml:space="preserve">The research shows that there is perceived effectiveness within the community regarding the Aston Project. Whilst the quantitative data is largely gathered on assumptions, even considering such assumptions still shows there is a benefit to the project. Preventive projects by </w:t>
      </w:r>
      <w:r w:rsidR="004C029F">
        <w:t>their</w:t>
      </w:r>
      <w:r>
        <w:t xml:space="preserve"> very nature, are hard to objectively analyse when considering </w:t>
      </w:r>
      <w:r w:rsidR="004C029F">
        <w:t xml:space="preserve">the </w:t>
      </w:r>
      <w:r>
        <w:t xml:space="preserve">criminal involvement of those participating, and the effectiveness of such projects will largely be determined by those who experience the project’s impact </w:t>
      </w:r>
      <w:r w:rsidR="004C029F">
        <w:t>first-hand</w:t>
      </w:r>
      <w:r>
        <w:t>, such as the parents a</w:t>
      </w:r>
      <w:r w:rsidR="004C029F">
        <w:t>nd</w:t>
      </w:r>
      <w:r>
        <w:t xml:space="preserve"> wider community. </w:t>
      </w:r>
      <w:r w:rsidR="00DD54C0">
        <w:t xml:space="preserve">It is clear the Aston Project’s strategy of operation is affected by the partnership policing model, working closely with the local police force and </w:t>
      </w:r>
      <w:r w:rsidR="004C029F">
        <w:t xml:space="preserve">the </w:t>
      </w:r>
      <w:r w:rsidR="00DD54C0">
        <w:t>wider community, to improve the quality of life for those living within the community.</w:t>
      </w:r>
    </w:p>
    <w:p w14:paraId="57F7B704" w14:textId="615EF68E" w:rsidR="00DD54C0" w:rsidRDefault="00DD54C0">
      <w:r>
        <w:t>Another crime prevention initiative is South Wales Police’s deployment of live facial recognition technology. Th</w:t>
      </w:r>
      <w:r w:rsidR="0054778D">
        <w:t>is is linked largely to the hot-spot policing model. The</w:t>
      </w:r>
      <w:r>
        <w:t xml:space="preserve"> hot-spot policing model works by identifying locations where crime and disorder are common or likely to be common, and targeted action is taken within such areas </w:t>
      </w:r>
      <w:sdt>
        <w:sdtPr>
          <w:id w:val="-1596773461"/>
          <w:citation/>
        </w:sdtPr>
        <w:sdtContent>
          <w:r>
            <w:fldChar w:fldCharType="begin"/>
          </w:r>
          <w:r w:rsidR="00E27ABD">
            <w:instrText xml:space="preserve">CITATION Bla21 \p 167 \l 2057 </w:instrText>
          </w:r>
          <w:r>
            <w:fldChar w:fldCharType="separate"/>
          </w:r>
          <w:r w:rsidR="00E27ABD" w:rsidRPr="00E27ABD">
            <w:rPr>
              <w:noProof/>
            </w:rPr>
            <w:t>(Bryant &amp; Bryant, 2021, p. 167)</w:t>
          </w:r>
          <w:r>
            <w:fldChar w:fldCharType="end"/>
          </w:r>
        </w:sdtContent>
      </w:sdt>
      <w:r>
        <w:t>.</w:t>
      </w:r>
    </w:p>
    <w:p w14:paraId="7D7DB97B" w14:textId="0A282581" w:rsidR="00960529" w:rsidRDefault="00960529">
      <w:r>
        <w:t xml:space="preserve">South Wales Police use both retrospective facial recognition (RFR) and live facial recognition (LFR). RFR as the name suggests is used after an event has happened, where images captured from sources such as private CCTV are used to identify those captured. LFR is the deployment of specialist cameras that match faces against a predetermined watchlist to predict crime and disorder </w:t>
      </w:r>
      <w:r w:rsidR="004C029F">
        <w:t>to prevent</w:t>
      </w:r>
      <w:r>
        <w:t xml:space="preserve"> such events </w:t>
      </w:r>
      <w:r w:rsidR="004C029F">
        <w:t xml:space="preserve">from </w:t>
      </w:r>
      <w:r>
        <w:t xml:space="preserve">occurring </w:t>
      </w:r>
      <w:sdt>
        <w:sdtPr>
          <w:id w:val="-692451675"/>
          <w:citation/>
        </w:sdtPr>
        <w:sdtContent>
          <w:r>
            <w:fldChar w:fldCharType="begin"/>
          </w:r>
          <w:r>
            <w:instrText xml:space="preserve"> CITATION Sound1 \l 2057 </w:instrText>
          </w:r>
          <w:r>
            <w:fldChar w:fldCharType="separate"/>
          </w:r>
          <w:r w:rsidRPr="00960529">
            <w:rPr>
              <w:noProof/>
            </w:rPr>
            <w:t>(South Wales Police, n.d.)</w:t>
          </w:r>
          <w:r>
            <w:fldChar w:fldCharType="end"/>
          </w:r>
        </w:sdtContent>
      </w:sdt>
      <w:r>
        <w:t>. This evaluation will focus mainly on LFR.</w:t>
      </w:r>
    </w:p>
    <w:p w14:paraId="4E974BF0" w14:textId="7EB7DD3B" w:rsidR="00557038" w:rsidRDefault="00557038">
      <w:r>
        <w:lastRenderedPageBreak/>
        <w:t xml:space="preserve">The force’s aim for deploying LFR is focused </w:t>
      </w:r>
      <w:r w:rsidR="004C029F">
        <w:t>on preventing and detecting crime and</w:t>
      </w:r>
      <w:r>
        <w:t xml:space="preserve"> protecting vulnerable people within society. LFR is largely deployed at public events and </w:t>
      </w:r>
      <w:r w:rsidR="004C029F">
        <w:t>crowded</w:t>
      </w:r>
      <w:r>
        <w:t xml:space="preserve"> public spaces and is used with existing intelligence that supports its use. Its deployment is overt and through the use of online means, </w:t>
      </w:r>
      <w:proofErr w:type="gramStart"/>
      <w:r>
        <w:t>posters</w:t>
      </w:r>
      <w:proofErr w:type="gramEnd"/>
      <w:r>
        <w:t xml:space="preserve"> and signage its deployment is advertised to the public </w:t>
      </w:r>
      <w:r w:rsidR="004C029F">
        <w:t>before</w:t>
      </w:r>
      <w:r>
        <w:t xml:space="preserve"> use </w:t>
      </w:r>
      <w:sdt>
        <w:sdtPr>
          <w:id w:val="1016960143"/>
          <w:citation/>
        </w:sdtPr>
        <w:sdtContent>
          <w:r>
            <w:fldChar w:fldCharType="begin"/>
          </w:r>
          <w:r>
            <w:instrText xml:space="preserve"> CITATION Sound1 \l 2057 </w:instrText>
          </w:r>
          <w:r>
            <w:fldChar w:fldCharType="separate"/>
          </w:r>
          <w:r w:rsidRPr="00557038">
            <w:rPr>
              <w:noProof/>
            </w:rPr>
            <w:t>(South Wales Police, n.d.)</w:t>
          </w:r>
          <w:r>
            <w:fldChar w:fldCharType="end"/>
          </w:r>
        </w:sdtContent>
      </w:sdt>
      <w:r>
        <w:t xml:space="preserve">. </w:t>
      </w:r>
      <w:r w:rsidR="00960529">
        <w:t xml:space="preserve"> </w:t>
      </w:r>
    </w:p>
    <w:p w14:paraId="73CC60C7" w14:textId="520EC417" w:rsidR="009111A6" w:rsidRDefault="00557038">
      <w:r>
        <w:t xml:space="preserve">As of June 2022, LFR was deployed by South Wales Police over 70 times, resulting in a total of 75 people being arrested for a variety of offences, including rape </w:t>
      </w:r>
      <w:sdt>
        <w:sdtPr>
          <w:id w:val="-1303306578"/>
          <w:citation/>
        </w:sdtPr>
        <w:sdtContent>
          <w:r>
            <w:fldChar w:fldCharType="begin"/>
          </w:r>
          <w:r>
            <w:instrText xml:space="preserve"> CITATION Sou22 \l 2057 </w:instrText>
          </w:r>
          <w:r>
            <w:fldChar w:fldCharType="separate"/>
          </w:r>
          <w:r w:rsidRPr="00557038">
            <w:rPr>
              <w:noProof/>
            </w:rPr>
            <w:t>(South Wales Police, 2022)</w:t>
          </w:r>
          <w:r>
            <w:fldChar w:fldCharType="end"/>
          </w:r>
        </w:sdtContent>
      </w:sdt>
      <w:r>
        <w:t xml:space="preserve">. </w:t>
      </w:r>
    </w:p>
    <w:p w14:paraId="26F07F78" w14:textId="07F7884A" w:rsidR="008708AE" w:rsidRDefault="008708AE">
      <w:r>
        <w:t>Another deployment of LFR was on 13</w:t>
      </w:r>
      <w:r w:rsidRPr="008708AE">
        <w:rPr>
          <w:vertAlign w:val="superscript"/>
        </w:rPr>
        <w:t>th</w:t>
      </w:r>
      <w:r>
        <w:t xml:space="preserve"> August 2022, for a motorsport event held at the Principality Stadium in Cardiff.</w:t>
      </w:r>
      <w:r w:rsidR="00FD7F13">
        <w:t xml:space="preserve"> Additionally, South Wales Police’s LFR deployment yielded results at </w:t>
      </w:r>
      <w:r w:rsidR="004C029F">
        <w:t>several</w:t>
      </w:r>
      <w:r w:rsidR="00FD7F13">
        <w:t xml:space="preserve"> events between November of 2017 and March 2018. This included 9 arrests across two international rugby tournaments and 5 arrests across other events and operations. Furthermore, LFR also aided in having two people ordered to leave the venue of a popular pop concert </w:t>
      </w:r>
      <w:sdt>
        <w:sdtPr>
          <w:id w:val="710161819"/>
          <w:citation/>
        </w:sdtPr>
        <w:sdtContent>
          <w:r w:rsidR="00FD7F13">
            <w:fldChar w:fldCharType="begin"/>
          </w:r>
          <w:r w:rsidR="00FD7F13">
            <w:instrText xml:space="preserve"> CITATION Dav18 \l 2057 </w:instrText>
          </w:r>
          <w:r w:rsidR="00FD7F13">
            <w:fldChar w:fldCharType="separate"/>
          </w:r>
          <w:r w:rsidR="00FD7F13" w:rsidRPr="00FD7F13">
            <w:rPr>
              <w:noProof/>
            </w:rPr>
            <w:t>(Davies, et al., 2018)</w:t>
          </w:r>
          <w:r w:rsidR="00FD7F13">
            <w:fldChar w:fldCharType="end"/>
          </w:r>
        </w:sdtContent>
      </w:sdt>
      <w:r w:rsidR="00FD7F13">
        <w:t>.</w:t>
      </w:r>
    </w:p>
    <w:p w14:paraId="1B27B724" w14:textId="3CFCDE41" w:rsidR="00FD7F13" w:rsidRDefault="00FD7F13">
      <w:r>
        <w:t xml:space="preserve">The above data shows that LFR is </w:t>
      </w:r>
      <w:r w:rsidR="00A801F2">
        <w:t xml:space="preserve">yielding results that are linked to the aims set out by both South Wales Police and the hot-spot policing model by targeting areas where intelligence </w:t>
      </w:r>
      <w:r w:rsidR="004C029F">
        <w:t>suggests</w:t>
      </w:r>
      <w:r w:rsidR="00A801F2">
        <w:t xml:space="preserve"> crime and disorder </w:t>
      </w:r>
      <w:r w:rsidR="004C029F">
        <w:t>are</w:t>
      </w:r>
      <w:r w:rsidR="00A801F2">
        <w:t xml:space="preserve"> likely or common, and action </w:t>
      </w:r>
      <w:r w:rsidR="004C029F">
        <w:t>using</w:t>
      </w:r>
      <w:r w:rsidR="00A801F2">
        <w:t xml:space="preserve"> arrest or dispersal has been taken. However, there are issues surrounding LFR that question its effectiveness.</w:t>
      </w:r>
    </w:p>
    <w:p w14:paraId="5356A601" w14:textId="0713CA8A" w:rsidR="00A801F2" w:rsidRDefault="008708AE">
      <w:r>
        <w:t>During</w:t>
      </w:r>
      <w:r w:rsidR="00A801F2">
        <w:t xml:space="preserve"> a recent</w:t>
      </w:r>
      <w:r>
        <w:t xml:space="preserve"> </w:t>
      </w:r>
      <w:r w:rsidR="00A801F2">
        <w:t xml:space="preserve">LFR </w:t>
      </w:r>
      <w:r>
        <w:t>deployment</w:t>
      </w:r>
      <w:r w:rsidR="00A801F2">
        <w:t xml:space="preserve"> at a motor racing event held at the Principality Stadium on 13</w:t>
      </w:r>
      <w:r w:rsidR="00A801F2" w:rsidRPr="00A801F2">
        <w:rPr>
          <w:vertAlign w:val="superscript"/>
        </w:rPr>
        <w:t>th</w:t>
      </w:r>
      <w:r w:rsidR="00A801F2">
        <w:t xml:space="preserve"> August 2022, cameras scanned a total of 20929 faces. The watchlist, </w:t>
      </w:r>
      <w:r w:rsidR="004C029F">
        <w:t>which</w:t>
      </w:r>
      <w:r w:rsidR="00A801F2">
        <w:t xml:space="preserve"> is a predetermined list of faces that trigger alerts to camera operators for being wanted or persons of interest, was made up of 245 individuals. During the deployment, no alerts were triggered by the system </w:t>
      </w:r>
      <w:sdt>
        <w:sdtPr>
          <w:id w:val="1940261064"/>
          <w:citation/>
        </w:sdtPr>
        <w:sdtContent>
          <w:r w:rsidR="00A801F2">
            <w:fldChar w:fldCharType="begin"/>
          </w:r>
          <w:r w:rsidR="00A801F2">
            <w:instrText xml:space="preserve"> CITATION Sou221 \l 2057 </w:instrText>
          </w:r>
          <w:r w:rsidR="00A801F2">
            <w:fldChar w:fldCharType="separate"/>
          </w:r>
          <w:r w:rsidR="00A801F2" w:rsidRPr="00A801F2">
            <w:rPr>
              <w:noProof/>
            </w:rPr>
            <w:t>(South Wales Police, 2022)</w:t>
          </w:r>
          <w:r w:rsidR="00A801F2">
            <w:fldChar w:fldCharType="end"/>
          </w:r>
        </w:sdtContent>
      </w:sdt>
      <w:r w:rsidR="00A801F2">
        <w:t xml:space="preserve">. </w:t>
      </w:r>
    </w:p>
    <w:p w14:paraId="5A50CF1F" w14:textId="77777777" w:rsidR="00A801F2" w:rsidRDefault="00A801F2">
      <w:r>
        <w:t xml:space="preserve">Given the large-scale nature of LFR, with the force stating they are targeting crowded events, one could argue the results mentioned both by South Wales Police figures and an academic report are not proportionate given the number of faces scanned during the event. Particularly arrest results, are small in comparison to the number of faces scanned, if we are to use the motor racing event as an average for faces scanned during an LFR deployment </w:t>
      </w:r>
      <w:sdt>
        <w:sdtPr>
          <w:id w:val="-1811939333"/>
          <w:citation/>
        </w:sdtPr>
        <w:sdtContent>
          <w:r>
            <w:fldChar w:fldCharType="begin"/>
          </w:r>
          <w:r>
            <w:instrText xml:space="preserve"> CITATION Hob211 \l 2057 </w:instrText>
          </w:r>
          <w:r>
            <w:fldChar w:fldCharType="separate"/>
          </w:r>
          <w:r w:rsidRPr="00A801F2">
            <w:rPr>
              <w:noProof/>
            </w:rPr>
            <w:t>(Hobson, et al., 2021)</w:t>
          </w:r>
          <w:r>
            <w:fldChar w:fldCharType="end"/>
          </w:r>
        </w:sdtContent>
      </w:sdt>
      <w:r>
        <w:t>.</w:t>
      </w:r>
    </w:p>
    <w:p w14:paraId="78B403C6" w14:textId="74C13ADA" w:rsidR="00A801F2" w:rsidRDefault="00A801F2">
      <w:r>
        <w:t xml:space="preserve">This brings into question the effectiveness of LFR. Whilst it would be difficult to argue that an arrest for such a serious offence </w:t>
      </w:r>
      <w:r w:rsidR="004C029F">
        <w:t>as</w:t>
      </w:r>
      <w:r>
        <w:t xml:space="preserve"> rape is not a positive result, there is no way of knowing that the person arrested for rape </w:t>
      </w:r>
      <w:r w:rsidR="00496528" w:rsidRPr="00496528">
        <w:t>due to LFR would not have been arrested by other</w:t>
      </w:r>
      <w:r>
        <w:t xml:space="preserve">, more traditional methods of policing. Furthermore, the frequency of either arrests or dispersals, as highlighted in the academic report, </w:t>
      </w:r>
      <w:r w:rsidR="004C029F">
        <w:t>brings</w:t>
      </w:r>
      <w:r>
        <w:t xml:space="preserve"> into question whether the current LFR deployment strategy is </w:t>
      </w:r>
      <w:r w:rsidR="004C029F">
        <w:t>cost-effective</w:t>
      </w:r>
      <w:r>
        <w:t>.</w:t>
      </w:r>
    </w:p>
    <w:p w14:paraId="48142B7D" w14:textId="535BB6A0" w:rsidR="006B3DBB" w:rsidRDefault="00A801F2">
      <w:r>
        <w:t xml:space="preserve">At present, it is difficult to determine the effectiveness of South Wales Police LFR, as there are reasonable arguments both for and against it. Through research, there is not currently an in-depth </w:t>
      </w:r>
      <w:r w:rsidR="004C029F">
        <w:t>cost-benefit</w:t>
      </w:r>
      <w:r>
        <w:t xml:space="preserve"> analysis that has been openly published into LFR. Such analysis that includes the deployment cost against the </w:t>
      </w:r>
      <w:r w:rsidR="0054778D">
        <w:t>money</w:t>
      </w:r>
      <w:r>
        <w:t xml:space="preserve"> it may be saving through </w:t>
      </w:r>
      <w:r w:rsidR="0054778D">
        <w:t xml:space="preserve">time saved by </w:t>
      </w:r>
      <w:r>
        <w:lastRenderedPageBreak/>
        <w:t xml:space="preserve">traditional policing methods may bring more objective data to light that will aid in determining the effectiveness of South Wales Police’s use of LFR. </w:t>
      </w:r>
    </w:p>
    <w:p w14:paraId="3E0098B8" w14:textId="3D7EA14B" w:rsidR="00DA780D" w:rsidRDefault="006B3DBB">
      <w:r>
        <w:t xml:space="preserve">Through researching LFR, there is a clear connection between South Wales Police’s deployment of LFR and the hot spot policing model. The deployment is targeted at events that are likely to be or </w:t>
      </w:r>
      <w:r w:rsidR="004C029F">
        <w:t xml:space="preserve">are </w:t>
      </w:r>
      <w:r>
        <w:t xml:space="preserve">commonly a source of crime and disorder and the deployment is used to take action to address such issues </w:t>
      </w:r>
      <w:sdt>
        <w:sdtPr>
          <w:id w:val="261119759"/>
          <w:citation/>
        </w:sdtPr>
        <w:sdtContent>
          <w:r>
            <w:fldChar w:fldCharType="begin"/>
          </w:r>
          <w:r>
            <w:instrText xml:space="preserve"> CITATION Sou221 \l 2057 </w:instrText>
          </w:r>
          <w:r>
            <w:fldChar w:fldCharType="separate"/>
          </w:r>
          <w:r w:rsidRPr="006B3DBB">
            <w:rPr>
              <w:noProof/>
            </w:rPr>
            <w:t>(South Wales Police, 2022)</w:t>
          </w:r>
          <w:r>
            <w:fldChar w:fldCharType="end"/>
          </w:r>
        </w:sdtContent>
      </w:sdt>
      <w:r>
        <w:t>.</w:t>
      </w:r>
      <w:r w:rsidR="00DA780D">
        <w:t xml:space="preserve"> </w:t>
      </w:r>
      <w:r w:rsidR="0054778D">
        <w:t>Furthermore</w:t>
      </w:r>
      <w:r w:rsidR="00DA780D">
        <w:t xml:space="preserve">, the choice of deployment for LFR is linked to intelligence gathered by the police force. Using intelligence from </w:t>
      </w:r>
      <w:r w:rsidR="004C029F">
        <w:t>several</w:t>
      </w:r>
      <w:r w:rsidR="00DA780D">
        <w:t xml:space="preserve"> sources, the force </w:t>
      </w:r>
      <w:r w:rsidR="004C029F">
        <w:t>can</w:t>
      </w:r>
      <w:r w:rsidR="00DA780D">
        <w:t xml:space="preserve"> select deployment opportunities they believe warrant the use of LFR. This links </w:t>
      </w:r>
      <w:r w:rsidR="0054778D">
        <w:t xml:space="preserve">LFR </w:t>
      </w:r>
      <w:r w:rsidR="00DA780D">
        <w:t>to the intelligence-led policing model</w:t>
      </w:r>
      <w:r w:rsidR="0054778D">
        <w:t xml:space="preserve">, showing </w:t>
      </w:r>
      <w:r w:rsidR="00496528" w:rsidRPr="00496528">
        <w:t>one specific crime prevention initiative can be</w:t>
      </w:r>
      <w:r w:rsidR="0054778D">
        <w:t xml:space="preserve"> linked to two policing models </w:t>
      </w:r>
      <w:sdt>
        <w:sdtPr>
          <w:id w:val="-919322897"/>
          <w:citation/>
        </w:sdtPr>
        <w:sdtContent>
          <w:r w:rsidR="00DA780D">
            <w:fldChar w:fldCharType="begin"/>
          </w:r>
          <w:r w:rsidR="00E27ABD">
            <w:instrText xml:space="preserve">CITATION Bla21 \p 27 \l 2057 </w:instrText>
          </w:r>
          <w:r w:rsidR="00DA780D">
            <w:fldChar w:fldCharType="separate"/>
          </w:r>
          <w:r w:rsidR="00E27ABD" w:rsidRPr="00E27ABD">
            <w:rPr>
              <w:noProof/>
            </w:rPr>
            <w:t>(Bryant &amp; Bryant, 2021, p. 27)</w:t>
          </w:r>
          <w:r w:rsidR="00DA780D">
            <w:fldChar w:fldCharType="end"/>
          </w:r>
        </w:sdtContent>
      </w:sdt>
      <w:r w:rsidR="00DA780D">
        <w:t>.</w:t>
      </w:r>
    </w:p>
    <w:p w14:paraId="6095CFCF" w14:textId="77777777" w:rsidR="0054778D" w:rsidRDefault="00DA780D">
      <w:r>
        <w:t xml:space="preserve">To summarise, two crime prevention initiatives have been examined and their effectiveness discussed. Their link to existing policing models has been highlighted, with areas for future research identified, to further objectify any judgment made on their effectiveness. </w:t>
      </w:r>
    </w:p>
    <w:p w14:paraId="62AF6012" w14:textId="77777777" w:rsidR="0054778D" w:rsidRDefault="0054778D"/>
    <w:p w14:paraId="528A362F" w14:textId="6523F0DB" w:rsidR="0054778D" w:rsidRDefault="0054778D">
      <w:pPr>
        <w:rPr>
          <w:b/>
          <w:bCs/>
        </w:rPr>
      </w:pPr>
      <w:r>
        <w:rPr>
          <w:b/>
          <w:bCs/>
        </w:rPr>
        <w:t>Word Count: 2195</w:t>
      </w:r>
    </w:p>
    <w:p w14:paraId="2EDBFB05" w14:textId="77777777" w:rsidR="0054778D" w:rsidRDefault="0054778D">
      <w:pPr>
        <w:rPr>
          <w:b/>
          <w:bCs/>
        </w:rPr>
      </w:pPr>
      <w:r>
        <w:rPr>
          <w:b/>
          <w:bCs/>
        </w:rPr>
        <w:br w:type="page"/>
      </w:r>
    </w:p>
    <w:p w14:paraId="0B9401B8" w14:textId="77777777" w:rsidR="00967729" w:rsidRPr="00967729" w:rsidRDefault="00967729" w:rsidP="004B5474">
      <w:pPr>
        <w:pStyle w:val="Heading1"/>
        <w:rPr>
          <w:rFonts w:eastAsia="Times New Roman"/>
          <w:lang w:eastAsia="en-GB"/>
        </w:rPr>
      </w:pPr>
      <w:r w:rsidRPr="00967729">
        <w:rPr>
          <w:rFonts w:eastAsia="Times New Roman"/>
          <w:u w:val="single"/>
          <w:lang w:eastAsia="en-GB"/>
        </w:rPr>
        <w:lastRenderedPageBreak/>
        <w:t>Critically evaluate</w:t>
      </w:r>
      <w:r w:rsidRPr="00967729">
        <w:rPr>
          <w:rFonts w:eastAsia="Times New Roman"/>
          <w:lang w:eastAsia="en-GB"/>
        </w:rPr>
        <w:t xml:space="preserve"> the role of police as part of the joint emergency services response to high-profile critical and major incidents. </w:t>
      </w:r>
      <w:r w:rsidRPr="00967729">
        <w:rPr>
          <w:rFonts w:eastAsia="Times New Roman"/>
          <w:u w:val="single"/>
          <w:lang w:eastAsia="en-GB"/>
        </w:rPr>
        <w:t>Consider</w:t>
      </w:r>
      <w:r w:rsidRPr="00967729">
        <w:rPr>
          <w:rFonts w:eastAsia="Times New Roman"/>
          <w:lang w:eastAsia="en-GB"/>
        </w:rPr>
        <w:t xml:space="preserve"> the effect of professionalisation on the police’s response to such incidents.</w:t>
      </w:r>
    </w:p>
    <w:p w14:paraId="50ED4967" w14:textId="3A25D334" w:rsidR="008442BE" w:rsidRDefault="008442BE"/>
    <w:p w14:paraId="1BE209C0" w14:textId="24BA1BAE" w:rsidR="006B5E99" w:rsidRDefault="008442BE">
      <w:r>
        <w:t xml:space="preserve">The term critical and major incidents must </w:t>
      </w:r>
      <w:r w:rsidR="00326D46">
        <w:t>first</w:t>
      </w:r>
      <w:r>
        <w:t xml:space="preserve"> b</w:t>
      </w:r>
      <w:r w:rsidR="00326D46">
        <w:t>e</w:t>
      </w:r>
      <w:r>
        <w:t xml:space="preserve"> defined and explored.</w:t>
      </w:r>
      <w:r w:rsidR="006B5E99">
        <w:t xml:space="preserve"> Through research </w:t>
      </w:r>
      <w:r w:rsidR="006A13DB">
        <w:t xml:space="preserve">there are </w:t>
      </w:r>
      <w:r w:rsidR="006B5E99">
        <w:t>slight variations in how each emergency service defines each term, so for relevance</w:t>
      </w:r>
      <w:r w:rsidR="00326D46">
        <w:t>,</w:t>
      </w:r>
      <w:r w:rsidR="006B5E99">
        <w:t xml:space="preserve"> they will be defined from a policing context.</w:t>
      </w:r>
    </w:p>
    <w:p w14:paraId="5824431D" w14:textId="72FAB250" w:rsidR="008442BE" w:rsidRDefault="00D76D3D">
      <w:r>
        <w:t>A major incident</w:t>
      </w:r>
      <w:r w:rsidR="006B5E99">
        <w:t xml:space="preserve">, as defined by Blackstone’s handbook for policing </w:t>
      </w:r>
      <w:r w:rsidR="001C465A">
        <w:t>students,</w:t>
      </w:r>
      <w:r>
        <w:t xml:space="preserve"> is any emergency event that requires special </w:t>
      </w:r>
      <w:r w:rsidR="00326D46">
        <w:t>management</w:t>
      </w:r>
      <w:r>
        <w:t xml:space="preserve"> and deployment of more than one agency. These are often agencies such as any of the three </w:t>
      </w:r>
      <w:r w:rsidR="00326D46">
        <w:t>emergency</w:t>
      </w:r>
      <w:r>
        <w:t xml:space="preserve"> </w:t>
      </w:r>
      <w:r w:rsidR="006A13DB">
        <w:t>services:</w:t>
      </w:r>
      <w:r>
        <w:t xml:space="preserve"> fire and rescue, ambulance service or police. A major incident can also involve other agencies such as the NHS or local highways and traffic officers. To warrant such deployment, the incident often involves</w:t>
      </w:r>
      <w:r w:rsidR="006B5E99">
        <w:t xml:space="preserve"> </w:t>
      </w:r>
      <w:r w:rsidR="00326D46">
        <w:t>large-scale</w:t>
      </w:r>
      <w:r w:rsidR="006B5E99">
        <w:t xml:space="preserve"> disruption, and serious risk to human life or welfare </w:t>
      </w:r>
      <w:sdt>
        <w:sdtPr>
          <w:id w:val="838738607"/>
          <w:citation/>
        </w:sdtPr>
        <w:sdtContent>
          <w:r w:rsidR="006B5E99">
            <w:fldChar w:fldCharType="begin"/>
          </w:r>
          <w:r w:rsidR="00E27ABD">
            <w:instrText xml:space="preserve">CITATION Bla21 \p 249 \l 2057 </w:instrText>
          </w:r>
          <w:r w:rsidR="006B5E99">
            <w:fldChar w:fldCharType="separate"/>
          </w:r>
          <w:r w:rsidR="00E27ABD" w:rsidRPr="00E27ABD">
            <w:rPr>
              <w:noProof/>
            </w:rPr>
            <w:t>(Bryant &amp; Bryant, 2021, p. 249)</w:t>
          </w:r>
          <w:r w:rsidR="006B5E99">
            <w:fldChar w:fldCharType="end"/>
          </w:r>
        </w:sdtContent>
      </w:sdt>
      <w:r w:rsidR="006B5E99">
        <w:t>.</w:t>
      </w:r>
    </w:p>
    <w:p w14:paraId="02979F3E" w14:textId="66A8B4A4" w:rsidR="006B5E99" w:rsidRDefault="006B5E99">
      <w:r>
        <w:t>A critical incident is easily defined by the college of policing:</w:t>
      </w:r>
    </w:p>
    <w:p w14:paraId="7126EF03" w14:textId="5E07E870" w:rsidR="006B5E99" w:rsidRDefault="006B5E99" w:rsidP="006B5E99">
      <w:pPr>
        <w:ind w:left="567"/>
      </w:pPr>
      <w:r w:rsidRPr="006B5E99">
        <w:t>A critical incident is any incident where the effectiveness of the police response is likely to have a significant impact on the confidence of the victim, their family and/or the community.</w:t>
      </w:r>
    </w:p>
    <w:p w14:paraId="706CFF34" w14:textId="5260A41C" w:rsidR="006B5E99" w:rsidRDefault="00000000" w:rsidP="006B5E99">
      <w:pPr>
        <w:ind w:left="567"/>
        <w:jc w:val="right"/>
      </w:pPr>
      <w:sdt>
        <w:sdtPr>
          <w:id w:val="-1640959007"/>
          <w:citation/>
        </w:sdtPr>
        <w:sdtContent>
          <w:r w:rsidR="006B5E99">
            <w:fldChar w:fldCharType="begin"/>
          </w:r>
          <w:r w:rsidR="006B5E99">
            <w:instrText xml:space="preserve"> CITATION Col131 \l 2057 </w:instrText>
          </w:r>
          <w:r w:rsidR="006B5E99">
            <w:fldChar w:fldCharType="separate"/>
          </w:r>
          <w:r w:rsidR="006B5E99" w:rsidRPr="006B5E99">
            <w:rPr>
              <w:noProof/>
            </w:rPr>
            <w:t>(College of Policing, 2013)</w:t>
          </w:r>
          <w:r w:rsidR="006B5E99">
            <w:fldChar w:fldCharType="end"/>
          </w:r>
        </w:sdtContent>
      </w:sdt>
    </w:p>
    <w:p w14:paraId="75E84676" w14:textId="5347FBBE" w:rsidR="000934D7" w:rsidRDefault="00E27ABD">
      <w:r>
        <w:t xml:space="preserve">Any incident such as harassment can fall under the category of a critical </w:t>
      </w:r>
      <w:r w:rsidR="00326D46">
        <w:t>incident and</w:t>
      </w:r>
      <w:r>
        <w:t xml:space="preserve"> doesn’t </w:t>
      </w:r>
      <w:r w:rsidR="00326D46">
        <w:t>necessarily</w:t>
      </w:r>
      <w:r>
        <w:t xml:space="preserve"> have to be a serious event such as a murder or train crash. An incident may be both critical and major in type, and the terms are broad and cover a wide range of events that may occur. According to Bryant et al, there are few opportunities for police officers, particularly those in training, to practise their skills when dealing with major incidents </w:t>
      </w:r>
      <w:sdt>
        <w:sdtPr>
          <w:id w:val="1508094186"/>
          <w:citation/>
        </w:sdtPr>
        <w:sdtContent>
          <w:r>
            <w:fldChar w:fldCharType="begin"/>
          </w:r>
          <w:r>
            <w:instrText xml:space="preserve">CITATION Bla21 \p 249 \l 2057 </w:instrText>
          </w:r>
          <w:r>
            <w:fldChar w:fldCharType="separate"/>
          </w:r>
          <w:r w:rsidRPr="00E27ABD">
            <w:rPr>
              <w:noProof/>
            </w:rPr>
            <w:t>(Bryant &amp; Bryant, 2021, p. 249)</w:t>
          </w:r>
          <w:r>
            <w:fldChar w:fldCharType="end"/>
          </w:r>
        </w:sdtContent>
      </w:sdt>
      <w:r>
        <w:t>.</w:t>
      </w:r>
    </w:p>
    <w:p w14:paraId="6F42D45F" w14:textId="7635C1A7" w:rsidR="00E27ABD" w:rsidRDefault="00E27ABD">
      <w:r>
        <w:t xml:space="preserve">Every UK police force and indeed every emergency service will have a set of contingency plans already developed </w:t>
      </w:r>
      <w:r w:rsidR="00326D46">
        <w:t xml:space="preserve">and </w:t>
      </w:r>
      <w:r>
        <w:t xml:space="preserve">ready to be put into place so they can effectively deal with a wide range of emergency incidents. Additionally, there is legislation, the Civil Contingencies Act 2004 that </w:t>
      </w:r>
      <w:r w:rsidR="00326D46">
        <w:t>makes</w:t>
      </w:r>
      <w:r>
        <w:t xml:space="preserve"> it a legal requirement to have such contingencies for certain types of events.</w:t>
      </w:r>
    </w:p>
    <w:p w14:paraId="7688A3E3" w14:textId="77777777" w:rsidR="00496528" w:rsidRDefault="00496528">
      <w:r>
        <w:br w:type="page"/>
      </w:r>
    </w:p>
    <w:p w14:paraId="644F8BE3" w14:textId="1CD6C678" w:rsidR="00A778DA" w:rsidRDefault="00A778DA">
      <w:r>
        <w:lastRenderedPageBreak/>
        <w:t>The legislation was brought into place after it was discovered that the emergency services, along with other agencies, did not have adequate planning arrangements in place to deal with major incidents that occurred in the early 21</w:t>
      </w:r>
      <w:r w:rsidRPr="00A778DA">
        <w:rPr>
          <w:vertAlign w:val="superscript"/>
        </w:rPr>
        <w:t>st</w:t>
      </w:r>
      <w:r>
        <w:t xml:space="preserve"> century. The act has built on a </w:t>
      </w:r>
      <w:r w:rsidR="00326D46">
        <w:t>cooperative</w:t>
      </w:r>
      <w:r>
        <w:t xml:space="preserve"> working idea, that requires local partnerships to be set up to cover each police force area. The </w:t>
      </w:r>
      <w:r w:rsidR="00326D46">
        <w:t>legislation</w:t>
      </w:r>
      <w:r>
        <w:t xml:space="preserve"> is considered to have increased the ability to have a successful coordinated response to a variety of major incidents that impact the public. The act not only helps create </w:t>
      </w:r>
      <w:r w:rsidR="00326D46">
        <w:t xml:space="preserve">a </w:t>
      </w:r>
      <w:r>
        <w:t xml:space="preserve">framework for emergency services and their partner agencies to deal with major incidents but tackles the wider problems that arise from significant major incidents such as affected businesses, to keep the country running </w:t>
      </w:r>
      <w:sdt>
        <w:sdtPr>
          <w:id w:val="1899318437"/>
          <w:citation/>
        </w:sdtPr>
        <w:sdtContent>
          <w:r>
            <w:fldChar w:fldCharType="begin"/>
          </w:r>
          <w:r>
            <w:instrText xml:space="preserve"> CITATION Ali12 \l 2057 </w:instrText>
          </w:r>
          <w:r>
            <w:fldChar w:fldCharType="separate"/>
          </w:r>
          <w:r w:rsidRPr="00A778DA">
            <w:rPr>
              <w:noProof/>
            </w:rPr>
            <w:t>(Stainsby, 2012)</w:t>
          </w:r>
          <w:r>
            <w:fldChar w:fldCharType="end"/>
          </w:r>
        </w:sdtContent>
      </w:sdt>
      <w:r>
        <w:t>.</w:t>
      </w:r>
    </w:p>
    <w:p w14:paraId="27F6250F" w14:textId="3BBD1123" w:rsidR="00A778DA" w:rsidRDefault="00C373C5">
      <w:r>
        <w:t xml:space="preserve">In 2012, following a home secretary pledge, </w:t>
      </w:r>
      <w:r w:rsidR="00A778DA">
        <w:t>the joint emergency services</w:t>
      </w:r>
      <w:r>
        <w:t xml:space="preserve"> interoperability </w:t>
      </w:r>
      <w:r w:rsidR="00326D46">
        <w:t>program</w:t>
      </w:r>
      <w:r>
        <w:t xml:space="preserve"> (JESIP) was created. The focus for JESIP was to identify issues that hindered the inoperability of the emergency services with the view of then correcting such issues. The joint decision model (JDM) is one of the products created by JESIP as a framework to promote interoperability. </w:t>
      </w:r>
      <w:sdt>
        <w:sdtPr>
          <w:id w:val="-957718617"/>
          <w:citation/>
        </w:sdtPr>
        <w:sdtContent>
          <w:r>
            <w:fldChar w:fldCharType="begin"/>
          </w:r>
          <w:r>
            <w:instrText xml:space="preserve">CITATION Wan19 \p 16 \l 2057 </w:instrText>
          </w:r>
          <w:r>
            <w:fldChar w:fldCharType="separate"/>
          </w:r>
          <w:r w:rsidRPr="00C373C5">
            <w:rPr>
              <w:noProof/>
            </w:rPr>
            <w:t>(Wankhade, et al., 2019, p. 16)</w:t>
          </w:r>
          <w:r>
            <w:fldChar w:fldCharType="end"/>
          </w:r>
        </w:sdtContent>
      </w:sdt>
      <w:r>
        <w:t>.</w:t>
      </w:r>
    </w:p>
    <w:p w14:paraId="36CE20E9" w14:textId="310AEB0F" w:rsidR="00C373C5" w:rsidRDefault="00C373C5">
      <w:r>
        <w:t xml:space="preserve">The JDM works on several stages that are repeated in a cycle that centres around working together to save lives and reduce harm. These stages are gathering information and intelligence, </w:t>
      </w:r>
      <w:r w:rsidR="00326D46">
        <w:t>assigning</w:t>
      </w:r>
      <w:r>
        <w:t xml:space="preserve"> the </w:t>
      </w:r>
      <w:proofErr w:type="gramStart"/>
      <w:r>
        <w:t>risks</w:t>
      </w:r>
      <w:proofErr w:type="gramEnd"/>
      <w:r>
        <w:t xml:space="preserve"> and developing a working strategy, considering powers, </w:t>
      </w:r>
      <w:r w:rsidR="00350930">
        <w:t>policies,</w:t>
      </w:r>
      <w:r>
        <w:t xml:space="preserve"> and procedures, identify</w:t>
      </w:r>
      <w:r w:rsidR="00326D46">
        <w:t>ing</w:t>
      </w:r>
      <w:r>
        <w:t xml:space="preserve"> options and contingencies and tak</w:t>
      </w:r>
      <w:r w:rsidR="00326D46">
        <w:t>ing</w:t>
      </w:r>
      <w:r>
        <w:t xml:space="preserve"> action and </w:t>
      </w:r>
      <w:r w:rsidR="00326D46">
        <w:t>reviewing</w:t>
      </w:r>
      <w:r>
        <w:t xml:space="preserve"> the outcome </w:t>
      </w:r>
      <w:sdt>
        <w:sdtPr>
          <w:id w:val="-1034656452"/>
          <w:citation/>
        </w:sdtPr>
        <w:sdtContent>
          <w:r>
            <w:fldChar w:fldCharType="begin"/>
          </w:r>
          <w:r w:rsidR="00350930">
            <w:instrText xml:space="preserve">CITATION Wan19 \p 23 \l 2057 </w:instrText>
          </w:r>
          <w:r>
            <w:fldChar w:fldCharType="separate"/>
          </w:r>
          <w:r w:rsidR="00350930" w:rsidRPr="00350930">
            <w:rPr>
              <w:noProof/>
            </w:rPr>
            <w:t>(Wankhade, et al., 2019, p. 23)</w:t>
          </w:r>
          <w:r>
            <w:fldChar w:fldCharType="end"/>
          </w:r>
        </w:sdtContent>
      </w:sdt>
      <w:r w:rsidR="00350930">
        <w:t>.</w:t>
      </w:r>
    </w:p>
    <w:p w14:paraId="7450637C" w14:textId="7A952ED1" w:rsidR="00350930" w:rsidRDefault="00350930">
      <w:r>
        <w:t xml:space="preserve">The JDM is almost identical to the national decision model (NDM) which was set out by the college of policing to help police offers make difficult decisions in challenging situations. JESIP </w:t>
      </w:r>
      <w:r w:rsidR="00326D46">
        <w:t>has</w:t>
      </w:r>
      <w:r>
        <w:t xml:space="preserve"> adapted the JDM from the NDM so that emergency commanders on </w:t>
      </w:r>
      <w:r w:rsidR="00326D46">
        <w:t xml:space="preserve">the </w:t>
      </w:r>
      <w:r>
        <w:t xml:space="preserve">scene can jointly agree on a plan of action </w:t>
      </w:r>
      <w:sdt>
        <w:sdtPr>
          <w:id w:val="-1270385632"/>
          <w:citation/>
        </w:sdtPr>
        <w:sdtContent>
          <w:r>
            <w:fldChar w:fldCharType="begin"/>
          </w:r>
          <w:r>
            <w:instrText xml:space="preserve"> CITATION Col132 \l 2057 </w:instrText>
          </w:r>
          <w:r>
            <w:fldChar w:fldCharType="separate"/>
          </w:r>
          <w:r w:rsidRPr="00350930">
            <w:rPr>
              <w:noProof/>
            </w:rPr>
            <w:t>(College of Policing, 2013)</w:t>
          </w:r>
          <w:r>
            <w:fldChar w:fldCharType="end"/>
          </w:r>
        </w:sdtContent>
      </w:sdt>
      <w:r>
        <w:t xml:space="preserve">. This adaptation infers </w:t>
      </w:r>
      <w:r w:rsidR="00496528">
        <w:t xml:space="preserve">that </w:t>
      </w:r>
      <w:r>
        <w:t>the police play a key role in a joint emergency response when dealing with major incidents.</w:t>
      </w:r>
    </w:p>
    <w:p w14:paraId="6311E27B" w14:textId="6623DDF1" w:rsidR="00350930" w:rsidRDefault="00350930">
      <w:r>
        <w:t xml:space="preserve">The mnemonic METHANE is used by all emergency services as directed under JESIP to ensure consistent and correct information is passed regarding a major incident and its details. The stages of METHANE are major incident declared, </w:t>
      </w:r>
      <w:r w:rsidR="00326D46">
        <w:t xml:space="preserve">the </w:t>
      </w:r>
      <w:r>
        <w:t xml:space="preserve">exact location of the incident, the type of incident, the hazards present or predicted, the best routes for access and egress, the number of current or expected casualties and what other emergency services are required </w:t>
      </w:r>
      <w:sdt>
        <w:sdtPr>
          <w:id w:val="-1954237867"/>
          <w:citation/>
        </w:sdtPr>
        <w:sdtContent>
          <w:r>
            <w:fldChar w:fldCharType="begin"/>
          </w:r>
          <w:r>
            <w:instrText xml:space="preserve">CITATION Wan19 \p 23 \l 2057 </w:instrText>
          </w:r>
          <w:r>
            <w:fldChar w:fldCharType="separate"/>
          </w:r>
          <w:r w:rsidRPr="00350930">
            <w:rPr>
              <w:noProof/>
            </w:rPr>
            <w:t>(Wankhade, et al., 2019, p. 23)</w:t>
          </w:r>
          <w:r>
            <w:fldChar w:fldCharType="end"/>
          </w:r>
        </w:sdtContent>
      </w:sdt>
      <w:r>
        <w:t>.</w:t>
      </w:r>
    </w:p>
    <w:p w14:paraId="523E9C82" w14:textId="58E97C53" w:rsidR="005D5FC3" w:rsidRDefault="005D5FC3">
      <w:r>
        <w:t xml:space="preserve">The police may have extra considerations and actions to take at the scene of a major incident in comparison to other emergency services. The major incident may be the result of a criminal offence, which only the police will be constantly aware of and need to manage. For example, at a major road traffic collision, the cause of the collision could be the result of a driver being under the influence of drugs or alcohol, or, at a major incident where someone has </w:t>
      </w:r>
      <w:r w:rsidR="00326D46">
        <w:t>fatally</w:t>
      </w:r>
      <w:r>
        <w:t xml:space="preserve"> fallen from </w:t>
      </w:r>
      <w:r w:rsidR="00326D46">
        <w:t xml:space="preserve">a </w:t>
      </w:r>
      <w:r>
        <w:t xml:space="preserve">height, there may be a case of suicide or suspicious circumstances surrounding the incident that the police will need to pay attention to. These could point towards the major incident location becoming a crime scene, and the police will need to both work with other emergency services to manage the crime scene to collect evidence, whilst not jeopardising the centre of the JDM, which is to work together to save lives and prevent harm </w:t>
      </w:r>
      <w:sdt>
        <w:sdtPr>
          <w:id w:val="-1473436863"/>
          <w:citation/>
        </w:sdtPr>
        <w:sdtContent>
          <w:r>
            <w:fldChar w:fldCharType="begin"/>
          </w:r>
          <w:r>
            <w:instrText xml:space="preserve">CITATION Bla21 \p 250 \l 2057 </w:instrText>
          </w:r>
          <w:r>
            <w:fldChar w:fldCharType="separate"/>
          </w:r>
          <w:r w:rsidRPr="005D5FC3">
            <w:rPr>
              <w:noProof/>
            </w:rPr>
            <w:t>(Bryant &amp; Bryant, 2021, p. 250)</w:t>
          </w:r>
          <w:r>
            <w:fldChar w:fldCharType="end"/>
          </w:r>
        </w:sdtContent>
      </w:sdt>
      <w:r>
        <w:t>.</w:t>
      </w:r>
    </w:p>
    <w:p w14:paraId="373E0687" w14:textId="4831F2B3" w:rsidR="00C454E7" w:rsidRDefault="00B15100">
      <w:r>
        <w:lastRenderedPageBreak/>
        <w:t xml:space="preserve">A local council in Scotland have defined the primary roles of each emergency service when </w:t>
      </w:r>
      <w:r w:rsidR="00326D46">
        <w:t>attending</w:t>
      </w:r>
      <w:r>
        <w:t xml:space="preserve"> an incident. They reference their local police </w:t>
      </w:r>
      <w:r w:rsidR="006A13DB">
        <w:t>force,</w:t>
      </w:r>
      <w:r>
        <w:t xml:space="preserve"> which is </w:t>
      </w:r>
      <w:r w:rsidR="00C454E7">
        <w:t xml:space="preserve">Police Scotland, </w:t>
      </w:r>
      <w:r w:rsidR="00326D46">
        <w:t>which</w:t>
      </w:r>
      <w:r w:rsidR="00C454E7">
        <w:t xml:space="preserve"> also </w:t>
      </w:r>
      <w:r w:rsidR="00326D46">
        <w:t>falls</w:t>
      </w:r>
      <w:r w:rsidR="00C454E7">
        <w:t xml:space="preserve"> under the legislation set out by the civil contingencies act and the operation method set out by JESIP. The list of police’s main </w:t>
      </w:r>
      <w:r w:rsidR="00326D46">
        <w:t>responsibilities</w:t>
      </w:r>
      <w:r w:rsidR="00C454E7">
        <w:t xml:space="preserve"> </w:t>
      </w:r>
      <w:r w:rsidR="00326D46">
        <w:t>includes</w:t>
      </w:r>
      <w:r w:rsidR="00C454E7">
        <w:t xml:space="preserve"> the </w:t>
      </w:r>
      <w:r w:rsidR="006A13DB">
        <w:t>saving</w:t>
      </w:r>
      <w:r w:rsidR="00C454E7">
        <w:t xml:space="preserve"> of li</w:t>
      </w:r>
      <w:r w:rsidR="00326D46">
        <w:t>f</w:t>
      </w:r>
      <w:r w:rsidR="00C454E7">
        <w:t xml:space="preserve">e and the protection and preservation of a crime scene. </w:t>
      </w:r>
      <w:r w:rsidR="00326D46">
        <w:t>These</w:t>
      </w:r>
      <w:r w:rsidR="00C454E7">
        <w:t xml:space="preserve"> are points also highlighted by Bryant et al and Wankhade et al. The police can also be involved in the identification of the dead, the investigation into the circumstances that led to the incident, as well as the collation and dissemination of casualty information and finally, the restoration of normality following a major incident</w:t>
      </w:r>
      <w:r>
        <w:t xml:space="preserve">. Overall, the police will normally take the coordination role at a major </w:t>
      </w:r>
      <w:r w:rsidR="006A13DB">
        <w:t>incident and</w:t>
      </w:r>
      <w:r>
        <w:t xml:space="preserve"> will work with other emergency services so they can carry out their respective work to fall within the JDM </w:t>
      </w:r>
      <w:sdt>
        <w:sdtPr>
          <w:id w:val="1626812948"/>
          <w:citation/>
        </w:sdtPr>
        <w:sdtContent>
          <w:r>
            <w:fldChar w:fldCharType="begin"/>
          </w:r>
          <w:r>
            <w:instrText xml:space="preserve"> CITATION Argnd \l 2057 </w:instrText>
          </w:r>
          <w:r>
            <w:fldChar w:fldCharType="separate"/>
          </w:r>
          <w:r w:rsidRPr="00B15100">
            <w:rPr>
              <w:noProof/>
            </w:rPr>
            <w:t>(Argyll and Bute Council, n.d.)</w:t>
          </w:r>
          <w:r>
            <w:fldChar w:fldCharType="end"/>
          </w:r>
        </w:sdtContent>
      </w:sdt>
      <w:r>
        <w:t>.</w:t>
      </w:r>
    </w:p>
    <w:p w14:paraId="562DFD2A" w14:textId="480DC183" w:rsidR="006A13DB" w:rsidRDefault="00C454E7">
      <w:r>
        <w:t xml:space="preserve">The evaluation of the police’s role </w:t>
      </w:r>
      <w:r w:rsidR="00326D46">
        <w:t>in</w:t>
      </w:r>
      <w:r>
        <w:t xml:space="preserve"> a major incident cannot be specifically defined. </w:t>
      </w:r>
      <w:r w:rsidR="00B15100">
        <w:t xml:space="preserve">Research has shown that a major incident is not easily </w:t>
      </w:r>
      <w:r w:rsidR="00326D46">
        <w:t>categorised and</w:t>
      </w:r>
      <w:r w:rsidR="00B15100">
        <w:t xml:space="preserve"> is rather a broad term that can </w:t>
      </w:r>
      <w:r w:rsidR="00326D46">
        <w:t>describe</w:t>
      </w:r>
      <w:r w:rsidR="00B15100">
        <w:t xml:space="preserve"> numerous types of </w:t>
      </w:r>
      <w:r w:rsidR="00326D46">
        <w:t>incidents</w:t>
      </w:r>
      <w:r w:rsidR="00B15100">
        <w:t xml:space="preserve">. Therefore, </w:t>
      </w:r>
      <w:r w:rsidR="00326D46">
        <w:t xml:space="preserve">the inference can be made that </w:t>
      </w:r>
      <w:r w:rsidR="00B15100">
        <w:t xml:space="preserve">the local police force’s specific role will differ slightly depending on the event, depending on which emergency service declares the incident to be major in type, and the specific needs a major incident demands. That being said, the police, along with all emergency services under JESIP, will operate within the JDM. </w:t>
      </w:r>
    </w:p>
    <w:p w14:paraId="708CDD92" w14:textId="44AFB284" w:rsidR="0021762B" w:rsidRDefault="00B15100">
      <w:r>
        <w:t>So</w:t>
      </w:r>
      <w:r w:rsidR="006A13DB">
        <w:t>,</w:t>
      </w:r>
      <w:r>
        <w:t xml:space="preserve"> the conclusion is made that part of the police’s role is to work cooperatively with other emergency </w:t>
      </w:r>
      <w:r w:rsidR="006A13DB">
        <w:t>services and</w:t>
      </w:r>
      <w:r>
        <w:t xml:space="preserve"> disseminate information that is of use to the other services, often in the METHAN</w:t>
      </w:r>
      <w:r w:rsidR="00931707">
        <w:t>E</w:t>
      </w:r>
      <w:r>
        <w:t xml:space="preserve"> mnemonic format. The police will operate and make decisions in line with the </w:t>
      </w:r>
      <w:r w:rsidR="006A13DB">
        <w:t>JDM and</w:t>
      </w:r>
      <w:r>
        <w:t xml:space="preserve"> keep the key focus of working together with other emergency services to save lives and reduce harm, to both the public and colleagues. </w:t>
      </w:r>
    </w:p>
    <w:p w14:paraId="08B57419" w14:textId="4E28BB50" w:rsidR="0021762B" w:rsidRDefault="0021762B">
      <w:r>
        <w:t xml:space="preserve">Between 2009 and 2019, police forces in England and Wales managed a significant </w:t>
      </w:r>
      <w:r w:rsidR="00326D46">
        <w:t>decrease</w:t>
      </w:r>
      <w:r>
        <w:t xml:space="preserve"> in their budget. The decrease, which Wankhade et al have sourced from the institute of financial statistics, is said to be a 14% reduction. This led to approximately 20,000 fewer police officers. This drastic change has recently led to police leaders changing striving for change in organisational methods and delivery of services </w:t>
      </w:r>
      <w:sdt>
        <w:sdtPr>
          <w:id w:val="-83534325"/>
          <w:citation/>
        </w:sdtPr>
        <w:sdtContent>
          <w:r>
            <w:fldChar w:fldCharType="begin"/>
          </w:r>
          <w:r>
            <w:instrText xml:space="preserve">CITATION Wan19 \p 141 \l 2057 </w:instrText>
          </w:r>
          <w:r>
            <w:fldChar w:fldCharType="separate"/>
          </w:r>
          <w:r w:rsidRPr="0021762B">
            <w:rPr>
              <w:noProof/>
            </w:rPr>
            <w:t>(Wankhade, et al., 2019, p. 141)</w:t>
          </w:r>
          <w:r>
            <w:fldChar w:fldCharType="end"/>
          </w:r>
        </w:sdtContent>
      </w:sdt>
      <w:r>
        <w:t>.</w:t>
      </w:r>
    </w:p>
    <w:p w14:paraId="5622D6DB" w14:textId="07A8E63D" w:rsidR="002E64D5" w:rsidRDefault="0021762B">
      <w:r>
        <w:t xml:space="preserve">In 2010, the then home secretary </w:t>
      </w:r>
      <w:r w:rsidR="002E64D5">
        <w:t>T</w:t>
      </w:r>
      <w:r w:rsidR="002E64D5" w:rsidRPr="002E64D5">
        <w:t xml:space="preserve">heresa </w:t>
      </w:r>
      <w:r w:rsidR="002E64D5">
        <w:t>M</w:t>
      </w:r>
      <w:r w:rsidR="002E64D5" w:rsidRPr="002E64D5">
        <w:t>ay</w:t>
      </w:r>
      <w:r w:rsidR="002E64D5">
        <w:t xml:space="preserve"> conjured the notion that being a police</w:t>
      </w:r>
      <w:r w:rsidR="00326D46">
        <w:t xml:space="preserve"> officer</w:t>
      </w:r>
      <w:r w:rsidR="002E64D5">
        <w:t xml:space="preserve"> was a profession in the more traditional sense, where she would not </w:t>
      </w:r>
      <w:r w:rsidR="00326D46">
        <w:t>advise</w:t>
      </w:r>
      <w:r w:rsidR="002E64D5">
        <w:t xml:space="preserve"> police officers how to do their job </w:t>
      </w:r>
      <w:r w:rsidR="00326D46">
        <w:t>any more</w:t>
      </w:r>
      <w:r w:rsidR="002E64D5">
        <w:t xml:space="preserve"> than should we tell a surgeon, </w:t>
      </w:r>
      <w:proofErr w:type="gramStart"/>
      <w:r w:rsidR="002E64D5">
        <w:t>lawyer</w:t>
      </w:r>
      <w:proofErr w:type="gramEnd"/>
      <w:r w:rsidR="002E64D5">
        <w:t xml:space="preserve"> or engineer how to </w:t>
      </w:r>
      <w:r w:rsidR="00326D46">
        <w:t xml:space="preserve">do </w:t>
      </w:r>
      <w:r w:rsidR="002E64D5">
        <w:t xml:space="preserve">theirs. The early 2010s were the start of a focus </w:t>
      </w:r>
      <w:r w:rsidR="00326D46">
        <w:t>on</w:t>
      </w:r>
      <w:r w:rsidR="002E64D5">
        <w:t xml:space="preserve"> </w:t>
      </w:r>
      <w:r w:rsidR="00326D46">
        <w:t xml:space="preserve">the </w:t>
      </w:r>
      <w:r w:rsidR="002E64D5">
        <w:t xml:space="preserve">professionalisation of the police </w:t>
      </w:r>
      <w:sdt>
        <w:sdtPr>
          <w:id w:val="-934823976"/>
          <w:citation/>
        </w:sdtPr>
        <w:sdtContent>
          <w:r w:rsidR="002E64D5">
            <w:fldChar w:fldCharType="begin"/>
          </w:r>
          <w:r w:rsidR="002E64D5">
            <w:instrText xml:space="preserve">CITATION Wan19 \p 143 \l 2057 </w:instrText>
          </w:r>
          <w:r w:rsidR="002E64D5">
            <w:fldChar w:fldCharType="separate"/>
          </w:r>
          <w:r w:rsidR="002E64D5" w:rsidRPr="002E64D5">
            <w:rPr>
              <w:noProof/>
            </w:rPr>
            <w:t>(Wankhade, et al., 2019, p. 143)</w:t>
          </w:r>
          <w:r w:rsidR="002E64D5">
            <w:fldChar w:fldCharType="end"/>
          </w:r>
        </w:sdtContent>
      </w:sdt>
      <w:r w:rsidR="002E64D5">
        <w:t>.</w:t>
      </w:r>
    </w:p>
    <w:p w14:paraId="1BE65C59" w14:textId="0A24142C" w:rsidR="002E64D5" w:rsidRDefault="002E64D5">
      <w:r>
        <w:t xml:space="preserve">Bryant et al. state that a key requirement of professionalisation is the presence of expertise and specialist knowledge </w:t>
      </w:r>
      <w:sdt>
        <w:sdtPr>
          <w:id w:val="1361015800"/>
          <w:citation/>
        </w:sdtPr>
        <w:sdtContent>
          <w:r>
            <w:fldChar w:fldCharType="begin"/>
          </w:r>
          <w:r>
            <w:instrText xml:space="preserve">CITATION Bla21 \p 26 \l 2057 </w:instrText>
          </w:r>
          <w:r>
            <w:fldChar w:fldCharType="separate"/>
          </w:r>
          <w:r w:rsidRPr="002E64D5">
            <w:rPr>
              <w:noProof/>
            </w:rPr>
            <w:t>(Bryant &amp; Bryant, 2021, p. 26)</w:t>
          </w:r>
          <w:r>
            <w:fldChar w:fldCharType="end"/>
          </w:r>
        </w:sdtContent>
      </w:sdt>
      <w:r>
        <w:t xml:space="preserve">. The reference that the police is a profession was not first made during this recent period, and such remarks have been </w:t>
      </w:r>
      <w:r w:rsidR="00326D46">
        <w:t>made</w:t>
      </w:r>
      <w:r>
        <w:t xml:space="preserve"> before. In 1977, the then Metropolitan Police Commissioner stated that the police share a body of knowledge that </w:t>
      </w:r>
      <w:r w:rsidR="00326D46">
        <w:t>informs</w:t>
      </w:r>
      <w:r>
        <w:t xml:space="preserve"> their practices similar to established professions like law and medicine </w:t>
      </w:r>
      <w:sdt>
        <w:sdtPr>
          <w:id w:val="-502508481"/>
          <w:citation/>
        </w:sdtPr>
        <w:sdtContent>
          <w:r>
            <w:fldChar w:fldCharType="begin"/>
          </w:r>
          <w:r>
            <w:instrText xml:space="preserve">CITATION Wan19 \p 144 \l 2057 </w:instrText>
          </w:r>
          <w:r>
            <w:fldChar w:fldCharType="separate"/>
          </w:r>
          <w:r w:rsidRPr="002E64D5">
            <w:rPr>
              <w:noProof/>
            </w:rPr>
            <w:t>(Wankhade, et al., 2019, p. 144)</w:t>
          </w:r>
          <w:r>
            <w:fldChar w:fldCharType="end"/>
          </w:r>
        </w:sdtContent>
      </w:sdt>
      <w:r>
        <w:t>.</w:t>
      </w:r>
    </w:p>
    <w:p w14:paraId="0083CE23" w14:textId="77777777" w:rsidR="00496528" w:rsidRDefault="00496528">
      <w:r>
        <w:br w:type="page"/>
      </w:r>
    </w:p>
    <w:p w14:paraId="2C329FCB" w14:textId="73042171" w:rsidR="002E64D5" w:rsidRDefault="002E64D5">
      <w:r>
        <w:lastRenderedPageBreak/>
        <w:t xml:space="preserve">In the early 2010s, following May’s remarks on police professionalisation, </w:t>
      </w:r>
      <w:proofErr w:type="gramStart"/>
      <w:r>
        <w:t>May</w:t>
      </w:r>
      <w:proofErr w:type="gramEnd"/>
      <w:r>
        <w:t xml:space="preserve"> commissioned </w:t>
      </w:r>
      <w:r w:rsidR="00326D46">
        <w:t>the</w:t>
      </w:r>
      <w:r>
        <w:t xml:space="preserve"> 2011 Neyround Review. Former chief constable Peter Neyround found in his report that whilst the developments over the two decades preceding his report secured the claim that the police </w:t>
      </w:r>
      <w:r w:rsidR="00326D46">
        <w:t>were</w:t>
      </w:r>
      <w:r>
        <w:t xml:space="preserve"> indeed a profession,</w:t>
      </w:r>
      <w:r w:rsidR="00326D46">
        <w:t xml:space="preserve"> </w:t>
      </w:r>
      <w:r>
        <w:t xml:space="preserve">further development to strengthen the professionalisation </w:t>
      </w:r>
      <w:r w:rsidR="00496528">
        <w:t>was</w:t>
      </w:r>
      <w:r>
        <w:t xml:space="preserve"> needed and recommended a professional body registering its members to conduct evidence-based research to inform practices </w:t>
      </w:r>
      <w:sdt>
        <w:sdtPr>
          <w:id w:val="1534927302"/>
          <w:citation/>
        </w:sdtPr>
        <w:sdtContent>
          <w:r>
            <w:fldChar w:fldCharType="begin"/>
          </w:r>
          <w:r>
            <w:instrText xml:space="preserve">CITATION Wan19 \p 144 \l 2057 </w:instrText>
          </w:r>
          <w:r>
            <w:fldChar w:fldCharType="separate"/>
          </w:r>
          <w:r w:rsidRPr="002E64D5">
            <w:rPr>
              <w:noProof/>
            </w:rPr>
            <w:t>(Wankhade, et al., 2019, p. 144)</w:t>
          </w:r>
          <w:r>
            <w:fldChar w:fldCharType="end"/>
          </w:r>
        </w:sdtContent>
      </w:sdt>
      <w:r>
        <w:t xml:space="preserve">. </w:t>
      </w:r>
      <w:r w:rsidR="00496528">
        <w:t xml:space="preserve">On the back of Neyround’s findings, </w:t>
      </w:r>
      <w:r>
        <w:t xml:space="preserve">the College of Policing was formed </w:t>
      </w:r>
      <w:r w:rsidR="00496528">
        <w:t xml:space="preserve">in 2012 </w:t>
      </w:r>
      <w:r>
        <w:t xml:space="preserve">as a national educational body for police officers in the UK, focusing on knowledge, education, and standards </w:t>
      </w:r>
      <w:sdt>
        <w:sdtPr>
          <w:id w:val="584194930"/>
          <w:citation/>
        </w:sdtPr>
        <w:sdtContent>
          <w:r>
            <w:fldChar w:fldCharType="begin"/>
          </w:r>
          <w:r>
            <w:instrText xml:space="preserve">CITATION Bla21 \p 26 \l 2057 </w:instrText>
          </w:r>
          <w:r>
            <w:fldChar w:fldCharType="separate"/>
          </w:r>
          <w:r w:rsidRPr="002E64D5">
            <w:rPr>
              <w:noProof/>
            </w:rPr>
            <w:t>(Bryant &amp; Bryant, 2021, p. 26)</w:t>
          </w:r>
          <w:r>
            <w:fldChar w:fldCharType="end"/>
          </w:r>
        </w:sdtContent>
      </w:sdt>
      <w:r>
        <w:t>.</w:t>
      </w:r>
    </w:p>
    <w:p w14:paraId="45A1CF96" w14:textId="4B7F075B" w:rsidR="00496528" w:rsidRDefault="002E64D5">
      <w:r>
        <w:t>Considering how this move of professionalisation is affecting the police response to the aforementioned major incidents, the implementation of shared knowledge and informed practices is easily argue</w:t>
      </w:r>
      <w:r w:rsidR="00931707">
        <w:t>d</w:t>
      </w:r>
      <w:r>
        <w:t xml:space="preserve"> to have a positive </w:t>
      </w:r>
      <w:r w:rsidR="00496528">
        <w:t>effect</w:t>
      </w:r>
      <w:r>
        <w:t xml:space="preserve"> on major incident attendance within a policing context.</w:t>
      </w:r>
      <w:r w:rsidR="00931707">
        <w:t xml:space="preserve"> The practice of dissemination of knowledge is not only a part of the professionalisation the UK police forces have </w:t>
      </w:r>
      <w:r w:rsidR="00496528">
        <w:t>undertaken</w:t>
      </w:r>
      <w:r w:rsidR="00931707">
        <w:t xml:space="preserve"> but also, as previously researched, a key part in the management of major incidents </w:t>
      </w:r>
      <w:sdt>
        <w:sdtPr>
          <w:id w:val="1483582245"/>
          <w:citation/>
        </w:sdtPr>
        <w:sdtContent>
          <w:r w:rsidR="00931707">
            <w:fldChar w:fldCharType="begin"/>
          </w:r>
          <w:r w:rsidR="00931707">
            <w:instrText xml:space="preserve"> CITATION Argnd \l 2057 </w:instrText>
          </w:r>
          <w:r w:rsidR="00931707">
            <w:fldChar w:fldCharType="separate"/>
          </w:r>
          <w:r w:rsidR="00931707" w:rsidRPr="00931707">
            <w:rPr>
              <w:noProof/>
            </w:rPr>
            <w:t>(Argyll and Bute Council, n.d.)</w:t>
          </w:r>
          <w:r w:rsidR="00931707">
            <w:fldChar w:fldCharType="end"/>
          </w:r>
        </w:sdtContent>
      </w:sdt>
      <w:r w:rsidR="00931707">
        <w:t xml:space="preserve">. </w:t>
      </w:r>
    </w:p>
    <w:p w14:paraId="33797599" w14:textId="28D1235B" w:rsidR="002E64D5" w:rsidRDefault="00931707">
      <w:r>
        <w:t xml:space="preserve">Furthermore, the timeline of professionalisation of the police coincides with the implementation of JESIP </w:t>
      </w:r>
      <w:sdt>
        <w:sdtPr>
          <w:id w:val="2122342822"/>
          <w:citation/>
        </w:sdtPr>
        <w:sdtContent>
          <w:r>
            <w:fldChar w:fldCharType="begin"/>
          </w:r>
          <w:r>
            <w:instrText xml:space="preserve">CITATION Wan19 \p 16 \l 2057 </w:instrText>
          </w:r>
          <w:r>
            <w:fldChar w:fldCharType="separate"/>
          </w:r>
          <w:r w:rsidRPr="00931707">
            <w:rPr>
              <w:noProof/>
            </w:rPr>
            <w:t>(Wankhade, et al., 2019, p. 16)</w:t>
          </w:r>
          <w:r>
            <w:fldChar w:fldCharType="end"/>
          </w:r>
        </w:sdtContent>
      </w:sdt>
      <w:r>
        <w:t xml:space="preserve">, suggesting the possibility that those leading the recent professionalisation initiative </w:t>
      </w:r>
      <w:r w:rsidR="00496528">
        <w:t>considered</w:t>
      </w:r>
      <w:r>
        <w:t xml:space="preserve"> the response of major and critical incidents. There may be a link to the improvement of major and critical incident police response, with the move to </w:t>
      </w:r>
      <w:r w:rsidR="00496528">
        <w:t xml:space="preserve">the </w:t>
      </w:r>
      <w:r>
        <w:t xml:space="preserve">professionalisation of the police, given the similarity in timeline whilst considering the implementation of key programmes and methods. Additionally, the similarity between the college of police’s NDM, and JESIP’s JDM further support this link. </w:t>
      </w:r>
    </w:p>
    <w:p w14:paraId="4277AADD" w14:textId="77777777" w:rsidR="00496528" w:rsidRDefault="00931707">
      <w:r>
        <w:t xml:space="preserve">This essay has critically evaluated the police’s role </w:t>
      </w:r>
      <w:r w:rsidR="00496528">
        <w:t>in</w:t>
      </w:r>
      <w:r>
        <w:t xml:space="preserve"> major incidents, finding that the police’s broad role is to disseminate information in a standardised format, </w:t>
      </w:r>
      <w:r w:rsidR="00496528">
        <w:t>and</w:t>
      </w:r>
      <w:r>
        <w:t xml:space="preserve"> ultimately, to work cooperatively with other emergency services as outlined by JESIP to improve interoperability. </w:t>
      </w:r>
    </w:p>
    <w:p w14:paraId="1A8A8779" w14:textId="3FCCD7CD" w:rsidR="00931707" w:rsidRDefault="00931707">
      <w:r>
        <w:t xml:space="preserve">Lastly, consideration has been given to the effect of </w:t>
      </w:r>
      <w:r w:rsidR="00496528">
        <w:t xml:space="preserve">the </w:t>
      </w:r>
      <w:r>
        <w:t xml:space="preserve">professionalisation of the police on responding to such incidents identifying similarities between the two </w:t>
      </w:r>
      <w:r w:rsidR="00496528">
        <w:t>concerning</w:t>
      </w:r>
      <w:r>
        <w:t xml:space="preserve"> their key principles. A critical evaluation of </w:t>
      </w:r>
      <w:r w:rsidR="00496528">
        <w:t xml:space="preserve">the </w:t>
      </w:r>
      <w:r>
        <w:t xml:space="preserve">professionalisation of the police </w:t>
      </w:r>
      <w:r w:rsidR="00496528">
        <w:t>concerning</w:t>
      </w:r>
      <w:r>
        <w:t xml:space="preserve"> major and critical incidents would provide further insight into the effect of such professionalisation. </w:t>
      </w:r>
    </w:p>
    <w:p w14:paraId="322D4523" w14:textId="2B1B69BF" w:rsidR="00931707" w:rsidRDefault="00931707"/>
    <w:p w14:paraId="4E921F1F" w14:textId="0D466322" w:rsidR="00931707" w:rsidRDefault="00931707"/>
    <w:p w14:paraId="167B7108" w14:textId="2C56D12D" w:rsidR="00496528" w:rsidRPr="00496528" w:rsidRDefault="00496528">
      <w:pPr>
        <w:rPr>
          <w:b/>
          <w:bCs/>
        </w:rPr>
      </w:pPr>
      <w:r w:rsidRPr="00496528">
        <w:rPr>
          <w:b/>
          <w:bCs/>
        </w:rPr>
        <w:t>Word Count: 182</w:t>
      </w:r>
      <w:r>
        <w:rPr>
          <w:b/>
          <w:bCs/>
        </w:rPr>
        <w:t>3</w:t>
      </w:r>
    </w:p>
    <w:p w14:paraId="19203735" w14:textId="77777777" w:rsidR="00496528" w:rsidRDefault="00496528"/>
    <w:p w14:paraId="0CCCE748" w14:textId="77777777" w:rsidR="00496528" w:rsidRDefault="00496528"/>
    <w:p w14:paraId="1E9EBE62" w14:textId="77777777" w:rsidR="00496528" w:rsidRDefault="00496528"/>
    <w:p w14:paraId="6055C1DA" w14:textId="7E0D13E5" w:rsidR="00931707" w:rsidRPr="00496528" w:rsidRDefault="00496528">
      <w:pPr>
        <w:rPr>
          <w:b/>
          <w:bCs/>
        </w:rPr>
      </w:pPr>
      <w:r w:rsidRPr="00496528">
        <w:rPr>
          <w:b/>
          <w:bCs/>
        </w:rPr>
        <w:t>Total Submission Wordcount: 21</w:t>
      </w:r>
      <w:r>
        <w:rPr>
          <w:b/>
          <w:bCs/>
        </w:rPr>
        <w:t>18</w:t>
      </w:r>
      <w:r w:rsidR="00931707" w:rsidRPr="00496528">
        <w:rPr>
          <w:b/>
          <w:bCs/>
        </w:rPr>
        <w:br w:type="page"/>
      </w:r>
    </w:p>
    <w:sdt>
      <w:sdtPr>
        <w:id w:val="1906339375"/>
        <w:docPartObj>
          <w:docPartGallery w:val="Bibliographies"/>
          <w:docPartUnique/>
        </w:docPartObj>
      </w:sdtPr>
      <w:sdtEndPr>
        <w:rPr>
          <w:rFonts w:asciiTheme="minorHAnsi" w:eastAsiaTheme="minorHAnsi" w:hAnsiTheme="minorHAnsi" w:cstheme="minorBidi"/>
          <w:sz w:val="24"/>
          <w:szCs w:val="22"/>
        </w:rPr>
      </w:sdtEndPr>
      <w:sdtContent>
        <w:p w14:paraId="52FEC921" w14:textId="7B6DA7F0" w:rsidR="00496528" w:rsidRDefault="00496528">
          <w:pPr>
            <w:pStyle w:val="Heading1"/>
          </w:pPr>
          <w:r>
            <w:t>Bibliography</w:t>
          </w:r>
        </w:p>
        <w:sdt>
          <w:sdtPr>
            <w:id w:val="111145805"/>
            <w:bibliography/>
          </w:sdtPr>
          <w:sdtContent>
            <w:p w14:paraId="34D008D3" w14:textId="2F392329" w:rsidR="00496528" w:rsidRDefault="00496528" w:rsidP="00496528">
              <w:pPr>
                <w:pStyle w:val="Bibliography"/>
                <w:rPr>
                  <w:noProof/>
                  <w:szCs w:val="24"/>
                </w:rPr>
              </w:pPr>
              <w:r>
                <w:fldChar w:fldCharType="begin"/>
              </w:r>
              <w:r>
                <w:instrText xml:space="preserve"> BIBLIOGRAPHY </w:instrText>
              </w:r>
              <w:r>
                <w:fldChar w:fldCharType="separate"/>
              </w:r>
              <w:r>
                <w:rPr>
                  <w:noProof/>
                </w:rPr>
                <w:t xml:space="preserve">Argyll and Bute Council (n.d.) </w:t>
              </w:r>
              <w:r>
                <w:rPr>
                  <w:i/>
                  <w:iCs/>
                  <w:noProof/>
                </w:rPr>
                <w:t xml:space="preserve">Roles and </w:t>
              </w:r>
              <w:r w:rsidR="00A858F3">
                <w:rPr>
                  <w:i/>
                  <w:iCs/>
                  <w:noProof/>
                </w:rPr>
                <w:t>responsibilities</w:t>
              </w:r>
              <w:r>
                <w:rPr>
                  <w:i/>
                  <w:iCs/>
                  <w:noProof/>
                </w:rPr>
                <w:t xml:space="preserve"> of emergency responders. </w:t>
              </w:r>
              <w:r>
                <w:rPr>
                  <w:noProof/>
                </w:rPr>
                <w:t xml:space="preserve"> </w:t>
              </w:r>
              <w:r>
                <w:rPr>
                  <w:noProof/>
                </w:rPr>
                <w:br/>
                <w:t xml:space="preserve">Available at: </w:t>
              </w:r>
              <w:r>
                <w:rPr>
                  <w:noProof/>
                  <w:u w:val="single"/>
                </w:rPr>
                <w:t>https://www.argyll-bute.gov.uk/roles-and-responsibilities-emergency-responders</w:t>
              </w:r>
              <w:r>
                <w:rPr>
                  <w:noProof/>
                </w:rPr>
                <w:br/>
              </w:r>
              <w:r w:rsidR="00F2206B">
                <w:rPr>
                  <w:noProof/>
                </w:rPr>
                <w:t>(</w:t>
              </w:r>
              <w:r>
                <w:rPr>
                  <w:noProof/>
                </w:rPr>
                <w:t>Accessed 25 February 2023</w:t>
              </w:r>
              <w:r w:rsidR="00F2206B">
                <w:rPr>
                  <w:noProof/>
                </w:rPr>
                <w:t>).</w:t>
              </w:r>
            </w:p>
            <w:p w14:paraId="2BEF436C" w14:textId="30EB8235" w:rsidR="00496528" w:rsidRDefault="00496528" w:rsidP="00496528">
              <w:pPr>
                <w:pStyle w:val="Bibliography"/>
                <w:rPr>
                  <w:noProof/>
                </w:rPr>
              </w:pPr>
              <w:r>
                <w:rPr>
                  <w:noProof/>
                </w:rPr>
                <w:t xml:space="preserve">Aston Project </w:t>
              </w:r>
              <w:r w:rsidR="00F2206B">
                <w:rPr>
                  <w:noProof/>
                </w:rPr>
                <w:t>(</w:t>
              </w:r>
              <w:r>
                <w:rPr>
                  <w:noProof/>
                </w:rPr>
                <w:t>2018</w:t>
              </w:r>
              <w:r w:rsidR="00F2206B">
                <w:rPr>
                  <w:noProof/>
                </w:rPr>
                <w:t>)</w:t>
              </w:r>
              <w:r>
                <w:rPr>
                  <w:noProof/>
                </w:rPr>
                <w:t xml:space="preserve"> </w:t>
              </w:r>
              <w:r>
                <w:rPr>
                  <w:i/>
                  <w:iCs/>
                  <w:noProof/>
                </w:rPr>
                <w:t xml:space="preserve">Aston Project. </w:t>
              </w:r>
              <w:r>
                <w:rPr>
                  <w:noProof/>
                </w:rPr>
                <w:t xml:space="preserve"> </w:t>
              </w:r>
              <w:r>
                <w:rPr>
                  <w:noProof/>
                </w:rPr>
                <w:br/>
                <w:t xml:space="preserve">Available at: </w:t>
              </w:r>
              <w:r>
                <w:rPr>
                  <w:noProof/>
                  <w:u w:val="single"/>
                </w:rPr>
                <w:t>https://www.astonproject.co.uk/</w:t>
              </w:r>
              <w:r>
                <w:rPr>
                  <w:noProof/>
                </w:rPr>
                <w:br/>
              </w:r>
              <w:r w:rsidR="00F2206B">
                <w:rPr>
                  <w:noProof/>
                </w:rPr>
                <w:t>(</w:t>
              </w:r>
              <w:r>
                <w:rPr>
                  <w:noProof/>
                </w:rPr>
                <w:t>Accessed 20 February 2023</w:t>
              </w:r>
              <w:r w:rsidR="00F2206B">
                <w:rPr>
                  <w:noProof/>
                </w:rPr>
                <w:t>)</w:t>
              </w:r>
              <w:r>
                <w:rPr>
                  <w:noProof/>
                </w:rPr>
                <w:t>.</w:t>
              </w:r>
            </w:p>
            <w:p w14:paraId="14FA45A0" w14:textId="20AC8101" w:rsidR="00496528" w:rsidRDefault="00496528" w:rsidP="00496528">
              <w:pPr>
                <w:pStyle w:val="Bibliography"/>
                <w:rPr>
                  <w:noProof/>
                </w:rPr>
              </w:pPr>
              <w:r>
                <w:rPr>
                  <w:noProof/>
                </w:rPr>
                <w:t xml:space="preserve">Aston Project </w:t>
              </w:r>
              <w:r w:rsidR="00F2206B">
                <w:rPr>
                  <w:noProof/>
                </w:rPr>
                <w:t>(</w:t>
              </w:r>
              <w:r>
                <w:rPr>
                  <w:noProof/>
                </w:rPr>
                <w:t>2018</w:t>
              </w:r>
              <w:r w:rsidR="00F2206B">
                <w:rPr>
                  <w:noProof/>
                </w:rPr>
                <w:t>)</w:t>
              </w:r>
              <w:r>
                <w:rPr>
                  <w:noProof/>
                </w:rPr>
                <w:t xml:space="preserve"> </w:t>
              </w:r>
              <w:r>
                <w:rPr>
                  <w:i/>
                  <w:iCs/>
                  <w:noProof/>
                </w:rPr>
                <w:t xml:space="preserve">How it Works. </w:t>
              </w:r>
              <w:r>
                <w:rPr>
                  <w:noProof/>
                </w:rPr>
                <w:t xml:space="preserve"> </w:t>
              </w:r>
              <w:r>
                <w:rPr>
                  <w:noProof/>
                </w:rPr>
                <w:br/>
                <w:t xml:space="preserve">Available at: </w:t>
              </w:r>
              <w:r>
                <w:rPr>
                  <w:noProof/>
                  <w:u w:val="single"/>
                </w:rPr>
                <w:t>https://www.astonproject.co.uk/how-it-works/</w:t>
              </w:r>
              <w:r>
                <w:rPr>
                  <w:noProof/>
                </w:rPr>
                <w:br/>
              </w:r>
              <w:r w:rsidR="00F2206B">
                <w:rPr>
                  <w:noProof/>
                </w:rPr>
                <w:t>(</w:t>
              </w:r>
              <w:r>
                <w:rPr>
                  <w:noProof/>
                </w:rPr>
                <w:t>Accessed 20 February 2023</w:t>
              </w:r>
              <w:r w:rsidR="00F2206B">
                <w:rPr>
                  <w:noProof/>
                </w:rPr>
                <w:t>)</w:t>
              </w:r>
              <w:r>
                <w:rPr>
                  <w:noProof/>
                </w:rPr>
                <w:t>.</w:t>
              </w:r>
            </w:p>
            <w:p w14:paraId="604DD839" w14:textId="646C4ED0" w:rsidR="00496528" w:rsidRDefault="00496528" w:rsidP="00496528">
              <w:pPr>
                <w:pStyle w:val="Bibliography"/>
                <w:rPr>
                  <w:noProof/>
                </w:rPr>
              </w:pPr>
              <w:r>
                <w:rPr>
                  <w:noProof/>
                </w:rPr>
                <w:t xml:space="preserve">Bryant, R. &amp; Bryant, S. </w:t>
              </w:r>
              <w:r w:rsidR="00F2206B">
                <w:rPr>
                  <w:noProof/>
                </w:rPr>
                <w:t>(</w:t>
              </w:r>
              <w:r>
                <w:rPr>
                  <w:noProof/>
                </w:rPr>
                <w:t>2021</w:t>
              </w:r>
              <w:r w:rsidR="00F2206B">
                <w:rPr>
                  <w:noProof/>
                </w:rPr>
                <w:t>)</w:t>
              </w:r>
              <w:r>
                <w:rPr>
                  <w:noProof/>
                </w:rPr>
                <w:t xml:space="preserve"> </w:t>
              </w:r>
              <w:r>
                <w:rPr>
                  <w:i/>
                  <w:iCs/>
                  <w:noProof/>
                </w:rPr>
                <w:t xml:space="preserve">Blackstone's Handbook for Policing Students. </w:t>
              </w:r>
              <w:r>
                <w:rPr>
                  <w:noProof/>
                </w:rPr>
                <w:t>15th ed. Oxford: Oxford University Press.</w:t>
              </w:r>
            </w:p>
            <w:p w14:paraId="256CFF64" w14:textId="0DEE0F4A" w:rsidR="00496528" w:rsidRDefault="00496528" w:rsidP="00496528">
              <w:pPr>
                <w:pStyle w:val="Bibliography"/>
                <w:rPr>
                  <w:noProof/>
                </w:rPr>
              </w:pPr>
              <w:r>
                <w:rPr>
                  <w:noProof/>
                </w:rPr>
                <w:t xml:space="preserve">College of Policing </w:t>
              </w:r>
              <w:r w:rsidR="00F2206B">
                <w:rPr>
                  <w:noProof/>
                </w:rPr>
                <w:t>(</w:t>
              </w:r>
              <w:r>
                <w:rPr>
                  <w:noProof/>
                </w:rPr>
                <w:t>2013</w:t>
              </w:r>
              <w:r w:rsidR="00F2206B">
                <w:rPr>
                  <w:noProof/>
                </w:rPr>
                <w:t>)</w:t>
              </w:r>
              <w:r>
                <w:rPr>
                  <w:noProof/>
                </w:rPr>
                <w:t xml:space="preserve"> </w:t>
              </w:r>
              <w:r>
                <w:rPr>
                  <w:i/>
                  <w:iCs/>
                  <w:noProof/>
                </w:rPr>
                <w:t xml:space="preserve">Definitions. </w:t>
              </w:r>
              <w:r>
                <w:rPr>
                  <w:noProof/>
                </w:rPr>
                <w:t xml:space="preserve"> </w:t>
              </w:r>
              <w:r>
                <w:rPr>
                  <w:noProof/>
                </w:rPr>
                <w:br/>
                <w:t xml:space="preserve">Available at: </w:t>
              </w:r>
              <w:r>
                <w:rPr>
                  <w:noProof/>
                  <w:u w:val="single"/>
                </w:rPr>
                <w:t>https://www.college.police.uk/app/civil-emergencies/disaster-victim-identification/definitions#critical-incident</w:t>
              </w:r>
              <w:r>
                <w:rPr>
                  <w:noProof/>
                </w:rPr>
                <w:br/>
              </w:r>
              <w:r w:rsidR="00F2206B">
                <w:rPr>
                  <w:noProof/>
                </w:rPr>
                <w:t>(</w:t>
              </w:r>
              <w:r>
                <w:rPr>
                  <w:noProof/>
                </w:rPr>
                <w:t>Accessed 22 February 2023</w:t>
              </w:r>
              <w:r w:rsidR="00F2206B">
                <w:rPr>
                  <w:noProof/>
                </w:rPr>
                <w:t>)</w:t>
              </w:r>
              <w:r>
                <w:rPr>
                  <w:noProof/>
                </w:rPr>
                <w:t>.</w:t>
              </w:r>
            </w:p>
            <w:p w14:paraId="618E5C65" w14:textId="281D032C" w:rsidR="00496528" w:rsidRDefault="00496528" w:rsidP="00496528">
              <w:pPr>
                <w:pStyle w:val="Bibliography"/>
                <w:rPr>
                  <w:noProof/>
                </w:rPr>
              </w:pPr>
              <w:r>
                <w:rPr>
                  <w:noProof/>
                </w:rPr>
                <w:t xml:space="preserve">College of Policing </w:t>
              </w:r>
              <w:r w:rsidR="00F2206B">
                <w:rPr>
                  <w:noProof/>
                </w:rPr>
                <w:t>(</w:t>
              </w:r>
              <w:r>
                <w:rPr>
                  <w:noProof/>
                </w:rPr>
                <w:t>2013</w:t>
              </w:r>
              <w:r w:rsidR="00F2206B">
                <w:rPr>
                  <w:noProof/>
                </w:rPr>
                <w:t>)</w:t>
              </w:r>
              <w:r>
                <w:rPr>
                  <w:noProof/>
                </w:rPr>
                <w:t xml:space="preserve"> </w:t>
              </w:r>
              <w:r>
                <w:rPr>
                  <w:i/>
                  <w:iCs/>
                  <w:noProof/>
                </w:rPr>
                <w:t xml:space="preserve">National decision model. </w:t>
              </w:r>
              <w:r>
                <w:rPr>
                  <w:noProof/>
                </w:rPr>
                <w:t xml:space="preserve"> </w:t>
              </w:r>
              <w:r>
                <w:rPr>
                  <w:noProof/>
                </w:rPr>
                <w:br/>
                <w:t xml:space="preserve">Available at: </w:t>
              </w:r>
              <w:r>
                <w:rPr>
                  <w:noProof/>
                  <w:u w:val="single"/>
                </w:rPr>
                <w:t>https://www.college.police.uk/app/national-decision-model/national-decision-model</w:t>
              </w:r>
              <w:r>
                <w:rPr>
                  <w:noProof/>
                </w:rPr>
                <w:br/>
              </w:r>
              <w:r w:rsidR="00F2206B">
                <w:rPr>
                  <w:noProof/>
                </w:rPr>
                <w:t>(</w:t>
              </w:r>
              <w:r>
                <w:rPr>
                  <w:noProof/>
                </w:rPr>
                <w:t>Accessed 25 February 2023</w:t>
              </w:r>
              <w:r w:rsidR="00F2206B">
                <w:rPr>
                  <w:noProof/>
                </w:rPr>
                <w:t>)</w:t>
              </w:r>
              <w:r>
                <w:rPr>
                  <w:noProof/>
                </w:rPr>
                <w:t>.</w:t>
              </w:r>
            </w:p>
            <w:p w14:paraId="2D7B69F5" w14:textId="73D6C6C3" w:rsidR="00496528" w:rsidRDefault="00496528" w:rsidP="00496528">
              <w:pPr>
                <w:pStyle w:val="Bibliography"/>
                <w:rPr>
                  <w:noProof/>
                </w:rPr>
              </w:pPr>
              <w:r>
                <w:rPr>
                  <w:noProof/>
                </w:rPr>
                <w:t xml:space="preserve">Davies, B., Innes, M. &amp; Dawson, A. </w:t>
              </w:r>
              <w:r w:rsidR="00F2206B">
                <w:rPr>
                  <w:noProof/>
                </w:rPr>
                <w:t>(</w:t>
              </w:r>
              <w:r>
                <w:rPr>
                  <w:noProof/>
                </w:rPr>
                <w:t>2018</w:t>
              </w:r>
              <w:r w:rsidR="00F2206B">
                <w:rPr>
                  <w:noProof/>
                </w:rPr>
                <w:t>)</w:t>
              </w:r>
              <w:r>
                <w:rPr>
                  <w:noProof/>
                </w:rPr>
                <w:t xml:space="preserve"> </w:t>
              </w:r>
              <w:r>
                <w:rPr>
                  <w:i/>
                  <w:iCs/>
                  <w:noProof/>
                </w:rPr>
                <w:t xml:space="preserve">An Evaluation of South Wales Police's use of Automated Facial Recognition, </w:t>
              </w:r>
              <w:r>
                <w:rPr>
                  <w:noProof/>
                </w:rPr>
                <w:t>Cardiff: Crime and Security Research Institute, Cardiff University.</w:t>
              </w:r>
            </w:p>
            <w:p w14:paraId="729C989E" w14:textId="3E06B3F0" w:rsidR="00496528" w:rsidRDefault="00496528" w:rsidP="00496528">
              <w:pPr>
                <w:pStyle w:val="Bibliography"/>
                <w:rPr>
                  <w:noProof/>
                </w:rPr>
              </w:pPr>
              <w:r>
                <w:rPr>
                  <w:noProof/>
                </w:rPr>
                <w:t xml:space="preserve">Hobson, J., Lynch, K., Payne, B. &amp; L, E. </w:t>
              </w:r>
              <w:r w:rsidR="00F2206B">
                <w:rPr>
                  <w:noProof/>
                </w:rPr>
                <w:t>(</w:t>
              </w:r>
              <w:r>
                <w:rPr>
                  <w:noProof/>
                </w:rPr>
                <w:t>2021</w:t>
              </w:r>
              <w:r w:rsidR="00F2206B">
                <w:rPr>
                  <w:noProof/>
                </w:rPr>
                <w:t>)</w:t>
              </w:r>
              <w:r>
                <w:rPr>
                  <w:noProof/>
                </w:rPr>
                <w:t xml:space="preserve"> Are Police-Led Social Crime Prevention Initiatives Effective? A Process and Outcome Evaluation of a UK Youth Intervention. </w:t>
              </w:r>
              <w:r>
                <w:rPr>
                  <w:i/>
                  <w:iCs/>
                  <w:noProof/>
                </w:rPr>
                <w:t xml:space="preserve">International Criminal Justice Review, </w:t>
              </w:r>
              <w:r>
                <w:rPr>
                  <w:noProof/>
                </w:rPr>
                <w:t>31(3), pp. 325-346.</w:t>
              </w:r>
            </w:p>
            <w:p w14:paraId="7C97E393" w14:textId="2232CFCF" w:rsidR="00496528" w:rsidRDefault="00496528" w:rsidP="00496528">
              <w:pPr>
                <w:pStyle w:val="Bibliography"/>
                <w:rPr>
                  <w:noProof/>
                </w:rPr>
              </w:pPr>
              <w:r>
                <w:rPr>
                  <w:noProof/>
                </w:rPr>
                <w:t xml:space="preserve">SAMHSA </w:t>
              </w:r>
              <w:r w:rsidR="00F2206B">
                <w:rPr>
                  <w:noProof/>
                </w:rPr>
                <w:t>(</w:t>
              </w:r>
              <w:r>
                <w:rPr>
                  <w:noProof/>
                </w:rPr>
                <w:t>2022</w:t>
              </w:r>
              <w:r w:rsidR="00F2206B">
                <w:rPr>
                  <w:noProof/>
                </w:rPr>
                <w:t>)</w:t>
              </w:r>
              <w:r>
                <w:rPr>
                  <w:noProof/>
                </w:rPr>
                <w:t xml:space="preserve"> </w:t>
              </w:r>
              <w:r>
                <w:rPr>
                  <w:i/>
                  <w:iCs/>
                  <w:noProof/>
                </w:rPr>
                <w:t xml:space="preserve">Qualitative and Quantitative Assessment Methods. </w:t>
              </w:r>
              <w:r>
                <w:rPr>
                  <w:noProof/>
                </w:rPr>
                <w:t xml:space="preserve"> </w:t>
              </w:r>
              <w:r>
                <w:rPr>
                  <w:noProof/>
                </w:rPr>
                <w:br/>
                <w:t xml:space="preserve">Available at: </w:t>
              </w:r>
              <w:r>
                <w:rPr>
                  <w:noProof/>
                  <w:u w:val="single"/>
                </w:rPr>
                <w:t>https://www.samhsa.gov/workplace/employer-resources/assessment-methods</w:t>
              </w:r>
              <w:r>
                <w:rPr>
                  <w:noProof/>
                </w:rPr>
                <w:br/>
              </w:r>
              <w:r w:rsidR="00F2206B">
                <w:rPr>
                  <w:noProof/>
                </w:rPr>
                <w:t>(</w:t>
              </w:r>
              <w:r>
                <w:rPr>
                  <w:noProof/>
                </w:rPr>
                <w:t>Accessed 20 February 2023</w:t>
              </w:r>
              <w:r w:rsidR="00F2206B">
                <w:rPr>
                  <w:noProof/>
                </w:rPr>
                <w:t>)</w:t>
              </w:r>
              <w:r>
                <w:rPr>
                  <w:noProof/>
                </w:rPr>
                <w:t>.</w:t>
              </w:r>
            </w:p>
            <w:p w14:paraId="6A027A1B" w14:textId="4C247049" w:rsidR="00496528" w:rsidRDefault="00496528" w:rsidP="00496528">
              <w:pPr>
                <w:pStyle w:val="Bibliography"/>
                <w:rPr>
                  <w:noProof/>
                </w:rPr>
              </w:pPr>
              <w:r>
                <w:rPr>
                  <w:noProof/>
                </w:rPr>
                <w:t xml:space="preserve">School of Natural and Social Sciences, University of Gloucestershire </w:t>
              </w:r>
              <w:r w:rsidR="00F2206B">
                <w:rPr>
                  <w:noProof/>
                </w:rPr>
                <w:t>(</w:t>
              </w:r>
              <w:r>
                <w:rPr>
                  <w:noProof/>
                </w:rPr>
                <w:t>2017</w:t>
              </w:r>
              <w:r w:rsidR="00F2206B">
                <w:rPr>
                  <w:noProof/>
                </w:rPr>
                <w:t>)</w:t>
              </w:r>
              <w:r>
                <w:rPr>
                  <w:noProof/>
                </w:rPr>
                <w:t xml:space="preserve"> </w:t>
              </w:r>
              <w:r>
                <w:rPr>
                  <w:i/>
                  <w:iCs/>
                  <w:noProof/>
                </w:rPr>
                <w:t xml:space="preserve">Review of The Aston Project, </w:t>
              </w:r>
              <w:r>
                <w:rPr>
                  <w:noProof/>
                </w:rPr>
                <w:t>Gloucester: University of Gloucestershire.</w:t>
              </w:r>
            </w:p>
            <w:p w14:paraId="7C1359D0" w14:textId="59F217A7" w:rsidR="00496528" w:rsidRDefault="00496528" w:rsidP="00496528">
              <w:pPr>
                <w:pStyle w:val="Bibliography"/>
                <w:rPr>
                  <w:noProof/>
                </w:rPr>
              </w:pPr>
              <w:r>
                <w:rPr>
                  <w:noProof/>
                </w:rPr>
                <w:t xml:space="preserve">South Wales Police </w:t>
              </w:r>
              <w:r w:rsidR="00F2206B">
                <w:rPr>
                  <w:noProof/>
                </w:rPr>
                <w:t>(</w:t>
              </w:r>
              <w:r>
                <w:rPr>
                  <w:noProof/>
                </w:rPr>
                <w:t>2022</w:t>
              </w:r>
              <w:r w:rsidR="00F2206B">
                <w:rPr>
                  <w:noProof/>
                </w:rPr>
                <w:t>)</w:t>
              </w:r>
              <w:r>
                <w:rPr>
                  <w:noProof/>
                </w:rPr>
                <w:t xml:space="preserve"> </w:t>
              </w:r>
              <w:r>
                <w:rPr>
                  <w:i/>
                  <w:iCs/>
                  <w:noProof/>
                </w:rPr>
                <w:t xml:space="preserve">Deployments for Live Facial Recognition. </w:t>
              </w:r>
              <w:r>
                <w:rPr>
                  <w:noProof/>
                </w:rPr>
                <w:t xml:space="preserve"> </w:t>
              </w:r>
              <w:r>
                <w:rPr>
                  <w:noProof/>
                </w:rPr>
                <w:br/>
                <w:t xml:space="preserve">Available at: </w:t>
              </w:r>
              <w:r>
                <w:rPr>
                  <w:noProof/>
                  <w:u w:val="single"/>
                </w:rPr>
                <w:t>https://www.south-wales.police.uk/police-forces/south-wales-police/areas/about-us/about-us/facial-recognition-technology/deployments-for-live-facial-recognition/</w:t>
              </w:r>
              <w:r>
                <w:rPr>
                  <w:noProof/>
                </w:rPr>
                <w:br/>
              </w:r>
              <w:r w:rsidR="00F2206B">
                <w:rPr>
                  <w:noProof/>
                </w:rPr>
                <w:t>(</w:t>
              </w:r>
              <w:r>
                <w:rPr>
                  <w:noProof/>
                </w:rPr>
                <w:t>Accessed 21 February 2023</w:t>
              </w:r>
              <w:r w:rsidR="00F2206B">
                <w:rPr>
                  <w:noProof/>
                </w:rPr>
                <w:t>)</w:t>
              </w:r>
              <w:r>
                <w:rPr>
                  <w:noProof/>
                </w:rPr>
                <w:t>.</w:t>
              </w:r>
            </w:p>
            <w:p w14:paraId="0D697202" w14:textId="58D0267E" w:rsidR="00496528" w:rsidRDefault="00496528" w:rsidP="00496528">
              <w:pPr>
                <w:pStyle w:val="Bibliography"/>
                <w:rPr>
                  <w:noProof/>
                </w:rPr>
              </w:pPr>
              <w:r>
                <w:rPr>
                  <w:noProof/>
                </w:rPr>
                <w:lastRenderedPageBreak/>
                <w:t>South Wales Police</w:t>
              </w:r>
              <w:r w:rsidR="00F2206B">
                <w:rPr>
                  <w:noProof/>
                </w:rPr>
                <w:t xml:space="preserve"> (</w:t>
              </w:r>
              <w:r>
                <w:rPr>
                  <w:noProof/>
                </w:rPr>
                <w:t>2022</w:t>
              </w:r>
              <w:r w:rsidR="00F2206B">
                <w:rPr>
                  <w:noProof/>
                </w:rPr>
                <w:t>)</w:t>
              </w:r>
              <w:r>
                <w:rPr>
                  <w:noProof/>
                </w:rPr>
                <w:t xml:space="preserve"> </w:t>
              </w:r>
              <w:r>
                <w:rPr>
                  <w:i/>
                  <w:iCs/>
                  <w:noProof/>
                </w:rPr>
                <w:t xml:space="preserve">Is there a legitimate role for facial recognition in policing and law enforcement?. </w:t>
              </w:r>
              <w:r>
                <w:rPr>
                  <w:noProof/>
                </w:rPr>
                <w:t xml:space="preserve"> </w:t>
              </w:r>
              <w:r>
                <w:rPr>
                  <w:noProof/>
                </w:rPr>
                <w:br/>
                <w:t xml:space="preserve">Available at: </w:t>
              </w:r>
              <w:r>
                <w:rPr>
                  <w:noProof/>
                  <w:u w:val="single"/>
                </w:rPr>
                <w:t>https://www.south-wales.police.uk/news/south-wales/news/2022/meh-jun/facial-recognition-technology-testimony/</w:t>
              </w:r>
              <w:r>
                <w:rPr>
                  <w:noProof/>
                </w:rPr>
                <w:br/>
              </w:r>
              <w:r w:rsidR="00F2206B">
                <w:rPr>
                  <w:noProof/>
                </w:rPr>
                <w:t>(</w:t>
              </w:r>
              <w:r>
                <w:rPr>
                  <w:noProof/>
                </w:rPr>
                <w:t>Accessed 21 February 2023</w:t>
              </w:r>
              <w:r w:rsidR="00F2206B">
                <w:rPr>
                  <w:noProof/>
                </w:rPr>
                <w:t>)</w:t>
              </w:r>
              <w:r>
                <w:rPr>
                  <w:noProof/>
                </w:rPr>
                <w:t>.</w:t>
              </w:r>
            </w:p>
            <w:p w14:paraId="21476A81" w14:textId="55F1FF29" w:rsidR="00496528" w:rsidRDefault="00496528" w:rsidP="00496528">
              <w:pPr>
                <w:pStyle w:val="Bibliography"/>
                <w:rPr>
                  <w:noProof/>
                </w:rPr>
              </w:pPr>
              <w:r>
                <w:rPr>
                  <w:noProof/>
                </w:rPr>
                <w:t xml:space="preserve">South Wales Police </w:t>
              </w:r>
              <w:r w:rsidR="00F2206B">
                <w:rPr>
                  <w:noProof/>
                </w:rPr>
                <w:t>(</w:t>
              </w:r>
              <w:r>
                <w:rPr>
                  <w:noProof/>
                </w:rPr>
                <w:t>n.d.</w:t>
              </w:r>
              <w:r w:rsidR="00F2206B">
                <w:rPr>
                  <w:noProof/>
                </w:rPr>
                <w:t>)</w:t>
              </w:r>
              <w:r>
                <w:rPr>
                  <w:noProof/>
                </w:rPr>
                <w:t xml:space="preserve"> </w:t>
              </w:r>
              <w:r>
                <w:rPr>
                  <w:i/>
                  <w:iCs/>
                  <w:noProof/>
                </w:rPr>
                <w:t xml:space="preserve">Facial Recognition Technology. </w:t>
              </w:r>
              <w:r>
                <w:rPr>
                  <w:noProof/>
                </w:rPr>
                <w:t xml:space="preserve"> </w:t>
              </w:r>
              <w:r>
                <w:rPr>
                  <w:noProof/>
                </w:rPr>
                <w:br/>
                <w:t xml:space="preserve">Available at: </w:t>
              </w:r>
              <w:r>
                <w:rPr>
                  <w:noProof/>
                  <w:u w:val="single"/>
                </w:rPr>
                <w:t>https://www.south-wales.police.uk/police-forces/south-wales-police/areas/about-us/about-us/facial-recognition-technology/</w:t>
              </w:r>
              <w:r>
                <w:rPr>
                  <w:noProof/>
                </w:rPr>
                <w:br/>
              </w:r>
              <w:r w:rsidR="00F2206B">
                <w:rPr>
                  <w:noProof/>
                </w:rPr>
                <w:t>(</w:t>
              </w:r>
              <w:r>
                <w:rPr>
                  <w:noProof/>
                </w:rPr>
                <w:t>Accessed 21 February 2023</w:t>
              </w:r>
              <w:r w:rsidR="00F2206B">
                <w:rPr>
                  <w:noProof/>
                </w:rPr>
                <w:t>)</w:t>
              </w:r>
              <w:r>
                <w:rPr>
                  <w:noProof/>
                </w:rPr>
                <w:t>.</w:t>
              </w:r>
            </w:p>
            <w:p w14:paraId="4BCD9E0B" w14:textId="0F24140D" w:rsidR="00496528" w:rsidRDefault="00496528" w:rsidP="00496528">
              <w:pPr>
                <w:pStyle w:val="Bibliography"/>
                <w:rPr>
                  <w:noProof/>
                </w:rPr>
              </w:pPr>
              <w:r>
                <w:rPr>
                  <w:noProof/>
                </w:rPr>
                <w:t xml:space="preserve">Stainsby, A. </w:t>
              </w:r>
              <w:r w:rsidR="00F2206B">
                <w:rPr>
                  <w:noProof/>
                </w:rPr>
                <w:t>(</w:t>
              </w:r>
              <w:r>
                <w:rPr>
                  <w:noProof/>
                </w:rPr>
                <w:t>2012</w:t>
              </w:r>
              <w:r w:rsidR="00F2206B">
                <w:rPr>
                  <w:noProof/>
                </w:rPr>
                <w:t>)</w:t>
              </w:r>
              <w:r>
                <w:rPr>
                  <w:noProof/>
                </w:rPr>
                <w:t xml:space="preserve"> Briefing: Emergency planning and the UK Civil Contingencies Act 2004. </w:t>
              </w:r>
              <w:r>
                <w:rPr>
                  <w:i/>
                  <w:iCs/>
                  <w:noProof/>
                </w:rPr>
                <w:t xml:space="preserve">Proceedings of the Institution of Civil Engineers, </w:t>
              </w:r>
              <w:r>
                <w:rPr>
                  <w:noProof/>
                </w:rPr>
                <w:t>165(2), pp. 69-71.</w:t>
              </w:r>
            </w:p>
            <w:p w14:paraId="2A34FB44" w14:textId="09B79ED4" w:rsidR="00496528" w:rsidRDefault="00496528" w:rsidP="00496528">
              <w:pPr>
                <w:pStyle w:val="Bibliography"/>
                <w:rPr>
                  <w:noProof/>
                </w:rPr>
              </w:pPr>
              <w:r>
                <w:rPr>
                  <w:noProof/>
                </w:rPr>
                <w:t xml:space="preserve">Wankhade, P., McCann, L. &amp; P, M. </w:t>
              </w:r>
              <w:r w:rsidR="00F2206B">
                <w:rPr>
                  <w:noProof/>
                </w:rPr>
                <w:t>(</w:t>
              </w:r>
              <w:r>
                <w:rPr>
                  <w:noProof/>
                </w:rPr>
                <w:t>2019</w:t>
              </w:r>
              <w:r w:rsidR="00F2206B">
                <w:rPr>
                  <w:noProof/>
                </w:rPr>
                <w:t>)</w:t>
              </w:r>
              <w:r>
                <w:rPr>
                  <w:noProof/>
                </w:rPr>
                <w:t xml:space="preserve"> </w:t>
              </w:r>
              <w:r>
                <w:rPr>
                  <w:i/>
                  <w:iCs/>
                  <w:noProof/>
                </w:rPr>
                <w:t xml:space="preserve">Critical Perspectives on the Management and Organization of Emergency Services. </w:t>
              </w:r>
              <w:r>
                <w:rPr>
                  <w:noProof/>
                </w:rPr>
                <w:t>1 ed. New York: Routledge.</w:t>
              </w:r>
            </w:p>
            <w:p w14:paraId="0F8DDD96" w14:textId="2231C213" w:rsidR="00240DC7" w:rsidRPr="00240DC7" w:rsidRDefault="00496528" w:rsidP="00A858F3">
              <w:r>
                <w:rPr>
                  <w:b/>
                  <w:bCs/>
                  <w:noProof/>
                </w:rPr>
                <w:fldChar w:fldCharType="end"/>
              </w:r>
            </w:p>
          </w:sdtContent>
        </w:sdt>
      </w:sdtContent>
    </w:sdt>
    <w:sectPr w:rsidR="00240DC7" w:rsidRPr="00240DC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5E0C9" w14:textId="77777777" w:rsidR="00B708CD" w:rsidRDefault="00B708CD" w:rsidP="00967729">
      <w:pPr>
        <w:spacing w:after="0" w:line="240" w:lineRule="auto"/>
      </w:pPr>
      <w:r>
        <w:separator/>
      </w:r>
    </w:p>
  </w:endnote>
  <w:endnote w:type="continuationSeparator" w:id="0">
    <w:p w14:paraId="0260ACBD" w14:textId="77777777" w:rsidR="00B708CD" w:rsidRDefault="00B708CD" w:rsidP="00967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A1F9B" w14:textId="77777777" w:rsidR="00B708CD" w:rsidRDefault="00B708CD" w:rsidP="00967729">
      <w:pPr>
        <w:spacing w:after="0" w:line="240" w:lineRule="auto"/>
      </w:pPr>
      <w:r>
        <w:separator/>
      </w:r>
    </w:p>
  </w:footnote>
  <w:footnote w:type="continuationSeparator" w:id="0">
    <w:p w14:paraId="78D21D70" w14:textId="77777777" w:rsidR="00B708CD" w:rsidRDefault="00B708CD" w:rsidP="009677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D6DAA" w14:textId="7086B2A6" w:rsidR="00967729" w:rsidRDefault="00967729" w:rsidP="00967729">
    <w:pPr>
      <w:pStyle w:val="Header"/>
      <w:jc w:val="right"/>
    </w:pPr>
    <w:r>
      <w:t>203121</w:t>
    </w:r>
    <w:r w:rsidR="00F30A2B">
      <w:t>0</w:t>
    </w:r>
    <w:r>
      <w:t xml:space="preserve"> Niall Carribine 3.21 PCDA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C5CCB"/>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1"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448624123">
    <w:abstractNumId w:val="1"/>
  </w:num>
  <w:num w:numId="2" w16cid:durableId="759105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A67"/>
    <w:rsid w:val="000934D7"/>
    <w:rsid w:val="000D61D2"/>
    <w:rsid w:val="00136D80"/>
    <w:rsid w:val="001C465A"/>
    <w:rsid w:val="0021762B"/>
    <w:rsid w:val="00240DC7"/>
    <w:rsid w:val="002B6B8E"/>
    <w:rsid w:val="002E64D5"/>
    <w:rsid w:val="00311B6A"/>
    <w:rsid w:val="00326D46"/>
    <w:rsid w:val="00350930"/>
    <w:rsid w:val="003B131B"/>
    <w:rsid w:val="00411701"/>
    <w:rsid w:val="00417177"/>
    <w:rsid w:val="00496528"/>
    <w:rsid w:val="004B5474"/>
    <w:rsid w:val="004C029F"/>
    <w:rsid w:val="004D0A67"/>
    <w:rsid w:val="004F650C"/>
    <w:rsid w:val="0053111D"/>
    <w:rsid w:val="0054778D"/>
    <w:rsid w:val="00557038"/>
    <w:rsid w:val="00564D46"/>
    <w:rsid w:val="005D5FC3"/>
    <w:rsid w:val="00684887"/>
    <w:rsid w:val="006A13DB"/>
    <w:rsid w:val="006A690B"/>
    <w:rsid w:val="006B3DBB"/>
    <w:rsid w:val="006B5E99"/>
    <w:rsid w:val="006C3B94"/>
    <w:rsid w:val="006C6F4E"/>
    <w:rsid w:val="008442BE"/>
    <w:rsid w:val="00853409"/>
    <w:rsid w:val="008708AE"/>
    <w:rsid w:val="009111A6"/>
    <w:rsid w:val="00931707"/>
    <w:rsid w:val="009447F7"/>
    <w:rsid w:val="00960529"/>
    <w:rsid w:val="00967729"/>
    <w:rsid w:val="009C51FA"/>
    <w:rsid w:val="00A614A4"/>
    <w:rsid w:val="00A778DA"/>
    <w:rsid w:val="00A801F2"/>
    <w:rsid w:val="00A858F3"/>
    <w:rsid w:val="00B037BF"/>
    <w:rsid w:val="00B15100"/>
    <w:rsid w:val="00B36EB2"/>
    <w:rsid w:val="00B708CD"/>
    <w:rsid w:val="00BC6009"/>
    <w:rsid w:val="00C1271B"/>
    <w:rsid w:val="00C373C5"/>
    <w:rsid w:val="00C454E7"/>
    <w:rsid w:val="00D44F22"/>
    <w:rsid w:val="00D76D3D"/>
    <w:rsid w:val="00DA780D"/>
    <w:rsid w:val="00DD54C0"/>
    <w:rsid w:val="00E0442F"/>
    <w:rsid w:val="00E27ABD"/>
    <w:rsid w:val="00E468B0"/>
    <w:rsid w:val="00E75313"/>
    <w:rsid w:val="00E824B0"/>
    <w:rsid w:val="00F11346"/>
    <w:rsid w:val="00F2206B"/>
    <w:rsid w:val="00F2485B"/>
    <w:rsid w:val="00F30A2B"/>
    <w:rsid w:val="00F57DAD"/>
    <w:rsid w:val="00FD4CE0"/>
    <w:rsid w:val="00FD7F13"/>
    <w:rsid w:val="00FE7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0A1B2"/>
  <w15:chartTrackingRefBased/>
  <w15:docId w15:val="{04CE7366-A706-43C8-AA40-F831E4982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701"/>
    <w:rPr>
      <w:sz w:val="24"/>
    </w:rPr>
  </w:style>
  <w:style w:type="paragraph" w:styleId="Heading1">
    <w:name w:val="heading 1"/>
    <w:basedOn w:val="Normal"/>
    <w:next w:val="Normal"/>
    <w:link w:val="Heading1Char"/>
    <w:uiPriority w:val="9"/>
    <w:qFormat/>
    <w:rsid w:val="00411701"/>
    <w:pPr>
      <w:keepNext/>
      <w:keepLines/>
      <w:spacing w:before="240" w:after="0"/>
      <w:outlineLvl w:val="0"/>
    </w:pPr>
    <w:rPr>
      <w:rFonts w:asciiTheme="majorHAnsi"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729"/>
    <w:pPr>
      <w:ind w:left="720"/>
      <w:contextualSpacing/>
    </w:pPr>
    <w:rPr>
      <w:kern w:val="0"/>
      <w14:ligatures w14:val="none"/>
    </w:rPr>
  </w:style>
  <w:style w:type="paragraph" w:styleId="Header">
    <w:name w:val="header"/>
    <w:basedOn w:val="Normal"/>
    <w:link w:val="HeaderChar"/>
    <w:uiPriority w:val="99"/>
    <w:unhideWhenUsed/>
    <w:rsid w:val="00967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729"/>
  </w:style>
  <w:style w:type="paragraph" w:styleId="Footer">
    <w:name w:val="footer"/>
    <w:basedOn w:val="Normal"/>
    <w:link w:val="FooterChar"/>
    <w:uiPriority w:val="99"/>
    <w:unhideWhenUsed/>
    <w:rsid w:val="00967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729"/>
  </w:style>
  <w:style w:type="paragraph" w:styleId="Subtitle">
    <w:name w:val="Subtitle"/>
    <w:basedOn w:val="Normal"/>
    <w:next w:val="Normal"/>
    <w:link w:val="SubtitleChar"/>
    <w:uiPriority w:val="11"/>
    <w:qFormat/>
    <w:rsid w:val="00F30A2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0A2B"/>
    <w:rPr>
      <w:rFonts w:eastAsiaTheme="minorEastAsia"/>
      <w:color w:val="5A5A5A" w:themeColor="text1" w:themeTint="A5"/>
      <w:spacing w:val="15"/>
    </w:rPr>
  </w:style>
  <w:style w:type="paragraph" w:styleId="Title">
    <w:name w:val="Title"/>
    <w:basedOn w:val="Normal"/>
    <w:next w:val="Normal"/>
    <w:link w:val="TitleChar"/>
    <w:uiPriority w:val="10"/>
    <w:qFormat/>
    <w:rsid w:val="00F30A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0A2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11701"/>
    <w:rPr>
      <w:rFonts w:asciiTheme="majorHAnsi" w:eastAsiaTheme="majorEastAsia" w:hAnsiTheme="majorHAnsi" w:cstheme="majorBidi"/>
      <w:sz w:val="32"/>
      <w:szCs w:val="32"/>
    </w:rPr>
  </w:style>
  <w:style w:type="paragraph" w:styleId="Bibliography">
    <w:name w:val="Bibliography"/>
    <w:basedOn w:val="Normal"/>
    <w:next w:val="Normal"/>
    <w:uiPriority w:val="37"/>
    <w:unhideWhenUsed/>
    <w:rsid w:val="004965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95814">
      <w:bodyDiv w:val="1"/>
      <w:marLeft w:val="0"/>
      <w:marRight w:val="0"/>
      <w:marTop w:val="0"/>
      <w:marBottom w:val="0"/>
      <w:divBdr>
        <w:top w:val="none" w:sz="0" w:space="0" w:color="auto"/>
        <w:left w:val="none" w:sz="0" w:space="0" w:color="auto"/>
        <w:bottom w:val="none" w:sz="0" w:space="0" w:color="auto"/>
        <w:right w:val="none" w:sz="0" w:space="0" w:color="auto"/>
      </w:divBdr>
    </w:div>
    <w:div w:id="43019057">
      <w:bodyDiv w:val="1"/>
      <w:marLeft w:val="0"/>
      <w:marRight w:val="0"/>
      <w:marTop w:val="0"/>
      <w:marBottom w:val="0"/>
      <w:divBdr>
        <w:top w:val="none" w:sz="0" w:space="0" w:color="auto"/>
        <w:left w:val="none" w:sz="0" w:space="0" w:color="auto"/>
        <w:bottom w:val="none" w:sz="0" w:space="0" w:color="auto"/>
        <w:right w:val="none" w:sz="0" w:space="0" w:color="auto"/>
      </w:divBdr>
    </w:div>
    <w:div w:id="52511760">
      <w:bodyDiv w:val="1"/>
      <w:marLeft w:val="0"/>
      <w:marRight w:val="0"/>
      <w:marTop w:val="0"/>
      <w:marBottom w:val="0"/>
      <w:divBdr>
        <w:top w:val="none" w:sz="0" w:space="0" w:color="auto"/>
        <w:left w:val="none" w:sz="0" w:space="0" w:color="auto"/>
        <w:bottom w:val="none" w:sz="0" w:space="0" w:color="auto"/>
        <w:right w:val="none" w:sz="0" w:space="0" w:color="auto"/>
      </w:divBdr>
    </w:div>
    <w:div w:id="70472738">
      <w:bodyDiv w:val="1"/>
      <w:marLeft w:val="0"/>
      <w:marRight w:val="0"/>
      <w:marTop w:val="0"/>
      <w:marBottom w:val="0"/>
      <w:divBdr>
        <w:top w:val="none" w:sz="0" w:space="0" w:color="auto"/>
        <w:left w:val="none" w:sz="0" w:space="0" w:color="auto"/>
        <w:bottom w:val="none" w:sz="0" w:space="0" w:color="auto"/>
        <w:right w:val="none" w:sz="0" w:space="0" w:color="auto"/>
      </w:divBdr>
    </w:div>
    <w:div w:id="179439287">
      <w:bodyDiv w:val="1"/>
      <w:marLeft w:val="0"/>
      <w:marRight w:val="0"/>
      <w:marTop w:val="0"/>
      <w:marBottom w:val="0"/>
      <w:divBdr>
        <w:top w:val="none" w:sz="0" w:space="0" w:color="auto"/>
        <w:left w:val="none" w:sz="0" w:space="0" w:color="auto"/>
        <w:bottom w:val="none" w:sz="0" w:space="0" w:color="auto"/>
        <w:right w:val="none" w:sz="0" w:space="0" w:color="auto"/>
      </w:divBdr>
    </w:div>
    <w:div w:id="204759303">
      <w:bodyDiv w:val="1"/>
      <w:marLeft w:val="0"/>
      <w:marRight w:val="0"/>
      <w:marTop w:val="0"/>
      <w:marBottom w:val="0"/>
      <w:divBdr>
        <w:top w:val="none" w:sz="0" w:space="0" w:color="auto"/>
        <w:left w:val="none" w:sz="0" w:space="0" w:color="auto"/>
        <w:bottom w:val="none" w:sz="0" w:space="0" w:color="auto"/>
        <w:right w:val="none" w:sz="0" w:space="0" w:color="auto"/>
      </w:divBdr>
    </w:div>
    <w:div w:id="219901841">
      <w:bodyDiv w:val="1"/>
      <w:marLeft w:val="0"/>
      <w:marRight w:val="0"/>
      <w:marTop w:val="0"/>
      <w:marBottom w:val="0"/>
      <w:divBdr>
        <w:top w:val="none" w:sz="0" w:space="0" w:color="auto"/>
        <w:left w:val="none" w:sz="0" w:space="0" w:color="auto"/>
        <w:bottom w:val="none" w:sz="0" w:space="0" w:color="auto"/>
        <w:right w:val="none" w:sz="0" w:space="0" w:color="auto"/>
      </w:divBdr>
    </w:div>
    <w:div w:id="229970398">
      <w:bodyDiv w:val="1"/>
      <w:marLeft w:val="0"/>
      <w:marRight w:val="0"/>
      <w:marTop w:val="0"/>
      <w:marBottom w:val="0"/>
      <w:divBdr>
        <w:top w:val="none" w:sz="0" w:space="0" w:color="auto"/>
        <w:left w:val="none" w:sz="0" w:space="0" w:color="auto"/>
        <w:bottom w:val="none" w:sz="0" w:space="0" w:color="auto"/>
        <w:right w:val="none" w:sz="0" w:space="0" w:color="auto"/>
      </w:divBdr>
    </w:div>
    <w:div w:id="293026136">
      <w:bodyDiv w:val="1"/>
      <w:marLeft w:val="0"/>
      <w:marRight w:val="0"/>
      <w:marTop w:val="0"/>
      <w:marBottom w:val="0"/>
      <w:divBdr>
        <w:top w:val="none" w:sz="0" w:space="0" w:color="auto"/>
        <w:left w:val="none" w:sz="0" w:space="0" w:color="auto"/>
        <w:bottom w:val="none" w:sz="0" w:space="0" w:color="auto"/>
        <w:right w:val="none" w:sz="0" w:space="0" w:color="auto"/>
      </w:divBdr>
    </w:div>
    <w:div w:id="343286443">
      <w:bodyDiv w:val="1"/>
      <w:marLeft w:val="0"/>
      <w:marRight w:val="0"/>
      <w:marTop w:val="0"/>
      <w:marBottom w:val="0"/>
      <w:divBdr>
        <w:top w:val="none" w:sz="0" w:space="0" w:color="auto"/>
        <w:left w:val="none" w:sz="0" w:space="0" w:color="auto"/>
        <w:bottom w:val="none" w:sz="0" w:space="0" w:color="auto"/>
        <w:right w:val="none" w:sz="0" w:space="0" w:color="auto"/>
      </w:divBdr>
    </w:div>
    <w:div w:id="458694331">
      <w:bodyDiv w:val="1"/>
      <w:marLeft w:val="0"/>
      <w:marRight w:val="0"/>
      <w:marTop w:val="0"/>
      <w:marBottom w:val="0"/>
      <w:divBdr>
        <w:top w:val="none" w:sz="0" w:space="0" w:color="auto"/>
        <w:left w:val="none" w:sz="0" w:space="0" w:color="auto"/>
        <w:bottom w:val="none" w:sz="0" w:space="0" w:color="auto"/>
        <w:right w:val="none" w:sz="0" w:space="0" w:color="auto"/>
      </w:divBdr>
    </w:div>
    <w:div w:id="521476209">
      <w:bodyDiv w:val="1"/>
      <w:marLeft w:val="0"/>
      <w:marRight w:val="0"/>
      <w:marTop w:val="0"/>
      <w:marBottom w:val="0"/>
      <w:divBdr>
        <w:top w:val="none" w:sz="0" w:space="0" w:color="auto"/>
        <w:left w:val="none" w:sz="0" w:space="0" w:color="auto"/>
        <w:bottom w:val="none" w:sz="0" w:space="0" w:color="auto"/>
        <w:right w:val="none" w:sz="0" w:space="0" w:color="auto"/>
      </w:divBdr>
    </w:div>
    <w:div w:id="550578910">
      <w:bodyDiv w:val="1"/>
      <w:marLeft w:val="0"/>
      <w:marRight w:val="0"/>
      <w:marTop w:val="0"/>
      <w:marBottom w:val="0"/>
      <w:divBdr>
        <w:top w:val="none" w:sz="0" w:space="0" w:color="auto"/>
        <w:left w:val="none" w:sz="0" w:space="0" w:color="auto"/>
        <w:bottom w:val="none" w:sz="0" w:space="0" w:color="auto"/>
        <w:right w:val="none" w:sz="0" w:space="0" w:color="auto"/>
      </w:divBdr>
    </w:div>
    <w:div w:id="584340041">
      <w:bodyDiv w:val="1"/>
      <w:marLeft w:val="0"/>
      <w:marRight w:val="0"/>
      <w:marTop w:val="0"/>
      <w:marBottom w:val="0"/>
      <w:divBdr>
        <w:top w:val="none" w:sz="0" w:space="0" w:color="auto"/>
        <w:left w:val="none" w:sz="0" w:space="0" w:color="auto"/>
        <w:bottom w:val="none" w:sz="0" w:space="0" w:color="auto"/>
        <w:right w:val="none" w:sz="0" w:space="0" w:color="auto"/>
      </w:divBdr>
    </w:div>
    <w:div w:id="640380884">
      <w:bodyDiv w:val="1"/>
      <w:marLeft w:val="0"/>
      <w:marRight w:val="0"/>
      <w:marTop w:val="0"/>
      <w:marBottom w:val="0"/>
      <w:divBdr>
        <w:top w:val="none" w:sz="0" w:space="0" w:color="auto"/>
        <w:left w:val="none" w:sz="0" w:space="0" w:color="auto"/>
        <w:bottom w:val="none" w:sz="0" w:space="0" w:color="auto"/>
        <w:right w:val="none" w:sz="0" w:space="0" w:color="auto"/>
      </w:divBdr>
    </w:div>
    <w:div w:id="685133635">
      <w:bodyDiv w:val="1"/>
      <w:marLeft w:val="0"/>
      <w:marRight w:val="0"/>
      <w:marTop w:val="0"/>
      <w:marBottom w:val="0"/>
      <w:divBdr>
        <w:top w:val="none" w:sz="0" w:space="0" w:color="auto"/>
        <w:left w:val="none" w:sz="0" w:space="0" w:color="auto"/>
        <w:bottom w:val="none" w:sz="0" w:space="0" w:color="auto"/>
        <w:right w:val="none" w:sz="0" w:space="0" w:color="auto"/>
      </w:divBdr>
    </w:div>
    <w:div w:id="777481887">
      <w:bodyDiv w:val="1"/>
      <w:marLeft w:val="0"/>
      <w:marRight w:val="0"/>
      <w:marTop w:val="0"/>
      <w:marBottom w:val="0"/>
      <w:divBdr>
        <w:top w:val="none" w:sz="0" w:space="0" w:color="auto"/>
        <w:left w:val="none" w:sz="0" w:space="0" w:color="auto"/>
        <w:bottom w:val="none" w:sz="0" w:space="0" w:color="auto"/>
        <w:right w:val="none" w:sz="0" w:space="0" w:color="auto"/>
      </w:divBdr>
    </w:div>
    <w:div w:id="783185461">
      <w:bodyDiv w:val="1"/>
      <w:marLeft w:val="0"/>
      <w:marRight w:val="0"/>
      <w:marTop w:val="0"/>
      <w:marBottom w:val="0"/>
      <w:divBdr>
        <w:top w:val="none" w:sz="0" w:space="0" w:color="auto"/>
        <w:left w:val="none" w:sz="0" w:space="0" w:color="auto"/>
        <w:bottom w:val="none" w:sz="0" w:space="0" w:color="auto"/>
        <w:right w:val="none" w:sz="0" w:space="0" w:color="auto"/>
      </w:divBdr>
    </w:div>
    <w:div w:id="877593831">
      <w:bodyDiv w:val="1"/>
      <w:marLeft w:val="0"/>
      <w:marRight w:val="0"/>
      <w:marTop w:val="0"/>
      <w:marBottom w:val="0"/>
      <w:divBdr>
        <w:top w:val="none" w:sz="0" w:space="0" w:color="auto"/>
        <w:left w:val="none" w:sz="0" w:space="0" w:color="auto"/>
        <w:bottom w:val="none" w:sz="0" w:space="0" w:color="auto"/>
        <w:right w:val="none" w:sz="0" w:space="0" w:color="auto"/>
      </w:divBdr>
    </w:div>
    <w:div w:id="884953051">
      <w:bodyDiv w:val="1"/>
      <w:marLeft w:val="0"/>
      <w:marRight w:val="0"/>
      <w:marTop w:val="0"/>
      <w:marBottom w:val="0"/>
      <w:divBdr>
        <w:top w:val="none" w:sz="0" w:space="0" w:color="auto"/>
        <w:left w:val="none" w:sz="0" w:space="0" w:color="auto"/>
        <w:bottom w:val="none" w:sz="0" w:space="0" w:color="auto"/>
        <w:right w:val="none" w:sz="0" w:space="0" w:color="auto"/>
      </w:divBdr>
    </w:div>
    <w:div w:id="950281315">
      <w:bodyDiv w:val="1"/>
      <w:marLeft w:val="0"/>
      <w:marRight w:val="0"/>
      <w:marTop w:val="0"/>
      <w:marBottom w:val="0"/>
      <w:divBdr>
        <w:top w:val="none" w:sz="0" w:space="0" w:color="auto"/>
        <w:left w:val="none" w:sz="0" w:space="0" w:color="auto"/>
        <w:bottom w:val="none" w:sz="0" w:space="0" w:color="auto"/>
        <w:right w:val="none" w:sz="0" w:space="0" w:color="auto"/>
      </w:divBdr>
    </w:div>
    <w:div w:id="957876341">
      <w:bodyDiv w:val="1"/>
      <w:marLeft w:val="0"/>
      <w:marRight w:val="0"/>
      <w:marTop w:val="0"/>
      <w:marBottom w:val="0"/>
      <w:divBdr>
        <w:top w:val="none" w:sz="0" w:space="0" w:color="auto"/>
        <w:left w:val="none" w:sz="0" w:space="0" w:color="auto"/>
        <w:bottom w:val="none" w:sz="0" w:space="0" w:color="auto"/>
        <w:right w:val="none" w:sz="0" w:space="0" w:color="auto"/>
      </w:divBdr>
    </w:div>
    <w:div w:id="991252903">
      <w:bodyDiv w:val="1"/>
      <w:marLeft w:val="0"/>
      <w:marRight w:val="0"/>
      <w:marTop w:val="0"/>
      <w:marBottom w:val="0"/>
      <w:divBdr>
        <w:top w:val="none" w:sz="0" w:space="0" w:color="auto"/>
        <w:left w:val="none" w:sz="0" w:space="0" w:color="auto"/>
        <w:bottom w:val="none" w:sz="0" w:space="0" w:color="auto"/>
        <w:right w:val="none" w:sz="0" w:space="0" w:color="auto"/>
      </w:divBdr>
    </w:div>
    <w:div w:id="996957121">
      <w:bodyDiv w:val="1"/>
      <w:marLeft w:val="0"/>
      <w:marRight w:val="0"/>
      <w:marTop w:val="0"/>
      <w:marBottom w:val="0"/>
      <w:divBdr>
        <w:top w:val="none" w:sz="0" w:space="0" w:color="auto"/>
        <w:left w:val="none" w:sz="0" w:space="0" w:color="auto"/>
        <w:bottom w:val="none" w:sz="0" w:space="0" w:color="auto"/>
        <w:right w:val="none" w:sz="0" w:space="0" w:color="auto"/>
      </w:divBdr>
    </w:div>
    <w:div w:id="1012688111">
      <w:bodyDiv w:val="1"/>
      <w:marLeft w:val="0"/>
      <w:marRight w:val="0"/>
      <w:marTop w:val="0"/>
      <w:marBottom w:val="0"/>
      <w:divBdr>
        <w:top w:val="none" w:sz="0" w:space="0" w:color="auto"/>
        <w:left w:val="none" w:sz="0" w:space="0" w:color="auto"/>
        <w:bottom w:val="none" w:sz="0" w:space="0" w:color="auto"/>
        <w:right w:val="none" w:sz="0" w:space="0" w:color="auto"/>
      </w:divBdr>
    </w:div>
    <w:div w:id="1073623623">
      <w:bodyDiv w:val="1"/>
      <w:marLeft w:val="0"/>
      <w:marRight w:val="0"/>
      <w:marTop w:val="0"/>
      <w:marBottom w:val="0"/>
      <w:divBdr>
        <w:top w:val="none" w:sz="0" w:space="0" w:color="auto"/>
        <w:left w:val="none" w:sz="0" w:space="0" w:color="auto"/>
        <w:bottom w:val="none" w:sz="0" w:space="0" w:color="auto"/>
        <w:right w:val="none" w:sz="0" w:space="0" w:color="auto"/>
      </w:divBdr>
    </w:div>
    <w:div w:id="1113596616">
      <w:bodyDiv w:val="1"/>
      <w:marLeft w:val="0"/>
      <w:marRight w:val="0"/>
      <w:marTop w:val="0"/>
      <w:marBottom w:val="0"/>
      <w:divBdr>
        <w:top w:val="none" w:sz="0" w:space="0" w:color="auto"/>
        <w:left w:val="none" w:sz="0" w:space="0" w:color="auto"/>
        <w:bottom w:val="none" w:sz="0" w:space="0" w:color="auto"/>
        <w:right w:val="none" w:sz="0" w:space="0" w:color="auto"/>
      </w:divBdr>
    </w:div>
    <w:div w:id="1125805695">
      <w:bodyDiv w:val="1"/>
      <w:marLeft w:val="0"/>
      <w:marRight w:val="0"/>
      <w:marTop w:val="0"/>
      <w:marBottom w:val="0"/>
      <w:divBdr>
        <w:top w:val="none" w:sz="0" w:space="0" w:color="auto"/>
        <w:left w:val="none" w:sz="0" w:space="0" w:color="auto"/>
        <w:bottom w:val="none" w:sz="0" w:space="0" w:color="auto"/>
        <w:right w:val="none" w:sz="0" w:space="0" w:color="auto"/>
      </w:divBdr>
    </w:div>
    <w:div w:id="1152716413">
      <w:bodyDiv w:val="1"/>
      <w:marLeft w:val="0"/>
      <w:marRight w:val="0"/>
      <w:marTop w:val="0"/>
      <w:marBottom w:val="0"/>
      <w:divBdr>
        <w:top w:val="none" w:sz="0" w:space="0" w:color="auto"/>
        <w:left w:val="none" w:sz="0" w:space="0" w:color="auto"/>
        <w:bottom w:val="none" w:sz="0" w:space="0" w:color="auto"/>
        <w:right w:val="none" w:sz="0" w:space="0" w:color="auto"/>
      </w:divBdr>
    </w:div>
    <w:div w:id="1215190258">
      <w:bodyDiv w:val="1"/>
      <w:marLeft w:val="0"/>
      <w:marRight w:val="0"/>
      <w:marTop w:val="0"/>
      <w:marBottom w:val="0"/>
      <w:divBdr>
        <w:top w:val="none" w:sz="0" w:space="0" w:color="auto"/>
        <w:left w:val="none" w:sz="0" w:space="0" w:color="auto"/>
        <w:bottom w:val="none" w:sz="0" w:space="0" w:color="auto"/>
        <w:right w:val="none" w:sz="0" w:space="0" w:color="auto"/>
      </w:divBdr>
    </w:div>
    <w:div w:id="1270702999">
      <w:bodyDiv w:val="1"/>
      <w:marLeft w:val="0"/>
      <w:marRight w:val="0"/>
      <w:marTop w:val="0"/>
      <w:marBottom w:val="0"/>
      <w:divBdr>
        <w:top w:val="none" w:sz="0" w:space="0" w:color="auto"/>
        <w:left w:val="none" w:sz="0" w:space="0" w:color="auto"/>
        <w:bottom w:val="none" w:sz="0" w:space="0" w:color="auto"/>
        <w:right w:val="none" w:sz="0" w:space="0" w:color="auto"/>
      </w:divBdr>
    </w:div>
    <w:div w:id="1365867681">
      <w:bodyDiv w:val="1"/>
      <w:marLeft w:val="0"/>
      <w:marRight w:val="0"/>
      <w:marTop w:val="0"/>
      <w:marBottom w:val="0"/>
      <w:divBdr>
        <w:top w:val="none" w:sz="0" w:space="0" w:color="auto"/>
        <w:left w:val="none" w:sz="0" w:space="0" w:color="auto"/>
        <w:bottom w:val="none" w:sz="0" w:space="0" w:color="auto"/>
        <w:right w:val="none" w:sz="0" w:space="0" w:color="auto"/>
      </w:divBdr>
    </w:div>
    <w:div w:id="1393850332">
      <w:bodyDiv w:val="1"/>
      <w:marLeft w:val="0"/>
      <w:marRight w:val="0"/>
      <w:marTop w:val="0"/>
      <w:marBottom w:val="0"/>
      <w:divBdr>
        <w:top w:val="none" w:sz="0" w:space="0" w:color="auto"/>
        <w:left w:val="none" w:sz="0" w:space="0" w:color="auto"/>
        <w:bottom w:val="none" w:sz="0" w:space="0" w:color="auto"/>
        <w:right w:val="none" w:sz="0" w:space="0" w:color="auto"/>
      </w:divBdr>
    </w:div>
    <w:div w:id="1394615988">
      <w:bodyDiv w:val="1"/>
      <w:marLeft w:val="0"/>
      <w:marRight w:val="0"/>
      <w:marTop w:val="0"/>
      <w:marBottom w:val="0"/>
      <w:divBdr>
        <w:top w:val="none" w:sz="0" w:space="0" w:color="auto"/>
        <w:left w:val="none" w:sz="0" w:space="0" w:color="auto"/>
        <w:bottom w:val="none" w:sz="0" w:space="0" w:color="auto"/>
        <w:right w:val="none" w:sz="0" w:space="0" w:color="auto"/>
      </w:divBdr>
    </w:div>
    <w:div w:id="1399086609">
      <w:bodyDiv w:val="1"/>
      <w:marLeft w:val="0"/>
      <w:marRight w:val="0"/>
      <w:marTop w:val="0"/>
      <w:marBottom w:val="0"/>
      <w:divBdr>
        <w:top w:val="none" w:sz="0" w:space="0" w:color="auto"/>
        <w:left w:val="none" w:sz="0" w:space="0" w:color="auto"/>
        <w:bottom w:val="none" w:sz="0" w:space="0" w:color="auto"/>
        <w:right w:val="none" w:sz="0" w:space="0" w:color="auto"/>
      </w:divBdr>
    </w:div>
    <w:div w:id="1430857513">
      <w:bodyDiv w:val="1"/>
      <w:marLeft w:val="0"/>
      <w:marRight w:val="0"/>
      <w:marTop w:val="0"/>
      <w:marBottom w:val="0"/>
      <w:divBdr>
        <w:top w:val="none" w:sz="0" w:space="0" w:color="auto"/>
        <w:left w:val="none" w:sz="0" w:space="0" w:color="auto"/>
        <w:bottom w:val="none" w:sz="0" w:space="0" w:color="auto"/>
        <w:right w:val="none" w:sz="0" w:space="0" w:color="auto"/>
      </w:divBdr>
    </w:div>
    <w:div w:id="1441609855">
      <w:bodyDiv w:val="1"/>
      <w:marLeft w:val="0"/>
      <w:marRight w:val="0"/>
      <w:marTop w:val="0"/>
      <w:marBottom w:val="0"/>
      <w:divBdr>
        <w:top w:val="none" w:sz="0" w:space="0" w:color="auto"/>
        <w:left w:val="none" w:sz="0" w:space="0" w:color="auto"/>
        <w:bottom w:val="none" w:sz="0" w:space="0" w:color="auto"/>
        <w:right w:val="none" w:sz="0" w:space="0" w:color="auto"/>
      </w:divBdr>
    </w:div>
    <w:div w:id="1454985650">
      <w:bodyDiv w:val="1"/>
      <w:marLeft w:val="0"/>
      <w:marRight w:val="0"/>
      <w:marTop w:val="0"/>
      <w:marBottom w:val="0"/>
      <w:divBdr>
        <w:top w:val="none" w:sz="0" w:space="0" w:color="auto"/>
        <w:left w:val="none" w:sz="0" w:space="0" w:color="auto"/>
        <w:bottom w:val="none" w:sz="0" w:space="0" w:color="auto"/>
        <w:right w:val="none" w:sz="0" w:space="0" w:color="auto"/>
      </w:divBdr>
    </w:div>
    <w:div w:id="1496148332">
      <w:bodyDiv w:val="1"/>
      <w:marLeft w:val="0"/>
      <w:marRight w:val="0"/>
      <w:marTop w:val="0"/>
      <w:marBottom w:val="0"/>
      <w:divBdr>
        <w:top w:val="none" w:sz="0" w:space="0" w:color="auto"/>
        <w:left w:val="none" w:sz="0" w:space="0" w:color="auto"/>
        <w:bottom w:val="none" w:sz="0" w:space="0" w:color="auto"/>
        <w:right w:val="none" w:sz="0" w:space="0" w:color="auto"/>
      </w:divBdr>
    </w:div>
    <w:div w:id="1500853747">
      <w:bodyDiv w:val="1"/>
      <w:marLeft w:val="0"/>
      <w:marRight w:val="0"/>
      <w:marTop w:val="0"/>
      <w:marBottom w:val="0"/>
      <w:divBdr>
        <w:top w:val="none" w:sz="0" w:space="0" w:color="auto"/>
        <w:left w:val="none" w:sz="0" w:space="0" w:color="auto"/>
        <w:bottom w:val="none" w:sz="0" w:space="0" w:color="auto"/>
        <w:right w:val="none" w:sz="0" w:space="0" w:color="auto"/>
      </w:divBdr>
    </w:div>
    <w:div w:id="1506359929">
      <w:bodyDiv w:val="1"/>
      <w:marLeft w:val="0"/>
      <w:marRight w:val="0"/>
      <w:marTop w:val="0"/>
      <w:marBottom w:val="0"/>
      <w:divBdr>
        <w:top w:val="none" w:sz="0" w:space="0" w:color="auto"/>
        <w:left w:val="none" w:sz="0" w:space="0" w:color="auto"/>
        <w:bottom w:val="none" w:sz="0" w:space="0" w:color="auto"/>
        <w:right w:val="none" w:sz="0" w:space="0" w:color="auto"/>
      </w:divBdr>
    </w:div>
    <w:div w:id="1512375753">
      <w:bodyDiv w:val="1"/>
      <w:marLeft w:val="0"/>
      <w:marRight w:val="0"/>
      <w:marTop w:val="0"/>
      <w:marBottom w:val="0"/>
      <w:divBdr>
        <w:top w:val="none" w:sz="0" w:space="0" w:color="auto"/>
        <w:left w:val="none" w:sz="0" w:space="0" w:color="auto"/>
        <w:bottom w:val="none" w:sz="0" w:space="0" w:color="auto"/>
        <w:right w:val="none" w:sz="0" w:space="0" w:color="auto"/>
      </w:divBdr>
    </w:div>
    <w:div w:id="1521580346">
      <w:bodyDiv w:val="1"/>
      <w:marLeft w:val="0"/>
      <w:marRight w:val="0"/>
      <w:marTop w:val="0"/>
      <w:marBottom w:val="0"/>
      <w:divBdr>
        <w:top w:val="none" w:sz="0" w:space="0" w:color="auto"/>
        <w:left w:val="none" w:sz="0" w:space="0" w:color="auto"/>
        <w:bottom w:val="none" w:sz="0" w:space="0" w:color="auto"/>
        <w:right w:val="none" w:sz="0" w:space="0" w:color="auto"/>
      </w:divBdr>
    </w:div>
    <w:div w:id="1530948811">
      <w:bodyDiv w:val="1"/>
      <w:marLeft w:val="0"/>
      <w:marRight w:val="0"/>
      <w:marTop w:val="0"/>
      <w:marBottom w:val="0"/>
      <w:divBdr>
        <w:top w:val="none" w:sz="0" w:space="0" w:color="auto"/>
        <w:left w:val="none" w:sz="0" w:space="0" w:color="auto"/>
        <w:bottom w:val="none" w:sz="0" w:space="0" w:color="auto"/>
        <w:right w:val="none" w:sz="0" w:space="0" w:color="auto"/>
      </w:divBdr>
    </w:div>
    <w:div w:id="1550531554">
      <w:bodyDiv w:val="1"/>
      <w:marLeft w:val="0"/>
      <w:marRight w:val="0"/>
      <w:marTop w:val="0"/>
      <w:marBottom w:val="0"/>
      <w:divBdr>
        <w:top w:val="none" w:sz="0" w:space="0" w:color="auto"/>
        <w:left w:val="none" w:sz="0" w:space="0" w:color="auto"/>
        <w:bottom w:val="none" w:sz="0" w:space="0" w:color="auto"/>
        <w:right w:val="none" w:sz="0" w:space="0" w:color="auto"/>
      </w:divBdr>
    </w:div>
    <w:div w:id="1560750920">
      <w:bodyDiv w:val="1"/>
      <w:marLeft w:val="0"/>
      <w:marRight w:val="0"/>
      <w:marTop w:val="0"/>
      <w:marBottom w:val="0"/>
      <w:divBdr>
        <w:top w:val="none" w:sz="0" w:space="0" w:color="auto"/>
        <w:left w:val="none" w:sz="0" w:space="0" w:color="auto"/>
        <w:bottom w:val="none" w:sz="0" w:space="0" w:color="auto"/>
        <w:right w:val="none" w:sz="0" w:space="0" w:color="auto"/>
      </w:divBdr>
    </w:div>
    <w:div w:id="1665013268">
      <w:bodyDiv w:val="1"/>
      <w:marLeft w:val="0"/>
      <w:marRight w:val="0"/>
      <w:marTop w:val="0"/>
      <w:marBottom w:val="0"/>
      <w:divBdr>
        <w:top w:val="none" w:sz="0" w:space="0" w:color="auto"/>
        <w:left w:val="none" w:sz="0" w:space="0" w:color="auto"/>
        <w:bottom w:val="none" w:sz="0" w:space="0" w:color="auto"/>
        <w:right w:val="none" w:sz="0" w:space="0" w:color="auto"/>
      </w:divBdr>
    </w:div>
    <w:div w:id="1702634785">
      <w:bodyDiv w:val="1"/>
      <w:marLeft w:val="0"/>
      <w:marRight w:val="0"/>
      <w:marTop w:val="0"/>
      <w:marBottom w:val="0"/>
      <w:divBdr>
        <w:top w:val="none" w:sz="0" w:space="0" w:color="auto"/>
        <w:left w:val="none" w:sz="0" w:space="0" w:color="auto"/>
        <w:bottom w:val="none" w:sz="0" w:space="0" w:color="auto"/>
        <w:right w:val="none" w:sz="0" w:space="0" w:color="auto"/>
      </w:divBdr>
    </w:div>
    <w:div w:id="1714891208">
      <w:bodyDiv w:val="1"/>
      <w:marLeft w:val="0"/>
      <w:marRight w:val="0"/>
      <w:marTop w:val="0"/>
      <w:marBottom w:val="0"/>
      <w:divBdr>
        <w:top w:val="none" w:sz="0" w:space="0" w:color="auto"/>
        <w:left w:val="none" w:sz="0" w:space="0" w:color="auto"/>
        <w:bottom w:val="none" w:sz="0" w:space="0" w:color="auto"/>
        <w:right w:val="none" w:sz="0" w:space="0" w:color="auto"/>
      </w:divBdr>
    </w:div>
    <w:div w:id="1757747244">
      <w:bodyDiv w:val="1"/>
      <w:marLeft w:val="0"/>
      <w:marRight w:val="0"/>
      <w:marTop w:val="0"/>
      <w:marBottom w:val="0"/>
      <w:divBdr>
        <w:top w:val="none" w:sz="0" w:space="0" w:color="auto"/>
        <w:left w:val="none" w:sz="0" w:space="0" w:color="auto"/>
        <w:bottom w:val="none" w:sz="0" w:space="0" w:color="auto"/>
        <w:right w:val="none" w:sz="0" w:space="0" w:color="auto"/>
      </w:divBdr>
    </w:div>
    <w:div w:id="1768573898">
      <w:bodyDiv w:val="1"/>
      <w:marLeft w:val="0"/>
      <w:marRight w:val="0"/>
      <w:marTop w:val="0"/>
      <w:marBottom w:val="0"/>
      <w:divBdr>
        <w:top w:val="none" w:sz="0" w:space="0" w:color="auto"/>
        <w:left w:val="none" w:sz="0" w:space="0" w:color="auto"/>
        <w:bottom w:val="none" w:sz="0" w:space="0" w:color="auto"/>
        <w:right w:val="none" w:sz="0" w:space="0" w:color="auto"/>
      </w:divBdr>
    </w:div>
    <w:div w:id="1795244613">
      <w:bodyDiv w:val="1"/>
      <w:marLeft w:val="0"/>
      <w:marRight w:val="0"/>
      <w:marTop w:val="0"/>
      <w:marBottom w:val="0"/>
      <w:divBdr>
        <w:top w:val="none" w:sz="0" w:space="0" w:color="auto"/>
        <w:left w:val="none" w:sz="0" w:space="0" w:color="auto"/>
        <w:bottom w:val="none" w:sz="0" w:space="0" w:color="auto"/>
        <w:right w:val="none" w:sz="0" w:space="0" w:color="auto"/>
      </w:divBdr>
    </w:div>
    <w:div w:id="1799951433">
      <w:bodyDiv w:val="1"/>
      <w:marLeft w:val="0"/>
      <w:marRight w:val="0"/>
      <w:marTop w:val="0"/>
      <w:marBottom w:val="0"/>
      <w:divBdr>
        <w:top w:val="none" w:sz="0" w:space="0" w:color="auto"/>
        <w:left w:val="none" w:sz="0" w:space="0" w:color="auto"/>
        <w:bottom w:val="none" w:sz="0" w:space="0" w:color="auto"/>
        <w:right w:val="none" w:sz="0" w:space="0" w:color="auto"/>
      </w:divBdr>
    </w:div>
    <w:div w:id="1820149849">
      <w:bodyDiv w:val="1"/>
      <w:marLeft w:val="0"/>
      <w:marRight w:val="0"/>
      <w:marTop w:val="0"/>
      <w:marBottom w:val="0"/>
      <w:divBdr>
        <w:top w:val="none" w:sz="0" w:space="0" w:color="auto"/>
        <w:left w:val="none" w:sz="0" w:space="0" w:color="auto"/>
        <w:bottom w:val="none" w:sz="0" w:space="0" w:color="auto"/>
        <w:right w:val="none" w:sz="0" w:space="0" w:color="auto"/>
      </w:divBdr>
    </w:div>
    <w:div w:id="1870802133">
      <w:bodyDiv w:val="1"/>
      <w:marLeft w:val="0"/>
      <w:marRight w:val="0"/>
      <w:marTop w:val="0"/>
      <w:marBottom w:val="0"/>
      <w:divBdr>
        <w:top w:val="none" w:sz="0" w:space="0" w:color="auto"/>
        <w:left w:val="none" w:sz="0" w:space="0" w:color="auto"/>
        <w:bottom w:val="none" w:sz="0" w:space="0" w:color="auto"/>
        <w:right w:val="none" w:sz="0" w:space="0" w:color="auto"/>
      </w:divBdr>
    </w:div>
    <w:div w:id="1896551165">
      <w:bodyDiv w:val="1"/>
      <w:marLeft w:val="0"/>
      <w:marRight w:val="0"/>
      <w:marTop w:val="0"/>
      <w:marBottom w:val="0"/>
      <w:divBdr>
        <w:top w:val="none" w:sz="0" w:space="0" w:color="auto"/>
        <w:left w:val="none" w:sz="0" w:space="0" w:color="auto"/>
        <w:bottom w:val="none" w:sz="0" w:space="0" w:color="auto"/>
        <w:right w:val="none" w:sz="0" w:space="0" w:color="auto"/>
      </w:divBdr>
    </w:div>
    <w:div w:id="1908345422">
      <w:bodyDiv w:val="1"/>
      <w:marLeft w:val="0"/>
      <w:marRight w:val="0"/>
      <w:marTop w:val="0"/>
      <w:marBottom w:val="0"/>
      <w:divBdr>
        <w:top w:val="none" w:sz="0" w:space="0" w:color="auto"/>
        <w:left w:val="none" w:sz="0" w:space="0" w:color="auto"/>
        <w:bottom w:val="none" w:sz="0" w:space="0" w:color="auto"/>
        <w:right w:val="none" w:sz="0" w:space="0" w:color="auto"/>
      </w:divBdr>
    </w:div>
    <w:div w:id="1921982183">
      <w:bodyDiv w:val="1"/>
      <w:marLeft w:val="0"/>
      <w:marRight w:val="0"/>
      <w:marTop w:val="0"/>
      <w:marBottom w:val="0"/>
      <w:divBdr>
        <w:top w:val="none" w:sz="0" w:space="0" w:color="auto"/>
        <w:left w:val="none" w:sz="0" w:space="0" w:color="auto"/>
        <w:bottom w:val="none" w:sz="0" w:space="0" w:color="auto"/>
        <w:right w:val="none" w:sz="0" w:space="0" w:color="auto"/>
      </w:divBdr>
    </w:div>
    <w:div w:id="1945771829">
      <w:bodyDiv w:val="1"/>
      <w:marLeft w:val="0"/>
      <w:marRight w:val="0"/>
      <w:marTop w:val="0"/>
      <w:marBottom w:val="0"/>
      <w:divBdr>
        <w:top w:val="none" w:sz="0" w:space="0" w:color="auto"/>
        <w:left w:val="none" w:sz="0" w:space="0" w:color="auto"/>
        <w:bottom w:val="none" w:sz="0" w:space="0" w:color="auto"/>
        <w:right w:val="none" w:sz="0" w:space="0" w:color="auto"/>
      </w:divBdr>
    </w:div>
    <w:div w:id="1960186477">
      <w:bodyDiv w:val="1"/>
      <w:marLeft w:val="0"/>
      <w:marRight w:val="0"/>
      <w:marTop w:val="0"/>
      <w:marBottom w:val="0"/>
      <w:divBdr>
        <w:top w:val="none" w:sz="0" w:space="0" w:color="auto"/>
        <w:left w:val="none" w:sz="0" w:space="0" w:color="auto"/>
        <w:bottom w:val="none" w:sz="0" w:space="0" w:color="auto"/>
        <w:right w:val="none" w:sz="0" w:space="0" w:color="auto"/>
      </w:divBdr>
    </w:div>
    <w:div w:id="2003192194">
      <w:bodyDiv w:val="1"/>
      <w:marLeft w:val="0"/>
      <w:marRight w:val="0"/>
      <w:marTop w:val="0"/>
      <w:marBottom w:val="0"/>
      <w:divBdr>
        <w:top w:val="none" w:sz="0" w:space="0" w:color="auto"/>
        <w:left w:val="none" w:sz="0" w:space="0" w:color="auto"/>
        <w:bottom w:val="none" w:sz="0" w:space="0" w:color="auto"/>
        <w:right w:val="none" w:sz="0" w:space="0" w:color="auto"/>
      </w:divBdr>
    </w:div>
    <w:div w:id="2007247535">
      <w:bodyDiv w:val="1"/>
      <w:marLeft w:val="0"/>
      <w:marRight w:val="0"/>
      <w:marTop w:val="0"/>
      <w:marBottom w:val="0"/>
      <w:divBdr>
        <w:top w:val="none" w:sz="0" w:space="0" w:color="auto"/>
        <w:left w:val="none" w:sz="0" w:space="0" w:color="auto"/>
        <w:bottom w:val="none" w:sz="0" w:space="0" w:color="auto"/>
        <w:right w:val="none" w:sz="0" w:space="0" w:color="auto"/>
      </w:divBdr>
    </w:div>
    <w:div w:id="2023585219">
      <w:bodyDiv w:val="1"/>
      <w:marLeft w:val="0"/>
      <w:marRight w:val="0"/>
      <w:marTop w:val="0"/>
      <w:marBottom w:val="0"/>
      <w:divBdr>
        <w:top w:val="none" w:sz="0" w:space="0" w:color="auto"/>
        <w:left w:val="none" w:sz="0" w:space="0" w:color="auto"/>
        <w:bottom w:val="none" w:sz="0" w:space="0" w:color="auto"/>
        <w:right w:val="none" w:sz="0" w:space="0" w:color="auto"/>
      </w:divBdr>
    </w:div>
    <w:div w:id="2061006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Ast18</b:Tag>
    <b:SourceType>InternetSite</b:SourceType>
    <b:Guid>{A9227D8A-CAE0-4507-A2D5-03230AF759B3}</b:Guid>
    <b:Author>
      <b:Author>
        <b:Corporate>Aston Project</b:Corporate>
      </b:Author>
    </b:Author>
    <b:Title>Aston Project</b:Title>
    <b:Year>2018</b:Year>
    <b:YearAccessed>2023</b:YearAccessed>
    <b:MonthAccessed>February</b:MonthAccessed>
    <b:DayAccessed>20</b:DayAccessed>
    <b:URL>https://www.astonproject.co.uk/</b:URL>
    <b:RefOrder>2</b:RefOrder>
  </b:Source>
  <b:Source>
    <b:Tag>Ast181</b:Tag>
    <b:SourceType>InternetSite</b:SourceType>
    <b:Guid>{4C3E8F99-6EEC-44EF-9428-7703901D119F}</b:Guid>
    <b:Author>
      <b:Author>
        <b:Corporate>Aston Project</b:Corporate>
      </b:Author>
    </b:Author>
    <b:Title>How it Works</b:Title>
    <b:Year>2018</b:Year>
    <b:YearAccessed>2023</b:YearAccessed>
    <b:MonthAccessed>February</b:MonthAccessed>
    <b:DayAccessed>20</b:DayAccessed>
    <b:URL>https://www.astonproject.co.uk/how-it-works/</b:URL>
    <b:RefOrder>3</b:RefOrder>
  </b:Source>
  <b:Source>
    <b:Tag>SAM22</b:Tag>
    <b:SourceType>InternetSite</b:SourceType>
    <b:Guid>{B35536A1-EC5C-45EC-BE2D-788879BAB0CB}</b:Guid>
    <b:Author>
      <b:Author>
        <b:Corporate>SAMHSA</b:Corporate>
      </b:Author>
    </b:Author>
    <b:Title>Qualitative and Quantitative Assessment Methods</b:Title>
    <b:Year>2022</b:Year>
    <b:YearAccessed>2023</b:YearAccessed>
    <b:MonthAccessed>February</b:MonthAccessed>
    <b:DayAccessed>20</b:DayAccessed>
    <b:URL>https://www.samhsa.gov/workplace/employer-resources/assessment-methods</b:URL>
    <b:RefOrder>4</b:RefOrder>
  </b:Source>
  <b:Source>
    <b:Tag>Sch17</b:Tag>
    <b:SourceType>Report</b:SourceType>
    <b:Guid>{66E11CBA-40D2-4065-86D3-D5B237CB8A35}</b:Guid>
    <b:Title>Review of The Aston Project</b:Title>
    <b:Year>2017</b:Year>
    <b:Author>
      <b:Author>
        <b:Corporate>School of Natural and Social Sciences, University of Gloucestershire</b:Corporate>
      </b:Author>
    </b:Author>
    <b:Publisher>University of Gloucestershire</b:Publisher>
    <b:City>Gloucester</b:City>
    <b:RefOrder>5</b:RefOrder>
  </b:Source>
  <b:Source>
    <b:Tag>Hob211</b:Tag>
    <b:SourceType>JournalArticle</b:SourceType>
    <b:Guid>{F75AA8DD-6A68-4F7B-B05E-B6725169B933}</b:Guid>
    <b:Title>Are Police-Led Social Crime Prevention Initiatives Effective? A Process and Outcome Evaluation of a UK Youth Intervention.</b:Title>
    <b:Year>2021</b:Year>
    <b:Author>
      <b:Author>
        <b:NameList>
          <b:Person>
            <b:Last>Hobson</b:Last>
            <b:First>J</b:First>
          </b:Person>
          <b:Person>
            <b:Last>Lynch</b:Last>
            <b:First>K</b:First>
          </b:Person>
          <b:Person>
            <b:Last>Payne</b:Last>
            <b:First>B</b:First>
          </b:Person>
          <b:Person>
            <b:Last>L</b:Last>
            <b:First>Ellis</b:First>
          </b:Person>
        </b:NameList>
      </b:Author>
    </b:Author>
    <b:JournalName>International Criminal Justice Review</b:JournalName>
    <b:Pages>325-346</b:Pages>
    <b:Volume>31</b:Volume>
    <b:Issue>3</b:Issue>
    <b:RefOrder>6</b:RefOrder>
  </b:Source>
  <b:Source>
    <b:Tag>Sound1</b:Tag>
    <b:SourceType>InternetSite</b:SourceType>
    <b:Guid>{85CC9BCD-5075-49BA-8123-0720FEAB3BBE}</b:Guid>
    <b:Author>
      <b:Author>
        <b:Corporate>South Wales Police</b:Corporate>
      </b:Author>
    </b:Author>
    <b:Title>Facial Recognition Technology</b:Title>
    <b:Year>n.d.</b:Year>
    <b:YearAccessed>2023</b:YearAccessed>
    <b:MonthAccessed>February</b:MonthAccessed>
    <b:DayAccessed>21</b:DayAccessed>
    <b:URL>https://www.south-wales.police.uk/police-forces/south-wales-police/areas/about-us/about-us/facial-recognition-technology/</b:URL>
    <b:RefOrder>7</b:RefOrder>
  </b:Source>
  <b:Source>
    <b:Tag>Sou22</b:Tag>
    <b:SourceType>InternetSite</b:SourceType>
    <b:Guid>{08C94FB7-D553-46DC-B40D-CB4F3479232A}</b:Guid>
    <b:Author>
      <b:Author>
        <b:Corporate>South Wales Police</b:Corporate>
      </b:Author>
    </b:Author>
    <b:Title>Is there a legitimate role for facial recognition in policing and law enforcement?</b:Title>
    <b:Year>2022</b:Year>
    <b:YearAccessed>2023</b:YearAccessed>
    <b:MonthAccessed>February</b:MonthAccessed>
    <b:DayAccessed>21</b:DayAccessed>
    <b:URL>https://www.south-wales.police.uk/news/south-wales/news/2022/meh-jun/facial-recognition-technology-testimony/</b:URL>
    <b:RefOrder>8</b:RefOrder>
  </b:Source>
  <b:Source>
    <b:Tag>Dav18</b:Tag>
    <b:SourceType>Report</b:SourceType>
    <b:Guid>{07889EE6-BDEF-4342-A28E-A2CD7850ECD7}</b:Guid>
    <b:Title>An Evaluation of South Wales Police's use of Automated Facial Recognition</b:Title>
    <b:Year>2018</b:Year>
    <b:Author>
      <b:Author>
        <b:NameList>
          <b:Person>
            <b:Last>Davies</b:Last>
            <b:First>B</b:First>
          </b:Person>
          <b:Person>
            <b:Last>Innes</b:Last>
            <b:First>M</b:First>
          </b:Person>
          <b:Person>
            <b:Last>Dawson</b:Last>
            <b:First>A</b:First>
          </b:Person>
        </b:NameList>
      </b:Author>
    </b:Author>
    <b:Publisher>Crime and Security Research Institute, Cardiff University</b:Publisher>
    <b:City>Cardiff</b:City>
    <b:RefOrder>9</b:RefOrder>
  </b:Source>
  <b:Source>
    <b:Tag>Sou221</b:Tag>
    <b:SourceType>DocumentFromInternetSite</b:SourceType>
    <b:Guid>{E16EB9BA-ABBA-4033-A089-AC04570D1837}</b:Guid>
    <b:Title>Deployments for Live Facial Recognition</b:Title>
    <b:Year>2022</b:Year>
    <b:Author>
      <b:Author>
        <b:Corporate>South Wales Police</b:Corporate>
      </b:Author>
    </b:Author>
    <b:Month>August</b:Month>
    <b:Day>13</b:Day>
    <b:YearAccessed>2023</b:YearAccessed>
    <b:MonthAccessed>February</b:MonthAccessed>
    <b:DayAccessed>21</b:DayAccessed>
    <b:URL>https://www.south-wales.police.uk/police-forces/south-wales-police/areas/about-us/about-us/facial-recognition-technology/deployments-for-live-facial-recognition/</b:URL>
    <b:RefOrder>10</b:RefOrder>
  </b:Source>
  <b:Source>
    <b:Tag>Col131</b:Tag>
    <b:SourceType>InternetSite</b:SourceType>
    <b:Guid>{B8D7EAAE-7C6B-4896-9D62-A86A94E786FB}</b:Guid>
    <b:Author>
      <b:Author>
        <b:Corporate>College of Policing</b:Corporate>
      </b:Author>
    </b:Author>
    <b:Title>Definitions</b:Title>
    <b:Year>2013</b:Year>
    <b:YearAccessed>2023</b:YearAccessed>
    <b:MonthAccessed>February</b:MonthAccessed>
    <b:DayAccessed>22</b:DayAccessed>
    <b:URL>https://www.college.police.uk/app/civil-emergencies/disaster-victim-identification/definitions#critical-incident</b:URL>
    <b:RefOrder>11</b:RefOrder>
  </b:Source>
  <b:Source>
    <b:Tag>Bla21</b:Tag>
    <b:SourceType>Book</b:SourceType>
    <b:Guid>{7855DA07-2981-4C18-A718-9EBC4F47EDB6}</b:Guid>
    <b:Title>Blackstone's Handbook for Policing Students</b:Title>
    <b:Year>2021</b:Year>
    <b:City>Oxford</b:City>
    <b:Publisher>Oxford University Press</b:Publisher>
    <b:Edition>15th</b:Edition>
    <b:Author>
      <b:Author>
        <b:NameList>
          <b:Person>
            <b:Last>Bryant</b:Last>
            <b:First>R</b:First>
          </b:Person>
          <b:Person>
            <b:Last>Bryant</b:Last>
            <b:First>S</b:First>
          </b:Person>
        </b:NameList>
      </b:Author>
      <b:Editor>
        <b:NameList>
          <b:Person>
            <b:Last>Bryant</b:Last>
            <b:First>Robin</b:First>
          </b:Person>
          <b:Person>
            <b:Last>Bryant</b:Last>
            <b:First>Sarah</b:First>
          </b:Person>
        </b:NameList>
      </b:Editor>
    </b:Author>
    <b:RefOrder>1</b:RefOrder>
  </b:Source>
  <b:Source>
    <b:Tag>Ali12</b:Tag>
    <b:SourceType>JournalArticle</b:SourceType>
    <b:Guid>{EC022E90-671B-4313-8948-D55DC0F24A2C}</b:Guid>
    <b:Title>Briefing: Emergency planning and the UK Civil Contingencies Act 2004</b:Title>
    <b:Year>2012</b:Year>
    <b:Author>
      <b:Author>
        <b:NameList>
          <b:Person>
            <b:Last>Stainsby</b:Last>
            <b:First>Alison</b:First>
          </b:Person>
        </b:NameList>
      </b:Author>
    </b:Author>
    <b:JournalName>Proceedings of the Institution of Civil Engineers</b:JournalName>
    <b:Pages>69-71</b:Pages>
    <b:Volume>165</b:Volume>
    <b:Issue>2</b:Issue>
    <b:RefOrder>12</b:RefOrder>
  </b:Source>
  <b:Source>
    <b:Tag>Wan19</b:Tag>
    <b:SourceType>Book</b:SourceType>
    <b:Guid>{4F34E3EC-BE3E-494A-9A03-4AC74DC658B6}</b:Guid>
    <b:Title>Critical Perspectives on the Management and Organization of Emergency Services</b:Title>
    <b:Year>2019</b:Year>
    <b:Author>
      <b:Author>
        <b:NameList>
          <b:Person>
            <b:Last>Wankhade</b:Last>
            <b:First>P</b:First>
          </b:Person>
          <b:Person>
            <b:Last>McCann</b:Last>
            <b:First>L</b:First>
          </b:Person>
          <b:Person>
            <b:Last>P</b:Last>
            <b:First>Murphy</b:First>
          </b:Person>
        </b:NameList>
      </b:Author>
    </b:Author>
    <b:City>New York</b:City>
    <b:Publisher>Routledge</b:Publisher>
    <b:Edition>1</b:Edition>
    <b:RefOrder>13</b:RefOrder>
  </b:Source>
  <b:Source>
    <b:Tag>Col132</b:Tag>
    <b:SourceType>InternetSite</b:SourceType>
    <b:Guid>{58543405-5BDF-49E6-B1D4-5707381EBBCB}</b:Guid>
    <b:Author>
      <b:Author>
        <b:Corporate>College of Policing</b:Corporate>
      </b:Author>
    </b:Author>
    <b:Title>National decision model</b:Title>
    <b:Year>2013</b:Year>
    <b:YearAccessed>2023</b:YearAccessed>
    <b:MonthAccessed>February</b:MonthAccessed>
    <b:DayAccessed>25</b:DayAccessed>
    <b:URL>https://www.college.police.uk/app/national-decision-model/national-decision-model</b:URL>
    <b:RefOrder>14</b:RefOrder>
  </b:Source>
  <b:Source>
    <b:Tag>Argnd</b:Tag>
    <b:SourceType>InternetSite</b:SourceType>
    <b:Guid>{A5665ED3-3A84-4A36-918B-FEAC1C27F677}</b:Guid>
    <b:Author>
      <b:Author>
        <b:Corporate>Argyll and Bute Council</b:Corporate>
      </b:Author>
    </b:Author>
    <b:Title>Roles and responsibilites of emergency responders</b:Title>
    <b:Year>n.d.</b:Year>
    <b:YearAccessed>2023</b:YearAccessed>
    <b:MonthAccessed>February</b:MonthAccessed>
    <b:DayAccessed>25</b:DayAccessed>
    <b:URL>https://www.argyll-bute.gov.uk/roles-and-responsibilities-emergency-responders</b:URL>
    <b:RefOrder>15</b:RefOrder>
  </b:Source>
</b:Sources>
</file>

<file path=customXml/itemProps1.xml><?xml version="1.0" encoding="utf-8"?>
<ds:datastoreItem xmlns:ds="http://schemas.openxmlformats.org/officeDocument/2006/customXml" ds:itemID="{7741FC88-A2D2-47CD-9083-71F92DFEC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991</TotalTime>
  <Pages>11</Pages>
  <Words>4391</Words>
  <Characters>25032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Carribine (2031210)</dc:creator>
  <cp:keywords/>
  <dc:description/>
  <cp:lastModifiedBy>Niall Carribine (2031210)</cp:lastModifiedBy>
  <cp:revision>22</cp:revision>
  <dcterms:created xsi:type="dcterms:W3CDTF">2023-02-17T17:38:00Z</dcterms:created>
  <dcterms:modified xsi:type="dcterms:W3CDTF">2023-03-04T18:43:00Z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b1834ee71677e9d2985fb17aa5111dc67d960c1517b26150b18c5d10748e77a0</vt:lpwstr>
  </property>
</Properties>
</file>