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959D6" w14:textId="289F210F" w:rsidR="00DC57FB" w:rsidRDefault="002F0B7F" w:rsidP="00F25BAD">
      <w:pPr>
        <w:pStyle w:val="Heading1"/>
        <w:rPr>
          <w:shd w:val="clear" w:color="auto" w:fill="FFFFFF"/>
        </w:rPr>
      </w:pPr>
      <w:r>
        <w:rPr>
          <w:shd w:val="clear" w:color="auto" w:fill="FFFFFF"/>
        </w:rPr>
        <w:t>Is archaeology a political practice?</w:t>
      </w:r>
    </w:p>
    <w:p w14:paraId="51CA03EB" w14:textId="2D9F4D52" w:rsidR="00F25BAD" w:rsidRDefault="005B150E">
      <w:pPr>
        <w:rPr>
          <w:rFonts w:ascii="Segoe UI" w:hAnsi="Segoe UI" w:cs="Segoe UI"/>
          <w:color w:val="1D2125"/>
          <w:sz w:val="23"/>
          <w:szCs w:val="23"/>
          <w:shd w:val="clear" w:color="auto" w:fill="FFFFFF"/>
        </w:rPr>
      </w:pPr>
      <w:r w:rsidRPr="005B150E">
        <w:rPr>
          <w:rFonts w:ascii="Segoe UI" w:hAnsi="Segoe UI" w:cs="Segoe UI"/>
          <w:color w:val="1D2125"/>
          <w:sz w:val="23"/>
          <w:szCs w:val="23"/>
          <w:shd w:val="clear" w:color="auto" w:fill="FFFFFF"/>
        </w:rPr>
        <w:t>Archaeology is often imagined as a discipline devoted solely to uncovering material traces of the past, yet in practice it is deeply entangled with politics, ethics, and social memory. Far from being neutral, archaeological narratives are shaped by political agendas that privilege certain interpretations while silencing others, reinforcing dominant systems of power. At the same time, archaeology has the capacity to challenge these constructed histories, offering alternative perspectives that destabilize official accounts. The discipline also faces ethical dilemmas, particularly when conservation priorities conflict with community values or when the treatment of</w:t>
      </w:r>
      <w:r w:rsidR="005E05E6" w:rsidRPr="005E05E6">
        <w:t xml:space="preserve"> </w:t>
      </w:r>
      <w:r w:rsidR="005E05E6" w:rsidRPr="005E05E6">
        <w:rPr>
          <w:rFonts w:ascii="Segoe UI" w:hAnsi="Segoe UI" w:cs="Segoe UI"/>
          <w:color w:val="1D2125"/>
          <w:sz w:val="23"/>
          <w:szCs w:val="23"/>
          <w:shd w:val="clear" w:color="auto" w:fill="FFFFFF"/>
        </w:rPr>
        <w:t>human remains becomes a political minefield. Battlefield archaeology illustrates these tensions vividly, as sites of conflict are embedded in contested histories and collective memories that demand careful negotiation. In the modern era, identity politics adds yet another lens, highlighting how heritage is entangled with struggles for recognition, justice, and belonging. Taken together, these issues reveal that archaeology is not simply about recovering the past but about navigating the complex intersections of evidence, ethics, and politics in the present.</w:t>
      </w:r>
      <w:r w:rsidR="00F27912" w:rsidRPr="00F27912">
        <w:t xml:space="preserve"> </w:t>
      </w:r>
      <w:r w:rsidR="00F27912" w:rsidRPr="00F27912">
        <w:rPr>
          <w:rFonts w:ascii="Segoe UI" w:hAnsi="Segoe UI" w:cs="Segoe UI"/>
          <w:color w:val="1D2125"/>
          <w:sz w:val="23"/>
          <w:szCs w:val="23"/>
          <w:shd w:val="clear" w:color="auto" w:fill="FFFFFF"/>
        </w:rPr>
        <w:t>Politics plays a decisive role in shaping archaeological narratives, often privileging interpretations that reinforce dominant ideologies while silencing alternative perspectives. Archaeology can challenge these constructed histories, exposing manipulation and bias. Yet political agendas remain deeply entangled with heritage, making the discipline a contested space of power, identity, and resistance.</w:t>
      </w:r>
    </w:p>
    <w:p w14:paraId="38FFA80E" w14:textId="77777777" w:rsidR="0094041A" w:rsidRDefault="0094041A">
      <w:pPr>
        <w:rPr>
          <w:rFonts w:ascii="Segoe UI" w:hAnsi="Segoe UI" w:cs="Segoe UI"/>
          <w:color w:val="1D2125"/>
          <w:sz w:val="23"/>
          <w:szCs w:val="23"/>
          <w:shd w:val="clear" w:color="auto" w:fill="FFFFFF"/>
        </w:rPr>
      </w:pPr>
    </w:p>
    <w:p w14:paraId="18AA524A" w14:textId="39C71E0A" w:rsidR="009363A4" w:rsidRDefault="002702C3">
      <w:pPr>
        <w:rPr>
          <w:rFonts w:ascii="Segoe UI" w:hAnsi="Segoe UI" w:cs="Segoe UI"/>
          <w:color w:val="1D2125"/>
          <w:sz w:val="23"/>
          <w:szCs w:val="23"/>
          <w:shd w:val="clear" w:color="auto" w:fill="FFFFFF"/>
        </w:rPr>
      </w:pPr>
      <w:r w:rsidRPr="00206E9D">
        <w:rPr>
          <w:rFonts w:ascii="Segoe UI" w:hAnsi="Segoe UI" w:cs="Segoe UI"/>
          <w:color w:val="1D2125"/>
          <w:sz w:val="23"/>
          <w:szCs w:val="23"/>
          <w:shd w:val="clear" w:color="auto" w:fill="FFFFFF"/>
        </w:rPr>
        <w:t>Identifi</w:t>
      </w:r>
      <w:r>
        <w:rPr>
          <w:rFonts w:ascii="Segoe UI" w:hAnsi="Segoe UI" w:cs="Segoe UI"/>
          <w:color w:val="1D2125"/>
          <w:sz w:val="23"/>
          <w:szCs w:val="23"/>
          <w:shd w:val="clear" w:color="auto" w:fill="FFFFFF"/>
        </w:rPr>
        <w:t>ed</w:t>
      </w:r>
      <w:r w:rsidR="00FB1C84">
        <w:rPr>
          <w:rFonts w:ascii="Segoe UI" w:hAnsi="Segoe UI" w:cs="Segoe UI"/>
          <w:color w:val="1D2125"/>
          <w:sz w:val="23"/>
          <w:szCs w:val="23"/>
          <w:shd w:val="clear" w:color="auto" w:fill="FFFFFF"/>
        </w:rPr>
        <w:t xml:space="preserve"> with</w:t>
      </w:r>
      <w:r w:rsidR="00206E9D" w:rsidRPr="00206E9D">
        <w:rPr>
          <w:rFonts w:ascii="Segoe UI" w:hAnsi="Segoe UI" w:cs="Segoe UI"/>
          <w:color w:val="1D2125"/>
          <w:sz w:val="23"/>
          <w:szCs w:val="23"/>
          <w:shd w:val="clear" w:color="auto" w:fill="FFFFFF"/>
        </w:rPr>
        <w:t xml:space="preserve"> structures of </w:t>
      </w:r>
      <w:r w:rsidR="00FB1C84">
        <w:rPr>
          <w:rFonts w:ascii="Segoe UI" w:hAnsi="Segoe UI" w:cs="Segoe UI"/>
          <w:color w:val="1D2125"/>
          <w:sz w:val="23"/>
          <w:szCs w:val="23"/>
          <w:shd w:val="clear" w:color="auto" w:fill="FFFFFF"/>
        </w:rPr>
        <w:t xml:space="preserve">government, </w:t>
      </w:r>
      <w:r w:rsidR="00206E9D" w:rsidRPr="00206E9D">
        <w:rPr>
          <w:rFonts w:ascii="Segoe UI" w:hAnsi="Segoe UI" w:cs="Segoe UI"/>
          <w:color w:val="1D2125"/>
          <w:sz w:val="23"/>
          <w:szCs w:val="23"/>
          <w:shd w:val="clear" w:color="auto" w:fill="FFFFFF"/>
        </w:rPr>
        <w:t xml:space="preserve">power and authority </w:t>
      </w:r>
      <w:r w:rsidR="00A2211A" w:rsidRPr="00A2211A">
        <w:rPr>
          <w:rFonts w:ascii="Segoe UI" w:hAnsi="Segoe UI" w:cs="Segoe UI"/>
          <w:color w:val="1D2125"/>
          <w:sz w:val="23"/>
          <w:szCs w:val="23"/>
          <w:shd w:val="clear" w:color="auto" w:fill="FFFFFF"/>
        </w:rPr>
        <w:t>Walter Korpi’s seminal article Conflict and the Balance of Power challenges conventional assumptions about how power dynamics shape conflict, offering a nuanced model that links disparities in resources to the likelihood of confrontation. Traditionally, scholars have argued that conflict is most probable when opposing parties possess equal strength, since parity encourages both sides to believe they can prevail. Korpi, however, disputes this notion, insisting that the relationship between power and conflict is more complex.</w:t>
      </w:r>
    </w:p>
    <w:p w14:paraId="662528D0" w14:textId="61F03A93" w:rsidR="009363A4" w:rsidRDefault="009363A4" w:rsidP="009363A4">
      <w:pPr>
        <w:ind w:left="567" w:right="521"/>
        <w:rPr>
          <w:rFonts w:ascii="Segoe UI" w:hAnsi="Segoe UI" w:cs="Segoe UI"/>
          <w:color w:val="1D2125"/>
          <w:sz w:val="23"/>
          <w:szCs w:val="23"/>
          <w:shd w:val="clear" w:color="auto" w:fill="FFFFFF"/>
        </w:rPr>
      </w:pPr>
      <w:r w:rsidRPr="009363A4">
        <w:rPr>
          <w:rFonts w:ascii="Segoe UI" w:hAnsi="Segoe UI" w:cs="Segoe UI"/>
          <w:color w:val="1D2125"/>
          <w:sz w:val="23"/>
          <w:szCs w:val="23"/>
          <w:shd w:val="clear" w:color="auto" w:fill="FFFFFF"/>
        </w:rPr>
        <w:t xml:space="preserve">“Predictions from the model challenge the widespread assumption that the probability of conflict is highest when parties have equal power resources. </w:t>
      </w:r>
      <w:proofErr w:type="gramStart"/>
      <w:r w:rsidRPr="009363A4">
        <w:rPr>
          <w:rFonts w:ascii="Segoe UI" w:hAnsi="Segoe UI" w:cs="Segoe UI"/>
          <w:color w:val="1D2125"/>
          <w:sz w:val="23"/>
          <w:szCs w:val="23"/>
          <w:shd w:val="clear" w:color="auto" w:fill="FFFFFF"/>
        </w:rPr>
        <w:t>Instead</w:t>
      </w:r>
      <w:proofErr w:type="gramEnd"/>
      <w:r w:rsidRPr="009363A4">
        <w:rPr>
          <w:rFonts w:ascii="Segoe UI" w:hAnsi="Segoe UI" w:cs="Segoe UI"/>
          <w:color w:val="1D2125"/>
          <w:sz w:val="23"/>
          <w:szCs w:val="23"/>
          <w:shd w:val="clear" w:color="auto" w:fill="FFFFFF"/>
        </w:rPr>
        <w:t xml:space="preserve"> a bi-modal distribution of the probability of manifest conflict is predicted”</w:t>
      </w:r>
    </w:p>
    <w:p w14:paraId="54C44205" w14:textId="01A96EE3" w:rsidR="00457CEB" w:rsidRDefault="00457CEB">
      <w:pPr>
        <w:rPr>
          <w:rFonts w:ascii="Segoe UI" w:hAnsi="Segoe UI" w:cs="Segoe UI"/>
          <w:color w:val="1D2125"/>
          <w:sz w:val="23"/>
          <w:szCs w:val="23"/>
          <w:shd w:val="clear" w:color="auto" w:fill="FFFFFF"/>
        </w:rPr>
      </w:pPr>
      <w:r w:rsidRPr="00457CEB">
        <w:rPr>
          <w:rFonts w:ascii="Segoe UI" w:hAnsi="Segoe UI" w:cs="Segoe UI"/>
          <w:color w:val="1D2125"/>
          <w:sz w:val="23"/>
          <w:szCs w:val="23"/>
          <w:shd w:val="clear" w:color="auto" w:fill="FFFFFF"/>
        </w:rPr>
        <w:t xml:space="preserve">This insight reframes our understanding of social and political struggles conflict is not simply a product of balance but emerges both when one side feels sufficiently empowered to challenge dominance and when the weaker side perceives deprivation so </w:t>
      </w:r>
      <w:r w:rsidRPr="00457CEB">
        <w:rPr>
          <w:rFonts w:ascii="Segoe UI" w:hAnsi="Segoe UI" w:cs="Segoe UI"/>
          <w:color w:val="1D2125"/>
          <w:sz w:val="23"/>
          <w:szCs w:val="23"/>
          <w:shd w:val="clear" w:color="auto" w:fill="FFFFFF"/>
        </w:rPr>
        <w:lastRenderedPageBreak/>
        <w:t>acutely that resistance becomes inevitable. By incorporating variables such as utility of achieving goals, expectancy of success, and relative deprivation, Korpi’s model highlights the psychological and structural dimensions of conflict.</w:t>
      </w:r>
    </w:p>
    <w:p w14:paraId="63651713" w14:textId="44A065D3" w:rsidR="006651D1" w:rsidRDefault="006651D1">
      <w:pPr>
        <w:rPr>
          <w:rFonts w:ascii="Segoe UI" w:hAnsi="Segoe UI" w:cs="Segoe UI"/>
          <w:color w:val="1D2125"/>
          <w:sz w:val="23"/>
          <w:szCs w:val="23"/>
          <w:shd w:val="clear" w:color="auto" w:fill="FFFFFF"/>
        </w:rPr>
      </w:pPr>
      <w:r w:rsidRPr="006651D1">
        <w:rPr>
          <w:rFonts w:ascii="Segoe UI" w:hAnsi="Segoe UI" w:cs="Segoe UI"/>
          <w:color w:val="1D2125"/>
          <w:sz w:val="23"/>
          <w:szCs w:val="23"/>
          <w:shd w:val="clear" w:color="auto" w:fill="FFFFFF"/>
        </w:rPr>
        <w:t>His work underscores that power imbalances can simultaneously suppress and provoke confrontation, depending on context. This duality makes the balance of power a dynamic rather than static concept, one that requires careful analysis of both material resources and subjective perceptions. Ultimately, Korpi’s contribution lies in demonstrating that conflict is not merely the outcome of equality or inequality but of how actors interpret their chances within shifting power structures, a perspective that remains vital for sociology, political science, and international relations today.</w:t>
      </w:r>
    </w:p>
    <w:p w14:paraId="5F8552C6" w14:textId="0D1F3853" w:rsidR="00E944F4" w:rsidRDefault="00E944F4">
      <w:pPr>
        <w:rPr>
          <w:rFonts w:ascii="Segoe UI" w:hAnsi="Segoe UI" w:cs="Segoe UI"/>
          <w:color w:val="1D2125"/>
          <w:sz w:val="23"/>
          <w:szCs w:val="23"/>
          <w:shd w:val="clear" w:color="auto" w:fill="FFFFFF"/>
        </w:rPr>
      </w:pPr>
      <w:r w:rsidRPr="00E944F4">
        <w:rPr>
          <w:rFonts w:ascii="Segoe UI" w:hAnsi="Segoe UI" w:cs="Segoe UI"/>
          <w:color w:val="1D2125"/>
          <w:sz w:val="23"/>
          <w:szCs w:val="23"/>
          <w:shd w:val="clear" w:color="auto" w:fill="FFFFFF"/>
        </w:rPr>
        <w:t>Power structures in late nineteenth and early twentieth</w:t>
      </w:r>
      <w:r w:rsidR="009D3D61">
        <w:rPr>
          <w:rFonts w:ascii="Segoe UI" w:hAnsi="Segoe UI" w:cs="Segoe UI"/>
          <w:color w:val="1D2125"/>
          <w:sz w:val="23"/>
          <w:szCs w:val="23"/>
          <w:shd w:val="clear" w:color="auto" w:fill="FFFFFF"/>
        </w:rPr>
        <w:t xml:space="preserve"> </w:t>
      </w:r>
      <w:r w:rsidRPr="00E944F4">
        <w:rPr>
          <w:rFonts w:ascii="Segoe UI" w:hAnsi="Segoe UI" w:cs="Segoe UI"/>
          <w:color w:val="1D2125"/>
          <w:sz w:val="23"/>
          <w:szCs w:val="23"/>
          <w:shd w:val="clear" w:color="auto" w:fill="FFFFFF"/>
        </w:rPr>
        <w:t xml:space="preserve">century Ethiopia were closely bound to historical narratives and archaeological practice. </w:t>
      </w:r>
      <w:proofErr w:type="spellStart"/>
      <w:r w:rsidRPr="00E944F4">
        <w:rPr>
          <w:rFonts w:ascii="Segoe UI" w:hAnsi="Segoe UI" w:cs="Segoe UI"/>
          <w:color w:val="1D2125"/>
          <w:sz w:val="23"/>
          <w:szCs w:val="23"/>
          <w:shd w:val="clear" w:color="auto" w:fill="FFFFFF"/>
        </w:rPr>
        <w:t>Menilek</w:t>
      </w:r>
      <w:proofErr w:type="spellEnd"/>
      <w:r w:rsidRPr="00E944F4">
        <w:rPr>
          <w:rFonts w:ascii="Segoe UI" w:hAnsi="Segoe UI" w:cs="Segoe UI"/>
          <w:color w:val="1D2125"/>
          <w:sz w:val="23"/>
          <w:szCs w:val="23"/>
          <w:shd w:val="clear" w:color="auto" w:fill="FFFFFF"/>
        </w:rPr>
        <w:t xml:space="preserve"> II, the founder of modern Ethiopia, drew upon the nation’s Christian and medieval past to consolidate his authority and resist European encroachment. His reign demonstrates how political legitimacy was not only maintained through military strength or administrative control, but also through symbolic claims to antiquity and continuity. By presenting himself as a successor to the Solomonic dynasty, </w:t>
      </w:r>
      <w:proofErr w:type="spellStart"/>
      <w:r w:rsidRPr="00E944F4">
        <w:rPr>
          <w:rFonts w:ascii="Segoe UI" w:hAnsi="Segoe UI" w:cs="Segoe UI"/>
          <w:color w:val="1D2125"/>
          <w:sz w:val="23"/>
          <w:szCs w:val="23"/>
          <w:shd w:val="clear" w:color="auto" w:fill="FFFFFF"/>
        </w:rPr>
        <w:t>Menilek</w:t>
      </w:r>
      <w:proofErr w:type="spellEnd"/>
      <w:r w:rsidRPr="00E944F4">
        <w:rPr>
          <w:rFonts w:ascii="Segoe UI" w:hAnsi="Segoe UI" w:cs="Segoe UI"/>
          <w:color w:val="1D2125"/>
          <w:sz w:val="23"/>
          <w:szCs w:val="23"/>
          <w:shd w:val="clear" w:color="auto" w:fill="FFFFFF"/>
        </w:rPr>
        <w:t xml:space="preserve"> embedded his rule within a lineage of divine sanction and historical prestige.</w:t>
      </w:r>
    </w:p>
    <w:p w14:paraId="7A3150B3" w14:textId="5DB896FF" w:rsidR="006D4E04" w:rsidRDefault="00B529F0" w:rsidP="007A18B6">
      <w:pPr>
        <w:ind w:left="567" w:right="521"/>
        <w:rPr>
          <w:rFonts w:ascii="Segoe UI" w:hAnsi="Segoe UI" w:cs="Segoe UI"/>
          <w:color w:val="1D2125"/>
          <w:sz w:val="23"/>
          <w:szCs w:val="23"/>
          <w:shd w:val="clear" w:color="auto" w:fill="FFFFFF"/>
        </w:rPr>
      </w:pPr>
      <w:r w:rsidRPr="00B529F0">
        <w:t xml:space="preserve"> </w:t>
      </w:r>
      <w:r w:rsidR="007A18B6">
        <w:t>“</w:t>
      </w:r>
      <w:r w:rsidRPr="00B529F0">
        <w:rPr>
          <w:rFonts w:ascii="Segoe UI" w:hAnsi="Segoe UI" w:cs="Segoe UI"/>
          <w:color w:val="1D2125"/>
          <w:sz w:val="23"/>
          <w:szCs w:val="23"/>
          <w:shd w:val="clear" w:color="auto" w:fill="FFFFFF"/>
        </w:rPr>
        <w:t xml:space="preserve">Ethiopia’s Christian and medieval past was perceived and exploited by </w:t>
      </w:r>
      <w:proofErr w:type="spellStart"/>
      <w:r w:rsidRPr="00B529F0">
        <w:rPr>
          <w:rFonts w:ascii="Segoe UI" w:hAnsi="Segoe UI" w:cs="Segoe UI"/>
          <w:color w:val="1D2125"/>
          <w:sz w:val="23"/>
          <w:szCs w:val="23"/>
          <w:shd w:val="clear" w:color="auto" w:fill="FFFFFF"/>
        </w:rPr>
        <w:t>Menilek</w:t>
      </w:r>
      <w:proofErr w:type="spellEnd"/>
      <w:r w:rsidRPr="00B529F0">
        <w:rPr>
          <w:rFonts w:ascii="Segoe UI" w:hAnsi="Segoe UI" w:cs="Segoe UI"/>
          <w:color w:val="1D2125"/>
          <w:sz w:val="23"/>
          <w:szCs w:val="23"/>
          <w:shd w:val="clear" w:color="auto" w:fill="FFFFFF"/>
        </w:rPr>
        <w:t xml:space="preserve"> II, the founder of modern Ethiopia, to consolidate his own political power and resist the encroachments of European states in the late nineteenth and early twentieth centuries.”</w:t>
      </w:r>
    </w:p>
    <w:p w14:paraId="3319FC8D" w14:textId="40567A38" w:rsidR="002702C3" w:rsidRDefault="00E95AD9">
      <w:pPr>
        <w:rPr>
          <w:rFonts w:ascii="Segoe UI" w:hAnsi="Segoe UI" w:cs="Segoe UI"/>
          <w:color w:val="1D2125"/>
          <w:sz w:val="23"/>
          <w:szCs w:val="23"/>
          <w:shd w:val="clear" w:color="auto" w:fill="FFFFFF"/>
        </w:rPr>
      </w:pPr>
      <w:r w:rsidRPr="00E95AD9">
        <w:rPr>
          <w:rFonts w:ascii="Segoe UI" w:hAnsi="Segoe UI" w:cs="Segoe UI"/>
          <w:color w:val="1D2125"/>
          <w:sz w:val="23"/>
          <w:szCs w:val="23"/>
          <w:shd w:val="clear" w:color="auto" w:fill="FFFFFF"/>
        </w:rPr>
        <w:t xml:space="preserve">Archaeological evidence became a strategic instrument of governance, reinforcing Ethiopia’s identity as one of Africa’s great ancient civilizations. </w:t>
      </w:r>
      <w:proofErr w:type="spellStart"/>
      <w:r w:rsidRPr="00E95AD9">
        <w:rPr>
          <w:rFonts w:ascii="Segoe UI" w:hAnsi="Segoe UI" w:cs="Segoe UI"/>
          <w:color w:val="1D2125"/>
          <w:sz w:val="23"/>
          <w:szCs w:val="23"/>
          <w:shd w:val="clear" w:color="auto" w:fill="FFFFFF"/>
        </w:rPr>
        <w:t>Menilek</w:t>
      </w:r>
      <w:proofErr w:type="spellEnd"/>
      <w:r w:rsidRPr="00E95AD9">
        <w:rPr>
          <w:rFonts w:ascii="Segoe UI" w:hAnsi="Segoe UI" w:cs="Segoe UI"/>
          <w:color w:val="1D2125"/>
          <w:sz w:val="23"/>
          <w:szCs w:val="23"/>
          <w:shd w:val="clear" w:color="auto" w:fill="FFFFFF"/>
        </w:rPr>
        <w:t xml:space="preserve"> personally oversaw excavations of medieval royal churches and camp sites, positioning himself as guardian of the nation’s heritage. His decision to invite foreign scholars to conduct excavations further underscored Ethiopia’s sovereignty, while simultaneously projecting its antiquity to international </w:t>
      </w:r>
      <w:proofErr w:type="spellStart"/>
      <w:proofErr w:type="gramStart"/>
      <w:r w:rsidRPr="00E95AD9">
        <w:rPr>
          <w:rFonts w:ascii="Segoe UI" w:hAnsi="Segoe UI" w:cs="Segoe UI"/>
          <w:color w:val="1D2125"/>
          <w:sz w:val="23"/>
          <w:szCs w:val="23"/>
          <w:shd w:val="clear" w:color="auto" w:fill="FFFFFF"/>
        </w:rPr>
        <w:t>audiences.</w:t>
      </w:r>
      <w:r w:rsidR="00B4148D" w:rsidRPr="00B4148D">
        <w:rPr>
          <w:rFonts w:ascii="Segoe UI" w:hAnsi="Segoe UI" w:cs="Segoe UI"/>
          <w:color w:val="1D2125"/>
          <w:sz w:val="23"/>
          <w:szCs w:val="23"/>
          <w:shd w:val="clear" w:color="auto" w:fill="FFFFFF"/>
        </w:rPr>
        <w:t>In</w:t>
      </w:r>
      <w:proofErr w:type="spellEnd"/>
      <w:proofErr w:type="gramEnd"/>
      <w:r w:rsidR="00B4148D" w:rsidRPr="00B4148D">
        <w:rPr>
          <w:rFonts w:ascii="Segoe UI" w:hAnsi="Segoe UI" w:cs="Segoe UI"/>
          <w:color w:val="1D2125"/>
          <w:sz w:val="23"/>
          <w:szCs w:val="23"/>
          <w:shd w:val="clear" w:color="auto" w:fill="FFFFFF"/>
        </w:rPr>
        <w:t xml:space="preserve"> this way, power structures were sustained not only through coercion or diplomacy, but through cultural production. Archaeology served as a means of consolidating authority, shaping national identity, and resisting colonial pressures. Menilek’s reign illustrates how material traces of the past were harnessed to legitimize and strengthen political power.</w:t>
      </w:r>
    </w:p>
    <w:p w14:paraId="28A6688B" w14:textId="77777777" w:rsidR="00206E9D" w:rsidRPr="00206E9D" w:rsidRDefault="00206E9D">
      <w:pPr>
        <w:rPr>
          <w:rFonts w:ascii="Segoe UI" w:hAnsi="Segoe UI" w:cs="Segoe UI"/>
          <w:color w:val="1D2125"/>
          <w:sz w:val="23"/>
          <w:szCs w:val="23"/>
          <w:shd w:val="clear" w:color="auto" w:fill="FFFFFF"/>
        </w:rPr>
      </w:pPr>
    </w:p>
    <w:p w14:paraId="221FFAB5" w14:textId="77777777" w:rsidR="00036B42" w:rsidRDefault="00436A11">
      <w:pPr>
        <w:rPr>
          <w:rFonts w:ascii="Segoe UI" w:hAnsi="Segoe UI" w:cs="Segoe UI"/>
          <w:color w:val="1D2125"/>
          <w:sz w:val="23"/>
          <w:szCs w:val="23"/>
          <w:shd w:val="clear" w:color="auto" w:fill="FFFFFF"/>
        </w:rPr>
      </w:pPr>
      <w:bookmarkStart w:id="0" w:name="_Hlk215838230"/>
      <w:r>
        <w:rPr>
          <w:rFonts w:ascii="Segoe UI" w:hAnsi="Segoe UI" w:cs="Segoe UI"/>
          <w:color w:val="1D2125"/>
          <w:sz w:val="23"/>
          <w:szCs w:val="23"/>
          <w:shd w:val="clear" w:color="auto" w:fill="FFFFFF"/>
        </w:rPr>
        <w:t>A</w:t>
      </w:r>
      <w:r w:rsidR="000A4EFE" w:rsidRPr="000A4EFE">
        <w:rPr>
          <w:rFonts w:ascii="Segoe UI" w:hAnsi="Segoe UI" w:cs="Segoe UI"/>
          <w:color w:val="1D2125"/>
          <w:sz w:val="23"/>
          <w:szCs w:val="23"/>
          <w:shd w:val="clear" w:color="auto" w:fill="FFFFFF"/>
        </w:rPr>
        <w:t xml:space="preserve">rchaeology is often imagined as a neutral pursuit of uncovering the past, yet in practice it is deeply entangled with political agendas that shape both narratives and interpretations. Governments, institutions, and communities frequently mobilize </w:t>
      </w:r>
      <w:r w:rsidR="000A4EFE" w:rsidRPr="000A4EFE">
        <w:rPr>
          <w:rFonts w:ascii="Segoe UI" w:hAnsi="Segoe UI" w:cs="Segoe UI"/>
          <w:color w:val="1D2125"/>
          <w:sz w:val="23"/>
          <w:szCs w:val="23"/>
          <w:shd w:val="clear" w:color="auto" w:fill="FFFFFF"/>
        </w:rPr>
        <w:lastRenderedPageBreak/>
        <w:t>archaeological findings to legitimize authority, reinforce national identity, or advance ideological claims. This can manifest in selective excavation, where sites that support dominant historical myths are prioritized, while inconvenient evidence is ignored or suppressed. Political influence also extends to interpretation, as artifacts and monuments are framed in ways that align with contemporary power structures,</w:t>
      </w:r>
      <w:r w:rsidRPr="00436A11">
        <w:t xml:space="preserve"> </w:t>
      </w:r>
      <w:r w:rsidRPr="00436A11">
        <w:rPr>
          <w:rFonts w:ascii="Segoe UI" w:hAnsi="Segoe UI" w:cs="Segoe UI"/>
          <w:color w:val="1D2125"/>
          <w:sz w:val="23"/>
          <w:szCs w:val="23"/>
          <w:shd w:val="clear" w:color="auto" w:fill="FFFFFF"/>
        </w:rPr>
        <w:t>transforming archaeology into a tool of propaganda rather than objective inquiry.</w:t>
      </w:r>
    </w:p>
    <w:p w14:paraId="261936B0" w14:textId="3FE1AC7F" w:rsidR="009B752C" w:rsidRDefault="00436A11">
      <w:pPr>
        <w:rPr>
          <w:rFonts w:ascii="Segoe UI" w:hAnsi="Segoe UI" w:cs="Segoe UI"/>
          <w:color w:val="1D2125"/>
          <w:sz w:val="23"/>
          <w:szCs w:val="23"/>
          <w:shd w:val="clear" w:color="auto" w:fill="FFFFFF"/>
        </w:rPr>
      </w:pPr>
      <w:r w:rsidRPr="00436A11">
        <w:rPr>
          <w:rFonts w:ascii="Segoe UI" w:hAnsi="Segoe UI" w:cs="Segoe UI"/>
          <w:color w:val="1D2125"/>
          <w:sz w:val="23"/>
          <w:szCs w:val="23"/>
          <w:shd w:val="clear" w:color="auto" w:fill="FFFFFF"/>
        </w:rPr>
        <w:t>At the same time, archaeology can serve as a site of resistance, offering marginalized groups a means to reclaim heritage and challenge dominant narratives. The tension between authority and activism underscores the discipline’s vulnerability to distortion when political interests outweigh scholarly rigor. Such interference raises ethical questions about the responsibilities of archaeologists: how to balance the demands of funding bodies, governments, and communities while safeguarding the integrity of the past. Ultimately, acknowledging the political dimensions of archaeology is essential for developing practices that resist manipulation and foster more inclusive, transparent accounts of human history.</w:t>
      </w:r>
    </w:p>
    <w:p w14:paraId="3439DDCF" w14:textId="14AB5CA1" w:rsidR="00B31670" w:rsidRDefault="000E0371" w:rsidP="00A25F61">
      <w:pPr>
        <w:ind w:left="567" w:right="521" w:hanging="141"/>
        <w:rPr>
          <w:rFonts w:ascii="Segoe UI" w:hAnsi="Segoe UI" w:cs="Segoe UI"/>
          <w:color w:val="1D2125"/>
          <w:sz w:val="23"/>
          <w:szCs w:val="23"/>
          <w:shd w:val="clear" w:color="auto" w:fill="FFFFFF"/>
        </w:rPr>
      </w:pPr>
      <w:r w:rsidRPr="000E0371">
        <w:rPr>
          <w:rFonts w:ascii="Segoe UI" w:hAnsi="Segoe UI" w:cs="Segoe UI"/>
          <w:color w:val="1D2125"/>
          <w:sz w:val="23"/>
          <w:szCs w:val="23"/>
          <w:shd w:val="clear" w:color="auto" w:fill="FFFFFF"/>
        </w:rPr>
        <w:t>“Archaeology serves political entities and acts as a mechanism of governance, while at the same time providing resources for resistance to authority and political activism globally”</w:t>
      </w:r>
      <w:r w:rsidR="00A25F61">
        <w:rPr>
          <w:rFonts w:ascii="Segoe UI" w:hAnsi="Segoe UI" w:cs="Segoe UI"/>
          <w:color w:val="1D2125"/>
          <w:sz w:val="23"/>
          <w:szCs w:val="23"/>
          <w:shd w:val="clear" w:color="auto" w:fill="FFFFFF"/>
        </w:rPr>
        <w:t xml:space="preserve"> </w:t>
      </w:r>
      <w:r>
        <w:rPr>
          <w:rFonts w:ascii="Segoe UI" w:hAnsi="Segoe UI" w:cs="Segoe UI"/>
          <w:color w:val="1D2125"/>
          <w:sz w:val="23"/>
          <w:szCs w:val="23"/>
          <w:shd w:val="clear" w:color="auto" w:fill="FFFFFF"/>
        </w:rPr>
        <w:fldChar w:fldCharType="begin"/>
      </w:r>
      <w:r>
        <w:rPr>
          <w:rFonts w:ascii="Segoe UI" w:hAnsi="Segoe UI" w:cs="Segoe UI"/>
          <w:color w:val="1D2125"/>
          <w:sz w:val="23"/>
          <w:szCs w:val="23"/>
          <w:shd w:val="clear" w:color="auto" w:fill="FFFFFF"/>
        </w:rPr>
        <w:instrText xml:space="preserve"> ADDIN ZOTERO_ITEM CSL_CITATION {"citationID":"FgZCEXhd","properties":{"formattedCitation":"({\\i{}Archaeology as Politics}, no date)","plainCitation":"(Archaeology as Politics, no date)","noteIndex":0},"citationItems":[{"id":87,"uris":["http://zotero.org/users/local/NNZzcgDv/items/KTZUNHQN"],"itemData":{"id":87,"type":"webpage","abstract":"This chapter examines archaeology as it relates to politics, emphasising the inevitably political nature of the field, to support established forms or present challenges to them. It examines the manner in which archaeology serves political entities and as a mechanism of governance. It considers how archaeologists respond to power relations and how archaeology provides a basis and resources for resistance to authority, especially as a form of political activism globally.","container-title":"CoLab","language":"en","title":"Archaeology as Politics","URL":"https://colab.ws/articles/10.1007%2F978-3-031-69828-6_6","accessed":{"date-parts":[["2025",12,7]]}}}],"schema":"https://github.com/citation-style-language/schema/raw/master/csl-citation.json"} </w:instrText>
      </w:r>
      <w:r>
        <w:rPr>
          <w:rFonts w:ascii="Segoe UI" w:hAnsi="Segoe UI" w:cs="Segoe UI"/>
          <w:color w:val="1D2125"/>
          <w:sz w:val="23"/>
          <w:szCs w:val="23"/>
          <w:shd w:val="clear" w:color="auto" w:fill="FFFFFF"/>
        </w:rPr>
        <w:fldChar w:fldCharType="separate"/>
      </w:r>
      <w:r w:rsidRPr="000E0371">
        <w:rPr>
          <w:rFonts w:ascii="Segoe UI" w:hAnsi="Segoe UI" w:cs="Segoe UI"/>
          <w:kern w:val="0"/>
          <w:sz w:val="23"/>
        </w:rPr>
        <w:t>(</w:t>
      </w:r>
      <w:r w:rsidRPr="000E0371">
        <w:rPr>
          <w:rFonts w:ascii="Segoe UI" w:hAnsi="Segoe UI" w:cs="Segoe UI"/>
          <w:i/>
          <w:iCs/>
          <w:kern w:val="0"/>
          <w:sz w:val="23"/>
        </w:rPr>
        <w:t>Archaeology as Politics</w:t>
      </w:r>
      <w:r w:rsidRPr="000E0371">
        <w:rPr>
          <w:rFonts w:ascii="Segoe UI" w:hAnsi="Segoe UI" w:cs="Segoe UI"/>
          <w:kern w:val="0"/>
          <w:sz w:val="23"/>
        </w:rPr>
        <w:t xml:space="preserve">, </w:t>
      </w:r>
      <w:r w:rsidR="00D31748">
        <w:rPr>
          <w:rFonts w:ascii="Segoe UI" w:hAnsi="Segoe UI" w:cs="Segoe UI"/>
          <w:kern w:val="0"/>
          <w:sz w:val="23"/>
        </w:rPr>
        <w:t>2024</w:t>
      </w:r>
      <w:r w:rsidRPr="000E0371">
        <w:rPr>
          <w:rFonts w:ascii="Segoe UI" w:hAnsi="Segoe UI" w:cs="Segoe UI"/>
          <w:kern w:val="0"/>
          <w:sz w:val="23"/>
        </w:rPr>
        <w:t>)</w:t>
      </w:r>
      <w:r>
        <w:rPr>
          <w:rFonts w:ascii="Segoe UI" w:hAnsi="Segoe UI" w:cs="Segoe UI"/>
          <w:color w:val="1D2125"/>
          <w:sz w:val="23"/>
          <w:szCs w:val="23"/>
          <w:shd w:val="clear" w:color="auto" w:fill="FFFFFF"/>
        </w:rPr>
        <w:fldChar w:fldCharType="end"/>
      </w:r>
      <w:r w:rsidR="00D31748">
        <w:rPr>
          <w:rFonts w:ascii="Segoe UI" w:hAnsi="Segoe UI" w:cs="Segoe UI"/>
          <w:color w:val="1D2125"/>
          <w:sz w:val="23"/>
          <w:szCs w:val="23"/>
          <w:shd w:val="clear" w:color="auto" w:fill="FFFFFF"/>
        </w:rPr>
        <w:t>.</w:t>
      </w:r>
    </w:p>
    <w:p w14:paraId="695E1E7A" w14:textId="2297B032" w:rsidR="000E0371" w:rsidRDefault="00170D79">
      <w:pPr>
        <w:rPr>
          <w:rFonts w:ascii="Segoe UI" w:hAnsi="Segoe UI" w:cs="Segoe UI"/>
          <w:color w:val="1D2125"/>
          <w:sz w:val="23"/>
          <w:szCs w:val="23"/>
          <w:shd w:val="clear" w:color="auto" w:fill="FFFFFF"/>
        </w:rPr>
      </w:pPr>
      <w:r w:rsidRPr="00170D79">
        <w:rPr>
          <w:rFonts w:ascii="Segoe UI" w:hAnsi="Segoe UI" w:cs="Segoe UI"/>
          <w:color w:val="1D2125"/>
          <w:sz w:val="23"/>
          <w:szCs w:val="23"/>
          <w:shd w:val="clear" w:color="auto" w:fill="FFFFFF"/>
        </w:rPr>
        <w:t>Political archaeology, the intersection of politics and archaeological research, demonstrates how political motives can profoundly shape historical interpretations. Archaeology is never fully neutral; it operates within social and political contexts that influence what is excavated, how evidence is framed, and which narratives are elevated. States and institutions often use archaeology to legitimize authority, reinforce nationalist myths, or construct collective identities, privileging certain pasts while silencing others. Monuments and artifacts may be presented as proof of continuity between ancient civilizations and modern nations, strengthening territorial or cultural claims. At the same time, findings that challenge official narratives are frequently ignored or marginalized, revealing how selective interpretation serves ideological ends.</w:t>
      </w:r>
      <w:r w:rsidR="00CF0579" w:rsidRPr="00CF0579">
        <w:t xml:space="preserve"> </w:t>
      </w:r>
      <w:r w:rsidR="00CF0579" w:rsidRPr="00CF0579">
        <w:rPr>
          <w:rFonts w:ascii="Segoe UI" w:hAnsi="Segoe UI" w:cs="Segoe UI"/>
          <w:color w:val="1D2125"/>
          <w:sz w:val="23"/>
          <w:szCs w:val="23"/>
          <w:shd w:val="clear" w:color="auto" w:fill="FFFFFF"/>
        </w:rPr>
        <w:t>Yet political archaeology also offers opportunities for resistance, enabling marginalized communities to reclaim heritage and contest dominant discourses. This dual role underscores the ethical responsibility of archaeologists to recognize political entanglements and guard against distortion. By critically examining these intersections, scholars can expose bias and promote more inclusive accounts of human history.</w:t>
      </w:r>
    </w:p>
    <w:bookmarkEnd w:id="0"/>
    <w:p w14:paraId="4F7D02BC" w14:textId="499FDB42" w:rsidR="00791548" w:rsidRDefault="00791548" w:rsidP="007A18B6">
      <w:pPr>
        <w:ind w:left="567" w:right="521" w:hanging="141"/>
        <w:rPr>
          <w:rFonts w:ascii="Segoe UI" w:hAnsi="Segoe UI" w:cs="Segoe UI"/>
          <w:color w:val="1D2125"/>
          <w:sz w:val="23"/>
          <w:szCs w:val="23"/>
          <w:shd w:val="clear" w:color="auto" w:fill="FFFFFF"/>
        </w:rPr>
      </w:pPr>
      <w:r>
        <w:rPr>
          <w:rFonts w:ascii="Segoe UI" w:hAnsi="Segoe UI" w:cs="Segoe UI"/>
          <w:color w:val="1D2125"/>
          <w:sz w:val="23"/>
          <w:szCs w:val="23"/>
          <w:shd w:val="clear" w:color="auto" w:fill="FFFFFF"/>
        </w:rPr>
        <w:t>“</w:t>
      </w:r>
      <w:r w:rsidR="00280696" w:rsidRPr="00280696">
        <w:rPr>
          <w:rFonts w:ascii="Segoe UI" w:hAnsi="Segoe UI" w:cs="Segoe UI"/>
          <w:color w:val="1D2125"/>
          <w:sz w:val="23"/>
          <w:szCs w:val="23"/>
          <w:shd w:val="clear" w:color="auto" w:fill="FFFFFF"/>
        </w:rPr>
        <w:t>Political archaeology, the intersection of politics and archaeological research, reveals how political motives can shape historical interpretations</w:t>
      </w:r>
      <w:r>
        <w:rPr>
          <w:rFonts w:ascii="Segoe UI" w:hAnsi="Segoe UI" w:cs="Segoe UI"/>
          <w:color w:val="1D2125"/>
          <w:sz w:val="23"/>
          <w:szCs w:val="23"/>
          <w:shd w:val="clear" w:color="auto" w:fill="FFFFFF"/>
        </w:rPr>
        <w:t>”</w:t>
      </w:r>
      <w:r w:rsidR="00280696" w:rsidRPr="00280696">
        <w:rPr>
          <w:rFonts w:ascii="Segoe UI" w:hAnsi="Segoe UI" w:cs="Segoe UI"/>
          <w:color w:val="1D2125"/>
          <w:sz w:val="23"/>
          <w:szCs w:val="23"/>
          <w:shd w:val="clear" w:color="auto" w:fill="FFFFFF"/>
        </w:rPr>
        <w:t xml:space="preserve"> </w:t>
      </w:r>
      <w:r w:rsidR="00893ADC">
        <w:rPr>
          <w:rFonts w:ascii="Segoe UI" w:hAnsi="Segoe UI" w:cs="Segoe UI"/>
          <w:color w:val="1D2125"/>
          <w:sz w:val="23"/>
          <w:szCs w:val="23"/>
          <w:shd w:val="clear" w:color="auto" w:fill="FFFFFF"/>
        </w:rPr>
        <w:fldChar w:fldCharType="begin"/>
      </w:r>
      <w:r w:rsidR="00893ADC">
        <w:rPr>
          <w:rFonts w:ascii="Segoe UI" w:hAnsi="Segoe UI" w:cs="Segoe UI"/>
          <w:color w:val="1D2125"/>
          <w:sz w:val="23"/>
          <w:szCs w:val="23"/>
          <w:shd w:val="clear" w:color="auto" w:fill="FFFFFF"/>
        </w:rPr>
        <w:instrText xml:space="preserve"> ADDIN ZOTERO_ITEM CSL_CITATION {"citationID":"Kf2nPnHT","properties":{"formattedCitation":"(Mortazavi, 2024, p. 81)","plainCitation":"(Mortazavi, 2024, p. 81)","noteIndex":0},"citationItems":[{"id":34,"uris":["http://zotero.org/users/local/NNZzcgDv/items/IAR7GMNI"],"itemData":{"id":34,"type":"article-journal","abstract":"Political archaeology and archaeology of liberation are two of several different aspects of the relationship between archaeology and politics. In this note, I will examine political archaeology from the aspect of its negative effects, and I will examine archaeology of liberation from the aspect of its positive effects, although each may have other benefits and harms. This means I do not intend to praise one and blame the other. Rather, I will express the most common methods that can strengthen the negative and positive aspects. For example, just as political archaeology has a negative aspect, it is possible that liberating archaeology may also show negative aspects in case of inaccuracy. Political archaeology, the intersection of politics and archaeological research, reveals how political motives can shape historical interpretations. By examining the subjective nature of historical understanding and how human perception influences our understanding of the past, we can recognize how archaeology can be manipulated by various individuals, including politicians, for political gain. Archaeology of liberation, a related field, offers a potential solution to the challenges posed by political archaeology. By centreing the voices and experiences of marginalized communities, archaeology of liberation can help to counter the biased narratives often perpetuated by political agendas. By working collaboratively with these communities, archaeologists can develop more inclusive and equitable interpretations of the past. By understanding both political archaeology and archaeology of liberation, we can gain a more comprehensive understanding of how archaeology can be used to both uphold and challenge power structures. Through a critical examination of political archaeology and a commitment to the principles of liberation archaeology, we can work towards a more just and equitable future.","container-title":"Iranian Journal of Archaeological Studies","DOI":"10.22111/ijas.2024.50018.1317","issue":"1","journalAbbreviation":"IJAS","language":"en","page":"81-86","source":"DOI.org (CSL JSON)","title":"Archaeology of Liberation vs. Political Archaeology: Rethinking the Past for a Just Future","title-short":"Archaeology of Liberation vs. Political Archaeology","volume":"14","author":[{"family":"Mortazavi","given":"Mehdi"}],"issued":{"date-parts":[["2024",6]]}},"locator":"81","label":"page"}],"schema":"https://github.com/citation-style-language/schema/raw/master/csl-citation.json"} </w:instrText>
      </w:r>
      <w:r w:rsidR="00893ADC">
        <w:rPr>
          <w:rFonts w:ascii="Segoe UI" w:hAnsi="Segoe UI" w:cs="Segoe UI"/>
          <w:color w:val="1D2125"/>
          <w:sz w:val="23"/>
          <w:szCs w:val="23"/>
          <w:shd w:val="clear" w:color="auto" w:fill="FFFFFF"/>
        </w:rPr>
        <w:fldChar w:fldCharType="separate"/>
      </w:r>
      <w:r w:rsidR="00893ADC" w:rsidRPr="00893ADC">
        <w:rPr>
          <w:rFonts w:ascii="Segoe UI" w:hAnsi="Segoe UI" w:cs="Segoe UI"/>
          <w:sz w:val="23"/>
        </w:rPr>
        <w:t>(Mortazavi, 2024, p. 81)</w:t>
      </w:r>
      <w:r w:rsidR="00893ADC">
        <w:rPr>
          <w:rFonts w:ascii="Segoe UI" w:hAnsi="Segoe UI" w:cs="Segoe UI"/>
          <w:color w:val="1D2125"/>
          <w:sz w:val="23"/>
          <w:szCs w:val="23"/>
          <w:shd w:val="clear" w:color="auto" w:fill="FFFFFF"/>
        </w:rPr>
        <w:fldChar w:fldCharType="end"/>
      </w:r>
      <w:r w:rsidR="00786AA0">
        <w:rPr>
          <w:rFonts w:ascii="Segoe UI" w:hAnsi="Segoe UI" w:cs="Segoe UI"/>
          <w:color w:val="1D2125"/>
          <w:sz w:val="23"/>
          <w:szCs w:val="23"/>
          <w:shd w:val="clear" w:color="auto" w:fill="FFFFFF"/>
        </w:rPr>
        <w:t>.</w:t>
      </w:r>
    </w:p>
    <w:p w14:paraId="43525B4F" w14:textId="77777777" w:rsidR="00791548" w:rsidRDefault="00791548">
      <w:pPr>
        <w:rPr>
          <w:rFonts w:ascii="Segoe UI" w:hAnsi="Segoe UI" w:cs="Segoe UI"/>
          <w:color w:val="1D2125"/>
          <w:sz w:val="23"/>
          <w:szCs w:val="23"/>
          <w:shd w:val="clear" w:color="auto" w:fill="FFFFFF"/>
        </w:rPr>
      </w:pPr>
    </w:p>
    <w:p w14:paraId="7B9AC2F2" w14:textId="5F765788" w:rsidR="003D104B" w:rsidRDefault="00517B74">
      <w:pPr>
        <w:rPr>
          <w:rFonts w:ascii="Segoe UI" w:hAnsi="Segoe UI" w:cs="Segoe UI"/>
          <w:color w:val="1D2125"/>
          <w:sz w:val="23"/>
          <w:szCs w:val="23"/>
          <w:shd w:val="clear" w:color="auto" w:fill="FFFFFF"/>
        </w:rPr>
      </w:pPr>
      <w:r w:rsidRPr="00517B74">
        <w:rPr>
          <w:rFonts w:ascii="Segoe UI" w:hAnsi="Segoe UI" w:cs="Segoe UI"/>
          <w:color w:val="1D2125"/>
          <w:sz w:val="23"/>
          <w:szCs w:val="23"/>
          <w:shd w:val="clear" w:color="auto" w:fill="FFFFFF"/>
        </w:rPr>
        <w:t>By examining the subjective nature of historical understanding and how human perception influences our interpretation of the past, we can recognize how archaeology can be manipulated by various individuals, including politicians, for political gain. Archaeological evidence does not speak for itself; it requires interpretation, and those interpretations are inevitably shaped by cultural values, ideological frameworks, and political agendas. This subjectivity creates opportunities for selective use of archaeological data, where certain findings are emphasized to legitimize authority or reinforce nationalist myths, while inconvenient evidence is downplayed or ignored.</w:t>
      </w:r>
    </w:p>
    <w:p w14:paraId="28A03C94" w14:textId="2CC572E3" w:rsidR="00517B74" w:rsidRDefault="00C40228">
      <w:pPr>
        <w:rPr>
          <w:rFonts w:ascii="Segoe UI" w:hAnsi="Segoe UI" w:cs="Segoe UI"/>
          <w:color w:val="1D2125"/>
          <w:sz w:val="23"/>
          <w:szCs w:val="23"/>
          <w:shd w:val="clear" w:color="auto" w:fill="FFFFFF"/>
        </w:rPr>
      </w:pPr>
      <w:r w:rsidRPr="00C40228">
        <w:rPr>
          <w:rFonts w:ascii="Segoe UI" w:hAnsi="Segoe UI" w:cs="Segoe UI"/>
          <w:color w:val="1D2125"/>
          <w:sz w:val="23"/>
          <w:szCs w:val="23"/>
          <w:shd w:val="clear" w:color="auto" w:fill="FFFFFF"/>
        </w:rPr>
        <w:t>Politicians and institutions often exploit archaeology to construct narratives of continuity, presenting monuments or artifacts as proof of ancient legitimacy for modern claims to territory, identity, or power. Such practices reveal how archaeology can be transformed into a tool of propaganda rather than a discipline of objective inquiry. At the same time, awareness of this manipulation underscores the ethical responsibility of archaeologists to critically examine their own assumptions and resist distortions. By acknowledging the political dimensions of interpretation, scholars can work toward more transparent and inclusive accounts of the past, ensuring that archaeology serves as a means of understanding rather than exploitation.</w:t>
      </w:r>
    </w:p>
    <w:p w14:paraId="0ED0E827" w14:textId="153157B8" w:rsidR="00280696" w:rsidRDefault="00791548" w:rsidP="007A18B6">
      <w:pPr>
        <w:ind w:left="567" w:right="521"/>
        <w:rPr>
          <w:rFonts w:ascii="Segoe UI" w:hAnsi="Segoe UI" w:cs="Segoe UI"/>
          <w:color w:val="1D2125"/>
          <w:sz w:val="23"/>
          <w:szCs w:val="23"/>
          <w:shd w:val="clear" w:color="auto" w:fill="FFFFFF"/>
        </w:rPr>
      </w:pPr>
      <w:r>
        <w:rPr>
          <w:rFonts w:ascii="Segoe UI" w:hAnsi="Segoe UI" w:cs="Segoe UI"/>
          <w:color w:val="1D2125"/>
          <w:sz w:val="23"/>
          <w:szCs w:val="23"/>
          <w:shd w:val="clear" w:color="auto" w:fill="FFFFFF"/>
        </w:rPr>
        <w:t>“</w:t>
      </w:r>
      <w:r w:rsidR="00280696" w:rsidRPr="00280696">
        <w:rPr>
          <w:rFonts w:ascii="Segoe UI" w:hAnsi="Segoe UI" w:cs="Segoe UI"/>
          <w:color w:val="1D2125"/>
          <w:sz w:val="23"/>
          <w:szCs w:val="23"/>
          <w:shd w:val="clear" w:color="auto" w:fill="FFFFFF"/>
        </w:rPr>
        <w:t>By examining the subjective nature of historical understanding and how human perception influences our understanding of the past, we can recognize how archaeology can be manipulated by various individuals, including politicians, for political gain.</w:t>
      </w:r>
      <w:r>
        <w:rPr>
          <w:rFonts w:ascii="Segoe UI" w:hAnsi="Segoe UI" w:cs="Segoe UI"/>
          <w:color w:val="1D2125"/>
          <w:sz w:val="23"/>
          <w:szCs w:val="23"/>
          <w:shd w:val="clear" w:color="auto" w:fill="FFFFFF"/>
        </w:rPr>
        <w:t>”</w:t>
      </w:r>
      <w:r w:rsidR="00830951">
        <w:rPr>
          <w:rFonts w:ascii="Segoe UI" w:hAnsi="Segoe UI" w:cs="Segoe UI"/>
          <w:color w:val="1D2125"/>
          <w:sz w:val="23"/>
          <w:szCs w:val="23"/>
          <w:shd w:val="clear" w:color="auto" w:fill="FFFFFF"/>
        </w:rPr>
        <w:fldChar w:fldCharType="begin"/>
      </w:r>
      <w:r w:rsidR="00893ADC">
        <w:rPr>
          <w:rFonts w:ascii="Segoe UI" w:hAnsi="Segoe UI" w:cs="Segoe UI"/>
          <w:color w:val="1D2125"/>
          <w:sz w:val="23"/>
          <w:szCs w:val="23"/>
          <w:shd w:val="clear" w:color="auto" w:fill="FFFFFF"/>
        </w:rPr>
        <w:instrText xml:space="preserve"> ADDIN ZOTERO_ITEM CSL_CITATION {"citationID":"OsjCMqyo","properties":{"formattedCitation":"(Mortazavi, 2024, p. 81)","plainCitation":"(Mortazavi, 2024, p. 81)","noteIndex":0},"citationItems":[{"id":34,"uris":["http://zotero.org/users/local/NNZzcgDv/items/IAR7GMNI"],"itemData":{"id":34,"type":"article-journal","abstract":"Political archaeology and archaeology of liberation are two of several different aspects of the relationship between archaeology and politics. In this note, I will examine political archaeology from the aspect of its negative effects, and I will examine archaeology of liberation from the aspect of its positive effects, although each may have other benefits and harms. This means I do not intend to praise one and blame the other. Rather, I will express the most common methods that can strengthen the negative and positive aspects. For example, just as political archaeology has a negative aspect, it is possible that liberating archaeology may also show negative aspects in case of inaccuracy. Political archaeology, the intersection of politics and archaeological research, reveals how political motives can shape historical interpretations. By examining the subjective nature of historical understanding and how human perception influences our understanding of the past, we can recognize how archaeology can be manipulated by various individuals, including politicians, for political gain. Archaeology of liberation, a related field, offers a potential solution to the challenges posed by political archaeology. By centreing the voices and experiences of marginalized communities, archaeology of liberation can help to counter the biased narratives often perpetuated by political agendas. By working collaboratively with these communities, archaeologists can develop more inclusive and equitable interpretations of the past. By understanding both political archaeology and archaeology of liberation, we can gain a more comprehensive understanding of how archaeology can be used to both uphold and challenge power structures. Through a critical examination of political archaeology and a commitment to the principles of liberation archaeology, we can work towards a more just and equitable future.","container-title":"Iranian Journal of Archaeological Studies","DOI":"10.22111/ijas.2024.50018.1317","issue":"1","journalAbbreviation":"IJAS","language":"en","page":"81-86","source":"DOI.org (CSL JSON)","title":"Archaeology of Liberation vs. Political Archaeology: Rethinking the Past for a Just Future","title-short":"Archaeology of Liberation vs. Political Archaeology","volume":"14","author":[{"family":"Mortazavi","given":"Mehdi"}],"issued":{"date-parts":[["2024",6]]}},"locator":"81","label":"page"}],"schema":"https://github.com/citation-style-language/schema/raw/master/csl-citation.json"} </w:instrText>
      </w:r>
      <w:r w:rsidR="00830951">
        <w:rPr>
          <w:rFonts w:ascii="Segoe UI" w:hAnsi="Segoe UI" w:cs="Segoe UI"/>
          <w:color w:val="1D2125"/>
          <w:sz w:val="23"/>
          <w:szCs w:val="23"/>
          <w:shd w:val="clear" w:color="auto" w:fill="FFFFFF"/>
        </w:rPr>
        <w:fldChar w:fldCharType="separate"/>
      </w:r>
      <w:r w:rsidR="00830951" w:rsidRPr="00830951">
        <w:rPr>
          <w:rFonts w:ascii="Segoe UI" w:hAnsi="Segoe UI" w:cs="Segoe UI"/>
          <w:sz w:val="23"/>
        </w:rPr>
        <w:t>(Mortazavi, 2024, p. 81)</w:t>
      </w:r>
      <w:r w:rsidR="00830951">
        <w:rPr>
          <w:rFonts w:ascii="Segoe UI" w:hAnsi="Segoe UI" w:cs="Segoe UI"/>
          <w:color w:val="1D2125"/>
          <w:sz w:val="23"/>
          <w:szCs w:val="23"/>
          <w:shd w:val="clear" w:color="auto" w:fill="FFFFFF"/>
        </w:rPr>
        <w:fldChar w:fldCharType="end"/>
      </w:r>
      <w:r w:rsidR="00786AA0">
        <w:rPr>
          <w:rFonts w:ascii="Segoe UI" w:hAnsi="Segoe UI" w:cs="Segoe UI"/>
          <w:color w:val="1D2125"/>
          <w:sz w:val="23"/>
          <w:szCs w:val="23"/>
          <w:shd w:val="clear" w:color="auto" w:fill="FFFFFF"/>
        </w:rPr>
        <w:t>.</w:t>
      </w:r>
    </w:p>
    <w:p w14:paraId="7827F6AC" w14:textId="7824DED5" w:rsidR="00EA5DA7" w:rsidRDefault="008B1546">
      <w:pPr>
        <w:rPr>
          <w:rFonts w:ascii="Segoe UI" w:hAnsi="Segoe UI" w:cs="Segoe UI"/>
          <w:color w:val="1D2125"/>
          <w:sz w:val="23"/>
          <w:szCs w:val="23"/>
          <w:shd w:val="clear" w:color="auto" w:fill="FFFFFF"/>
        </w:rPr>
      </w:pPr>
      <w:r>
        <w:rPr>
          <w:rFonts w:ascii="Segoe UI" w:hAnsi="Segoe UI" w:cs="Segoe UI"/>
          <w:color w:val="1D2125"/>
          <w:sz w:val="23"/>
          <w:szCs w:val="23"/>
          <w:shd w:val="clear" w:color="auto" w:fill="FFFFFF"/>
        </w:rPr>
        <w:t>M</w:t>
      </w:r>
      <w:r w:rsidR="003264AD">
        <w:rPr>
          <w:rFonts w:ascii="Segoe UI" w:hAnsi="Segoe UI" w:cs="Segoe UI"/>
          <w:color w:val="1D2125"/>
          <w:sz w:val="23"/>
          <w:szCs w:val="23"/>
          <w:shd w:val="clear" w:color="auto" w:fill="FFFFFF"/>
        </w:rPr>
        <w:t>o</w:t>
      </w:r>
      <w:r>
        <w:rPr>
          <w:rFonts w:ascii="Segoe UI" w:hAnsi="Segoe UI" w:cs="Segoe UI"/>
          <w:color w:val="1D2125"/>
          <w:sz w:val="23"/>
          <w:szCs w:val="23"/>
          <w:shd w:val="clear" w:color="auto" w:fill="FFFFFF"/>
        </w:rPr>
        <w:t xml:space="preserve">rtazavi uses the </w:t>
      </w:r>
      <w:r w:rsidR="00286492">
        <w:rPr>
          <w:rFonts w:ascii="Segoe UI" w:hAnsi="Segoe UI" w:cs="Segoe UI"/>
          <w:color w:val="1D2125"/>
          <w:sz w:val="23"/>
          <w:szCs w:val="23"/>
          <w:shd w:val="clear" w:color="auto" w:fill="FFFFFF"/>
        </w:rPr>
        <w:t>term</w:t>
      </w:r>
      <w:r>
        <w:rPr>
          <w:rFonts w:ascii="Segoe UI" w:hAnsi="Segoe UI" w:cs="Segoe UI"/>
          <w:color w:val="1D2125"/>
          <w:sz w:val="23"/>
          <w:szCs w:val="23"/>
          <w:shd w:val="clear" w:color="auto" w:fill="FFFFFF"/>
        </w:rPr>
        <w:t xml:space="preserve"> liberation arch</w:t>
      </w:r>
      <w:r w:rsidR="004F51D3">
        <w:rPr>
          <w:rFonts w:ascii="Segoe UI" w:hAnsi="Segoe UI" w:cs="Segoe UI"/>
          <w:color w:val="1D2125"/>
          <w:sz w:val="23"/>
          <w:szCs w:val="23"/>
          <w:shd w:val="clear" w:color="auto" w:fill="FFFFFF"/>
        </w:rPr>
        <w:t xml:space="preserve">aeology to promote a different approach </w:t>
      </w:r>
      <w:proofErr w:type="gramStart"/>
      <w:r w:rsidR="00286492">
        <w:rPr>
          <w:rFonts w:ascii="Segoe UI" w:hAnsi="Segoe UI" w:cs="Segoe UI"/>
          <w:color w:val="1D2125"/>
          <w:sz w:val="23"/>
          <w:szCs w:val="23"/>
          <w:shd w:val="clear" w:color="auto" w:fill="FFFFFF"/>
        </w:rPr>
        <w:t>in order to</w:t>
      </w:r>
      <w:proofErr w:type="gramEnd"/>
      <w:r w:rsidR="00286492">
        <w:rPr>
          <w:rFonts w:ascii="Segoe UI" w:hAnsi="Segoe UI" w:cs="Segoe UI"/>
          <w:color w:val="1D2125"/>
          <w:sz w:val="23"/>
          <w:szCs w:val="23"/>
          <w:shd w:val="clear" w:color="auto" w:fill="FFFFFF"/>
        </w:rPr>
        <w:t xml:space="preserve"> combat the political po</w:t>
      </w:r>
      <w:r w:rsidR="00BA0D8B">
        <w:rPr>
          <w:rFonts w:ascii="Segoe UI" w:hAnsi="Segoe UI" w:cs="Segoe UI"/>
          <w:color w:val="1D2125"/>
          <w:sz w:val="23"/>
          <w:szCs w:val="23"/>
          <w:shd w:val="clear" w:color="auto" w:fill="FFFFFF"/>
        </w:rPr>
        <w:t xml:space="preserve">wer structures that oppress and und undermine them. </w:t>
      </w:r>
      <w:r w:rsidR="00286492">
        <w:rPr>
          <w:rFonts w:ascii="Segoe UI" w:hAnsi="Segoe UI" w:cs="Segoe UI"/>
          <w:color w:val="1D2125"/>
          <w:sz w:val="23"/>
          <w:szCs w:val="23"/>
          <w:shd w:val="clear" w:color="auto" w:fill="FFFFFF"/>
        </w:rPr>
        <w:t xml:space="preserve"> </w:t>
      </w:r>
    </w:p>
    <w:p w14:paraId="3064682F" w14:textId="302F2C55" w:rsidR="002F0B7F" w:rsidRDefault="002F0B7F">
      <w:pPr>
        <w:rPr>
          <w:rFonts w:ascii="Segoe UI" w:hAnsi="Segoe UI" w:cs="Segoe UI"/>
          <w:color w:val="1D2125"/>
          <w:sz w:val="23"/>
          <w:szCs w:val="23"/>
          <w:shd w:val="clear" w:color="auto" w:fill="FFFFFF"/>
        </w:rPr>
      </w:pPr>
      <w:r>
        <w:rPr>
          <w:rFonts w:ascii="Segoe UI" w:hAnsi="Segoe UI" w:cs="Segoe UI"/>
          <w:color w:val="1D2125"/>
          <w:sz w:val="23"/>
          <w:szCs w:val="23"/>
          <w:shd w:val="clear" w:color="auto" w:fill="FFFFFF"/>
        </w:rPr>
        <w:lastRenderedPageBreak/>
        <w:t>Perring and Van Der Linde recognise the</w:t>
      </w:r>
      <w:r w:rsidR="00D70EC1">
        <w:rPr>
          <w:rFonts w:ascii="Segoe UI" w:hAnsi="Segoe UI" w:cs="Segoe UI"/>
          <w:color w:val="1D2125"/>
          <w:sz w:val="23"/>
          <w:szCs w:val="23"/>
          <w:shd w:val="clear" w:color="auto" w:fill="FFFFFF"/>
        </w:rPr>
        <w:t xml:space="preserve"> interests</w:t>
      </w:r>
      <w:r>
        <w:rPr>
          <w:rFonts w:ascii="Segoe UI" w:hAnsi="Segoe UI" w:cs="Segoe UI"/>
          <w:color w:val="1D2125"/>
          <w:sz w:val="23"/>
          <w:szCs w:val="23"/>
          <w:shd w:val="clear" w:color="auto" w:fill="FFFFFF"/>
        </w:rPr>
        <w:t xml:space="preserve"> of archaeologists are</w:t>
      </w:r>
      <w:r w:rsidR="00D70EC1">
        <w:rPr>
          <w:rFonts w:ascii="Segoe UI" w:hAnsi="Segoe UI" w:cs="Segoe UI"/>
          <w:color w:val="1D2125"/>
          <w:sz w:val="23"/>
          <w:szCs w:val="23"/>
          <w:shd w:val="clear" w:color="auto" w:fill="FFFFFF"/>
        </w:rPr>
        <w:t xml:space="preserve"> not</w:t>
      </w:r>
      <w:r>
        <w:rPr>
          <w:rFonts w:ascii="Segoe UI" w:hAnsi="Segoe UI" w:cs="Segoe UI"/>
          <w:color w:val="1D2125"/>
          <w:sz w:val="23"/>
          <w:szCs w:val="23"/>
          <w:shd w:val="clear" w:color="auto" w:fill="FFFFFF"/>
        </w:rPr>
        <w:t xml:space="preserve"> always aligned with that of communities</w:t>
      </w:r>
      <w:r w:rsidR="00D70EC1">
        <w:rPr>
          <w:rFonts w:ascii="Segoe UI" w:hAnsi="Segoe UI" w:cs="Segoe UI"/>
          <w:color w:val="1D2125"/>
          <w:sz w:val="23"/>
          <w:szCs w:val="23"/>
          <w:shd w:val="clear" w:color="auto" w:fill="FFFFFF"/>
        </w:rPr>
        <w:t>.</w:t>
      </w:r>
    </w:p>
    <w:p w14:paraId="27431723" w14:textId="0E6A982A" w:rsidR="002F0B7F" w:rsidRDefault="002F0B7F" w:rsidP="005F6848">
      <w:pPr>
        <w:ind w:left="567" w:right="521" w:hanging="131"/>
        <w:rPr>
          <w:rFonts w:ascii="Segoe UI" w:hAnsi="Segoe UI" w:cs="Segoe UI"/>
          <w:color w:val="1D2125"/>
          <w:sz w:val="23"/>
          <w:szCs w:val="23"/>
          <w:shd w:val="clear" w:color="auto" w:fill="FFFFFF"/>
        </w:rPr>
      </w:pPr>
      <w:r>
        <w:rPr>
          <w:rFonts w:ascii="Segoe UI" w:hAnsi="Segoe UI" w:cs="Segoe UI"/>
          <w:color w:val="1D2125"/>
          <w:sz w:val="23"/>
          <w:szCs w:val="23"/>
          <w:shd w:val="clear" w:color="auto" w:fill="FFFFFF"/>
        </w:rPr>
        <w:t>“</w:t>
      </w:r>
      <w:r w:rsidRPr="002F0B7F">
        <w:rPr>
          <w:rFonts w:ascii="Segoe UI" w:hAnsi="Segoe UI" w:cs="Segoe UI"/>
          <w:color w:val="1D2125"/>
          <w:sz w:val="23"/>
          <w:szCs w:val="23"/>
          <w:shd w:val="clear" w:color="auto" w:fill="FFFFFF"/>
        </w:rPr>
        <w:t>We draw attention to the political nature of archaeological work, and to the problems of reconciling professional interest in the protection and management of cultural property with needs of communities affected by war</w:t>
      </w:r>
      <w:r>
        <w:rPr>
          <w:rFonts w:ascii="Segoe UI" w:hAnsi="Segoe UI" w:cs="Segoe UI"/>
          <w:color w:val="1D2125"/>
          <w:sz w:val="23"/>
          <w:szCs w:val="23"/>
          <w:shd w:val="clear" w:color="auto" w:fill="FFFFFF"/>
        </w:rPr>
        <w:t>”</w:t>
      </w:r>
      <w:r>
        <w:rPr>
          <w:rFonts w:ascii="Segoe UI" w:hAnsi="Segoe UI" w:cs="Segoe UI"/>
          <w:color w:val="1D2125"/>
          <w:sz w:val="23"/>
          <w:szCs w:val="23"/>
          <w:shd w:val="clear" w:color="auto" w:fill="FFFFFF"/>
        </w:rPr>
        <w:fldChar w:fldCharType="begin"/>
      </w:r>
      <w:r>
        <w:rPr>
          <w:rFonts w:ascii="Segoe UI" w:hAnsi="Segoe UI" w:cs="Segoe UI"/>
          <w:color w:val="1D2125"/>
          <w:sz w:val="23"/>
          <w:szCs w:val="23"/>
          <w:shd w:val="clear" w:color="auto" w:fill="FFFFFF"/>
        </w:rPr>
        <w:instrText xml:space="preserve"> ADDIN ZOTERO_ITEM CSL_CITATION {"citationID":"HDmov6kL","properties":{"formattedCitation":"(Perring and Van Der Linde, 2009, p. 197)","plainCitation":"(Perring and Van Der Linde, 2009, p. 197)","noteIndex":0},"citationItems":[{"id":36,"uris":["http://zotero.org/users/local/NNZzcgDv/items/ETNT389E"],"itemData":{"id":36,"type":"article-journal","container-title":"Conservation and Management of Archaeological Sites","DOI":"10.1179/175355210X12747818485321","ISSN":"1350-5033, 1753-5522","issue":"3-4","journalAbbreviation":"Conservation and Management of Archaeological Sites","language":"en","page":"197-213","source":"DOI.org (Crossref)","title":"The Politics and Practice of Archaeology in Conflict","volume":"11","author":[{"family":"Perring","given":"Dominic"},{"family":"Van Der Linde","given":"Sjoerd"}],"issued":{"date-parts":[["2009",11]]}},"locator":"197"}],"schema":"https://github.com/citation-style-language/schema/raw/master/csl-citation.json"} </w:instrText>
      </w:r>
      <w:r>
        <w:rPr>
          <w:rFonts w:ascii="Segoe UI" w:hAnsi="Segoe UI" w:cs="Segoe UI"/>
          <w:color w:val="1D2125"/>
          <w:sz w:val="23"/>
          <w:szCs w:val="23"/>
          <w:shd w:val="clear" w:color="auto" w:fill="FFFFFF"/>
        </w:rPr>
        <w:fldChar w:fldCharType="separate"/>
      </w:r>
      <w:r w:rsidRPr="002F0B7F">
        <w:rPr>
          <w:rFonts w:ascii="Segoe UI" w:hAnsi="Segoe UI" w:cs="Segoe UI"/>
          <w:sz w:val="23"/>
        </w:rPr>
        <w:t>(Perring and Van Der Linde, 2009, p. 197)</w:t>
      </w:r>
      <w:r>
        <w:rPr>
          <w:rFonts w:ascii="Segoe UI" w:hAnsi="Segoe UI" w:cs="Segoe UI"/>
          <w:color w:val="1D2125"/>
          <w:sz w:val="23"/>
          <w:szCs w:val="23"/>
          <w:shd w:val="clear" w:color="auto" w:fill="FFFFFF"/>
        </w:rPr>
        <w:fldChar w:fldCharType="end"/>
      </w:r>
      <w:r>
        <w:rPr>
          <w:rFonts w:ascii="Segoe UI" w:hAnsi="Segoe UI" w:cs="Segoe UI"/>
          <w:color w:val="1D2125"/>
          <w:sz w:val="23"/>
          <w:szCs w:val="23"/>
          <w:shd w:val="clear" w:color="auto" w:fill="FFFFFF"/>
        </w:rPr>
        <w:t>.</w:t>
      </w:r>
    </w:p>
    <w:p w14:paraId="47EFD0D6" w14:textId="77777777" w:rsidR="00313AA2" w:rsidRDefault="00D70EC1" w:rsidP="00D70EC1">
      <w:pPr>
        <w:ind w:left="142" w:right="1088" w:hanging="142"/>
        <w:rPr>
          <w:rFonts w:ascii="Segoe UI" w:hAnsi="Segoe UI" w:cs="Segoe UI"/>
          <w:color w:val="1D2125"/>
          <w:sz w:val="23"/>
          <w:szCs w:val="23"/>
          <w:shd w:val="clear" w:color="auto" w:fill="FFFFFF"/>
        </w:rPr>
      </w:pPr>
      <w:r>
        <w:rPr>
          <w:rFonts w:ascii="Segoe UI" w:hAnsi="Segoe UI" w:cs="Segoe UI"/>
          <w:color w:val="1D2125"/>
          <w:sz w:val="23"/>
          <w:szCs w:val="23"/>
          <w:shd w:val="clear" w:color="auto" w:fill="FFFFFF"/>
        </w:rPr>
        <w:t xml:space="preserve">This is particularly true of conflict archaeology when the feelings of a community may be particularly strong and have conflicting feelings on a </w:t>
      </w:r>
    </w:p>
    <w:p w14:paraId="178F9D4F" w14:textId="4B9659D9" w:rsidR="009110BA" w:rsidRDefault="00D70EC1" w:rsidP="00D70EC1">
      <w:pPr>
        <w:ind w:left="142" w:right="1088" w:hanging="142"/>
        <w:rPr>
          <w:rFonts w:ascii="Segoe UI" w:hAnsi="Segoe UI" w:cs="Segoe UI"/>
          <w:color w:val="1D2125"/>
          <w:sz w:val="23"/>
          <w:szCs w:val="23"/>
          <w:shd w:val="clear" w:color="auto" w:fill="FFFFFF"/>
        </w:rPr>
      </w:pPr>
      <w:r>
        <w:rPr>
          <w:rFonts w:ascii="Segoe UI" w:hAnsi="Segoe UI" w:cs="Segoe UI"/>
          <w:color w:val="1D2125"/>
          <w:sz w:val="23"/>
          <w:szCs w:val="23"/>
          <w:shd w:val="clear" w:color="auto" w:fill="FFFFFF"/>
        </w:rPr>
        <w:t>narrative.</w:t>
      </w:r>
      <w:r w:rsidR="00313AA2" w:rsidRPr="00313AA2">
        <w:t xml:space="preserve"> </w:t>
      </w:r>
      <w:r w:rsidR="00313AA2" w:rsidRPr="00313AA2">
        <w:rPr>
          <w:rFonts w:ascii="Segoe UI" w:hAnsi="Segoe UI" w:cs="Segoe UI"/>
          <w:color w:val="1D2125"/>
          <w:sz w:val="23"/>
          <w:szCs w:val="23"/>
          <w:shd w:val="clear" w:color="auto" w:fill="FFFFFF"/>
        </w:rPr>
        <w:t>The treatment of human remains in archaeology represents one of the most ethically and politically complex challenges within the discipline. Human remains are not simply scientific specimens; they embody personal histories, cultural identities, and spiritual significance. When archaeologists excavate, study, or display these remains, they enter contested territory where questions of ownership, respect, and authority collide. Scientific communities often emphasize the knowledge gained from analysis, such as insights into health, diet, or migration, while descendant groups may prioritize dignity, cultural continuity,</w:t>
      </w:r>
      <w:r w:rsidR="002C1870" w:rsidRPr="002C1870">
        <w:t xml:space="preserve"> </w:t>
      </w:r>
      <w:r w:rsidR="002C1870" w:rsidRPr="002C1870">
        <w:rPr>
          <w:rFonts w:ascii="Segoe UI" w:hAnsi="Segoe UI" w:cs="Segoe UI"/>
          <w:color w:val="1D2125"/>
          <w:sz w:val="23"/>
          <w:szCs w:val="23"/>
          <w:shd w:val="clear" w:color="auto" w:fill="FFFFFF"/>
        </w:rPr>
        <w:t xml:space="preserve">and spiritual obligations. This tension transforms human remains into symbols of broader struggles over heritage and power. Governments and institutions may resist returning remains, citing their value for research, while communities demand repatriation as an act of justice and recognition. Such disputes reveal the colonial legacies embedded in archaeological practice and highlight how decisions about reburial or curation are shaped by political agendas as much as by scholarly aims. Navigating this minefield requires transparency, dialogue, and a commitment to ethical responsibility. By acknowledging the cultural and political dimensions of human remains, archaeologists can move toward practices that </w:t>
      </w:r>
      <w:proofErr w:type="spellStart"/>
      <w:r w:rsidR="002C1870" w:rsidRPr="002C1870">
        <w:rPr>
          <w:rFonts w:ascii="Segoe UI" w:hAnsi="Segoe UI" w:cs="Segoe UI"/>
          <w:color w:val="1D2125"/>
          <w:sz w:val="23"/>
          <w:szCs w:val="23"/>
          <w:shd w:val="clear" w:color="auto" w:fill="FFFFFF"/>
        </w:rPr>
        <w:t>honor</w:t>
      </w:r>
      <w:proofErr w:type="spellEnd"/>
      <w:r w:rsidR="002C1870" w:rsidRPr="002C1870">
        <w:rPr>
          <w:rFonts w:ascii="Segoe UI" w:hAnsi="Segoe UI" w:cs="Segoe UI"/>
          <w:color w:val="1D2125"/>
          <w:sz w:val="23"/>
          <w:szCs w:val="23"/>
          <w:shd w:val="clear" w:color="auto" w:fill="FFFFFF"/>
        </w:rPr>
        <w:t xml:space="preserve"> both scientific inquiry and human dignity, ensuring that the past is studied with respect rather than exploitation.</w:t>
      </w:r>
    </w:p>
    <w:p w14:paraId="5D59FB6E" w14:textId="094D2A1F" w:rsidR="008A34DA" w:rsidRDefault="00942BC3" w:rsidP="003361CF">
      <w:pPr>
        <w:ind w:right="1088"/>
        <w:rPr>
          <w:rFonts w:ascii="Segoe UI" w:hAnsi="Segoe UI" w:cs="Segoe UI"/>
          <w:color w:val="1D2125"/>
          <w:sz w:val="23"/>
          <w:szCs w:val="23"/>
          <w:shd w:val="clear" w:color="auto" w:fill="FFFFFF"/>
        </w:rPr>
      </w:pPr>
      <w:bookmarkStart w:id="1" w:name="_Hlk215838812"/>
      <w:bookmarkStart w:id="2" w:name="_Hlk215838939"/>
      <w:r w:rsidRPr="00942BC3">
        <w:rPr>
          <w:rFonts w:ascii="Segoe UI" w:hAnsi="Segoe UI" w:cs="Segoe UI"/>
          <w:color w:val="1D2125"/>
          <w:sz w:val="23"/>
          <w:szCs w:val="23"/>
          <w:shd w:val="clear" w:color="auto" w:fill="FFFFFF"/>
        </w:rPr>
        <w:t>Battlefield archaeology presents a particular challenge when facing contested histories and community memories because it deals with sites that are not only material remnants of conflict but also powerful symbols of identity, trauma, and political meaning. Unlike other archaeological contexts, battlefields often remain embedded in living memory, tied to narratives of victory, defeat, or suffering that communities continue to negotiate. Excavations may uncover artifacts, human remains, or structural evidence that contradict established accounts, forcing archaeologists to navigate tensions between</w:t>
      </w:r>
      <w:r w:rsidR="009F7C55">
        <w:rPr>
          <w:rFonts w:ascii="Segoe UI" w:hAnsi="Segoe UI" w:cs="Segoe UI"/>
          <w:color w:val="1D2125"/>
          <w:sz w:val="23"/>
          <w:szCs w:val="23"/>
          <w:shd w:val="clear" w:color="auto" w:fill="FFFFFF"/>
        </w:rPr>
        <w:t xml:space="preserve"> </w:t>
      </w:r>
      <w:r w:rsidR="009F7C55" w:rsidRPr="009F7C55">
        <w:rPr>
          <w:rFonts w:ascii="Segoe UI" w:hAnsi="Segoe UI" w:cs="Segoe UI"/>
          <w:color w:val="1D2125"/>
          <w:sz w:val="23"/>
          <w:szCs w:val="23"/>
          <w:shd w:val="clear" w:color="auto" w:fill="FFFFFF"/>
        </w:rPr>
        <w:t xml:space="preserve">scholarly interpretation and collective remembrance. For some groups, battlefield sites are sacred spaces of mourning, while for others they are celebrated as markers of national pride, making any intervention politically sensitive. The act of excavation itself can be perceived as either an attempt to </w:t>
      </w:r>
      <w:proofErr w:type="spellStart"/>
      <w:r w:rsidR="009F7C55" w:rsidRPr="009F7C55">
        <w:rPr>
          <w:rFonts w:ascii="Segoe UI" w:hAnsi="Segoe UI" w:cs="Segoe UI"/>
          <w:color w:val="1D2125"/>
          <w:sz w:val="23"/>
          <w:szCs w:val="23"/>
          <w:shd w:val="clear" w:color="auto" w:fill="FFFFFF"/>
        </w:rPr>
        <w:t>honor</w:t>
      </w:r>
      <w:proofErr w:type="spellEnd"/>
      <w:r w:rsidR="009F7C55" w:rsidRPr="009F7C55">
        <w:rPr>
          <w:rFonts w:ascii="Segoe UI" w:hAnsi="Segoe UI" w:cs="Segoe UI"/>
          <w:color w:val="1D2125"/>
          <w:sz w:val="23"/>
          <w:szCs w:val="23"/>
          <w:shd w:val="clear" w:color="auto" w:fill="FFFFFF"/>
        </w:rPr>
        <w:t xml:space="preserve"> the past or as a disruption of memory, depending on the stakeholders involved. This contested terrain requires archaeologists to balance rigorous analysis with ethical sensitivity, engaging with descendant communities, veterans’ groups, and local populations to ensure that interpretations respect diverse perspectives. Ultimately, battlefield archaeology highlights how the material past is inseparable from the social and political present, demanding approaches that</w:t>
      </w:r>
      <w:r w:rsidR="0036079C" w:rsidRPr="0036079C">
        <w:t xml:space="preserve"> </w:t>
      </w:r>
      <w:r w:rsidR="0036079C" w:rsidRPr="0036079C">
        <w:rPr>
          <w:rFonts w:ascii="Segoe UI" w:hAnsi="Segoe UI" w:cs="Segoe UI"/>
          <w:color w:val="1D2125"/>
          <w:sz w:val="23"/>
          <w:szCs w:val="23"/>
          <w:shd w:val="clear" w:color="auto" w:fill="FFFFFF"/>
        </w:rPr>
        <w:t>acknowledge both the evidential value of artifacts and the emotional weight of memory.</w:t>
      </w:r>
    </w:p>
    <w:p w14:paraId="08D133E6" w14:textId="77777777" w:rsidR="009F7C55" w:rsidRPr="00942BC3" w:rsidRDefault="009F7C55" w:rsidP="00D70EC1">
      <w:pPr>
        <w:ind w:left="142" w:right="1088" w:hanging="142"/>
        <w:rPr>
          <w:rFonts w:ascii="Segoe UI" w:hAnsi="Segoe UI" w:cs="Segoe UI"/>
          <w:color w:val="1D2125"/>
          <w:sz w:val="23"/>
          <w:szCs w:val="23"/>
          <w:shd w:val="clear" w:color="auto" w:fill="FFFFFF"/>
        </w:rPr>
      </w:pPr>
    </w:p>
    <w:bookmarkEnd w:id="1"/>
    <w:bookmarkEnd w:id="2"/>
    <w:p w14:paraId="73BD9E0A" w14:textId="77777777" w:rsidR="00923238" w:rsidRDefault="00923238" w:rsidP="003934FA">
      <w:pPr>
        <w:ind w:right="1088"/>
        <w:rPr>
          <w:rFonts w:ascii="Segoe UI" w:hAnsi="Segoe UI" w:cs="Segoe UI"/>
          <w:color w:val="1D2125"/>
          <w:sz w:val="23"/>
          <w:szCs w:val="23"/>
          <w:shd w:val="clear" w:color="auto" w:fill="FFFFFF"/>
        </w:rPr>
      </w:pPr>
    </w:p>
    <w:p w14:paraId="6A6EB30B" w14:textId="3AD47D10" w:rsidR="001D21C8" w:rsidRDefault="006E5CBC">
      <w:pPr>
        <w:rPr>
          <w:rFonts w:ascii="Segoe UI" w:hAnsi="Segoe UI" w:cs="Segoe UI"/>
          <w:color w:val="1D2125"/>
          <w:sz w:val="23"/>
          <w:szCs w:val="23"/>
          <w:shd w:val="clear" w:color="auto" w:fill="FFFFFF"/>
        </w:rPr>
      </w:pPr>
      <w:r w:rsidRPr="006E5CBC">
        <w:rPr>
          <w:rFonts w:ascii="Segoe UI" w:hAnsi="Segoe UI" w:cs="Segoe UI"/>
          <w:color w:val="1D2125"/>
          <w:sz w:val="23"/>
          <w:szCs w:val="23"/>
          <w:shd w:val="clear" w:color="auto" w:fill="FFFFFF"/>
        </w:rPr>
        <w:t>In conclusion, archaeology’s role in society is inseparable from the political, ethical, and cultural contexts in which it operates. Political agendas can distort archaeological narratives, privileging interpretations that reinforce dominant systems, yet the discipline also holds the power to challenge and destabilize those constructed histories. The tension between conservation priorities and community values</w:t>
      </w:r>
      <w:r w:rsidR="00987E6B">
        <w:rPr>
          <w:rFonts w:ascii="Segoe UI" w:hAnsi="Segoe UI" w:cs="Segoe UI"/>
          <w:color w:val="1D2125"/>
          <w:sz w:val="23"/>
          <w:szCs w:val="23"/>
          <w:shd w:val="clear" w:color="auto" w:fill="FFFFFF"/>
        </w:rPr>
        <w:t xml:space="preserve"> </w:t>
      </w:r>
      <w:r w:rsidR="00987E6B" w:rsidRPr="00987E6B">
        <w:rPr>
          <w:rFonts w:ascii="Segoe UI" w:hAnsi="Segoe UI" w:cs="Segoe UI"/>
          <w:color w:val="1D2125"/>
          <w:sz w:val="23"/>
          <w:szCs w:val="23"/>
          <w:shd w:val="clear" w:color="auto" w:fill="FFFFFF"/>
        </w:rPr>
        <w:t>underscores the need for dialogue, while the treatment of human remains reveals the profound ethical and political sensitivities that archaeologists must navigate. Battlefield sites further complicate interpretation, as they embody contested histories and collective memories that demand careful negotiation. In the contemporary era, identity politics provides a new lens through which archaeological practice can be understood, highlighting how heritage is entangled with struggles for recognition, justice, and belonging. Taken together, these challenges demonstrate that archaeology is not merely about uncovering the past but about engaging responsibly with the present. To preserve its integrity, the discipline must balance rigorous</w:t>
      </w:r>
      <w:r w:rsidR="003C328C">
        <w:rPr>
          <w:rFonts w:ascii="Segoe UI" w:hAnsi="Segoe UI" w:cs="Segoe UI"/>
          <w:color w:val="1D2125"/>
          <w:sz w:val="23"/>
          <w:szCs w:val="23"/>
          <w:shd w:val="clear" w:color="auto" w:fill="FFFFFF"/>
        </w:rPr>
        <w:t xml:space="preserve"> </w:t>
      </w:r>
      <w:r w:rsidR="003C328C" w:rsidRPr="003C328C">
        <w:rPr>
          <w:rFonts w:ascii="Segoe UI" w:hAnsi="Segoe UI" w:cs="Segoe UI"/>
          <w:color w:val="1D2125"/>
          <w:sz w:val="23"/>
          <w:szCs w:val="23"/>
          <w:shd w:val="clear" w:color="auto" w:fill="FFFFFF"/>
        </w:rPr>
        <w:t xml:space="preserve">inquiry with ethical sensitivity, ensuring that interpretations </w:t>
      </w:r>
      <w:proofErr w:type="spellStart"/>
      <w:r w:rsidR="003C328C" w:rsidRPr="003C328C">
        <w:rPr>
          <w:rFonts w:ascii="Segoe UI" w:hAnsi="Segoe UI" w:cs="Segoe UI"/>
          <w:color w:val="1D2125"/>
          <w:sz w:val="23"/>
          <w:szCs w:val="23"/>
          <w:shd w:val="clear" w:color="auto" w:fill="FFFFFF"/>
        </w:rPr>
        <w:t>honor</w:t>
      </w:r>
      <w:proofErr w:type="spellEnd"/>
      <w:r w:rsidR="003C328C" w:rsidRPr="003C328C">
        <w:rPr>
          <w:rFonts w:ascii="Segoe UI" w:hAnsi="Segoe UI" w:cs="Segoe UI"/>
          <w:color w:val="1D2125"/>
          <w:sz w:val="23"/>
          <w:szCs w:val="23"/>
          <w:shd w:val="clear" w:color="auto" w:fill="FFFFFF"/>
        </w:rPr>
        <w:t xml:space="preserve"> both material evidence and the diverse communities for whom the past remains a living and contested resource.</w:t>
      </w:r>
    </w:p>
    <w:p w14:paraId="0337994E" w14:textId="77777777" w:rsidR="00D933E8" w:rsidRDefault="00D933E8">
      <w:pPr>
        <w:rPr>
          <w:rFonts w:ascii="Segoe UI" w:hAnsi="Segoe UI" w:cs="Segoe UI"/>
          <w:color w:val="1D2125"/>
          <w:sz w:val="23"/>
          <w:szCs w:val="23"/>
          <w:shd w:val="clear" w:color="auto" w:fill="FFFFFF"/>
        </w:rPr>
      </w:pPr>
    </w:p>
    <w:p w14:paraId="4C13CCB3" w14:textId="77777777" w:rsidR="00D933E8" w:rsidRDefault="002F0B7F">
      <w:pPr>
        <w:rPr>
          <w:rFonts w:ascii="Segoe UI" w:hAnsi="Segoe UI" w:cs="Segoe UI"/>
          <w:color w:val="1D2125"/>
          <w:sz w:val="23"/>
          <w:szCs w:val="23"/>
          <w:shd w:val="clear" w:color="auto" w:fill="FFFFFF"/>
        </w:rPr>
      </w:pPr>
      <w:r>
        <w:rPr>
          <w:rFonts w:ascii="Segoe UI" w:hAnsi="Segoe UI" w:cs="Segoe UI"/>
          <w:color w:val="1D2125"/>
          <w:sz w:val="23"/>
          <w:szCs w:val="23"/>
          <w:shd w:val="clear" w:color="auto" w:fill="FFFFFF"/>
        </w:rPr>
        <w:t>Bibliography</w:t>
      </w:r>
    </w:p>
    <w:p w14:paraId="00A836AB" w14:textId="77777777" w:rsidR="000D09E4" w:rsidRPr="000D09E4" w:rsidRDefault="002F0B7F" w:rsidP="000D09E4">
      <w:pPr>
        <w:rPr>
          <w:rFonts w:ascii="Times New Roman" w:eastAsia="Times New Roman" w:hAnsi="Times New Roman" w:cs="Times New Roman"/>
          <w:kern w:val="0"/>
          <w:lang w:eastAsia="en-GB"/>
          <w14:ligatures w14:val="none"/>
        </w:rPr>
      </w:pPr>
      <w:r>
        <w:rPr>
          <w:rFonts w:ascii="Segoe UI" w:hAnsi="Segoe UI" w:cs="Segoe UI"/>
          <w:color w:val="1D2125"/>
          <w:sz w:val="23"/>
          <w:szCs w:val="23"/>
          <w:shd w:val="clear" w:color="auto" w:fill="FFFFFF"/>
        </w:rPr>
        <w:t xml:space="preserve"> </w:t>
      </w:r>
      <w:r w:rsidR="000D09E4" w:rsidRPr="000D09E4">
        <w:rPr>
          <w:rFonts w:ascii="Times New Roman" w:eastAsia="Times New Roman" w:hAnsi="Times New Roman" w:cs="Times New Roman"/>
          <w:i/>
          <w:iCs/>
          <w:kern w:val="0"/>
          <w:lang w:eastAsia="en-GB"/>
          <w14:ligatures w14:val="none"/>
        </w:rPr>
        <w:t>Archaeology as Politics</w:t>
      </w:r>
      <w:r w:rsidR="000D09E4" w:rsidRPr="000D09E4">
        <w:rPr>
          <w:rFonts w:ascii="Times New Roman" w:eastAsia="Times New Roman" w:hAnsi="Times New Roman" w:cs="Times New Roman"/>
          <w:kern w:val="0"/>
          <w:lang w:eastAsia="en-GB"/>
          <w14:ligatures w14:val="none"/>
        </w:rPr>
        <w:t xml:space="preserve"> (no date) </w:t>
      </w:r>
      <w:r w:rsidR="000D09E4" w:rsidRPr="000D09E4">
        <w:rPr>
          <w:rFonts w:ascii="Times New Roman" w:eastAsia="Times New Roman" w:hAnsi="Times New Roman" w:cs="Times New Roman"/>
          <w:i/>
          <w:iCs/>
          <w:kern w:val="0"/>
          <w:lang w:eastAsia="en-GB"/>
          <w14:ligatures w14:val="none"/>
        </w:rPr>
        <w:t>CoLab</w:t>
      </w:r>
      <w:r w:rsidR="000D09E4" w:rsidRPr="000D09E4">
        <w:rPr>
          <w:rFonts w:ascii="Times New Roman" w:eastAsia="Times New Roman" w:hAnsi="Times New Roman" w:cs="Times New Roman"/>
          <w:kern w:val="0"/>
          <w:lang w:eastAsia="en-GB"/>
          <w14:ligatures w14:val="none"/>
        </w:rPr>
        <w:t xml:space="preserve">. Available at: </w:t>
      </w:r>
      <w:hyperlink r:id="rId9" w:history="1">
        <w:r w:rsidR="000D09E4" w:rsidRPr="000D09E4">
          <w:rPr>
            <w:rFonts w:ascii="Times New Roman" w:eastAsia="Times New Roman" w:hAnsi="Times New Roman" w:cs="Times New Roman"/>
            <w:color w:val="0000FF"/>
            <w:kern w:val="0"/>
            <w:u w:val="single"/>
            <w:lang w:eastAsia="en-GB"/>
            <w14:ligatures w14:val="none"/>
          </w:rPr>
          <w:t>https://colab.ws/articles/10.1007%2F978-3-031-69828-6_6</w:t>
        </w:r>
      </w:hyperlink>
      <w:r w:rsidR="000D09E4" w:rsidRPr="000D09E4">
        <w:rPr>
          <w:rFonts w:ascii="Times New Roman" w:eastAsia="Times New Roman" w:hAnsi="Times New Roman" w:cs="Times New Roman"/>
          <w:kern w:val="0"/>
          <w:lang w:eastAsia="en-GB"/>
          <w14:ligatures w14:val="none"/>
        </w:rPr>
        <w:t xml:space="preserve"> (Accessed: 7 December 2025).</w:t>
      </w:r>
    </w:p>
    <w:p w14:paraId="5045FE55" w14:textId="77777777" w:rsidR="000D09E4" w:rsidRPr="000D09E4" w:rsidRDefault="000D09E4" w:rsidP="000D09E4">
      <w:pPr>
        <w:spacing w:after="0" w:line="240" w:lineRule="auto"/>
        <w:rPr>
          <w:rFonts w:ascii="Times New Roman" w:eastAsia="Times New Roman" w:hAnsi="Times New Roman" w:cs="Times New Roman"/>
          <w:kern w:val="0"/>
          <w:lang w:eastAsia="en-GB"/>
          <w14:ligatures w14:val="none"/>
        </w:rPr>
      </w:pPr>
      <w:r w:rsidRPr="000D09E4">
        <w:rPr>
          <w:rFonts w:ascii="Times New Roman" w:eastAsia="Times New Roman" w:hAnsi="Times New Roman" w:cs="Times New Roman"/>
          <w:i/>
          <w:iCs/>
          <w:kern w:val="0"/>
          <w:lang w:eastAsia="en-GB"/>
          <w14:ligatures w14:val="none"/>
        </w:rPr>
        <w:t>Archaeology, politics and nationalism in nineteenth- and early twentieth-century Ethiopia: the use of archaeology to consolidate monarchical power: Azania: Archaeological Research in Africa: Vol 53, No 3</w:t>
      </w:r>
      <w:r w:rsidRPr="000D09E4">
        <w:rPr>
          <w:rFonts w:ascii="Times New Roman" w:eastAsia="Times New Roman" w:hAnsi="Times New Roman" w:cs="Times New Roman"/>
          <w:kern w:val="0"/>
          <w:lang w:eastAsia="en-GB"/>
          <w14:ligatures w14:val="none"/>
        </w:rPr>
        <w:t xml:space="preserve"> (no date). Available at: </w:t>
      </w:r>
      <w:hyperlink r:id="rId10" w:history="1">
        <w:r w:rsidRPr="000D09E4">
          <w:rPr>
            <w:rFonts w:ascii="Times New Roman" w:eastAsia="Times New Roman" w:hAnsi="Times New Roman" w:cs="Times New Roman"/>
            <w:color w:val="0000FF"/>
            <w:kern w:val="0"/>
            <w:u w:val="single"/>
            <w:lang w:eastAsia="en-GB"/>
            <w14:ligatures w14:val="none"/>
          </w:rPr>
          <w:t>https://www.tandfonline.com/doi/abs/10.1080/0067270X.2018.1513242</w:t>
        </w:r>
      </w:hyperlink>
      <w:r w:rsidRPr="000D09E4">
        <w:rPr>
          <w:rFonts w:ascii="Times New Roman" w:eastAsia="Times New Roman" w:hAnsi="Times New Roman" w:cs="Times New Roman"/>
          <w:kern w:val="0"/>
          <w:lang w:eastAsia="en-GB"/>
          <w14:ligatures w14:val="none"/>
        </w:rPr>
        <w:t xml:space="preserve"> (Accessed: 5 December 2025).</w:t>
      </w:r>
    </w:p>
    <w:p w14:paraId="283AF645" w14:textId="77777777" w:rsidR="000D09E4" w:rsidRPr="000D09E4" w:rsidRDefault="000D09E4" w:rsidP="000D09E4">
      <w:pPr>
        <w:spacing w:after="0" w:line="240" w:lineRule="auto"/>
        <w:rPr>
          <w:rFonts w:ascii="Times New Roman" w:eastAsia="Times New Roman" w:hAnsi="Times New Roman" w:cs="Times New Roman"/>
          <w:kern w:val="0"/>
          <w:lang w:eastAsia="en-GB"/>
          <w14:ligatures w14:val="none"/>
        </w:rPr>
      </w:pPr>
      <w:r w:rsidRPr="000D09E4">
        <w:rPr>
          <w:rFonts w:ascii="Times New Roman" w:eastAsia="Times New Roman" w:hAnsi="Times New Roman" w:cs="Times New Roman"/>
          <w:kern w:val="0"/>
          <w:lang w:eastAsia="en-GB"/>
          <w14:ligatures w14:val="none"/>
        </w:rPr>
        <w:t>Kathem, M., Robson, E. and Tahan, L. (2022) ‘Cultural heritage predation in Iraq. The sectarian appropriation of Iraq’s past’.</w:t>
      </w:r>
    </w:p>
    <w:p w14:paraId="79068FE0" w14:textId="77777777" w:rsidR="000D09E4" w:rsidRPr="000D09E4" w:rsidRDefault="000D09E4" w:rsidP="000D09E4">
      <w:pPr>
        <w:spacing w:after="0" w:line="240" w:lineRule="auto"/>
        <w:rPr>
          <w:rFonts w:ascii="Times New Roman" w:eastAsia="Times New Roman" w:hAnsi="Times New Roman" w:cs="Times New Roman"/>
          <w:kern w:val="0"/>
          <w:lang w:eastAsia="en-GB"/>
          <w14:ligatures w14:val="none"/>
        </w:rPr>
      </w:pPr>
      <w:r w:rsidRPr="000D09E4">
        <w:rPr>
          <w:rFonts w:ascii="Times New Roman" w:eastAsia="Times New Roman" w:hAnsi="Times New Roman" w:cs="Times New Roman"/>
          <w:kern w:val="0"/>
          <w:lang w:eastAsia="en-GB"/>
          <w14:ligatures w14:val="none"/>
        </w:rPr>
        <w:t xml:space="preserve">Korpi, W. (1974) ‘Conflict and the Balance of Power’, </w:t>
      </w:r>
      <w:r w:rsidRPr="000D09E4">
        <w:rPr>
          <w:rFonts w:ascii="Times New Roman" w:eastAsia="Times New Roman" w:hAnsi="Times New Roman" w:cs="Times New Roman"/>
          <w:i/>
          <w:iCs/>
          <w:kern w:val="0"/>
          <w:lang w:eastAsia="en-GB"/>
          <w14:ligatures w14:val="none"/>
        </w:rPr>
        <w:t xml:space="preserve">Acta </w:t>
      </w:r>
      <w:proofErr w:type="spellStart"/>
      <w:r w:rsidRPr="000D09E4">
        <w:rPr>
          <w:rFonts w:ascii="Times New Roman" w:eastAsia="Times New Roman" w:hAnsi="Times New Roman" w:cs="Times New Roman"/>
          <w:i/>
          <w:iCs/>
          <w:kern w:val="0"/>
          <w:lang w:eastAsia="en-GB"/>
          <w14:ligatures w14:val="none"/>
        </w:rPr>
        <w:t>Sociologica</w:t>
      </w:r>
      <w:proofErr w:type="spellEnd"/>
      <w:r w:rsidRPr="000D09E4">
        <w:rPr>
          <w:rFonts w:ascii="Times New Roman" w:eastAsia="Times New Roman" w:hAnsi="Times New Roman" w:cs="Times New Roman"/>
          <w:kern w:val="0"/>
          <w:lang w:eastAsia="en-GB"/>
          <w14:ligatures w14:val="none"/>
        </w:rPr>
        <w:t>, 17(2), pp. 99–114.</w:t>
      </w:r>
    </w:p>
    <w:p w14:paraId="0BCA8A46" w14:textId="77777777" w:rsidR="000D09E4" w:rsidRPr="000D09E4" w:rsidRDefault="000D09E4" w:rsidP="000D09E4">
      <w:pPr>
        <w:spacing w:after="0" w:line="240" w:lineRule="auto"/>
        <w:rPr>
          <w:rFonts w:ascii="Times New Roman" w:eastAsia="Times New Roman" w:hAnsi="Times New Roman" w:cs="Times New Roman"/>
          <w:kern w:val="0"/>
          <w:lang w:eastAsia="en-GB"/>
          <w14:ligatures w14:val="none"/>
        </w:rPr>
      </w:pPr>
      <w:r w:rsidRPr="000D09E4">
        <w:rPr>
          <w:rFonts w:ascii="Times New Roman" w:eastAsia="Times New Roman" w:hAnsi="Times New Roman" w:cs="Times New Roman"/>
          <w:kern w:val="0"/>
          <w:lang w:eastAsia="en-GB"/>
          <w14:ligatures w14:val="none"/>
        </w:rPr>
        <w:t xml:space="preserve">Leftwich, A. (2015) </w:t>
      </w:r>
      <w:r w:rsidRPr="000D09E4">
        <w:rPr>
          <w:rFonts w:ascii="Times New Roman" w:eastAsia="Times New Roman" w:hAnsi="Times New Roman" w:cs="Times New Roman"/>
          <w:i/>
          <w:iCs/>
          <w:kern w:val="0"/>
          <w:lang w:eastAsia="en-GB"/>
          <w14:ligatures w14:val="none"/>
        </w:rPr>
        <w:t>What is Politics: The Activity and its Study</w:t>
      </w:r>
      <w:r w:rsidRPr="000D09E4">
        <w:rPr>
          <w:rFonts w:ascii="Times New Roman" w:eastAsia="Times New Roman" w:hAnsi="Times New Roman" w:cs="Times New Roman"/>
          <w:kern w:val="0"/>
          <w:lang w:eastAsia="en-GB"/>
          <w14:ligatures w14:val="none"/>
        </w:rPr>
        <w:t>. John Wiley &amp; Sons.</w:t>
      </w:r>
    </w:p>
    <w:p w14:paraId="742769AE" w14:textId="77777777" w:rsidR="000D09E4" w:rsidRPr="000D09E4" w:rsidRDefault="000D09E4" w:rsidP="000D09E4">
      <w:pPr>
        <w:spacing w:after="0" w:line="240" w:lineRule="auto"/>
        <w:rPr>
          <w:rFonts w:ascii="Times New Roman" w:eastAsia="Times New Roman" w:hAnsi="Times New Roman" w:cs="Times New Roman"/>
          <w:kern w:val="0"/>
          <w:lang w:eastAsia="en-GB"/>
          <w14:ligatures w14:val="none"/>
        </w:rPr>
      </w:pPr>
      <w:r w:rsidRPr="000D09E4">
        <w:rPr>
          <w:rFonts w:ascii="Times New Roman" w:eastAsia="Times New Roman" w:hAnsi="Times New Roman" w:cs="Times New Roman"/>
          <w:kern w:val="0"/>
          <w:lang w:eastAsia="en-GB"/>
          <w14:ligatures w14:val="none"/>
        </w:rPr>
        <w:t xml:space="preserve">Meskell, L. (2002a) ‘The Intersections of Identity and Politics in Archaeology’, </w:t>
      </w:r>
      <w:r w:rsidRPr="000D09E4">
        <w:rPr>
          <w:rFonts w:ascii="Times New Roman" w:eastAsia="Times New Roman" w:hAnsi="Times New Roman" w:cs="Times New Roman"/>
          <w:i/>
          <w:iCs/>
          <w:kern w:val="0"/>
          <w:lang w:eastAsia="en-GB"/>
          <w14:ligatures w14:val="none"/>
        </w:rPr>
        <w:t>Annual Review of Anthropology</w:t>
      </w:r>
      <w:r w:rsidRPr="000D09E4">
        <w:rPr>
          <w:rFonts w:ascii="Times New Roman" w:eastAsia="Times New Roman" w:hAnsi="Times New Roman" w:cs="Times New Roman"/>
          <w:kern w:val="0"/>
          <w:lang w:eastAsia="en-GB"/>
          <w14:ligatures w14:val="none"/>
        </w:rPr>
        <w:t xml:space="preserve">, 31(Volume 31, 2002), pp. 279–301. Available at: </w:t>
      </w:r>
      <w:hyperlink r:id="rId11" w:history="1">
        <w:r w:rsidRPr="000D09E4">
          <w:rPr>
            <w:rFonts w:ascii="Times New Roman" w:eastAsia="Times New Roman" w:hAnsi="Times New Roman" w:cs="Times New Roman"/>
            <w:color w:val="0000FF"/>
            <w:kern w:val="0"/>
            <w:u w:val="single"/>
            <w:lang w:eastAsia="en-GB"/>
            <w14:ligatures w14:val="none"/>
          </w:rPr>
          <w:t>https://doi.org/10.1146/annurev.anthro.31.040402.085457</w:t>
        </w:r>
      </w:hyperlink>
      <w:r w:rsidRPr="000D09E4">
        <w:rPr>
          <w:rFonts w:ascii="Times New Roman" w:eastAsia="Times New Roman" w:hAnsi="Times New Roman" w:cs="Times New Roman"/>
          <w:kern w:val="0"/>
          <w:lang w:eastAsia="en-GB"/>
          <w14:ligatures w14:val="none"/>
        </w:rPr>
        <w:t>.</w:t>
      </w:r>
    </w:p>
    <w:p w14:paraId="270E38A4" w14:textId="77777777" w:rsidR="000D09E4" w:rsidRPr="000D09E4" w:rsidRDefault="000D09E4" w:rsidP="000D09E4">
      <w:pPr>
        <w:spacing w:after="0" w:line="240" w:lineRule="auto"/>
        <w:rPr>
          <w:rFonts w:ascii="Times New Roman" w:eastAsia="Times New Roman" w:hAnsi="Times New Roman" w:cs="Times New Roman"/>
          <w:kern w:val="0"/>
          <w:lang w:eastAsia="en-GB"/>
          <w14:ligatures w14:val="none"/>
        </w:rPr>
      </w:pPr>
      <w:r w:rsidRPr="000D09E4">
        <w:rPr>
          <w:rFonts w:ascii="Times New Roman" w:eastAsia="Times New Roman" w:hAnsi="Times New Roman" w:cs="Times New Roman"/>
          <w:kern w:val="0"/>
          <w:lang w:eastAsia="en-GB"/>
          <w14:ligatures w14:val="none"/>
        </w:rPr>
        <w:t xml:space="preserve">Meskell, L. (2002b) ‘THE INTERSECTIONS OF IDENTITY AND POLITICS IN ARCHAEOLOGY’, </w:t>
      </w:r>
      <w:r w:rsidRPr="000D09E4">
        <w:rPr>
          <w:rFonts w:ascii="Times New Roman" w:eastAsia="Times New Roman" w:hAnsi="Times New Roman" w:cs="Times New Roman"/>
          <w:i/>
          <w:iCs/>
          <w:kern w:val="0"/>
          <w:lang w:eastAsia="en-GB"/>
          <w14:ligatures w14:val="none"/>
        </w:rPr>
        <w:t>Annual review of anthropology</w:t>
      </w:r>
      <w:r w:rsidRPr="000D09E4">
        <w:rPr>
          <w:rFonts w:ascii="Times New Roman" w:eastAsia="Times New Roman" w:hAnsi="Times New Roman" w:cs="Times New Roman"/>
          <w:kern w:val="0"/>
          <w:lang w:eastAsia="en-GB"/>
          <w14:ligatures w14:val="none"/>
        </w:rPr>
        <w:t xml:space="preserve">, 31(1), pp. 279–301. Available at: </w:t>
      </w:r>
      <w:hyperlink r:id="rId12" w:history="1">
        <w:r w:rsidRPr="000D09E4">
          <w:rPr>
            <w:rFonts w:ascii="Times New Roman" w:eastAsia="Times New Roman" w:hAnsi="Times New Roman" w:cs="Times New Roman"/>
            <w:color w:val="0000FF"/>
            <w:kern w:val="0"/>
            <w:u w:val="single"/>
            <w:lang w:eastAsia="en-GB"/>
            <w14:ligatures w14:val="none"/>
          </w:rPr>
          <w:t>https://doi.org/10.1146/annurev.anthro.31.040402.085457</w:t>
        </w:r>
      </w:hyperlink>
      <w:r w:rsidRPr="000D09E4">
        <w:rPr>
          <w:rFonts w:ascii="Times New Roman" w:eastAsia="Times New Roman" w:hAnsi="Times New Roman" w:cs="Times New Roman"/>
          <w:kern w:val="0"/>
          <w:lang w:eastAsia="en-GB"/>
          <w14:ligatures w14:val="none"/>
        </w:rPr>
        <w:t>.</w:t>
      </w:r>
    </w:p>
    <w:p w14:paraId="679FABF0" w14:textId="77777777" w:rsidR="000D09E4" w:rsidRPr="000D09E4" w:rsidRDefault="000D09E4" w:rsidP="000D09E4">
      <w:pPr>
        <w:spacing w:after="0" w:line="240" w:lineRule="auto"/>
        <w:rPr>
          <w:rFonts w:ascii="Times New Roman" w:eastAsia="Times New Roman" w:hAnsi="Times New Roman" w:cs="Times New Roman"/>
          <w:kern w:val="0"/>
          <w:lang w:eastAsia="en-GB"/>
          <w14:ligatures w14:val="none"/>
        </w:rPr>
      </w:pPr>
      <w:r w:rsidRPr="000D09E4">
        <w:rPr>
          <w:rFonts w:ascii="Times New Roman" w:eastAsia="Times New Roman" w:hAnsi="Times New Roman" w:cs="Times New Roman"/>
          <w:kern w:val="0"/>
          <w:lang w:eastAsia="en-GB"/>
          <w14:ligatures w14:val="none"/>
        </w:rPr>
        <w:t xml:space="preserve">Mortazavi, M. (2024) ‘Archaeology of Liberation vs. Political Archaeology: Rethinking the Past for a Just Future’, </w:t>
      </w:r>
      <w:r w:rsidRPr="000D09E4">
        <w:rPr>
          <w:rFonts w:ascii="Times New Roman" w:eastAsia="Times New Roman" w:hAnsi="Times New Roman" w:cs="Times New Roman"/>
          <w:i/>
          <w:iCs/>
          <w:kern w:val="0"/>
          <w:lang w:eastAsia="en-GB"/>
          <w14:ligatures w14:val="none"/>
        </w:rPr>
        <w:t>Iranian Journal of Archaeological Studies</w:t>
      </w:r>
      <w:r w:rsidRPr="000D09E4">
        <w:rPr>
          <w:rFonts w:ascii="Times New Roman" w:eastAsia="Times New Roman" w:hAnsi="Times New Roman" w:cs="Times New Roman"/>
          <w:kern w:val="0"/>
          <w:lang w:eastAsia="en-GB"/>
          <w14:ligatures w14:val="none"/>
        </w:rPr>
        <w:t xml:space="preserve">, 14(1), pp. 81–86. Available at: </w:t>
      </w:r>
      <w:hyperlink r:id="rId13" w:history="1">
        <w:r w:rsidRPr="000D09E4">
          <w:rPr>
            <w:rFonts w:ascii="Times New Roman" w:eastAsia="Times New Roman" w:hAnsi="Times New Roman" w:cs="Times New Roman"/>
            <w:color w:val="0000FF"/>
            <w:kern w:val="0"/>
            <w:u w:val="single"/>
            <w:lang w:eastAsia="en-GB"/>
            <w14:ligatures w14:val="none"/>
          </w:rPr>
          <w:t>https://doi.org/10.22111/ijas.2024.50018.1317</w:t>
        </w:r>
      </w:hyperlink>
      <w:r w:rsidRPr="000D09E4">
        <w:rPr>
          <w:rFonts w:ascii="Times New Roman" w:eastAsia="Times New Roman" w:hAnsi="Times New Roman" w:cs="Times New Roman"/>
          <w:kern w:val="0"/>
          <w:lang w:eastAsia="en-GB"/>
          <w14:ligatures w14:val="none"/>
        </w:rPr>
        <w:t>.</w:t>
      </w:r>
    </w:p>
    <w:p w14:paraId="73941783" w14:textId="77777777" w:rsidR="000D09E4" w:rsidRPr="000D09E4" w:rsidRDefault="000D09E4" w:rsidP="000D09E4">
      <w:pPr>
        <w:spacing w:after="0" w:line="240" w:lineRule="auto"/>
        <w:rPr>
          <w:rFonts w:ascii="Times New Roman" w:eastAsia="Times New Roman" w:hAnsi="Times New Roman" w:cs="Times New Roman"/>
          <w:kern w:val="0"/>
          <w:lang w:eastAsia="en-GB"/>
          <w14:ligatures w14:val="none"/>
        </w:rPr>
      </w:pPr>
      <w:r w:rsidRPr="000D09E4">
        <w:rPr>
          <w:rFonts w:ascii="Times New Roman" w:eastAsia="Times New Roman" w:hAnsi="Times New Roman" w:cs="Times New Roman"/>
          <w:kern w:val="0"/>
          <w:lang w:eastAsia="en-GB"/>
          <w14:ligatures w14:val="none"/>
        </w:rPr>
        <w:t xml:space="preserve">Perring, D. and Van Der Linde, S. (2009) ‘The Politics and Practice of Archaeology in Conflict’, </w:t>
      </w:r>
      <w:r w:rsidRPr="000D09E4">
        <w:rPr>
          <w:rFonts w:ascii="Times New Roman" w:eastAsia="Times New Roman" w:hAnsi="Times New Roman" w:cs="Times New Roman"/>
          <w:i/>
          <w:iCs/>
          <w:kern w:val="0"/>
          <w:lang w:eastAsia="en-GB"/>
          <w14:ligatures w14:val="none"/>
        </w:rPr>
        <w:t>Conservation and Management of Archaeological Sites</w:t>
      </w:r>
      <w:r w:rsidRPr="000D09E4">
        <w:rPr>
          <w:rFonts w:ascii="Times New Roman" w:eastAsia="Times New Roman" w:hAnsi="Times New Roman" w:cs="Times New Roman"/>
          <w:kern w:val="0"/>
          <w:lang w:eastAsia="en-GB"/>
          <w14:ligatures w14:val="none"/>
        </w:rPr>
        <w:t xml:space="preserve">, 11(3–4), pp. 197–213. Available at: </w:t>
      </w:r>
      <w:hyperlink r:id="rId14" w:history="1">
        <w:r w:rsidRPr="000D09E4">
          <w:rPr>
            <w:rFonts w:ascii="Times New Roman" w:eastAsia="Times New Roman" w:hAnsi="Times New Roman" w:cs="Times New Roman"/>
            <w:color w:val="0000FF"/>
            <w:kern w:val="0"/>
            <w:u w:val="single"/>
            <w:lang w:eastAsia="en-GB"/>
            <w14:ligatures w14:val="none"/>
          </w:rPr>
          <w:t>https://doi.org/10.1179/175355210X12747818485321</w:t>
        </w:r>
      </w:hyperlink>
      <w:r w:rsidRPr="000D09E4">
        <w:rPr>
          <w:rFonts w:ascii="Times New Roman" w:eastAsia="Times New Roman" w:hAnsi="Times New Roman" w:cs="Times New Roman"/>
          <w:kern w:val="0"/>
          <w:lang w:eastAsia="en-GB"/>
          <w14:ligatures w14:val="none"/>
        </w:rPr>
        <w:t>.</w:t>
      </w:r>
    </w:p>
    <w:p w14:paraId="1356EA10" w14:textId="77777777" w:rsidR="000D09E4" w:rsidRPr="000D09E4" w:rsidRDefault="000D09E4" w:rsidP="000D09E4">
      <w:pPr>
        <w:spacing w:after="0" w:line="240" w:lineRule="auto"/>
        <w:rPr>
          <w:rFonts w:ascii="Times New Roman" w:eastAsia="Times New Roman" w:hAnsi="Times New Roman" w:cs="Times New Roman"/>
          <w:kern w:val="0"/>
          <w:lang w:eastAsia="en-GB"/>
          <w14:ligatures w14:val="none"/>
        </w:rPr>
      </w:pPr>
      <w:r w:rsidRPr="000D09E4">
        <w:rPr>
          <w:rFonts w:ascii="Times New Roman" w:eastAsia="Times New Roman" w:hAnsi="Times New Roman" w:cs="Times New Roman"/>
          <w:kern w:val="0"/>
          <w:lang w:eastAsia="en-GB"/>
          <w14:ligatures w14:val="none"/>
        </w:rPr>
        <w:t xml:space="preserve">Powell, S., Garza, C.E. and Hendricks, A. (1993) ‘Ethics and Ownership of the Past: The Reburial and Repatriation Controversy’, </w:t>
      </w:r>
      <w:r w:rsidRPr="000D09E4">
        <w:rPr>
          <w:rFonts w:ascii="Times New Roman" w:eastAsia="Times New Roman" w:hAnsi="Times New Roman" w:cs="Times New Roman"/>
          <w:i/>
          <w:iCs/>
          <w:kern w:val="0"/>
          <w:lang w:eastAsia="en-GB"/>
          <w14:ligatures w14:val="none"/>
        </w:rPr>
        <w:t>Archaeological Method and Theory</w:t>
      </w:r>
      <w:r w:rsidRPr="000D09E4">
        <w:rPr>
          <w:rFonts w:ascii="Times New Roman" w:eastAsia="Times New Roman" w:hAnsi="Times New Roman" w:cs="Times New Roman"/>
          <w:kern w:val="0"/>
          <w:lang w:eastAsia="en-GB"/>
          <w14:ligatures w14:val="none"/>
        </w:rPr>
        <w:t>, 5, pp. 1–42.</w:t>
      </w:r>
    </w:p>
    <w:p w14:paraId="085E29D4" w14:textId="77777777" w:rsidR="000D09E4" w:rsidRPr="000D09E4" w:rsidRDefault="000D09E4" w:rsidP="000D09E4">
      <w:pPr>
        <w:spacing w:after="0" w:line="240" w:lineRule="auto"/>
        <w:rPr>
          <w:rFonts w:ascii="Times New Roman" w:eastAsia="Times New Roman" w:hAnsi="Times New Roman" w:cs="Times New Roman"/>
          <w:kern w:val="0"/>
          <w:lang w:eastAsia="en-GB"/>
          <w14:ligatures w14:val="none"/>
        </w:rPr>
      </w:pPr>
      <w:r w:rsidRPr="000D09E4">
        <w:rPr>
          <w:rFonts w:ascii="Times New Roman" w:eastAsia="Times New Roman" w:hAnsi="Times New Roman" w:cs="Times New Roman"/>
          <w:kern w:val="0"/>
          <w:lang w:eastAsia="en-GB"/>
          <w14:ligatures w14:val="none"/>
        </w:rPr>
        <w:t xml:space="preserve">Rowlands, M. (1994) ‘The politics of identity in archaeology’, in </w:t>
      </w:r>
      <w:r w:rsidRPr="000D09E4">
        <w:rPr>
          <w:rFonts w:ascii="Times New Roman" w:eastAsia="Times New Roman" w:hAnsi="Times New Roman" w:cs="Times New Roman"/>
          <w:i/>
          <w:iCs/>
          <w:kern w:val="0"/>
          <w:lang w:eastAsia="en-GB"/>
          <w14:ligatures w14:val="none"/>
        </w:rPr>
        <w:t>Social Construction of the Past</w:t>
      </w:r>
      <w:r w:rsidRPr="000D09E4">
        <w:rPr>
          <w:rFonts w:ascii="Times New Roman" w:eastAsia="Times New Roman" w:hAnsi="Times New Roman" w:cs="Times New Roman"/>
          <w:kern w:val="0"/>
          <w:lang w:eastAsia="en-GB"/>
          <w14:ligatures w14:val="none"/>
        </w:rPr>
        <w:t>. Routledge.</w:t>
      </w:r>
    </w:p>
    <w:p w14:paraId="1F775E78" w14:textId="77777777" w:rsidR="000D09E4" w:rsidRPr="000D09E4" w:rsidRDefault="000D09E4" w:rsidP="000D09E4">
      <w:pPr>
        <w:spacing w:after="0" w:line="240" w:lineRule="auto"/>
        <w:rPr>
          <w:rFonts w:ascii="Times New Roman" w:eastAsia="Times New Roman" w:hAnsi="Times New Roman" w:cs="Times New Roman"/>
          <w:kern w:val="0"/>
          <w:lang w:eastAsia="en-GB"/>
          <w14:ligatures w14:val="none"/>
        </w:rPr>
      </w:pPr>
      <w:r w:rsidRPr="000D09E4">
        <w:rPr>
          <w:rFonts w:ascii="Times New Roman" w:eastAsia="Times New Roman" w:hAnsi="Times New Roman" w:cs="Times New Roman"/>
          <w:i/>
          <w:iCs/>
          <w:kern w:val="0"/>
          <w:lang w:eastAsia="en-GB"/>
          <w14:ligatures w14:val="none"/>
        </w:rPr>
        <w:t>The Public Historian</w:t>
      </w:r>
      <w:r w:rsidRPr="000D09E4">
        <w:rPr>
          <w:rFonts w:ascii="Times New Roman" w:eastAsia="Times New Roman" w:hAnsi="Times New Roman" w:cs="Times New Roman"/>
          <w:kern w:val="0"/>
          <w:lang w:eastAsia="en-GB"/>
          <w14:ligatures w14:val="none"/>
        </w:rPr>
        <w:t xml:space="preserve"> (2009) ‘Is Archaeology Political? Transformative Praxis within and against the Boundaries of Archaeology’, 31(2), pp. 79–90. Available at: </w:t>
      </w:r>
      <w:hyperlink r:id="rId15" w:history="1">
        <w:r w:rsidRPr="000D09E4">
          <w:rPr>
            <w:rFonts w:ascii="Times New Roman" w:eastAsia="Times New Roman" w:hAnsi="Times New Roman" w:cs="Times New Roman"/>
            <w:color w:val="0000FF"/>
            <w:kern w:val="0"/>
            <w:u w:val="single"/>
            <w:lang w:eastAsia="en-GB"/>
            <w14:ligatures w14:val="none"/>
          </w:rPr>
          <w:t>https://doi.org/10.1525/tph.2009.31.2.79</w:t>
        </w:r>
      </w:hyperlink>
      <w:r w:rsidRPr="000D09E4">
        <w:rPr>
          <w:rFonts w:ascii="Times New Roman" w:eastAsia="Times New Roman" w:hAnsi="Times New Roman" w:cs="Times New Roman"/>
          <w:kern w:val="0"/>
          <w:lang w:eastAsia="en-GB"/>
          <w14:ligatures w14:val="none"/>
        </w:rPr>
        <w:t>.</w:t>
      </w:r>
    </w:p>
    <w:p w14:paraId="7848C70B" w14:textId="416FDAC4" w:rsidR="002F0B7F" w:rsidRDefault="002F0B7F"/>
    <w:sectPr w:rsidR="002F0B7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F0E05" w14:textId="77777777" w:rsidR="00553118" w:rsidRDefault="00553118" w:rsidP="00A82265">
      <w:pPr>
        <w:spacing w:after="0" w:line="240" w:lineRule="auto"/>
      </w:pPr>
      <w:r>
        <w:separator/>
      </w:r>
    </w:p>
  </w:endnote>
  <w:endnote w:type="continuationSeparator" w:id="0">
    <w:p w14:paraId="324E3EE1" w14:textId="77777777" w:rsidR="00553118" w:rsidRDefault="00553118" w:rsidP="00A82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81666" w14:textId="77777777" w:rsidR="00A82265" w:rsidRDefault="00A822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0BEAA" w14:textId="77777777" w:rsidR="00A82265" w:rsidRDefault="00A822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617C6" w14:textId="77777777" w:rsidR="00A82265" w:rsidRDefault="00A82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24F5B" w14:textId="77777777" w:rsidR="00553118" w:rsidRDefault="00553118" w:rsidP="00A82265">
      <w:pPr>
        <w:spacing w:after="0" w:line="240" w:lineRule="auto"/>
      </w:pPr>
      <w:r>
        <w:separator/>
      </w:r>
    </w:p>
  </w:footnote>
  <w:footnote w:type="continuationSeparator" w:id="0">
    <w:p w14:paraId="5681F796" w14:textId="77777777" w:rsidR="00553118" w:rsidRDefault="00553118" w:rsidP="00A822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2AA82" w14:textId="77777777" w:rsidR="00A82265" w:rsidRDefault="00A822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A60A1" w14:textId="5008244B" w:rsidR="00A82265" w:rsidRDefault="00956730">
    <w:pPr>
      <w:pStyle w:val="Header"/>
    </w:pPr>
    <w:r>
      <w:t xml:space="preserve">Alexander lye </w:t>
    </w:r>
  </w:p>
  <w:p w14:paraId="3A35C80C" w14:textId="660BAC1A" w:rsidR="00956730" w:rsidRDefault="00956730">
    <w:pPr>
      <w:pStyle w:val="Header"/>
    </w:pPr>
    <w:r>
      <w:t xml:space="preserve">Introduction to archaeology </w:t>
    </w:r>
  </w:p>
  <w:p w14:paraId="7B20185C" w14:textId="25AE998B" w:rsidR="0094041A" w:rsidRDefault="0094041A">
    <w:pPr>
      <w:pStyle w:val="Header"/>
    </w:pPr>
    <w:r>
      <w:t xml:space="preserve">Assignment 2 is archaeology a political practice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86CA1" w14:textId="77777777" w:rsidR="00A82265" w:rsidRDefault="00A822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B7F"/>
    <w:rsid w:val="00036B42"/>
    <w:rsid w:val="0006518F"/>
    <w:rsid w:val="000A4EFE"/>
    <w:rsid w:val="000B23F1"/>
    <w:rsid w:val="000D09E4"/>
    <w:rsid w:val="000E0371"/>
    <w:rsid w:val="000F3055"/>
    <w:rsid w:val="001026A1"/>
    <w:rsid w:val="00167308"/>
    <w:rsid w:val="00170D79"/>
    <w:rsid w:val="00186B56"/>
    <w:rsid w:val="001C0035"/>
    <w:rsid w:val="001D1D90"/>
    <w:rsid w:val="001D21C8"/>
    <w:rsid w:val="00206E9D"/>
    <w:rsid w:val="00207154"/>
    <w:rsid w:val="002167BB"/>
    <w:rsid w:val="0022499F"/>
    <w:rsid w:val="002702C3"/>
    <w:rsid w:val="00280696"/>
    <w:rsid w:val="00286492"/>
    <w:rsid w:val="002C1870"/>
    <w:rsid w:val="002F0B7F"/>
    <w:rsid w:val="00313AA2"/>
    <w:rsid w:val="003264AD"/>
    <w:rsid w:val="003345A6"/>
    <w:rsid w:val="003361CF"/>
    <w:rsid w:val="00351F50"/>
    <w:rsid w:val="0036079C"/>
    <w:rsid w:val="00381BF5"/>
    <w:rsid w:val="003934FA"/>
    <w:rsid w:val="003C328C"/>
    <w:rsid w:val="003D104B"/>
    <w:rsid w:val="003D1384"/>
    <w:rsid w:val="00406CA4"/>
    <w:rsid w:val="0041100D"/>
    <w:rsid w:val="00433644"/>
    <w:rsid w:val="00436A11"/>
    <w:rsid w:val="00457CEB"/>
    <w:rsid w:val="00462664"/>
    <w:rsid w:val="00487060"/>
    <w:rsid w:val="004F51D3"/>
    <w:rsid w:val="00501AE2"/>
    <w:rsid w:val="005179D4"/>
    <w:rsid w:val="00517B74"/>
    <w:rsid w:val="0052316F"/>
    <w:rsid w:val="00553118"/>
    <w:rsid w:val="00555B91"/>
    <w:rsid w:val="005B150E"/>
    <w:rsid w:val="005E05E6"/>
    <w:rsid w:val="005F6848"/>
    <w:rsid w:val="00617663"/>
    <w:rsid w:val="006651D1"/>
    <w:rsid w:val="00682C48"/>
    <w:rsid w:val="006D4E04"/>
    <w:rsid w:val="006D6FB5"/>
    <w:rsid w:val="006E5CBC"/>
    <w:rsid w:val="006F2A4A"/>
    <w:rsid w:val="00771D5F"/>
    <w:rsid w:val="00786AA0"/>
    <w:rsid w:val="00791548"/>
    <w:rsid w:val="007A18B6"/>
    <w:rsid w:val="007D0243"/>
    <w:rsid w:val="00830951"/>
    <w:rsid w:val="00836982"/>
    <w:rsid w:val="008925BF"/>
    <w:rsid w:val="00893ADC"/>
    <w:rsid w:val="008A3013"/>
    <w:rsid w:val="008A34DA"/>
    <w:rsid w:val="008B1546"/>
    <w:rsid w:val="008E0792"/>
    <w:rsid w:val="009110BA"/>
    <w:rsid w:val="00923238"/>
    <w:rsid w:val="009363A4"/>
    <w:rsid w:val="0094041A"/>
    <w:rsid w:val="00942BC3"/>
    <w:rsid w:val="00956730"/>
    <w:rsid w:val="00987E6B"/>
    <w:rsid w:val="009B0348"/>
    <w:rsid w:val="009B74B0"/>
    <w:rsid w:val="009B752C"/>
    <w:rsid w:val="009D3D61"/>
    <w:rsid w:val="009F7C55"/>
    <w:rsid w:val="00A2211A"/>
    <w:rsid w:val="00A25F61"/>
    <w:rsid w:val="00A82265"/>
    <w:rsid w:val="00A937AF"/>
    <w:rsid w:val="00AA5981"/>
    <w:rsid w:val="00AF4FED"/>
    <w:rsid w:val="00B31670"/>
    <w:rsid w:val="00B4148D"/>
    <w:rsid w:val="00B46D37"/>
    <w:rsid w:val="00B529F0"/>
    <w:rsid w:val="00BA0D8B"/>
    <w:rsid w:val="00C1661F"/>
    <w:rsid w:val="00C40228"/>
    <w:rsid w:val="00CF0579"/>
    <w:rsid w:val="00D31748"/>
    <w:rsid w:val="00D70EC1"/>
    <w:rsid w:val="00D90364"/>
    <w:rsid w:val="00D933E8"/>
    <w:rsid w:val="00DC57FB"/>
    <w:rsid w:val="00DC7C76"/>
    <w:rsid w:val="00E04B0F"/>
    <w:rsid w:val="00E522D0"/>
    <w:rsid w:val="00E944F4"/>
    <w:rsid w:val="00E95AD9"/>
    <w:rsid w:val="00EA5DA7"/>
    <w:rsid w:val="00EC3802"/>
    <w:rsid w:val="00EC7A5E"/>
    <w:rsid w:val="00F25BAD"/>
    <w:rsid w:val="00F27912"/>
    <w:rsid w:val="00F65A95"/>
    <w:rsid w:val="00FA4E88"/>
    <w:rsid w:val="00FA56C3"/>
    <w:rsid w:val="00FB1C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5CAE5"/>
  <w15:chartTrackingRefBased/>
  <w15:docId w15:val="{623FDB37-7290-45F1-A448-7CCB732E0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0B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0B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0B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0B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0B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0B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0B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0B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0B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B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0B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0B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0B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0B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0B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0B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0B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0B7F"/>
    <w:rPr>
      <w:rFonts w:eastAsiaTheme="majorEastAsia" w:cstheme="majorBidi"/>
      <w:color w:val="272727" w:themeColor="text1" w:themeTint="D8"/>
    </w:rPr>
  </w:style>
  <w:style w:type="paragraph" w:styleId="Title">
    <w:name w:val="Title"/>
    <w:basedOn w:val="Normal"/>
    <w:next w:val="Normal"/>
    <w:link w:val="TitleChar"/>
    <w:uiPriority w:val="10"/>
    <w:qFormat/>
    <w:rsid w:val="002F0B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0B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0B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0B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0B7F"/>
    <w:pPr>
      <w:spacing w:before="160"/>
      <w:jc w:val="center"/>
    </w:pPr>
    <w:rPr>
      <w:i/>
      <w:iCs/>
      <w:color w:val="404040" w:themeColor="text1" w:themeTint="BF"/>
    </w:rPr>
  </w:style>
  <w:style w:type="character" w:customStyle="1" w:styleId="QuoteChar">
    <w:name w:val="Quote Char"/>
    <w:basedOn w:val="DefaultParagraphFont"/>
    <w:link w:val="Quote"/>
    <w:uiPriority w:val="29"/>
    <w:rsid w:val="002F0B7F"/>
    <w:rPr>
      <w:i/>
      <w:iCs/>
      <w:color w:val="404040" w:themeColor="text1" w:themeTint="BF"/>
    </w:rPr>
  </w:style>
  <w:style w:type="paragraph" w:styleId="ListParagraph">
    <w:name w:val="List Paragraph"/>
    <w:basedOn w:val="Normal"/>
    <w:uiPriority w:val="34"/>
    <w:qFormat/>
    <w:rsid w:val="002F0B7F"/>
    <w:pPr>
      <w:ind w:left="720"/>
      <w:contextualSpacing/>
    </w:pPr>
  </w:style>
  <w:style w:type="character" w:styleId="IntenseEmphasis">
    <w:name w:val="Intense Emphasis"/>
    <w:basedOn w:val="DefaultParagraphFont"/>
    <w:uiPriority w:val="21"/>
    <w:qFormat/>
    <w:rsid w:val="002F0B7F"/>
    <w:rPr>
      <w:i/>
      <w:iCs/>
      <w:color w:val="0F4761" w:themeColor="accent1" w:themeShade="BF"/>
    </w:rPr>
  </w:style>
  <w:style w:type="paragraph" w:styleId="IntenseQuote">
    <w:name w:val="Intense Quote"/>
    <w:basedOn w:val="Normal"/>
    <w:next w:val="Normal"/>
    <w:link w:val="IntenseQuoteChar"/>
    <w:uiPriority w:val="30"/>
    <w:qFormat/>
    <w:rsid w:val="002F0B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0B7F"/>
    <w:rPr>
      <w:i/>
      <w:iCs/>
      <w:color w:val="0F4761" w:themeColor="accent1" w:themeShade="BF"/>
    </w:rPr>
  </w:style>
  <w:style w:type="character" w:styleId="IntenseReference">
    <w:name w:val="Intense Reference"/>
    <w:basedOn w:val="DefaultParagraphFont"/>
    <w:uiPriority w:val="32"/>
    <w:qFormat/>
    <w:rsid w:val="002F0B7F"/>
    <w:rPr>
      <w:b/>
      <w:bCs/>
      <w:smallCaps/>
      <w:color w:val="0F4761" w:themeColor="accent1" w:themeShade="BF"/>
      <w:spacing w:val="5"/>
    </w:rPr>
  </w:style>
  <w:style w:type="paragraph" w:styleId="Header">
    <w:name w:val="header"/>
    <w:basedOn w:val="Normal"/>
    <w:link w:val="HeaderChar"/>
    <w:uiPriority w:val="99"/>
    <w:unhideWhenUsed/>
    <w:rsid w:val="00A82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265"/>
  </w:style>
  <w:style w:type="paragraph" w:styleId="Footer">
    <w:name w:val="footer"/>
    <w:basedOn w:val="Normal"/>
    <w:link w:val="FooterChar"/>
    <w:uiPriority w:val="99"/>
    <w:unhideWhenUsed/>
    <w:rsid w:val="00A82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2111/ijas.2024.50018.131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doi.org/10.1146/annurev.anthro.31.040402.08545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46/annurev.anthro.31.040402.085457" TargetMode="External"/><Relationship Id="rId5" Type="http://schemas.openxmlformats.org/officeDocument/2006/relationships/settings" Target="settings.xml"/><Relationship Id="rId15" Type="http://schemas.openxmlformats.org/officeDocument/2006/relationships/hyperlink" Target="https://doi.org/10.1525/tph.2009.31.2.79" TargetMode="External"/><Relationship Id="rId23" Type="http://schemas.openxmlformats.org/officeDocument/2006/relationships/theme" Target="theme/theme1.xml"/><Relationship Id="rId10" Type="http://schemas.openxmlformats.org/officeDocument/2006/relationships/hyperlink" Target="https://www.tandfonline.com/doi/abs/10.1080/0067270X.2018.1513242"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colab.ws/articles/10.1007%2F978-3-031-69828-6_6" TargetMode="External"/><Relationship Id="rId14" Type="http://schemas.openxmlformats.org/officeDocument/2006/relationships/hyperlink" Target="https://doi.org/10.1179/175355210X1274781848532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329d201745d1a0716af7366459d955ff">
  <xsd:schema xmlns:xsd="http://www.w3.org/2001/XMLSchema" xmlns:xs="http://www.w3.org/2001/XMLSchema" xmlns:p="http://schemas.microsoft.com/office/2006/metadata/properties" xmlns:ns3="0085e1a2-9cbf-4b92-866b-21f3c89040b6" targetNamespace="http://schemas.microsoft.com/office/2006/metadata/properties" ma:root="true" ma:fieldsID="fa014f86007c866de166d0a60df68c6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8DE3BCC6-4270-4C2C-A087-5D8C94E832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6932C5-8CC6-4BFA-B250-2525980C9D62}">
  <ds:schemaRefs>
    <ds:schemaRef ds:uri="http://schemas.microsoft.com/sharepoint/v3/contenttype/forms"/>
  </ds:schemaRefs>
</ds:datastoreItem>
</file>

<file path=customXml/itemProps3.xml><?xml version="1.0" encoding="utf-8"?>
<ds:datastoreItem xmlns:ds="http://schemas.openxmlformats.org/officeDocument/2006/customXml" ds:itemID="{68552F6E-F625-4F76-B80C-E46C20474459}">
  <ds:schemaRefs>
    <ds:schemaRef ds:uri="http://schemas.microsoft.com/office/infopath/2007/PartnerControls"/>
    <ds:schemaRef ds:uri="http://purl.org/dc/dcmitype/"/>
    <ds:schemaRef ds:uri="http://www.w3.org/XML/1998/namespace"/>
    <ds:schemaRef ds:uri="http://purl.org/dc/terms/"/>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3796</Words>
  <Characters>21643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Lye (2406167)</dc:creator>
  <cp:keywords/>
  <dc:description/>
  <cp:lastModifiedBy>Alex Lye (2406167)</cp:lastModifiedBy>
  <cp:revision>2</cp:revision>
  <dcterms:created xsi:type="dcterms:W3CDTF">2025-12-07T19:54:00Z</dcterms:created>
  <dcterms:modified xsi:type="dcterms:W3CDTF">2025-12-07T19:54:00Z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id="gxgPj1KA"/&gt;&lt;style id="http://www.zotero.org/styles/harvard-cite-them-right" locale="en-GB" hasBibliography="1" bibliographyStyleHasBeenSet="0"/&gt;&lt;prefs&gt;&lt;pref name="fieldType" value="Field"/&gt;&lt;pref </vt:lpwstr>
  </property>
  <property fmtid="{D5CDD505-2E9C-101B-9397-08002B2CF9AE}" pid="3" name="ZOTERO_PREF_2">
    <vt:lpwstr>name="automaticJournalAbbreviations" value="true"/&gt;&lt;/prefs&gt;&lt;/data&gt;</vt:lpwstr>
  </property>
  <property fmtid="{D5CDD505-2E9C-101B-9397-08002B2CF9AE}" pid="4" name="ContentTypeId">
    <vt:lpwstr>0x01010086E4C94D3791F742BF2CEB284273B86F</vt:lpwstr>
  </property>
</Properties>
</file>