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07038" w14:textId="0176EA77" w:rsidR="00CF5090" w:rsidRPr="00CF5090" w:rsidRDefault="00CF5090" w:rsidP="00CF5090">
      <w:pPr>
        <w:pStyle w:val="NormalWeb"/>
        <w:jc w:val="center"/>
        <w:rPr>
          <w:rFonts w:ascii="Aparajita" w:hAnsi="Aparajita" w:cs="Aparajita"/>
          <w:sz w:val="44"/>
          <w:szCs w:val="44"/>
        </w:rPr>
      </w:pPr>
      <w:r w:rsidRPr="00CF5090">
        <w:rPr>
          <w:rFonts w:ascii="Aparajita" w:hAnsi="Aparajita" w:cs="Aparajita"/>
          <w:sz w:val="44"/>
          <w:szCs w:val="44"/>
        </w:rPr>
        <w:t xml:space="preserve">Marian Raducanu </w:t>
      </w:r>
    </w:p>
    <w:p w14:paraId="019DF550" w14:textId="30CA96D1" w:rsidR="00CF5090" w:rsidRPr="00CF5090" w:rsidRDefault="00CF5090" w:rsidP="00CF5090">
      <w:pPr>
        <w:pStyle w:val="NormalWeb"/>
        <w:jc w:val="center"/>
        <w:rPr>
          <w:rFonts w:ascii="Aparajita" w:hAnsi="Aparajita" w:cs="Aparajita"/>
          <w:sz w:val="44"/>
          <w:szCs w:val="44"/>
        </w:rPr>
      </w:pPr>
      <w:r w:rsidRPr="00CF5090">
        <w:rPr>
          <w:rFonts w:ascii="Aparajita" w:hAnsi="Aparajita" w:cs="Aparajita"/>
          <w:sz w:val="44"/>
          <w:szCs w:val="44"/>
        </w:rPr>
        <w:t xml:space="preserve">People across time </w:t>
      </w:r>
    </w:p>
    <w:p w14:paraId="4EAB40D0" w14:textId="2BBCF380" w:rsidR="00CF5090" w:rsidRPr="00CF5090" w:rsidRDefault="00CF5090" w:rsidP="00CF5090">
      <w:pPr>
        <w:pStyle w:val="NormalWeb"/>
        <w:jc w:val="center"/>
        <w:rPr>
          <w:rFonts w:ascii="Aparajita" w:hAnsi="Aparajita" w:cs="Aparajita"/>
          <w:sz w:val="44"/>
          <w:szCs w:val="44"/>
        </w:rPr>
      </w:pPr>
      <w:r w:rsidRPr="00CF5090">
        <w:rPr>
          <w:rFonts w:ascii="Aparajita" w:hAnsi="Aparajita" w:cs="Aparajita"/>
          <w:sz w:val="44"/>
          <w:szCs w:val="44"/>
        </w:rPr>
        <w:t xml:space="preserve">Essay </w:t>
      </w:r>
    </w:p>
    <w:p w14:paraId="5AEAEB8F" w14:textId="77777777" w:rsidR="00CF5090" w:rsidRPr="00CF5090" w:rsidRDefault="00CF5090" w:rsidP="00CF5090">
      <w:pPr>
        <w:pStyle w:val="NormalWeb"/>
        <w:jc w:val="center"/>
        <w:rPr>
          <w:rFonts w:ascii="Aparajita" w:hAnsi="Aparajita" w:cs="Aparajita"/>
          <w:sz w:val="44"/>
          <w:szCs w:val="44"/>
        </w:rPr>
      </w:pPr>
    </w:p>
    <w:p w14:paraId="7A8F4FC3" w14:textId="77777777" w:rsidR="00CF5090" w:rsidRPr="00CF5090" w:rsidRDefault="00CF5090" w:rsidP="00CF5090">
      <w:pPr>
        <w:spacing w:before="100" w:beforeAutospacing="1" w:after="100" w:afterAutospacing="1" w:line="240" w:lineRule="auto"/>
        <w:jc w:val="center"/>
        <w:outlineLvl w:val="0"/>
        <w:rPr>
          <w:rFonts w:ascii="Aparajita" w:eastAsia="Times New Roman" w:hAnsi="Aparajita" w:cs="Aparajita"/>
          <w:b/>
          <w:bCs/>
          <w:kern w:val="36"/>
          <w:sz w:val="44"/>
          <w:szCs w:val="44"/>
          <w:lang w:eastAsia="en-GB"/>
          <w14:ligatures w14:val="none"/>
        </w:rPr>
      </w:pPr>
      <w:r w:rsidRPr="00CF5090">
        <w:rPr>
          <w:rFonts w:ascii="Aparajita" w:eastAsia="Times New Roman" w:hAnsi="Aparajita" w:cs="Aparajita"/>
          <w:b/>
          <w:bCs/>
          <w:kern w:val="36"/>
          <w:sz w:val="44"/>
          <w:szCs w:val="44"/>
          <w:lang w:eastAsia="en-GB"/>
          <w14:ligatures w14:val="none"/>
        </w:rPr>
        <w:t>Stonehenge: A Timeless Enigma Connecting Past and Present</w:t>
      </w:r>
    </w:p>
    <w:p w14:paraId="3850548F" w14:textId="77777777" w:rsidR="00CF5090" w:rsidRDefault="00CF5090" w:rsidP="00CF5090">
      <w:pPr>
        <w:pStyle w:val="NormalWeb"/>
        <w:jc w:val="center"/>
      </w:pPr>
    </w:p>
    <w:p w14:paraId="408A02DB" w14:textId="77777777" w:rsidR="00CF5090" w:rsidRDefault="00CF5090" w:rsidP="006E177A">
      <w:pPr>
        <w:pStyle w:val="NormalWeb"/>
      </w:pPr>
    </w:p>
    <w:p w14:paraId="4FA00F17" w14:textId="77777777" w:rsidR="00CF5090" w:rsidRDefault="00CF5090" w:rsidP="006E177A">
      <w:pPr>
        <w:pStyle w:val="NormalWeb"/>
      </w:pPr>
    </w:p>
    <w:p w14:paraId="3AC4C152" w14:textId="77777777" w:rsidR="00CF5090" w:rsidRDefault="00CF5090" w:rsidP="006E177A">
      <w:pPr>
        <w:pStyle w:val="NormalWeb"/>
      </w:pPr>
    </w:p>
    <w:p w14:paraId="148DF0DF" w14:textId="77777777" w:rsidR="00CF5090" w:rsidRDefault="00CF5090" w:rsidP="006E177A">
      <w:pPr>
        <w:pStyle w:val="NormalWeb"/>
      </w:pPr>
    </w:p>
    <w:p w14:paraId="507768C6" w14:textId="77777777" w:rsidR="00CF5090" w:rsidRDefault="00CF5090" w:rsidP="006E177A">
      <w:pPr>
        <w:pStyle w:val="NormalWeb"/>
      </w:pPr>
    </w:p>
    <w:p w14:paraId="69A4E226" w14:textId="245E4B31" w:rsidR="006E177A" w:rsidRPr="00CF5090" w:rsidRDefault="006E177A" w:rsidP="006E177A">
      <w:pPr>
        <w:pStyle w:val="NormalWeb"/>
        <w:rPr>
          <w:rFonts w:ascii="Aparajita" w:hAnsi="Aparajita" w:cs="Aparajita"/>
          <w:b/>
          <w:bCs/>
          <w:sz w:val="28"/>
          <w:szCs w:val="28"/>
        </w:rPr>
      </w:pPr>
      <w:r w:rsidRPr="00CF5090">
        <w:rPr>
          <w:rFonts w:ascii="Aparajita" w:hAnsi="Aparajita" w:cs="Aparajita"/>
          <w:b/>
          <w:bCs/>
          <w:sz w:val="28"/>
          <w:szCs w:val="28"/>
        </w:rPr>
        <w:t>Introduction</w:t>
      </w:r>
    </w:p>
    <w:p w14:paraId="7584B7A0"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Perched on the windy Salisbury Plain in Wiltshire, England, Stonehenge is among the world’s most iconic prehistoric sites. Its towering circle of standing stones, about 13 feet high, have been filling the imagination for thousands of years. Constructed between 3000 and 2000 B.C. in the late Neolithic and early Bronze Ages, Stonehenge is more than a pile of rocks — it’s a marvel of human engineering and a rare window into ancient life. This essay will investigate the process by which Stonehenge was erected, as well as its potential uses, and the lasting impressions that it has made on the Britons of the past and the modern world that still wonders at its complexity. Join us as we venture back in time to solve the secrets of this age-old marvel.</w:t>
      </w:r>
    </w:p>
    <w:p w14:paraId="7F855D92" w14:textId="3FBBC57D" w:rsidR="006E177A" w:rsidRPr="00CF5090" w:rsidRDefault="006E177A" w:rsidP="006E177A">
      <w:pPr>
        <w:pStyle w:val="NormalWeb"/>
        <w:rPr>
          <w:rFonts w:ascii="Aparajita" w:hAnsi="Aparajita" w:cs="Aparajita"/>
          <w:b/>
          <w:bCs/>
          <w:sz w:val="28"/>
          <w:szCs w:val="28"/>
        </w:rPr>
      </w:pPr>
      <w:r w:rsidRPr="00CF5090">
        <w:rPr>
          <w:rFonts w:ascii="Aparajita" w:hAnsi="Aparajita" w:cs="Aparajita"/>
          <w:b/>
          <w:bCs/>
          <w:sz w:val="28"/>
          <w:szCs w:val="28"/>
        </w:rPr>
        <w:t>Architectural and archaeological evidence</w:t>
      </w:r>
    </w:p>
    <w:p w14:paraId="3A63B256"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 xml:space="preserve">Stonehenge wasn’t constructed in a day—it was built over centuries, each phase representing the ingenuity and ambition of its creators. The first phase, circa 3100 BC, involved the construction of a simple earthwork enclosure by digging a circular ditch with an external bank using deer antler picks and carrying soil in baskets (Richards, 2007). Somewhere grander followed this humble beginning. During Phase 2 (c. 3000 BC), timber post(s) were erected for reasons that may have </w:t>
      </w:r>
      <w:r w:rsidRPr="00CF5090">
        <w:rPr>
          <w:rFonts w:ascii="Aparajita" w:hAnsi="Aparajita" w:cs="Aparajita"/>
          <w:sz w:val="28"/>
          <w:szCs w:val="28"/>
        </w:rPr>
        <w:lastRenderedPageBreak/>
        <w:t>been ceremonial; the implication is that Stonehenge had a prior ceremonial function (Parker Pearson, 2012). The Bluestones The famous horseshoe arrangement we recognise today was later constructed in Phase 3 (2600–2000 BC), not as a complete circle, and the massive Sarsen stones and smaller bluestones were erected.</w:t>
      </w:r>
    </w:p>
    <w:p w14:paraId="1DBD504E" w14:textId="4A61445F"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 xml:space="preserve">The materials are just as interesting as the building. The sarsen stones, which each weighed as much as 30 tons, were locally sourced at the Marlborough Downs, some 20 miles away. The smaller bluestones, however, were carried an incredible 200 miles from the Preseli Hills in Wales—a remarkable venture that provides evidence of the resourcefulness of Neolithic man (Darvill, 2006). How did they do it? Archaeological evidence indicates that they employed both sledges and rollers—by most theories, these stones would have been brought from a distance over land and river. The blocks were crafted with extraordinary accuracy and were joined together with interlocking mortise-and-tenon joints, which melded them together in a manner </w:t>
      </w:r>
      <w:r w:rsidR="00CF5090" w:rsidRPr="00CF5090">
        <w:rPr>
          <w:rFonts w:ascii="Aparajita" w:hAnsi="Aparajita" w:cs="Aparajita"/>
          <w:sz w:val="28"/>
          <w:szCs w:val="28"/>
        </w:rPr>
        <w:t>like</w:t>
      </w:r>
      <w:r w:rsidRPr="00CF5090">
        <w:rPr>
          <w:rFonts w:ascii="Aparajita" w:hAnsi="Aparajita" w:cs="Aparajita"/>
          <w:sz w:val="28"/>
          <w:szCs w:val="28"/>
        </w:rPr>
        <w:t xml:space="preserve"> the ancient form of Lego (English Heritage, 2020).</w:t>
      </w:r>
    </w:p>
    <w:p w14:paraId="02BE899F"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Excavations—now also led by Mike Parker Pearson and the Stonehenge Riverside Project—have found human and animal bones, tools, and pottery, evidence of ritual activity, and a far-flung settlement. The findings seem to indicate that Stonehenge was a place for human activity, rather than a single monument. The engineering competence and the labour make one thing clear: Stonehenge was a work of skill, love and community.</w:t>
      </w:r>
    </w:p>
    <w:p w14:paraId="62B23E99" w14:textId="1088D080" w:rsidR="006E177A" w:rsidRPr="00CF5090" w:rsidRDefault="006E177A" w:rsidP="006E177A">
      <w:pPr>
        <w:pStyle w:val="NormalWeb"/>
        <w:rPr>
          <w:rFonts w:ascii="Aparajita" w:hAnsi="Aparajita" w:cs="Aparajita"/>
          <w:b/>
          <w:bCs/>
          <w:sz w:val="28"/>
          <w:szCs w:val="28"/>
        </w:rPr>
      </w:pPr>
      <w:r w:rsidRPr="00CF5090">
        <w:rPr>
          <w:rFonts w:ascii="Aparajita" w:hAnsi="Aparajita" w:cs="Aparajita"/>
          <w:b/>
          <w:bCs/>
          <w:sz w:val="28"/>
          <w:szCs w:val="28"/>
        </w:rPr>
        <w:t>Purpose and Role</w:t>
      </w:r>
    </w:p>
    <w:p w14:paraId="6B18695F"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Why bother going through the trouble of constructing Stonehenge? Its function is still one of archaeology’s big questions, with theories that have ranged from the practical to the mystic. One of the most interesting theories is that Stonehenge was an astronomical observatory. Its orientation to the solstices and particularly the midsummer sunrise over the Heel Stone indicates that it was designed to monitor the heavens (Parker Pearson, 2012). This might have been a calendar for agricultural cycles or religious events, a way for local Neolithic communities to organise their lives around the seasons.</w:t>
      </w:r>
    </w:p>
    <w:p w14:paraId="228F40AC"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Stonehenge was not just for astronomy. Astronomy was a small part of that world, an essential one for sure, but whoever built Stonehenge wasn’t building an observatory, they were building a carnival. Cremated remains and burial pits suggest that it was a regional centre for ancestor worship and death cult (English Heritage, 2020). Its association with the settlement at Durrington Walls, a short distance away, indicates some seasonal activity, possibly feasts, where communities would gather and feast and mourn. These meetings suggest social and political roles, with Stonehenge functioning as a symbol of unity for the Neolithic tribes. It took a huge effort to transport and set stones and that implies cooperation, which in turn points to a sophisticated social system able to plan such large structures.</w:t>
      </w:r>
    </w:p>
    <w:p w14:paraId="6CB0D455"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 xml:space="preserve">But not all the theories stick. The interpretations of some common beliefs such as Stonehenge as a centre of healing have little foundation in fact and rely on considerable speculation (Darvill, 2006). </w:t>
      </w:r>
      <w:r w:rsidRPr="00CF5090">
        <w:rPr>
          <w:rFonts w:ascii="Aparajita" w:hAnsi="Aparajita" w:cs="Aparajita"/>
          <w:sz w:val="28"/>
          <w:szCs w:val="28"/>
        </w:rPr>
        <w:lastRenderedPageBreak/>
        <w:t>Though romantic ideas of druids or supernatural powers may tantalise the imagination, the archaeological record suggests a more pragmatic, multi-levelled purpose: a place where astronomy, ritual and community coalesced.</w:t>
      </w:r>
    </w:p>
    <w:p w14:paraId="56CEB684" w14:textId="6BB365C3" w:rsidR="006E177A" w:rsidRPr="00CF5090" w:rsidRDefault="006E177A" w:rsidP="006E177A">
      <w:pPr>
        <w:pStyle w:val="NormalWeb"/>
        <w:rPr>
          <w:rFonts w:ascii="Aparajita" w:hAnsi="Aparajita" w:cs="Aparajita"/>
          <w:b/>
          <w:bCs/>
          <w:sz w:val="28"/>
          <w:szCs w:val="28"/>
        </w:rPr>
      </w:pPr>
      <w:r w:rsidRPr="00CF5090">
        <w:rPr>
          <w:rFonts w:ascii="Aparajita" w:hAnsi="Aparajita" w:cs="Aparajita"/>
          <w:b/>
          <w:bCs/>
          <w:sz w:val="28"/>
          <w:szCs w:val="28"/>
        </w:rPr>
        <w:t>Cultural Significance and Modern Interpretation</w:t>
      </w:r>
    </w:p>
    <w:p w14:paraId="533CC6AF"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The legacy of Stonehenge has always extended far beyond time immemorial. It was inscribed on UNESCO’s World Heritage List in 1986 for its “outstanding universal value” as a cultural site (UNESCO, 1986). Its mysterious origins have become a part of literature, art, and tradition, from accounts of Merlin transporting the rocks by magic, up until contemporary novels and movies. Today, over a million people a year visit Stonehenge (English Heritage, 2020) managed by English Heritage, and it is a significant part of world tourism.</w:t>
      </w:r>
    </w:p>
    <w:p w14:paraId="5D9F1485" w14:textId="22CD3A8C"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 xml:space="preserve">In modern times, Stonehenge is considered important to the pagans. Neopagan and druid groups congregate there for solstice celebrations, regarded it as a sacred place tied to ancient traditions. However, this contemporary respect has its difficulties. </w:t>
      </w:r>
      <w:r w:rsidR="00CF5090" w:rsidRPr="00CF5090">
        <w:rPr>
          <w:rFonts w:ascii="Aparajita" w:hAnsi="Aparajita" w:cs="Aparajita"/>
          <w:sz w:val="28"/>
          <w:szCs w:val="28"/>
        </w:rPr>
        <w:t>Management Conservation</w:t>
      </w:r>
      <w:r w:rsidRPr="00CF5090">
        <w:rPr>
          <w:rFonts w:ascii="Aparajita" w:hAnsi="Aparajita" w:cs="Aparajita"/>
          <w:sz w:val="28"/>
          <w:szCs w:val="28"/>
        </w:rPr>
        <w:t xml:space="preserve"> issues </w:t>
      </w:r>
      <w:proofErr w:type="gramStart"/>
      <w:r w:rsidRPr="00CF5090">
        <w:rPr>
          <w:rFonts w:ascii="Aparajita" w:hAnsi="Aparajita" w:cs="Aparajita"/>
          <w:sz w:val="28"/>
          <w:szCs w:val="28"/>
        </w:rPr>
        <w:t>The</w:t>
      </w:r>
      <w:proofErr w:type="gramEnd"/>
      <w:r w:rsidRPr="00CF5090">
        <w:rPr>
          <w:rFonts w:ascii="Aparajita" w:hAnsi="Aparajita" w:cs="Aparajita"/>
          <w:sz w:val="28"/>
          <w:szCs w:val="28"/>
        </w:rPr>
        <w:t xml:space="preserve"> balance between conservation and controversial issues such as visitor access is a delicate one; the development of roads near the site has brought problems of development versus conservation into stark relief (</w:t>
      </w:r>
      <w:proofErr w:type="spellStart"/>
      <w:r w:rsidRPr="00CF5090">
        <w:rPr>
          <w:rFonts w:ascii="Aparajita" w:hAnsi="Aparajita" w:cs="Aparajita"/>
          <w:sz w:val="28"/>
          <w:szCs w:val="28"/>
        </w:rPr>
        <w:t>Unesco</w:t>
      </w:r>
      <w:proofErr w:type="spellEnd"/>
      <w:r w:rsidRPr="00CF5090">
        <w:rPr>
          <w:rFonts w:ascii="Aparajita" w:hAnsi="Aparajita" w:cs="Aparajita"/>
          <w:sz w:val="28"/>
          <w:szCs w:val="28"/>
        </w:rPr>
        <w:t>, 1986). That Stonehenge can be very awe-inspiring and, at the same time, so perplexingly practical speaks to the monument’s function as a bridge between the ancient and modern.</w:t>
      </w:r>
    </w:p>
    <w:p w14:paraId="3AE31034"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The cultural significance of the monument is that it makes people wonder. It’s a blank slate for the human imagination, open to anyone from savants to tourists to speculate what it might mean. Whether an engineering marvel, spiritual centre or representation of human continuity, Stonehenge remains a touchstone for comprehending our common history.</w:t>
      </w:r>
    </w:p>
    <w:p w14:paraId="33F16538" w14:textId="77777777" w:rsidR="006E177A" w:rsidRPr="00CF5090" w:rsidRDefault="006E177A" w:rsidP="006E177A">
      <w:pPr>
        <w:pStyle w:val="NormalWeb"/>
        <w:rPr>
          <w:rFonts w:ascii="Aparajita" w:hAnsi="Aparajita" w:cs="Aparajita"/>
          <w:b/>
          <w:bCs/>
          <w:sz w:val="28"/>
          <w:szCs w:val="28"/>
        </w:rPr>
      </w:pPr>
      <w:r w:rsidRPr="00CF5090">
        <w:rPr>
          <w:rFonts w:ascii="Aparajita" w:hAnsi="Aparajita" w:cs="Aparajita"/>
          <w:b/>
          <w:bCs/>
          <w:sz w:val="28"/>
          <w:szCs w:val="28"/>
        </w:rPr>
        <w:t>Conclusion</w:t>
      </w:r>
    </w:p>
    <w:p w14:paraId="4EC4F660" w14:textId="77777777" w:rsidR="006E177A" w:rsidRPr="00CF5090" w:rsidRDefault="006E177A" w:rsidP="006E177A">
      <w:pPr>
        <w:pStyle w:val="NormalWeb"/>
        <w:rPr>
          <w:rFonts w:ascii="Aparajita" w:hAnsi="Aparajita" w:cs="Aparajita"/>
          <w:sz w:val="28"/>
          <w:szCs w:val="28"/>
        </w:rPr>
      </w:pPr>
      <w:r w:rsidRPr="00CF5090">
        <w:rPr>
          <w:rFonts w:ascii="Aparajita" w:hAnsi="Aparajita" w:cs="Aparajita"/>
          <w:sz w:val="28"/>
          <w:szCs w:val="28"/>
        </w:rPr>
        <w:t xml:space="preserve">Stonehenge is not just a collection of stones, but an ancient feat of engineering, a centre of ceremony and astronomy and a cultural artefact that has transcended thousands of years. The way in which it was built with basic tools to serve as both a ceremonial centre and a social space illustrates the cleverness and the ambition of the Neolithic Britons. Today, it remains an obsession, pulling millions onto Salisbury Plain and inspiring everything from scholarly study to new age spirituality. Yet, its mysteries persist. What motivated those ancient communities to haul the stones over such great distances? How were they lined up so accurately with heaven? Stonehenge encourages us to continue </w:t>
      </w:r>
      <w:proofErr w:type="spellStart"/>
      <w:r w:rsidRPr="00CF5090">
        <w:rPr>
          <w:rFonts w:ascii="Aparajita" w:hAnsi="Aparajita" w:cs="Aparajita"/>
          <w:sz w:val="28"/>
          <w:szCs w:val="28"/>
        </w:rPr>
        <w:t>persuing</w:t>
      </w:r>
      <w:proofErr w:type="spellEnd"/>
      <w:r w:rsidRPr="00CF5090">
        <w:rPr>
          <w:rFonts w:ascii="Aparajita" w:hAnsi="Aparajita" w:cs="Aparajita"/>
          <w:sz w:val="28"/>
          <w:szCs w:val="28"/>
        </w:rPr>
        <w:t xml:space="preserve"> questions about it, arranging it so that its mysteries will last generations. It looms over us, and for that reason, we remember our place in the past and our charge to conserve the past for the future.</w:t>
      </w:r>
    </w:p>
    <w:p w14:paraId="4C70A60D" w14:textId="77777777" w:rsidR="006E177A" w:rsidRPr="004666D7" w:rsidRDefault="006E177A" w:rsidP="006E177A">
      <w:pPr>
        <w:spacing w:before="100" w:beforeAutospacing="1" w:after="100" w:afterAutospacing="1" w:line="240" w:lineRule="auto"/>
        <w:outlineLvl w:val="1"/>
        <w:rPr>
          <w:rFonts w:ascii="Aparajita" w:eastAsia="Times New Roman" w:hAnsi="Aparajita" w:cs="Aparajita"/>
          <w:b/>
          <w:bCs/>
          <w:kern w:val="0"/>
          <w:sz w:val="28"/>
          <w:szCs w:val="28"/>
          <w:lang w:eastAsia="en-GB"/>
          <w14:ligatures w14:val="none"/>
        </w:rPr>
      </w:pPr>
      <w:r w:rsidRPr="004666D7">
        <w:rPr>
          <w:rFonts w:ascii="Aparajita" w:eastAsia="Times New Roman" w:hAnsi="Aparajita" w:cs="Aparajita"/>
          <w:b/>
          <w:bCs/>
          <w:kern w:val="0"/>
          <w:sz w:val="28"/>
          <w:szCs w:val="28"/>
          <w:lang w:eastAsia="en-GB"/>
          <w14:ligatures w14:val="none"/>
        </w:rPr>
        <w:t>References</w:t>
      </w:r>
    </w:p>
    <w:p w14:paraId="189F1971" w14:textId="77777777" w:rsidR="006E177A" w:rsidRPr="004666D7" w:rsidRDefault="006E177A" w:rsidP="006E177A">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4666D7">
        <w:rPr>
          <w:rFonts w:ascii="Aparajita" w:eastAsia="Times New Roman" w:hAnsi="Aparajita" w:cs="Aparajita"/>
          <w:kern w:val="0"/>
          <w:sz w:val="28"/>
          <w:szCs w:val="28"/>
          <w:lang w:eastAsia="en-GB"/>
          <w14:ligatures w14:val="none"/>
        </w:rPr>
        <w:t xml:space="preserve">Darvill, T., 2006. </w:t>
      </w:r>
      <w:r w:rsidRPr="004666D7">
        <w:rPr>
          <w:rFonts w:ascii="Aparajita" w:eastAsia="Times New Roman" w:hAnsi="Aparajita" w:cs="Aparajita"/>
          <w:i/>
          <w:iCs/>
          <w:kern w:val="0"/>
          <w:sz w:val="28"/>
          <w:szCs w:val="28"/>
          <w:lang w:eastAsia="en-GB"/>
          <w14:ligatures w14:val="none"/>
        </w:rPr>
        <w:t>Stonehenge: The Biography of a Landscape</w:t>
      </w:r>
      <w:r w:rsidRPr="004666D7">
        <w:rPr>
          <w:rFonts w:ascii="Aparajita" w:eastAsia="Times New Roman" w:hAnsi="Aparajita" w:cs="Aparajita"/>
          <w:kern w:val="0"/>
          <w:sz w:val="28"/>
          <w:szCs w:val="28"/>
          <w:lang w:eastAsia="en-GB"/>
          <w14:ligatures w14:val="none"/>
        </w:rPr>
        <w:t>. Stroud: Tempus.</w:t>
      </w:r>
    </w:p>
    <w:p w14:paraId="2A9FB9ED" w14:textId="77777777" w:rsidR="006E177A" w:rsidRPr="004666D7" w:rsidRDefault="006E177A" w:rsidP="006E177A">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4666D7">
        <w:rPr>
          <w:rFonts w:ascii="Aparajita" w:eastAsia="Times New Roman" w:hAnsi="Aparajita" w:cs="Aparajita"/>
          <w:kern w:val="0"/>
          <w:sz w:val="28"/>
          <w:szCs w:val="28"/>
          <w:lang w:eastAsia="en-GB"/>
          <w14:ligatures w14:val="none"/>
        </w:rPr>
        <w:lastRenderedPageBreak/>
        <w:t xml:space="preserve">English Heritage, 2020. </w:t>
      </w:r>
      <w:r w:rsidRPr="004666D7">
        <w:rPr>
          <w:rFonts w:ascii="Aparajita" w:eastAsia="Times New Roman" w:hAnsi="Aparajita" w:cs="Aparajita"/>
          <w:i/>
          <w:iCs/>
          <w:kern w:val="0"/>
          <w:sz w:val="28"/>
          <w:szCs w:val="28"/>
          <w:lang w:eastAsia="en-GB"/>
          <w14:ligatures w14:val="none"/>
        </w:rPr>
        <w:t>Stonehenge</w:t>
      </w:r>
      <w:r w:rsidRPr="004666D7">
        <w:rPr>
          <w:rFonts w:ascii="Aparajita" w:eastAsia="Times New Roman" w:hAnsi="Aparajita" w:cs="Aparajita"/>
          <w:kern w:val="0"/>
          <w:sz w:val="28"/>
          <w:szCs w:val="28"/>
          <w:lang w:eastAsia="en-GB"/>
          <w14:ligatures w14:val="none"/>
        </w:rPr>
        <w:t>. [online] Available at: https://www.english-heritage.org.uk/visit/places/stonehenge/.</w:t>
      </w:r>
    </w:p>
    <w:p w14:paraId="4CAC8393" w14:textId="77777777" w:rsidR="006E177A" w:rsidRPr="004666D7" w:rsidRDefault="006E177A" w:rsidP="006E177A">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4666D7">
        <w:rPr>
          <w:rFonts w:ascii="Aparajita" w:eastAsia="Times New Roman" w:hAnsi="Aparajita" w:cs="Aparajita"/>
          <w:kern w:val="0"/>
          <w:sz w:val="28"/>
          <w:szCs w:val="28"/>
          <w:lang w:eastAsia="en-GB"/>
          <w14:ligatures w14:val="none"/>
        </w:rPr>
        <w:t xml:space="preserve">Parker Pearson, M., 2012. </w:t>
      </w:r>
      <w:r w:rsidRPr="004666D7">
        <w:rPr>
          <w:rFonts w:ascii="Aparajita" w:eastAsia="Times New Roman" w:hAnsi="Aparajita" w:cs="Aparajita"/>
          <w:i/>
          <w:iCs/>
          <w:kern w:val="0"/>
          <w:sz w:val="28"/>
          <w:szCs w:val="28"/>
          <w:lang w:eastAsia="en-GB"/>
          <w14:ligatures w14:val="none"/>
        </w:rPr>
        <w:t>Stonehenge: A New Understanding of the Greatest Stone Age Mystery</w:t>
      </w:r>
      <w:r w:rsidRPr="004666D7">
        <w:rPr>
          <w:rFonts w:ascii="Aparajita" w:eastAsia="Times New Roman" w:hAnsi="Aparajita" w:cs="Aparajita"/>
          <w:kern w:val="0"/>
          <w:sz w:val="28"/>
          <w:szCs w:val="28"/>
          <w:lang w:eastAsia="en-GB"/>
          <w14:ligatures w14:val="none"/>
        </w:rPr>
        <w:t>. London: Simon &amp; Schuster.</w:t>
      </w:r>
    </w:p>
    <w:p w14:paraId="11408D60" w14:textId="77777777" w:rsidR="006E177A" w:rsidRPr="004666D7" w:rsidRDefault="006E177A" w:rsidP="006E177A">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4666D7">
        <w:rPr>
          <w:rFonts w:ascii="Aparajita" w:eastAsia="Times New Roman" w:hAnsi="Aparajita" w:cs="Aparajita"/>
          <w:kern w:val="0"/>
          <w:sz w:val="28"/>
          <w:szCs w:val="28"/>
          <w:lang w:eastAsia="en-GB"/>
          <w14:ligatures w14:val="none"/>
        </w:rPr>
        <w:t xml:space="preserve">Richards, J., 2007. </w:t>
      </w:r>
      <w:r w:rsidRPr="004666D7">
        <w:rPr>
          <w:rFonts w:ascii="Aparajita" w:eastAsia="Times New Roman" w:hAnsi="Aparajita" w:cs="Aparajita"/>
          <w:i/>
          <w:iCs/>
          <w:kern w:val="0"/>
          <w:sz w:val="28"/>
          <w:szCs w:val="28"/>
          <w:lang w:eastAsia="en-GB"/>
          <w14:ligatures w14:val="none"/>
        </w:rPr>
        <w:t>Stonehenge: The Story So Far</w:t>
      </w:r>
      <w:r w:rsidRPr="004666D7">
        <w:rPr>
          <w:rFonts w:ascii="Aparajita" w:eastAsia="Times New Roman" w:hAnsi="Aparajita" w:cs="Aparajita"/>
          <w:kern w:val="0"/>
          <w:sz w:val="28"/>
          <w:szCs w:val="28"/>
          <w:lang w:eastAsia="en-GB"/>
          <w14:ligatures w14:val="none"/>
        </w:rPr>
        <w:t>. Swindon: English Heritage.</w:t>
      </w:r>
    </w:p>
    <w:p w14:paraId="747C4FB9" w14:textId="77777777" w:rsidR="006E177A" w:rsidRPr="004666D7" w:rsidRDefault="006E177A" w:rsidP="006E177A">
      <w:pPr>
        <w:numPr>
          <w:ilvl w:val="0"/>
          <w:numId w:val="1"/>
        </w:numPr>
        <w:spacing w:before="100" w:beforeAutospacing="1" w:after="100" w:afterAutospacing="1" w:line="240" w:lineRule="auto"/>
        <w:rPr>
          <w:rFonts w:ascii="Aparajita" w:eastAsia="Times New Roman" w:hAnsi="Aparajita" w:cs="Aparajita"/>
          <w:kern w:val="0"/>
          <w:sz w:val="28"/>
          <w:szCs w:val="28"/>
          <w:lang w:eastAsia="en-GB"/>
          <w14:ligatures w14:val="none"/>
        </w:rPr>
      </w:pPr>
      <w:r w:rsidRPr="004666D7">
        <w:rPr>
          <w:rFonts w:ascii="Aparajita" w:eastAsia="Times New Roman" w:hAnsi="Aparajita" w:cs="Aparajita"/>
          <w:kern w:val="0"/>
          <w:sz w:val="28"/>
          <w:szCs w:val="28"/>
          <w:lang w:eastAsia="en-GB"/>
          <w14:ligatures w14:val="none"/>
        </w:rPr>
        <w:t xml:space="preserve">UNESCO, 1986. </w:t>
      </w:r>
      <w:r w:rsidRPr="004666D7">
        <w:rPr>
          <w:rFonts w:ascii="Aparajita" w:eastAsia="Times New Roman" w:hAnsi="Aparajita" w:cs="Aparajita"/>
          <w:i/>
          <w:iCs/>
          <w:kern w:val="0"/>
          <w:sz w:val="28"/>
          <w:szCs w:val="28"/>
          <w:lang w:eastAsia="en-GB"/>
          <w14:ligatures w14:val="none"/>
        </w:rPr>
        <w:t>Stonehenge, Avebury and Associated Sites</w:t>
      </w:r>
      <w:r w:rsidRPr="004666D7">
        <w:rPr>
          <w:rFonts w:ascii="Aparajita" w:eastAsia="Times New Roman" w:hAnsi="Aparajita" w:cs="Aparajita"/>
          <w:kern w:val="0"/>
          <w:sz w:val="28"/>
          <w:szCs w:val="28"/>
          <w:lang w:eastAsia="en-GB"/>
          <w14:ligatures w14:val="none"/>
        </w:rPr>
        <w:t>. [online] Available at: https://whc.unesco.org/en/list/373.</w:t>
      </w:r>
    </w:p>
    <w:p w14:paraId="461D2766" w14:textId="77777777" w:rsidR="00505425" w:rsidRPr="00CF5090" w:rsidRDefault="00505425">
      <w:pPr>
        <w:rPr>
          <w:rFonts w:ascii="Aparajita" w:hAnsi="Aparajita" w:cs="Aparajita"/>
          <w:sz w:val="28"/>
          <w:szCs w:val="28"/>
        </w:rPr>
      </w:pPr>
    </w:p>
    <w:sectPr w:rsidR="00505425" w:rsidRPr="00CF50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4028A5"/>
    <w:multiLevelType w:val="multilevel"/>
    <w:tmpl w:val="1562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6731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77A"/>
    <w:rsid w:val="00505425"/>
    <w:rsid w:val="006E177A"/>
    <w:rsid w:val="007B2215"/>
    <w:rsid w:val="00CF5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4A5D3"/>
  <w15:chartTrackingRefBased/>
  <w15:docId w15:val="{AECDB1BD-B269-4BFA-A873-ED5EF4EC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1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1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1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1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17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17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17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17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1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1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1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1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1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1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1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1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177A"/>
    <w:rPr>
      <w:rFonts w:eastAsiaTheme="majorEastAsia" w:cstheme="majorBidi"/>
      <w:color w:val="272727" w:themeColor="text1" w:themeTint="D8"/>
    </w:rPr>
  </w:style>
  <w:style w:type="paragraph" w:styleId="Title">
    <w:name w:val="Title"/>
    <w:basedOn w:val="Normal"/>
    <w:next w:val="Normal"/>
    <w:link w:val="TitleChar"/>
    <w:uiPriority w:val="10"/>
    <w:qFormat/>
    <w:rsid w:val="006E17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17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1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177A"/>
    <w:pPr>
      <w:spacing w:before="160"/>
      <w:jc w:val="center"/>
    </w:pPr>
    <w:rPr>
      <w:i/>
      <w:iCs/>
      <w:color w:val="404040" w:themeColor="text1" w:themeTint="BF"/>
    </w:rPr>
  </w:style>
  <w:style w:type="character" w:customStyle="1" w:styleId="QuoteChar">
    <w:name w:val="Quote Char"/>
    <w:basedOn w:val="DefaultParagraphFont"/>
    <w:link w:val="Quote"/>
    <w:uiPriority w:val="29"/>
    <w:rsid w:val="006E177A"/>
    <w:rPr>
      <w:i/>
      <w:iCs/>
      <w:color w:val="404040" w:themeColor="text1" w:themeTint="BF"/>
    </w:rPr>
  </w:style>
  <w:style w:type="paragraph" w:styleId="ListParagraph">
    <w:name w:val="List Paragraph"/>
    <w:basedOn w:val="Normal"/>
    <w:uiPriority w:val="34"/>
    <w:qFormat/>
    <w:rsid w:val="006E177A"/>
    <w:pPr>
      <w:ind w:left="720"/>
      <w:contextualSpacing/>
    </w:pPr>
  </w:style>
  <w:style w:type="character" w:styleId="IntenseEmphasis">
    <w:name w:val="Intense Emphasis"/>
    <w:basedOn w:val="DefaultParagraphFont"/>
    <w:uiPriority w:val="21"/>
    <w:qFormat/>
    <w:rsid w:val="006E177A"/>
    <w:rPr>
      <w:i/>
      <w:iCs/>
      <w:color w:val="0F4761" w:themeColor="accent1" w:themeShade="BF"/>
    </w:rPr>
  </w:style>
  <w:style w:type="paragraph" w:styleId="IntenseQuote">
    <w:name w:val="Intense Quote"/>
    <w:basedOn w:val="Normal"/>
    <w:next w:val="Normal"/>
    <w:link w:val="IntenseQuoteChar"/>
    <w:uiPriority w:val="30"/>
    <w:qFormat/>
    <w:rsid w:val="006E1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177A"/>
    <w:rPr>
      <w:i/>
      <w:iCs/>
      <w:color w:val="0F4761" w:themeColor="accent1" w:themeShade="BF"/>
    </w:rPr>
  </w:style>
  <w:style w:type="character" w:styleId="IntenseReference">
    <w:name w:val="Intense Reference"/>
    <w:basedOn w:val="DefaultParagraphFont"/>
    <w:uiPriority w:val="32"/>
    <w:qFormat/>
    <w:rsid w:val="006E177A"/>
    <w:rPr>
      <w:b/>
      <w:bCs/>
      <w:smallCaps/>
      <w:color w:val="0F4761" w:themeColor="accent1" w:themeShade="BF"/>
      <w:spacing w:val="5"/>
    </w:rPr>
  </w:style>
  <w:style w:type="paragraph" w:styleId="NormalWeb">
    <w:name w:val="Normal (Web)"/>
    <w:basedOn w:val="Normal"/>
    <w:uiPriority w:val="99"/>
    <w:semiHidden/>
    <w:unhideWhenUsed/>
    <w:rsid w:val="006E17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471869">
      <w:bodyDiv w:val="1"/>
      <w:marLeft w:val="0"/>
      <w:marRight w:val="0"/>
      <w:marTop w:val="0"/>
      <w:marBottom w:val="0"/>
      <w:divBdr>
        <w:top w:val="none" w:sz="0" w:space="0" w:color="auto"/>
        <w:left w:val="none" w:sz="0" w:space="0" w:color="auto"/>
        <w:bottom w:val="none" w:sz="0" w:space="0" w:color="auto"/>
        <w:right w:val="none" w:sz="0" w:space="0" w:color="auto"/>
      </w:divBdr>
    </w:div>
    <w:div w:id="88271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ROMAN</dc:creator>
  <cp:keywords/>
  <dc:description/>
  <cp:lastModifiedBy>ANDREI ROMAN</cp:lastModifiedBy>
  <cp:revision>1</cp:revision>
  <dcterms:created xsi:type="dcterms:W3CDTF">2025-07-17T07:02:00Z</dcterms:created>
  <dcterms:modified xsi:type="dcterms:W3CDTF">2025-07-17T07:44:00Z</dcterms:modified>
</cp:coreProperties>
</file>