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5DC4B" w14:textId="59ED4F3B" w:rsidR="00A929BF"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STUDEND NAME: IONELA SORINA OCNEANU </w:t>
      </w:r>
    </w:p>
    <w:p w14:paraId="3127B9F4" w14:textId="4FA5E670"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STUDENT ID: 2234046 </w:t>
      </w:r>
    </w:p>
    <w:p w14:paraId="71D2A0E7" w14:textId="14398878"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MODULE CODE: LCBB5010</w:t>
      </w:r>
    </w:p>
    <w:p w14:paraId="0C263B38" w14:textId="6AADDA0C"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LECTURE NAME: PATRICK YEBOAH </w:t>
      </w:r>
    </w:p>
    <w:p w14:paraId="3C22D9DB" w14:textId="3A35BBF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COMPANY NHS ENGLAND </w:t>
      </w:r>
    </w:p>
    <w:p w14:paraId="22E57323" w14:textId="3027C77B" w:rsidR="00241380" w:rsidRPr="00241380" w:rsidRDefault="00241380" w:rsidP="00241380">
      <w:pPr>
        <w:spacing w:line="360" w:lineRule="auto"/>
        <w:jc w:val="both"/>
        <w:rPr>
          <w:rFonts w:ascii="Times New Roman" w:hAnsi="Times New Roman" w:cs="Times New Roman"/>
        </w:rPr>
      </w:pPr>
      <w:r w:rsidRPr="00241380">
        <w:rPr>
          <w:rFonts w:ascii="Times New Roman" w:hAnsi="Times New Roman" w:cs="Times New Roman"/>
        </w:rPr>
        <w:t>2000 WORDS COUNT</w:t>
      </w:r>
    </w:p>
    <w:p w14:paraId="44309289" w14:textId="77777777" w:rsidR="0095454B" w:rsidRPr="00241380" w:rsidRDefault="0095454B" w:rsidP="00241380">
      <w:pPr>
        <w:spacing w:line="360" w:lineRule="auto"/>
        <w:jc w:val="both"/>
        <w:rPr>
          <w:rFonts w:ascii="Times New Roman" w:hAnsi="Times New Roman" w:cs="Times New Roman"/>
        </w:rPr>
      </w:pPr>
    </w:p>
    <w:p w14:paraId="3D1E8249" w14:textId="77777777" w:rsidR="0095454B" w:rsidRPr="00241380" w:rsidRDefault="0095454B" w:rsidP="00241380">
      <w:pPr>
        <w:spacing w:line="360" w:lineRule="auto"/>
        <w:jc w:val="both"/>
        <w:rPr>
          <w:rFonts w:ascii="Times New Roman" w:hAnsi="Times New Roman" w:cs="Times New Roman"/>
        </w:rPr>
      </w:pPr>
    </w:p>
    <w:p w14:paraId="7C022B15" w14:textId="77777777" w:rsidR="0095454B" w:rsidRPr="00241380" w:rsidRDefault="0095454B" w:rsidP="00241380">
      <w:pPr>
        <w:spacing w:line="360" w:lineRule="auto"/>
        <w:jc w:val="both"/>
        <w:rPr>
          <w:rFonts w:ascii="Times New Roman" w:hAnsi="Times New Roman" w:cs="Times New Roman"/>
        </w:rPr>
      </w:pPr>
    </w:p>
    <w:p w14:paraId="6003E7AE" w14:textId="77777777" w:rsidR="0095454B" w:rsidRPr="00241380" w:rsidRDefault="0095454B" w:rsidP="00241380">
      <w:pPr>
        <w:spacing w:line="360" w:lineRule="auto"/>
        <w:jc w:val="both"/>
        <w:rPr>
          <w:rFonts w:ascii="Times New Roman" w:hAnsi="Times New Roman" w:cs="Times New Roman"/>
        </w:rPr>
      </w:pPr>
    </w:p>
    <w:p w14:paraId="61858825" w14:textId="77777777" w:rsidR="0095454B" w:rsidRPr="00241380" w:rsidRDefault="0095454B" w:rsidP="00241380">
      <w:pPr>
        <w:spacing w:line="360" w:lineRule="auto"/>
        <w:jc w:val="both"/>
        <w:rPr>
          <w:rFonts w:ascii="Times New Roman" w:hAnsi="Times New Roman" w:cs="Times New Roman"/>
        </w:rPr>
      </w:pPr>
    </w:p>
    <w:p w14:paraId="4E682DC5" w14:textId="77777777" w:rsidR="0095454B" w:rsidRPr="00241380" w:rsidRDefault="0095454B" w:rsidP="00241380">
      <w:pPr>
        <w:spacing w:line="360" w:lineRule="auto"/>
        <w:jc w:val="both"/>
        <w:rPr>
          <w:rFonts w:ascii="Times New Roman" w:hAnsi="Times New Roman" w:cs="Times New Roman"/>
        </w:rPr>
      </w:pPr>
    </w:p>
    <w:p w14:paraId="52C41B3E" w14:textId="77777777" w:rsidR="0095454B" w:rsidRPr="00241380" w:rsidRDefault="0095454B" w:rsidP="00241380">
      <w:pPr>
        <w:spacing w:line="360" w:lineRule="auto"/>
        <w:jc w:val="both"/>
        <w:rPr>
          <w:rFonts w:ascii="Times New Roman" w:hAnsi="Times New Roman" w:cs="Times New Roman"/>
        </w:rPr>
      </w:pPr>
    </w:p>
    <w:p w14:paraId="23E1CE68" w14:textId="77777777" w:rsidR="0095454B" w:rsidRPr="00241380" w:rsidRDefault="0095454B" w:rsidP="00241380">
      <w:pPr>
        <w:spacing w:line="360" w:lineRule="auto"/>
        <w:jc w:val="both"/>
        <w:rPr>
          <w:rFonts w:ascii="Times New Roman" w:hAnsi="Times New Roman" w:cs="Times New Roman"/>
        </w:rPr>
      </w:pPr>
    </w:p>
    <w:p w14:paraId="3FEC3B17" w14:textId="77777777" w:rsidR="0095454B" w:rsidRPr="00241380" w:rsidRDefault="0095454B" w:rsidP="00241380">
      <w:pPr>
        <w:spacing w:line="360" w:lineRule="auto"/>
        <w:jc w:val="both"/>
        <w:rPr>
          <w:rFonts w:ascii="Times New Roman" w:hAnsi="Times New Roman" w:cs="Times New Roman"/>
        </w:rPr>
      </w:pPr>
    </w:p>
    <w:p w14:paraId="777C8867" w14:textId="77777777" w:rsidR="0095454B" w:rsidRPr="00241380" w:rsidRDefault="0095454B" w:rsidP="00241380">
      <w:pPr>
        <w:spacing w:line="360" w:lineRule="auto"/>
        <w:jc w:val="both"/>
        <w:rPr>
          <w:rFonts w:ascii="Times New Roman" w:hAnsi="Times New Roman" w:cs="Times New Roman"/>
        </w:rPr>
      </w:pPr>
    </w:p>
    <w:p w14:paraId="65C5C4A5" w14:textId="77777777" w:rsidR="0095454B" w:rsidRPr="00241380" w:rsidRDefault="0095454B" w:rsidP="00241380">
      <w:pPr>
        <w:spacing w:line="360" w:lineRule="auto"/>
        <w:jc w:val="both"/>
        <w:rPr>
          <w:rFonts w:ascii="Times New Roman" w:hAnsi="Times New Roman" w:cs="Times New Roman"/>
        </w:rPr>
      </w:pPr>
    </w:p>
    <w:p w14:paraId="351EECFB" w14:textId="77777777" w:rsidR="0095454B" w:rsidRPr="00241380" w:rsidRDefault="0095454B" w:rsidP="00241380">
      <w:pPr>
        <w:spacing w:line="360" w:lineRule="auto"/>
        <w:jc w:val="both"/>
        <w:rPr>
          <w:rFonts w:ascii="Times New Roman" w:hAnsi="Times New Roman" w:cs="Times New Roman"/>
        </w:rPr>
      </w:pPr>
    </w:p>
    <w:p w14:paraId="148DE184" w14:textId="77777777" w:rsidR="0095454B" w:rsidRPr="00241380" w:rsidRDefault="0095454B" w:rsidP="00241380">
      <w:pPr>
        <w:spacing w:line="360" w:lineRule="auto"/>
        <w:jc w:val="both"/>
        <w:rPr>
          <w:rFonts w:ascii="Times New Roman" w:hAnsi="Times New Roman" w:cs="Times New Roman"/>
        </w:rPr>
      </w:pPr>
    </w:p>
    <w:p w14:paraId="086CB41F" w14:textId="77777777" w:rsidR="0095454B" w:rsidRPr="00241380" w:rsidRDefault="0095454B" w:rsidP="00241380">
      <w:pPr>
        <w:spacing w:line="360" w:lineRule="auto"/>
        <w:jc w:val="both"/>
        <w:rPr>
          <w:rFonts w:ascii="Times New Roman" w:hAnsi="Times New Roman" w:cs="Times New Roman"/>
        </w:rPr>
      </w:pPr>
    </w:p>
    <w:p w14:paraId="2DE02F0A" w14:textId="77777777" w:rsidR="0095454B" w:rsidRPr="00241380" w:rsidRDefault="0095454B" w:rsidP="00241380">
      <w:pPr>
        <w:spacing w:line="360" w:lineRule="auto"/>
        <w:jc w:val="both"/>
        <w:rPr>
          <w:rFonts w:ascii="Times New Roman" w:hAnsi="Times New Roman" w:cs="Times New Roman"/>
        </w:rPr>
      </w:pPr>
    </w:p>
    <w:p w14:paraId="28C4B552" w14:textId="77777777" w:rsidR="0095454B" w:rsidRPr="00241380" w:rsidRDefault="0095454B" w:rsidP="00241380">
      <w:pPr>
        <w:spacing w:line="360" w:lineRule="auto"/>
        <w:jc w:val="both"/>
        <w:rPr>
          <w:rFonts w:ascii="Times New Roman" w:hAnsi="Times New Roman" w:cs="Times New Roman"/>
        </w:rPr>
      </w:pPr>
    </w:p>
    <w:p w14:paraId="73E8190A" w14:textId="77777777" w:rsidR="0095454B" w:rsidRPr="00241380" w:rsidRDefault="0095454B" w:rsidP="00241380">
      <w:pPr>
        <w:spacing w:line="360" w:lineRule="auto"/>
        <w:jc w:val="both"/>
        <w:rPr>
          <w:rFonts w:ascii="Times New Roman" w:hAnsi="Times New Roman" w:cs="Times New Roman"/>
        </w:rPr>
      </w:pPr>
    </w:p>
    <w:p w14:paraId="1718BD38" w14:textId="77777777" w:rsidR="0095454B" w:rsidRPr="00241380" w:rsidRDefault="0095454B" w:rsidP="00241380">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1428423065"/>
        <w:docPartObj>
          <w:docPartGallery w:val="Table of Contents"/>
          <w:docPartUnique/>
        </w:docPartObj>
      </w:sdtPr>
      <w:sdtEndPr>
        <w:rPr>
          <w:b/>
          <w:bCs/>
        </w:rPr>
      </w:sdtEndPr>
      <w:sdtContent>
        <w:p w14:paraId="344DB667" w14:textId="0DF10747" w:rsidR="00241380" w:rsidRDefault="00241380">
          <w:pPr>
            <w:pStyle w:val="TOCHeading"/>
          </w:pPr>
          <w:r>
            <w:t>Table of Contents</w:t>
          </w:r>
        </w:p>
        <w:p w14:paraId="0484AAD6" w14:textId="2C0A9F57" w:rsidR="00241380" w:rsidRDefault="00241380">
          <w:pPr>
            <w:pStyle w:val="TOC1"/>
            <w:tabs>
              <w:tab w:val="right" w:leader="dot" w:pos="9016"/>
            </w:tabs>
            <w:rPr>
              <w:noProof/>
            </w:rPr>
          </w:pPr>
          <w:r>
            <w:fldChar w:fldCharType="begin"/>
          </w:r>
          <w:r>
            <w:instrText xml:space="preserve"> TOC \o "1-3" \h \z \u </w:instrText>
          </w:r>
          <w:r>
            <w:fldChar w:fldCharType="separate"/>
          </w:r>
          <w:hyperlink w:anchor="_Toc211174639" w:history="1">
            <w:r w:rsidRPr="00B45A78">
              <w:rPr>
                <w:rStyle w:val="Hyperlink"/>
                <w:noProof/>
              </w:rPr>
              <w:t>INTRODUCTION</w:t>
            </w:r>
            <w:r>
              <w:rPr>
                <w:noProof/>
                <w:webHidden/>
              </w:rPr>
              <w:tab/>
            </w:r>
            <w:r>
              <w:rPr>
                <w:noProof/>
                <w:webHidden/>
              </w:rPr>
              <w:fldChar w:fldCharType="begin"/>
            </w:r>
            <w:r>
              <w:rPr>
                <w:noProof/>
                <w:webHidden/>
              </w:rPr>
              <w:instrText xml:space="preserve"> PAGEREF _Toc211174639 \h </w:instrText>
            </w:r>
            <w:r>
              <w:rPr>
                <w:noProof/>
                <w:webHidden/>
              </w:rPr>
            </w:r>
            <w:r>
              <w:rPr>
                <w:noProof/>
                <w:webHidden/>
              </w:rPr>
              <w:fldChar w:fldCharType="separate"/>
            </w:r>
            <w:r>
              <w:rPr>
                <w:noProof/>
                <w:webHidden/>
              </w:rPr>
              <w:t>3</w:t>
            </w:r>
            <w:r>
              <w:rPr>
                <w:noProof/>
                <w:webHidden/>
              </w:rPr>
              <w:fldChar w:fldCharType="end"/>
            </w:r>
          </w:hyperlink>
        </w:p>
        <w:p w14:paraId="709A777B" w14:textId="54F1B79D" w:rsidR="00241380" w:rsidRDefault="00241380">
          <w:pPr>
            <w:pStyle w:val="TOC1"/>
            <w:tabs>
              <w:tab w:val="right" w:leader="dot" w:pos="9016"/>
            </w:tabs>
            <w:rPr>
              <w:noProof/>
            </w:rPr>
          </w:pPr>
          <w:hyperlink w:anchor="_Toc211174640" w:history="1">
            <w:r w:rsidRPr="00B45A78">
              <w:rPr>
                <w:rStyle w:val="Hyperlink"/>
                <w:noProof/>
              </w:rPr>
              <w:t>COST ANALYSIS AND BUSINESS MODEL</w:t>
            </w:r>
            <w:r>
              <w:rPr>
                <w:noProof/>
                <w:webHidden/>
              </w:rPr>
              <w:tab/>
            </w:r>
            <w:r>
              <w:rPr>
                <w:noProof/>
                <w:webHidden/>
              </w:rPr>
              <w:fldChar w:fldCharType="begin"/>
            </w:r>
            <w:r>
              <w:rPr>
                <w:noProof/>
                <w:webHidden/>
              </w:rPr>
              <w:instrText xml:space="preserve"> PAGEREF _Toc211174640 \h </w:instrText>
            </w:r>
            <w:r>
              <w:rPr>
                <w:noProof/>
                <w:webHidden/>
              </w:rPr>
            </w:r>
            <w:r>
              <w:rPr>
                <w:noProof/>
                <w:webHidden/>
              </w:rPr>
              <w:fldChar w:fldCharType="separate"/>
            </w:r>
            <w:r>
              <w:rPr>
                <w:noProof/>
                <w:webHidden/>
              </w:rPr>
              <w:t>4</w:t>
            </w:r>
            <w:r>
              <w:rPr>
                <w:noProof/>
                <w:webHidden/>
              </w:rPr>
              <w:fldChar w:fldCharType="end"/>
            </w:r>
          </w:hyperlink>
        </w:p>
        <w:p w14:paraId="70E69C2C" w14:textId="1062E5B1" w:rsidR="00241380" w:rsidRDefault="00241380">
          <w:pPr>
            <w:pStyle w:val="TOC1"/>
            <w:tabs>
              <w:tab w:val="right" w:leader="dot" w:pos="9016"/>
            </w:tabs>
            <w:rPr>
              <w:noProof/>
            </w:rPr>
          </w:pPr>
          <w:hyperlink w:anchor="_Toc211174641" w:history="1">
            <w:r w:rsidRPr="00B45A78">
              <w:rPr>
                <w:rStyle w:val="Hyperlink"/>
                <w:noProof/>
              </w:rPr>
              <w:t>BUDGETTING AND FINANCIAL PLANING</w:t>
            </w:r>
            <w:r>
              <w:rPr>
                <w:noProof/>
                <w:webHidden/>
              </w:rPr>
              <w:tab/>
            </w:r>
            <w:r>
              <w:rPr>
                <w:noProof/>
                <w:webHidden/>
              </w:rPr>
              <w:fldChar w:fldCharType="begin"/>
            </w:r>
            <w:r>
              <w:rPr>
                <w:noProof/>
                <w:webHidden/>
              </w:rPr>
              <w:instrText xml:space="preserve"> PAGEREF _Toc211174641 \h </w:instrText>
            </w:r>
            <w:r>
              <w:rPr>
                <w:noProof/>
                <w:webHidden/>
              </w:rPr>
            </w:r>
            <w:r>
              <w:rPr>
                <w:noProof/>
                <w:webHidden/>
              </w:rPr>
              <w:fldChar w:fldCharType="separate"/>
            </w:r>
            <w:r>
              <w:rPr>
                <w:noProof/>
                <w:webHidden/>
              </w:rPr>
              <w:t>7</w:t>
            </w:r>
            <w:r>
              <w:rPr>
                <w:noProof/>
                <w:webHidden/>
              </w:rPr>
              <w:fldChar w:fldCharType="end"/>
            </w:r>
          </w:hyperlink>
        </w:p>
        <w:p w14:paraId="5A0232CD" w14:textId="0768FC87" w:rsidR="00241380" w:rsidRDefault="00241380">
          <w:pPr>
            <w:pStyle w:val="TOC1"/>
            <w:tabs>
              <w:tab w:val="right" w:leader="dot" w:pos="9016"/>
            </w:tabs>
            <w:rPr>
              <w:noProof/>
            </w:rPr>
          </w:pPr>
          <w:hyperlink w:anchor="_Toc211174642" w:history="1">
            <w:r w:rsidRPr="00B45A78">
              <w:rPr>
                <w:rStyle w:val="Hyperlink"/>
                <w:noProof/>
              </w:rPr>
              <w:t>Performance Measurement and Decision-Making</w:t>
            </w:r>
            <w:r>
              <w:rPr>
                <w:noProof/>
                <w:webHidden/>
              </w:rPr>
              <w:tab/>
            </w:r>
            <w:r>
              <w:rPr>
                <w:noProof/>
                <w:webHidden/>
              </w:rPr>
              <w:fldChar w:fldCharType="begin"/>
            </w:r>
            <w:r>
              <w:rPr>
                <w:noProof/>
                <w:webHidden/>
              </w:rPr>
              <w:instrText xml:space="preserve"> PAGEREF _Toc211174642 \h </w:instrText>
            </w:r>
            <w:r>
              <w:rPr>
                <w:noProof/>
                <w:webHidden/>
              </w:rPr>
            </w:r>
            <w:r>
              <w:rPr>
                <w:noProof/>
                <w:webHidden/>
              </w:rPr>
              <w:fldChar w:fldCharType="separate"/>
            </w:r>
            <w:r>
              <w:rPr>
                <w:noProof/>
                <w:webHidden/>
              </w:rPr>
              <w:t>9</w:t>
            </w:r>
            <w:r>
              <w:rPr>
                <w:noProof/>
                <w:webHidden/>
              </w:rPr>
              <w:fldChar w:fldCharType="end"/>
            </w:r>
          </w:hyperlink>
        </w:p>
        <w:p w14:paraId="2163D531" w14:textId="31BCA84A" w:rsidR="00241380" w:rsidRDefault="00241380">
          <w:pPr>
            <w:pStyle w:val="TOC1"/>
            <w:tabs>
              <w:tab w:val="right" w:leader="dot" w:pos="9016"/>
            </w:tabs>
            <w:rPr>
              <w:noProof/>
            </w:rPr>
          </w:pPr>
          <w:hyperlink w:anchor="_Toc211174643" w:history="1">
            <w:r w:rsidRPr="00B45A78">
              <w:rPr>
                <w:rStyle w:val="Hyperlink"/>
                <w:noProof/>
              </w:rPr>
              <w:t>Sustainability and Ethical Considerations</w:t>
            </w:r>
            <w:r>
              <w:rPr>
                <w:noProof/>
                <w:webHidden/>
              </w:rPr>
              <w:tab/>
            </w:r>
            <w:r>
              <w:rPr>
                <w:noProof/>
                <w:webHidden/>
              </w:rPr>
              <w:fldChar w:fldCharType="begin"/>
            </w:r>
            <w:r>
              <w:rPr>
                <w:noProof/>
                <w:webHidden/>
              </w:rPr>
              <w:instrText xml:space="preserve"> PAGEREF _Toc211174643 \h </w:instrText>
            </w:r>
            <w:r>
              <w:rPr>
                <w:noProof/>
                <w:webHidden/>
              </w:rPr>
            </w:r>
            <w:r>
              <w:rPr>
                <w:noProof/>
                <w:webHidden/>
              </w:rPr>
              <w:fldChar w:fldCharType="separate"/>
            </w:r>
            <w:r>
              <w:rPr>
                <w:noProof/>
                <w:webHidden/>
              </w:rPr>
              <w:t>10</w:t>
            </w:r>
            <w:r>
              <w:rPr>
                <w:noProof/>
                <w:webHidden/>
              </w:rPr>
              <w:fldChar w:fldCharType="end"/>
            </w:r>
          </w:hyperlink>
        </w:p>
        <w:p w14:paraId="0DF66FCD" w14:textId="2D3E0768" w:rsidR="00241380" w:rsidRDefault="00241380">
          <w:pPr>
            <w:pStyle w:val="TOC1"/>
            <w:tabs>
              <w:tab w:val="right" w:leader="dot" w:pos="9016"/>
            </w:tabs>
            <w:rPr>
              <w:noProof/>
            </w:rPr>
          </w:pPr>
          <w:hyperlink w:anchor="_Toc211174644" w:history="1">
            <w:r w:rsidRPr="00B45A78">
              <w:rPr>
                <w:rStyle w:val="Hyperlink"/>
                <w:noProof/>
              </w:rPr>
              <w:t>Conclusion and Recommendations</w:t>
            </w:r>
            <w:r>
              <w:rPr>
                <w:noProof/>
                <w:webHidden/>
              </w:rPr>
              <w:tab/>
            </w:r>
            <w:r>
              <w:rPr>
                <w:noProof/>
                <w:webHidden/>
              </w:rPr>
              <w:fldChar w:fldCharType="begin"/>
            </w:r>
            <w:r>
              <w:rPr>
                <w:noProof/>
                <w:webHidden/>
              </w:rPr>
              <w:instrText xml:space="preserve"> PAGEREF _Toc211174644 \h </w:instrText>
            </w:r>
            <w:r>
              <w:rPr>
                <w:noProof/>
                <w:webHidden/>
              </w:rPr>
            </w:r>
            <w:r>
              <w:rPr>
                <w:noProof/>
                <w:webHidden/>
              </w:rPr>
              <w:fldChar w:fldCharType="separate"/>
            </w:r>
            <w:r>
              <w:rPr>
                <w:noProof/>
                <w:webHidden/>
              </w:rPr>
              <w:t>12</w:t>
            </w:r>
            <w:r>
              <w:rPr>
                <w:noProof/>
                <w:webHidden/>
              </w:rPr>
              <w:fldChar w:fldCharType="end"/>
            </w:r>
          </w:hyperlink>
        </w:p>
        <w:p w14:paraId="422BCB63" w14:textId="355EA81E" w:rsidR="00241380" w:rsidRDefault="00241380">
          <w:pPr>
            <w:pStyle w:val="TOC1"/>
            <w:tabs>
              <w:tab w:val="right" w:leader="dot" w:pos="9016"/>
            </w:tabs>
            <w:rPr>
              <w:noProof/>
            </w:rPr>
          </w:pPr>
          <w:hyperlink w:anchor="_Toc211174645" w:history="1">
            <w:r w:rsidRPr="00B45A78">
              <w:rPr>
                <w:rStyle w:val="Hyperlink"/>
                <w:noProof/>
              </w:rPr>
              <w:t>Recommendations</w:t>
            </w:r>
            <w:r>
              <w:rPr>
                <w:noProof/>
                <w:webHidden/>
              </w:rPr>
              <w:tab/>
            </w:r>
            <w:r>
              <w:rPr>
                <w:noProof/>
                <w:webHidden/>
              </w:rPr>
              <w:fldChar w:fldCharType="begin"/>
            </w:r>
            <w:r>
              <w:rPr>
                <w:noProof/>
                <w:webHidden/>
              </w:rPr>
              <w:instrText xml:space="preserve"> PAGEREF _Toc211174645 \h </w:instrText>
            </w:r>
            <w:r>
              <w:rPr>
                <w:noProof/>
                <w:webHidden/>
              </w:rPr>
            </w:r>
            <w:r>
              <w:rPr>
                <w:noProof/>
                <w:webHidden/>
              </w:rPr>
              <w:fldChar w:fldCharType="separate"/>
            </w:r>
            <w:r>
              <w:rPr>
                <w:noProof/>
                <w:webHidden/>
              </w:rPr>
              <w:t>12</w:t>
            </w:r>
            <w:r>
              <w:rPr>
                <w:noProof/>
                <w:webHidden/>
              </w:rPr>
              <w:fldChar w:fldCharType="end"/>
            </w:r>
          </w:hyperlink>
        </w:p>
        <w:p w14:paraId="25266C7C" w14:textId="23FCEE8D" w:rsidR="00241380" w:rsidRDefault="00241380">
          <w:pPr>
            <w:pStyle w:val="TOC1"/>
            <w:tabs>
              <w:tab w:val="right" w:leader="dot" w:pos="9016"/>
            </w:tabs>
            <w:rPr>
              <w:noProof/>
            </w:rPr>
          </w:pPr>
          <w:hyperlink w:anchor="_Toc211174646" w:history="1">
            <w:r w:rsidRPr="00B45A78">
              <w:rPr>
                <w:rStyle w:val="Hyperlink"/>
                <w:noProof/>
              </w:rPr>
              <w:t>References:</w:t>
            </w:r>
            <w:r>
              <w:rPr>
                <w:noProof/>
                <w:webHidden/>
              </w:rPr>
              <w:tab/>
            </w:r>
            <w:r>
              <w:rPr>
                <w:noProof/>
                <w:webHidden/>
              </w:rPr>
              <w:fldChar w:fldCharType="begin"/>
            </w:r>
            <w:r>
              <w:rPr>
                <w:noProof/>
                <w:webHidden/>
              </w:rPr>
              <w:instrText xml:space="preserve"> PAGEREF _Toc211174646 \h </w:instrText>
            </w:r>
            <w:r>
              <w:rPr>
                <w:noProof/>
                <w:webHidden/>
              </w:rPr>
            </w:r>
            <w:r>
              <w:rPr>
                <w:noProof/>
                <w:webHidden/>
              </w:rPr>
              <w:fldChar w:fldCharType="separate"/>
            </w:r>
            <w:r>
              <w:rPr>
                <w:noProof/>
                <w:webHidden/>
              </w:rPr>
              <w:t>13</w:t>
            </w:r>
            <w:r>
              <w:rPr>
                <w:noProof/>
                <w:webHidden/>
              </w:rPr>
              <w:fldChar w:fldCharType="end"/>
            </w:r>
          </w:hyperlink>
        </w:p>
        <w:p w14:paraId="245B4F48" w14:textId="39585CE8" w:rsidR="00241380" w:rsidRDefault="00241380">
          <w:r>
            <w:rPr>
              <w:b/>
              <w:bCs/>
            </w:rPr>
            <w:fldChar w:fldCharType="end"/>
          </w:r>
        </w:p>
      </w:sdtContent>
    </w:sdt>
    <w:p w14:paraId="7D741B9A" w14:textId="77777777" w:rsidR="0095454B" w:rsidRPr="00241380" w:rsidRDefault="0095454B" w:rsidP="00241380">
      <w:pPr>
        <w:spacing w:line="360" w:lineRule="auto"/>
        <w:jc w:val="both"/>
        <w:rPr>
          <w:rFonts w:ascii="Times New Roman" w:hAnsi="Times New Roman" w:cs="Times New Roman"/>
        </w:rPr>
      </w:pPr>
    </w:p>
    <w:p w14:paraId="2F9CD636" w14:textId="77777777" w:rsidR="0095454B" w:rsidRPr="00241380" w:rsidRDefault="0095454B" w:rsidP="00241380">
      <w:pPr>
        <w:spacing w:line="360" w:lineRule="auto"/>
        <w:jc w:val="both"/>
        <w:rPr>
          <w:rFonts w:ascii="Times New Roman" w:hAnsi="Times New Roman" w:cs="Times New Roman"/>
        </w:rPr>
      </w:pPr>
    </w:p>
    <w:p w14:paraId="606EB208" w14:textId="77777777" w:rsidR="0095454B" w:rsidRPr="00241380" w:rsidRDefault="0095454B" w:rsidP="00241380">
      <w:pPr>
        <w:spacing w:line="360" w:lineRule="auto"/>
        <w:jc w:val="both"/>
        <w:rPr>
          <w:rFonts w:ascii="Times New Roman" w:hAnsi="Times New Roman" w:cs="Times New Roman"/>
        </w:rPr>
      </w:pPr>
    </w:p>
    <w:p w14:paraId="46D7C719" w14:textId="77777777" w:rsidR="0095454B" w:rsidRPr="00241380" w:rsidRDefault="0095454B" w:rsidP="00241380">
      <w:pPr>
        <w:spacing w:line="360" w:lineRule="auto"/>
        <w:jc w:val="both"/>
        <w:rPr>
          <w:rFonts w:ascii="Times New Roman" w:hAnsi="Times New Roman" w:cs="Times New Roman"/>
        </w:rPr>
      </w:pPr>
    </w:p>
    <w:p w14:paraId="4BEFD3FC" w14:textId="77777777" w:rsidR="0095454B" w:rsidRPr="00241380" w:rsidRDefault="0095454B" w:rsidP="00241380">
      <w:pPr>
        <w:spacing w:line="360" w:lineRule="auto"/>
        <w:jc w:val="both"/>
        <w:rPr>
          <w:rFonts w:ascii="Times New Roman" w:hAnsi="Times New Roman" w:cs="Times New Roman"/>
        </w:rPr>
      </w:pPr>
    </w:p>
    <w:p w14:paraId="1C6A29EC" w14:textId="77777777" w:rsidR="0095454B" w:rsidRPr="00241380" w:rsidRDefault="0095454B" w:rsidP="00241380">
      <w:pPr>
        <w:spacing w:line="360" w:lineRule="auto"/>
        <w:jc w:val="both"/>
        <w:rPr>
          <w:rFonts w:ascii="Times New Roman" w:hAnsi="Times New Roman" w:cs="Times New Roman"/>
        </w:rPr>
      </w:pPr>
    </w:p>
    <w:p w14:paraId="12B820F0" w14:textId="77777777" w:rsidR="0095454B" w:rsidRDefault="0095454B" w:rsidP="00241380">
      <w:pPr>
        <w:pStyle w:val="Heading1"/>
      </w:pPr>
    </w:p>
    <w:p w14:paraId="531A0B38" w14:textId="77777777" w:rsidR="00241380" w:rsidRDefault="00241380" w:rsidP="00241380"/>
    <w:p w14:paraId="46B96F72" w14:textId="77777777" w:rsidR="00241380" w:rsidRDefault="00241380" w:rsidP="00241380"/>
    <w:p w14:paraId="1F6934F9" w14:textId="77777777" w:rsidR="00241380" w:rsidRPr="00241380" w:rsidRDefault="00241380" w:rsidP="00241380"/>
    <w:p w14:paraId="364FB84B" w14:textId="3CB7F83F" w:rsidR="0095454B" w:rsidRPr="00241380" w:rsidRDefault="0095454B" w:rsidP="00241380">
      <w:pPr>
        <w:pStyle w:val="Heading1"/>
      </w:pPr>
      <w:bookmarkStart w:id="0" w:name="_Toc211174639"/>
      <w:r w:rsidRPr="00241380">
        <w:lastRenderedPageBreak/>
        <w:t>INTRODUCTION</w:t>
      </w:r>
      <w:bookmarkEnd w:id="0"/>
    </w:p>
    <w:p w14:paraId="484005CF" w14:textId="1EAFF61C" w:rsidR="0095454B" w:rsidRPr="00241380" w:rsidRDefault="004E0943"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4DB3A646" wp14:editId="35E7E947">
            <wp:extent cx="3573780" cy="2260866"/>
            <wp:effectExtent l="0" t="0" r="7620" b="6350"/>
            <wp:docPr id="87528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1403" cy="2265689"/>
                    </a:xfrm>
                    <a:prstGeom prst="rect">
                      <a:avLst/>
                    </a:prstGeom>
                    <a:noFill/>
                    <a:ln>
                      <a:noFill/>
                    </a:ln>
                  </pic:spPr>
                </pic:pic>
              </a:graphicData>
            </a:graphic>
          </wp:inline>
        </w:drawing>
      </w:r>
    </w:p>
    <w:p w14:paraId="38CAA1C0" w14:textId="77777777" w:rsidR="0095454B" w:rsidRPr="00241380" w:rsidRDefault="0095454B" w:rsidP="00241380">
      <w:pPr>
        <w:spacing w:line="360" w:lineRule="auto"/>
        <w:jc w:val="both"/>
        <w:rPr>
          <w:rFonts w:ascii="Times New Roman" w:hAnsi="Times New Roman" w:cs="Times New Roman"/>
        </w:rPr>
      </w:pPr>
    </w:p>
    <w:p w14:paraId="27A9A59C"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The National Health Service (NHS) operates within the public healthcare industry in the United Kingdom, providing universal healthcare funded primarily through taxation. Established in 1948, the NHS is one of the largest publicly funded health systems in the world, employing over 1.3 million people across England, Scotland, Wales, and Northern Ireland (NHS England, 2023). It delivers a wide range of services including hospital care, general practice, dentistry, mental health, and community health services (The King’s Fund, 2022). As demand for healthcare rises and resources remain limited, efficient management and financial accountability have become increasingly vital (HM Treasury, 2023).</w:t>
      </w:r>
    </w:p>
    <w:p w14:paraId="32432225" w14:textId="77777777" w:rsidR="0095454B" w:rsidRPr="00241380" w:rsidRDefault="0095454B" w:rsidP="00241380">
      <w:pPr>
        <w:spacing w:line="360" w:lineRule="auto"/>
        <w:jc w:val="both"/>
        <w:rPr>
          <w:rFonts w:ascii="Times New Roman" w:hAnsi="Times New Roman" w:cs="Times New Roman"/>
        </w:rPr>
      </w:pPr>
    </w:p>
    <w:p w14:paraId="09702DE9" w14:textId="214A676B"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 xml:space="preserve">Management accounting has a vital role to play in the facilitation of good decision making in contemporary organisations like the NHS. It gives useful financial and non-financial input for planning, budgeting, and control (Drury, 2022). Variance analysis, cost-benefit analysis, and </w:t>
      </w:r>
      <w:r w:rsidR="00241380" w:rsidRPr="00241380">
        <w:rPr>
          <w:rFonts w:ascii="Times New Roman" w:hAnsi="Times New Roman" w:cs="Times New Roman"/>
        </w:rPr>
        <w:t>activity-based</w:t>
      </w:r>
      <w:r w:rsidRPr="001718D1">
        <w:rPr>
          <w:rFonts w:ascii="Times New Roman" w:hAnsi="Times New Roman" w:cs="Times New Roman"/>
        </w:rPr>
        <w:t xml:space="preserve"> costing </w:t>
      </w:r>
      <w:r w:rsidRPr="00241380">
        <w:rPr>
          <w:rFonts w:ascii="Times New Roman" w:hAnsi="Times New Roman" w:cs="Times New Roman"/>
        </w:rPr>
        <w:t>is</w:t>
      </w:r>
      <w:r w:rsidRPr="001718D1">
        <w:rPr>
          <w:rFonts w:ascii="Times New Roman" w:hAnsi="Times New Roman" w:cs="Times New Roman"/>
        </w:rPr>
        <w:t xml:space="preserve"> some of the approaches that can be used by managers to evaluate efficiency, manage costs and provide strategic allocation of resources. By doing so, management accounting increases transparency, underpins long term sustainability and makes certain scarce public funds are being spent in the most effective way to deliver the best possible patient care (Chartered Institute of Management Accountants [CIMA], 2021).</w:t>
      </w:r>
    </w:p>
    <w:p w14:paraId="303143D0" w14:textId="4E2EC483" w:rsidR="0095454B" w:rsidRPr="00241380" w:rsidRDefault="0095454B" w:rsidP="00241380">
      <w:pPr>
        <w:spacing w:line="360" w:lineRule="auto"/>
        <w:jc w:val="both"/>
        <w:rPr>
          <w:rFonts w:ascii="Times New Roman" w:hAnsi="Times New Roman" w:cs="Times New Roman"/>
        </w:rPr>
      </w:pPr>
    </w:p>
    <w:p w14:paraId="77C755E3" w14:textId="77777777" w:rsidR="00817BB0" w:rsidRPr="00241380" w:rsidRDefault="00817BB0" w:rsidP="00241380">
      <w:pPr>
        <w:spacing w:line="360" w:lineRule="auto"/>
        <w:jc w:val="both"/>
        <w:rPr>
          <w:rFonts w:ascii="Times New Roman" w:hAnsi="Times New Roman" w:cs="Times New Roman"/>
        </w:rPr>
      </w:pPr>
    </w:p>
    <w:p w14:paraId="15E7A4F1" w14:textId="77777777" w:rsidR="00817BB0" w:rsidRPr="00241380" w:rsidRDefault="00817BB0" w:rsidP="00241380">
      <w:pPr>
        <w:spacing w:line="360" w:lineRule="auto"/>
        <w:jc w:val="both"/>
        <w:rPr>
          <w:rFonts w:ascii="Times New Roman" w:hAnsi="Times New Roman" w:cs="Times New Roman"/>
        </w:rPr>
      </w:pPr>
    </w:p>
    <w:p w14:paraId="65AA2BA1" w14:textId="72AF60C1" w:rsidR="00817BB0" w:rsidRPr="00241380" w:rsidRDefault="0095454B" w:rsidP="00241380">
      <w:pPr>
        <w:pStyle w:val="Heading1"/>
      </w:pPr>
      <w:bookmarkStart w:id="1" w:name="_Toc211174640"/>
      <w:r w:rsidRPr="00241380">
        <w:t>COST ANALYSIS AND BUSINESS MODEL</w:t>
      </w:r>
      <w:bookmarkEnd w:id="1"/>
      <w:r w:rsidRPr="00241380">
        <w:t xml:space="preserve"> </w:t>
      </w:r>
    </w:p>
    <w:p w14:paraId="00BC5DA3" w14:textId="65AD002C"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38EC824F" wp14:editId="47B7D7E2">
            <wp:extent cx="5783177" cy="3329940"/>
            <wp:effectExtent l="0" t="0" r="8255" b="3810"/>
            <wp:docPr id="573659970" name="Picture 2" descr="A blue circle with red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59970" name="Picture 2" descr="A blue circle with red and blu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6319" cy="3337507"/>
                    </a:xfrm>
                    <a:prstGeom prst="rect">
                      <a:avLst/>
                    </a:prstGeom>
                    <a:noFill/>
                    <a:ln>
                      <a:noFill/>
                    </a:ln>
                  </pic:spPr>
                </pic:pic>
              </a:graphicData>
            </a:graphic>
          </wp:inline>
        </w:drawing>
      </w:r>
    </w:p>
    <w:p w14:paraId="00AA4BB9" w14:textId="77777777" w:rsidR="00817BB0" w:rsidRPr="00241380" w:rsidRDefault="00817BB0" w:rsidP="00241380">
      <w:pPr>
        <w:spacing w:line="360" w:lineRule="auto"/>
        <w:jc w:val="both"/>
        <w:rPr>
          <w:rFonts w:ascii="Times New Roman" w:hAnsi="Times New Roman" w:cs="Times New Roman"/>
        </w:rPr>
      </w:pPr>
    </w:p>
    <w:p w14:paraId="744DB125"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Integrated care boards (ICBs) £107.8 billion</w:t>
      </w:r>
    </w:p>
    <w:p w14:paraId="6391DBA1"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Direct commissioning £29.8 billion</w:t>
      </w:r>
    </w:p>
    <w:p w14:paraId="6DA3A280"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Service development fund £3.8 billion</w:t>
      </w:r>
    </w:p>
    <w:p w14:paraId="399E01BC"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NHS England central admin and programme £3.2 billion</w:t>
      </w:r>
    </w:p>
    <w:p w14:paraId="7DB55F3C"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Elective services recovery fund £2.3 billion</w:t>
      </w:r>
    </w:p>
    <w:p w14:paraId="2A432928" w14:textId="32138E1D"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Other system funding £6.1 billion (other system funding includes £3.4 billion for increased employer pension contributions).</w:t>
      </w:r>
    </w:p>
    <w:p w14:paraId="290A9DFC" w14:textId="77777777" w:rsidR="00764E65" w:rsidRPr="00241380" w:rsidRDefault="00764E65" w:rsidP="00241380">
      <w:pPr>
        <w:spacing w:line="360" w:lineRule="auto"/>
        <w:jc w:val="both"/>
        <w:rPr>
          <w:rFonts w:ascii="Times New Roman" w:hAnsi="Times New Roman" w:cs="Times New Roman"/>
        </w:rPr>
      </w:pPr>
    </w:p>
    <w:p w14:paraId="30F7020E" w14:textId="77777777" w:rsidR="00764E65" w:rsidRPr="00241380" w:rsidRDefault="00764E65" w:rsidP="00241380">
      <w:pPr>
        <w:spacing w:line="360" w:lineRule="auto"/>
        <w:jc w:val="both"/>
        <w:rPr>
          <w:rFonts w:ascii="Times New Roman" w:hAnsi="Times New Roman" w:cs="Times New Roman"/>
        </w:rPr>
      </w:pPr>
    </w:p>
    <w:p w14:paraId="6FEFC011" w14:textId="3417F6BF" w:rsidR="00764E65"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noProof/>
        </w:rPr>
        <w:lastRenderedPageBreak/>
        <w:drawing>
          <wp:inline distT="0" distB="0" distL="0" distR="0" wp14:anchorId="3D814A5B" wp14:editId="750758D5">
            <wp:extent cx="3461296" cy="2278380"/>
            <wp:effectExtent l="0" t="0" r="6350" b="7620"/>
            <wp:docPr id="228943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64001" cy="2280161"/>
                    </a:xfrm>
                    <a:prstGeom prst="rect">
                      <a:avLst/>
                    </a:prstGeom>
                    <a:noFill/>
                    <a:ln>
                      <a:noFill/>
                    </a:ln>
                  </pic:spPr>
                </pic:pic>
              </a:graphicData>
            </a:graphic>
          </wp:inline>
        </w:drawing>
      </w:r>
    </w:p>
    <w:p w14:paraId="585B6873" w14:textId="77777777" w:rsidR="00764E65"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rPr>
        <w:t>NHS revenue in England (2015–2025).</w:t>
      </w:r>
    </w:p>
    <w:p w14:paraId="369B913A" w14:textId="45C2D66C" w:rsidR="00817BB0"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rPr>
        <w:t>It projects a steady rise from about £125 billion in 2015 to roughly £210 billion in 2025,</w:t>
      </w:r>
    </w:p>
    <w:p w14:paraId="4F8CA9C0" w14:textId="77777777" w:rsidR="001718D1" w:rsidRPr="00241380" w:rsidRDefault="001718D1" w:rsidP="00241380">
      <w:pPr>
        <w:spacing w:line="360" w:lineRule="auto"/>
        <w:jc w:val="both"/>
        <w:rPr>
          <w:rFonts w:ascii="Times New Roman" w:hAnsi="Times New Roman" w:cs="Times New Roman"/>
        </w:rPr>
      </w:pPr>
    </w:p>
    <w:p w14:paraId="4B1FF364" w14:textId="77777777"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The NHS has a mix of both general and specific revenue sources; the main source is general taxation, seconded by National Insurance contributions from insured persons, some patient charges are involved (NHS England, 2023). Whereas private healthcare providers earn money from fees paid per service and through insurance, the NHS is funded by government allocations that are distributed among trusts and commissioning bodies. This model provides all equitability of health care for everybody, not based upon their financial capacity, but at the same time, it changes organization to improve on costs management in which pressures have been mounting from increasing demand for healthcare and budgetary limitations (The King’s Fund, 2022).</w:t>
      </w:r>
    </w:p>
    <w:p w14:paraId="23C92663" w14:textId="7EF6266B"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The NHS’s budget is fixed and set annually by the Department of Health and Social Care (DHSC). The funds are further allocated to NHS England and local Integrated Care Boards (ICBs) responsible for the planning and commissioning of services for their populations (HM Treasury, 2023). This model facilitates long-term service delivery, while constraining flexibility due to funds being programmed contingent to public expenditure reviews and political priorities.</w:t>
      </w:r>
    </w:p>
    <w:p w14:paraId="0C73AFFF" w14:textId="77777777" w:rsidR="001718D1" w:rsidRPr="00241380" w:rsidRDefault="001718D1" w:rsidP="00241380">
      <w:pPr>
        <w:spacing w:line="360" w:lineRule="auto"/>
        <w:jc w:val="both"/>
        <w:rPr>
          <w:rFonts w:ascii="Times New Roman" w:hAnsi="Times New Roman" w:cs="Times New Roman"/>
        </w:rPr>
      </w:pPr>
    </w:p>
    <w:p w14:paraId="4AFA7737" w14:textId="77777777" w:rsidR="001718D1" w:rsidRPr="00241380" w:rsidRDefault="001718D1" w:rsidP="00241380">
      <w:pPr>
        <w:spacing w:line="360" w:lineRule="auto"/>
        <w:jc w:val="both"/>
        <w:rPr>
          <w:rFonts w:ascii="Times New Roman" w:hAnsi="Times New Roman" w:cs="Times New Roman"/>
        </w:rPr>
      </w:pPr>
    </w:p>
    <w:p w14:paraId="581EE99D" w14:textId="77777777" w:rsidR="001718D1" w:rsidRPr="00241380" w:rsidRDefault="001718D1" w:rsidP="00241380">
      <w:pPr>
        <w:spacing w:line="360" w:lineRule="auto"/>
        <w:jc w:val="both"/>
        <w:rPr>
          <w:rFonts w:ascii="Times New Roman" w:hAnsi="Times New Roman" w:cs="Times New Roman"/>
        </w:rPr>
      </w:pPr>
    </w:p>
    <w:p w14:paraId="743FE4D4"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lastRenderedPageBreak/>
        <w:t>From a cost perspective, the NHS has a complex cost structure comprising both fixed and variable costs. Fixed costs represent long-term commitments such as staff salaries, facility maintenance, equipment depreciation, and administrative overheads (Drury, 2022). Given the NHS’s scale as one of the largest employers globally, employee remuneration constitutes approximately 45% of total expenditure (NHS Digital, 2023). These costs remain relatively stable regardless of patient volumes, contributing to high operational rigidity.</w:t>
      </w:r>
    </w:p>
    <w:p w14:paraId="467BCA0D" w14:textId="77777777" w:rsidR="00764E65" w:rsidRPr="00241380" w:rsidRDefault="00764E65" w:rsidP="00241380">
      <w:pPr>
        <w:spacing w:line="360" w:lineRule="auto"/>
        <w:jc w:val="both"/>
        <w:rPr>
          <w:rFonts w:ascii="Times New Roman" w:hAnsi="Times New Roman" w:cs="Times New Roman"/>
        </w:rPr>
      </w:pPr>
    </w:p>
    <w:p w14:paraId="14576DE4" w14:textId="77777777" w:rsidR="00764E65" w:rsidRPr="00241380" w:rsidRDefault="00764E65" w:rsidP="00241380">
      <w:pPr>
        <w:spacing w:line="360" w:lineRule="auto"/>
        <w:jc w:val="both"/>
        <w:rPr>
          <w:rFonts w:ascii="Times New Roman" w:hAnsi="Times New Roman" w:cs="Times New Roman"/>
        </w:rPr>
      </w:pPr>
    </w:p>
    <w:p w14:paraId="48CBCA84" w14:textId="1607369C" w:rsidR="00764E65" w:rsidRPr="00241380" w:rsidRDefault="00F234CA"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1924BDBC" wp14:editId="6DA1D8CE">
            <wp:extent cx="3886356" cy="2521997"/>
            <wp:effectExtent l="0" t="0" r="0" b="0"/>
            <wp:docPr id="394970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93452" cy="2526602"/>
                    </a:xfrm>
                    <a:prstGeom prst="rect">
                      <a:avLst/>
                    </a:prstGeom>
                    <a:noFill/>
                    <a:ln>
                      <a:noFill/>
                    </a:ln>
                  </pic:spPr>
                </pic:pic>
              </a:graphicData>
            </a:graphic>
          </wp:inline>
        </w:drawing>
      </w:r>
    </w:p>
    <w:p w14:paraId="42A03B00" w14:textId="37E95651" w:rsidR="004A2D0A" w:rsidRPr="004A2D0A" w:rsidRDefault="004A2D0A" w:rsidP="00241380">
      <w:pPr>
        <w:spacing w:line="360" w:lineRule="auto"/>
        <w:jc w:val="both"/>
        <w:rPr>
          <w:rFonts w:ascii="Times New Roman" w:hAnsi="Times New Roman" w:cs="Times New Roman"/>
        </w:rPr>
      </w:pPr>
      <w:r w:rsidRPr="00241380">
        <w:rPr>
          <w:rFonts w:ascii="Times New Roman" w:hAnsi="Times New Roman" w:cs="Times New Roman"/>
        </w:rPr>
        <w:t>V</w:t>
      </w:r>
      <w:r w:rsidRPr="004A2D0A">
        <w:rPr>
          <w:rFonts w:ascii="Times New Roman" w:hAnsi="Times New Roman" w:cs="Times New Roman"/>
        </w:rPr>
        <w:t>ariable costs vary according to the scale of healthcare activities. These are medical products, pharmaceuticals, diagnostic tests, energy use and outsourced services (CIMA 2021). For example, when peoples-</w:t>
      </w:r>
      <w:r w:rsidRPr="00241380">
        <w:rPr>
          <w:rFonts w:ascii="Times New Roman" w:hAnsi="Times New Roman" w:cs="Times New Roman"/>
        </w:rPr>
        <w:t>patients</w:t>
      </w:r>
      <w:r w:rsidRPr="004A2D0A">
        <w:rPr>
          <w:rFonts w:ascii="Times New Roman" w:hAnsi="Times New Roman" w:cs="Times New Roman"/>
        </w:rPr>
        <w:t xml:space="preserve"> were admitted for care or at crisis such as the COVID-19 pandemic demand for supplies and emergency care also increased drastically resulting to highly ramp-up in variable costs.</w:t>
      </w:r>
    </w:p>
    <w:p w14:paraId="1804404D" w14:textId="7ABF502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 xml:space="preserve">Management accounting tools (i.e., activity-based costing, cost-volume-profit analysis) are indispensable </w:t>
      </w:r>
      <w:r w:rsidRPr="00241380">
        <w:rPr>
          <w:rFonts w:ascii="Times New Roman" w:hAnsi="Times New Roman" w:cs="Times New Roman"/>
        </w:rPr>
        <w:t>to</w:t>
      </w:r>
      <w:r w:rsidRPr="004A2D0A">
        <w:rPr>
          <w:rFonts w:ascii="Times New Roman" w:hAnsi="Times New Roman" w:cs="Times New Roman"/>
        </w:rPr>
        <w:t xml:space="preserve"> understand these costs behaviour and facilitate the decision-making process. When NHS managers can track cost drivers and distinguish between fixed and variable costs, we can increase the precision of budgeting, calculate the relative cost efficiency across providers and plan how best to deliver service. This plan-led approach allows the NHS to make efficient use of resources and safeguard financial sustainability and quality healthcare within budgetary limits.</w:t>
      </w:r>
    </w:p>
    <w:p w14:paraId="3E2D3157" w14:textId="77777777" w:rsidR="0095454B" w:rsidRPr="00241380" w:rsidRDefault="0095454B" w:rsidP="00241380">
      <w:pPr>
        <w:spacing w:line="360" w:lineRule="auto"/>
        <w:jc w:val="both"/>
        <w:rPr>
          <w:rFonts w:ascii="Times New Roman" w:hAnsi="Times New Roman" w:cs="Times New Roman"/>
        </w:rPr>
      </w:pPr>
    </w:p>
    <w:p w14:paraId="0772C784" w14:textId="2B0D8D5B" w:rsidR="0095454B" w:rsidRPr="00241380" w:rsidRDefault="0095454B" w:rsidP="00241380">
      <w:pPr>
        <w:pStyle w:val="Heading1"/>
      </w:pPr>
      <w:bookmarkStart w:id="2" w:name="_Toc211174641"/>
      <w:r w:rsidRPr="00241380">
        <w:lastRenderedPageBreak/>
        <w:t>BUDGETTING AND FINANCIAL PLANING</w:t>
      </w:r>
      <w:bookmarkEnd w:id="2"/>
      <w:r w:rsidRPr="00241380">
        <w:t xml:space="preserve"> </w:t>
      </w:r>
    </w:p>
    <w:p w14:paraId="023B7E52" w14:textId="5D0D3E45" w:rsidR="00F234CA" w:rsidRPr="00241380" w:rsidRDefault="00F234CA"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89B3C55" wp14:editId="6D764780">
            <wp:extent cx="4231767" cy="2918460"/>
            <wp:effectExtent l="0" t="0" r="0" b="0"/>
            <wp:docPr id="1490408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5267" cy="2920874"/>
                    </a:xfrm>
                    <a:prstGeom prst="rect">
                      <a:avLst/>
                    </a:prstGeom>
                    <a:noFill/>
                    <a:ln>
                      <a:noFill/>
                    </a:ln>
                  </pic:spPr>
                </pic:pic>
              </a:graphicData>
            </a:graphic>
          </wp:inline>
        </w:drawing>
      </w:r>
    </w:p>
    <w:p w14:paraId="208984EF" w14:textId="0CC5CF0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Budgeting and financial planning are central to the operational management of an organisation like the NHS. In the public sector context, a budget serves as a financial plan that defines resource allocation, constrains spending, ensures accountability, and aligns operations with strategic priorities (Drury, 2022). For the NHS, budgeting enables health authorities, Integrated Care Boards (ICBs), and trusts to plan for anticipated service demand, workforce costs, capital investment, and contingencies. It also provides a benchmark against which actual performance is monitored, and variances (positive or negative) are investigated.</w:t>
      </w:r>
    </w:p>
    <w:p w14:paraId="604EA30E" w14:textId="06E2256F"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 xml:space="preserve">In 2025, NHS England is bound by financial directions from the Secretary of State that determine the level of revenue and capital resource use. NHS England shall not exceed £205,111 million in revenue resource use and £4,857 million in capital resource use for 2025-26. These top-down limits imply that the NHS </w:t>
      </w:r>
      <w:r w:rsidRPr="00241380">
        <w:rPr>
          <w:rFonts w:ascii="Times New Roman" w:hAnsi="Times New Roman" w:cs="Times New Roman"/>
        </w:rPr>
        <w:t>must</w:t>
      </w:r>
      <w:r w:rsidRPr="004A2D0A">
        <w:rPr>
          <w:rFonts w:ascii="Times New Roman" w:hAnsi="Times New Roman" w:cs="Times New Roman"/>
        </w:rPr>
        <w:t xml:space="preserve"> plan within finite resource envelopes – which in turn force it to prioritise between activities, and to try to control costs and make efficiency gains from within (the process known as internal budgeting).</w:t>
      </w:r>
    </w:p>
    <w:p w14:paraId="43D24905" w14:textId="7777777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More recent planning guidance also reflects it in the form of an instruction to NHS organisations to reduce their cost base by minimum 1% and deliver a 4% productivity gain as a response to the increase demand pressures. This can be seen as the management's in-house decision-making to save money by cutting waste, reorganising services and demanding efficiency. For instance, controls on agency staff spending are being applied and trusts are being advised not to overspend but to instead live within their means.</w:t>
      </w:r>
    </w:p>
    <w:p w14:paraId="75482519" w14:textId="7777777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lastRenderedPageBreak/>
        <w:t>The NHS’s resource budgets (for day-to-day running) will increase over the SR period. The real-terms growth in the budget of DHSC is estimated to be around 2.8% per year over the years 2025/26–28/29. Day-to-day or resource expenditure (excluding depreciation) will also rise from approximately £193.3 billion in 2024/25 to about £202.0 billion in 2025/26 during the period. This increase recognises inflation, demographics, and the importance of building capacity into front line services.</w:t>
      </w:r>
    </w:p>
    <w:p w14:paraId="56BD9452" w14:textId="77777777" w:rsidR="0095454B" w:rsidRPr="00241380" w:rsidRDefault="0095454B" w:rsidP="00241380">
      <w:pPr>
        <w:spacing w:line="360" w:lineRule="auto"/>
        <w:jc w:val="both"/>
        <w:rPr>
          <w:rFonts w:ascii="Times New Roman" w:hAnsi="Times New Roman" w:cs="Times New Roman"/>
        </w:rPr>
      </w:pPr>
    </w:p>
    <w:p w14:paraId="3AB14074" w14:textId="2A3235CD" w:rsidR="00A351EB" w:rsidRPr="00241380" w:rsidRDefault="00A351EB"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97297AD" wp14:editId="1533D3F9">
            <wp:extent cx="2841506" cy="2750820"/>
            <wp:effectExtent l="0" t="0" r="0" b="0"/>
            <wp:docPr id="11837395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0858" cy="2759873"/>
                    </a:xfrm>
                    <a:prstGeom prst="rect">
                      <a:avLst/>
                    </a:prstGeom>
                    <a:noFill/>
                    <a:ln>
                      <a:noFill/>
                    </a:ln>
                  </pic:spPr>
                </pic:pic>
              </a:graphicData>
            </a:graphic>
          </wp:inline>
        </w:drawing>
      </w:r>
    </w:p>
    <w:p w14:paraId="24A88EDB" w14:textId="77777777" w:rsidR="00A351EB" w:rsidRPr="00241380" w:rsidRDefault="00A351EB" w:rsidP="00241380">
      <w:pPr>
        <w:spacing w:line="360" w:lineRule="auto"/>
        <w:jc w:val="both"/>
        <w:rPr>
          <w:rFonts w:ascii="Times New Roman" w:hAnsi="Times New Roman" w:cs="Times New Roman"/>
        </w:rPr>
      </w:pPr>
    </w:p>
    <w:p w14:paraId="14016FF7" w14:textId="62D07778"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However, capital budgets are largely held flat in real terms, placing more emphasis on operational efficiency to manage cost pressures.  Because revenue growth is limited, internal management must make trade-offs: cutting overheads, streamlining service delivery, and shifting resources to high-priority areas such as digital transformation, prevention, and community care. The announced capital allocation for 2025/26 is split across system-level operational investments (£4.9 billion) to complement revenue planning.  </w:t>
      </w:r>
    </w:p>
    <w:p w14:paraId="16311D3E" w14:textId="77777777" w:rsidR="0095454B" w:rsidRPr="00241380" w:rsidRDefault="0095454B" w:rsidP="00241380">
      <w:pPr>
        <w:spacing w:line="360" w:lineRule="auto"/>
        <w:jc w:val="both"/>
        <w:rPr>
          <w:rFonts w:ascii="Times New Roman" w:hAnsi="Times New Roman" w:cs="Times New Roman"/>
        </w:rPr>
      </w:pPr>
    </w:p>
    <w:p w14:paraId="5515F413" w14:textId="07BA29BC"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 </w:t>
      </w:r>
      <w:r w:rsidR="004A2D0A" w:rsidRPr="00241380">
        <w:rPr>
          <w:rFonts w:ascii="Times New Roman" w:hAnsi="Times New Roman" w:cs="Times New Roman"/>
        </w:rPr>
        <w:t>B</w:t>
      </w:r>
      <w:r w:rsidRPr="00241380">
        <w:rPr>
          <w:rFonts w:ascii="Times New Roman" w:hAnsi="Times New Roman" w:cs="Times New Roman"/>
        </w:rPr>
        <w:t>udgeting in the NHS is a powerful instrument that sets financial constraints, drives prioritisation, and incentivises internal cost discipline. The 2025 financial year demonstrates how management must respond to externally imposed budget limits by enforcing internal cost controls, productivity mandates, and re-allocation of resources to remain within bounds while maintaining essential service delivery.</w:t>
      </w:r>
    </w:p>
    <w:p w14:paraId="401581EB" w14:textId="44766EB9" w:rsidR="0095454B" w:rsidRPr="00241380" w:rsidRDefault="0095454B" w:rsidP="00241380">
      <w:pPr>
        <w:pStyle w:val="Heading1"/>
      </w:pPr>
      <w:bookmarkStart w:id="3" w:name="_Toc211174642"/>
      <w:r w:rsidRPr="00241380">
        <w:lastRenderedPageBreak/>
        <w:t>Performance Measurement and Decision-Making</w:t>
      </w:r>
      <w:bookmarkEnd w:id="3"/>
      <w:r w:rsidRPr="00241380">
        <w:t xml:space="preserve"> </w:t>
      </w:r>
    </w:p>
    <w:p w14:paraId="1425E2C0" w14:textId="77777777" w:rsidR="0095454B" w:rsidRPr="00241380" w:rsidRDefault="0095454B" w:rsidP="00241380">
      <w:pPr>
        <w:spacing w:line="360" w:lineRule="auto"/>
        <w:jc w:val="both"/>
        <w:rPr>
          <w:rFonts w:ascii="Times New Roman" w:hAnsi="Times New Roman" w:cs="Times New Roman"/>
        </w:rPr>
      </w:pPr>
    </w:p>
    <w:p w14:paraId="06CD68F0" w14:textId="77777777" w:rsidR="004E0943"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Performance measurement within the National Health Service (NHS) extends beyond financial indicators to include a wide range of non-financial key performance indicators (KPIs) that assess service quality, efficiency, accessibility, and patient outcomes. These KPIs form the foundation for strategic decision-making and continuous improvement in service delivery (NHS England, 2024).</w:t>
      </w:r>
    </w:p>
    <w:p w14:paraId="3A25BFE8" w14:textId="77777777" w:rsidR="00A351EB" w:rsidRPr="00241380" w:rsidRDefault="00A351EB" w:rsidP="00241380">
      <w:pPr>
        <w:spacing w:line="360" w:lineRule="auto"/>
        <w:jc w:val="both"/>
        <w:rPr>
          <w:rFonts w:ascii="Times New Roman" w:hAnsi="Times New Roman" w:cs="Times New Roman"/>
        </w:rPr>
      </w:pPr>
    </w:p>
    <w:p w14:paraId="0C789314" w14:textId="36B9891A"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 Five key non-financial KPIs include:</w:t>
      </w:r>
    </w:p>
    <w:p w14:paraId="2D5F4A2B" w14:textId="77777777" w:rsidR="00A351EB" w:rsidRPr="00241380" w:rsidRDefault="00A351EB" w:rsidP="00241380">
      <w:pPr>
        <w:spacing w:line="360" w:lineRule="auto"/>
        <w:jc w:val="both"/>
        <w:rPr>
          <w:rFonts w:ascii="Times New Roman" w:hAnsi="Times New Roman" w:cs="Times New Roman"/>
        </w:rPr>
      </w:pPr>
    </w:p>
    <w:p w14:paraId="07957ABD" w14:textId="03D81657" w:rsidR="00A351EB" w:rsidRPr="00241380" w:rsidRDefault="00A351EB"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6D0DB7B" wp14:editId="0EEB21A4">
            <wp:extent cx="3405516" cy="2545080"/>
            <wp:effectExtent l="0" t="0" r="4445" b="7620"/>
            <wp:docPr id="1262395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07056" cy="2546231"/>
                    </a:xfrm>
                    <a:prstGeom prst="rect">
                      <a:avLst/>
                    </a:prstGeom>
                    <a:noFill/>
                    <a:ln>
                      <a:noFill/>
                    </a:ln>
                  </pic:spPr>
                </pic:pic>
              </a:graphicData>
            </a:graphic>
          </wp:inline>
        </w:drawing>
      </w:r>
    </w:p>
    <w:p w14:paraId="324FE89A" w14:textId="77777777" w:rsidR="004D24EC" w:rsidRPr="004D24EC" w:rsidRDefault="0095454B" w:rsidP="004D24EC">
      <w:pPr>
        <w:spacing w:line="360" w:lineRule="auto"/>
        <w:jc w:val="both"/>
        <w:rPr>
          <w:rFonts w:ascii="Times New Roman" w:hAnsi="Times New Roman" w:cs="Times New Roman"/>
        </w:rPr>
      </w:pPr>
      <w:r w:rsidRPr="00241380">
        <w:rPr>
          <w:rFonts w:ascii="Times New Roman" w:hAnsi="Times New Roman" w:cs="Times New Roman"/>
        </w:rPr>
        <w:tab/>
      </w:r>
      <w:r w:rsidR="004D24EC" w:rsidRPr="004D24EC">
        <w:rPr>
          <w:rFonts w:ascii="Times New Roman" w:hAnsi="Times New Roman" w:cs="Times New Roman"/>
        </w:rPr>
        <w:t>The National Health Service (NHS) utilises a comprehensive performance management framework combining financial and non-financial Key Performance Indicators (KPIs) to ensure accountability, resource efficiency, and continuous improvement in patient care. These KPIs are published through NHS England’s annual reports and individual trust performance reviews, forming the foundation for strategic and operational decision-making (NHS England, 2024).</w:t>
      </w:r>
    </w:p>
    <w:p w14:paraId="3E9B29B9" w14:textId="77777777" w:rsidR="004D24EC" w:rsidRDefault="004D24EC" w:rsidP="004D24EC">
      <w:pPr>
        <w:spacing w:line="360" w:lineRule="auto"/>
        <w:jc w:val="both"/>
        <w:rPr>
          <w:rFonts w:ascii="Times New Roman" w:hAnsi="Times New Roman" w:cs="Times New Roman"/>
        </w:rPr>
      </w:pPr>
    </w:p>
    <w:p w14:paraId="1EEC7650" w14:textId="77777777" w:rsidR="004D24EC" w:rsidRDefault="004D24EC" w:rsidP="004D24EC">
      <w:pPr>
        <w:spacing w:line="360" w:lineRule="auto"/>
        <w:jc w:val="both"/>
        <w:rPr>
          <w:rFonts w:ascii="Times New Roman" w:hAnsi="Times New Roman" w:cs="Times New Roman"/>
        </w:rPr>
      </w:pPr>
    </w:p>
    <w:p w14:paraId="019B7A56" w14:textId="77777777" w:rsidR="004D24EC" w:rsidRPr="004D24EC" w:rsidRDefault="004D24EC" w:rsidP="004D24EC">
      <w:pPr>
        <w:spacing w:line="360" w:lineRule="auto"/>
        <w:jc w:val="both"/>
        <w:rPr>
          <w:rFonts w:ascii="Times New Roman" w:hAnsi="Times New Roman" w:cs="Times New Roman"/>
        </w:rPr>
      </w:pPr>
    </w:p>
    <w:p w14:paraId="619C6683" w14:textId="77777777" w:rsidR="004D24EC" w:rsidRPr="004D24EC" w:rsidRDefault="004D24EC" w:rsidP="004D24EC">
      <w:pPr>
        <w:spacing w:line="360" w:lineRule="auto"/>
        <w:jc w:val="both"/>
        <w:rPr>
          <w:rFonts w:ascii="Times New Roman" w:hAnsi="Times New Roman" w:cs="Times New Roman"/>
        </w:rPr>
      </w:pPr>
      <w:r w:rsidRPr="004D24EC">
        <w:rPr>
          <w:rFonts w:ascii="Times New Roman" w:hAnsi="Times New Roman" w:cs="Times New Roman"/>
        </w:rPr>
        <w:lastRenderedPageBreak/>
        <w:t>Financial KPIs remain essential for ensuring fiscal sustainability in a publicly funded health system.</w:t>
      </w:r>
    </w:p>
    <w:p w14:paraId="4815944B" w14:textId="046FF8E4" w:rsidR="004D24EC" w:rsidRPr="004D24EC" w:rsidRDefault="004D24EC" w:rsidP="004D24EC">
      <w:pPr>
        <w:spacing w:line="360" w:lineRule="auto"/>
        <w:jc w:val="both"/>
        <w:rPr>
          <w:rFonts w:ascii="Times New Roman" w:hAnsi="Times New Roman" w:cs="Times New Roman"/>
        </w:rPr>
      </w:pPr>
      <w:r w:rsidRPr="004D24EC">
        <w:rPr>
          <w:rFonts w:ascii="Times New Roman" w:hAnsi="Times New Roman" w:cs="Times New Roman"/>
        </w:rPr>
        <w:t>First, budget variance</w:t>
      </w:r>
      <w:r>
        <w:rPr>
          <w:rFonts w:ascii="Times New Roman" w:hAnsi="Times New Roman" w:cs="Times New Roman"/>
        </w:rPr>
        <w:t xml:space="preserve"> </w:t>
      </w:r>
      <w:r w:rsidRPr="004D24EC">
        <w:rPr>
          <w:rFonts w:ascii="Times New Roman" w:hAnsi="Times New Roman" w:cs="Times New Roman"/>
        </w:rPr>
        <w:t>the difference between planned expenditure and actual outturn</w:t>
      </w:r>
      <w:r>
        <w:rPr>
          <w:rFonts w:ascii="Times New Roman" w:hAnsi="Times New Roman" w:cs="Times New Roman"/>
        </w:rPr>
        <w:t xml:space="preserve"> </w:t>
      </w:r>
      <w:r w:rsidRPr="004D24EC">
        <w:rPr>
          <w:rFonts w:ascii="Times New Roman" w:hAnsi="Times New Roman" w:cs="Times New Roman"/>
        </w:rPr>
        <w:t>is closely monitored to maintain financial balance. In 2023/24, NHS England reported an overall underspend of £1.25 billion against its revenue resource budget, reflecting effective cost management despite ongoing inflationary pressures (NHS England, 2024). Second, agency and temporary staffing costs are a critical KPI, as excessive reliance on agency workers increases operational costs and undermines continuity of care. For example, Oxford University Hospitals (OUH) targeted a reduction of 700 full-time equivalents (FTEs) in temporary staffing for 2024/25, saving £17.8 million by month ten (OUH, 2025). Third, the cost improvement programme (CIP) achievement rate measures progress towards efficiency targets. NHS trusts typically aim to achieve annual CIPs of 3–5% of turnover, influencing strategic decisions on procurement, workforce optimisation, and digital transformation (King’s Fund, 2024).</w:t>
      </w:r>
    </w:p>
    <w:p w14:paraId="7EE6DFE1" w14:textId="77777777" w:rsidR="004D24EC" w:rsidRPr="004D24EC" w:rsidRDefault="004D24EC" w:rsidP="004D24EC">
      <w:pPr>
        <w:spacing w:line="360" w:lineRule="auto"/>
        <w:jc w:val="both"/>
        <w:rPr>
          <w:rFonts w:ascii="Times New Roman" w:hAnsi="Times New Roman" w:cs="Times New Roman"/>
        </w:rPr>
      </w:pPr>
    </w:p>
    <w:p w14:paraId="7A27A462" w14:textId="2EA93974" w:rsidR="004D24EC" w:rsidRPr="004D24EC" w:rsidRDefault="004D24EC" w:rsidP="004D24EC">
      <w:pPr>
        <w:spacing w:line="360" w:lineRule="auto"/>
        <w:jc w:val="both"/>
        <w:rPr>
          <w:rFonts w:ascii="Times New Roman" w:hAnsi="Times New Roman" w:cs="Times New Roman"/>
        </w:rPr>
      </w:pPr>
      <w:r w:rsidRPr="004D24EC">
        <w:rPr>
          <w:rFonts w:ascii="Times New Roman" w:hAnsi="Times New Roman" w:cs="Times New Roman"/>
        </w:rPr>
        <w:t>Non-financial KPIs reflect the NHS’s broader mission to deliver timely, safe, and equitable care. A core operational indicator is the four-hour A&amp;E performance standard, measuring the proportion of patients admitted, treated, or discharged within four hours. In 2023/24, performance improved to 74.2%, prompting NHS England to expand “virtual wards” and enhance discharge pathways to relieve emergency pressure (NHS England, 2024). Another non-financial KPI is elective waiting times, which track access to planned treatments. Persistent backlogs have driven major strategic initiatives such as the Elective Recovery Plan, investment in surgical hubs, and partnerships with independent providers to increase capacity (NAO, 2024). Finally, quality and safety metrics</w:t>
      </w:r>
      <w:r>
        <w:rPr>
          <w:rFonts w:ascii="Times New Roman" w:hAnsi="Times New Roman" w:cs="Times New Roman"/>
        </w:rPr>
        <w:t xml:space="preserve"> </w:t>
      </w:r>
      <w:r w:rsidRPr="004D24EC">
        <w:rPr>
          <w:rFonts w:ascii="Times New Roman" w:hAnsi="Times New Roman" w:cs="Times New Roman"/>
        </w:rPr>
        <w:t>such as the Hospital Standardised Mortality Ratio (HSMR) and incidence of “never events”</w:t>
      </w:r>
      <w:r>
        <w:rPr>
          <w:rFonts w:ascii="Times New Roman" w:hAnsi="Times New Roman" w:cs="Times New Roman"/>
        </w:rPr>
        <w:t xml:space="preserve"> </w:t>
      </w:r>
      <w:r w:rsidRPr="004D24EC">
        <w:rPr>
          <w:rFonts w:ascii="Times New Roman" w:hAnsi="Times New Roman" w:cs="Times New Roman"/>
        </w:rPr>
        <w:t>guide decisions on clinical governance, patient safety training, and risk management (OUH, 2025).</w:t>
      </w:r>
    </w:p>
    <w:p w14:paraId="5DDA484C" w14:textId="77777777" w:rsidR="004D24EC" w:rsidRPr="004D24EC" w:rsidRDefault="004D24EC" w:rsidP="004D24EC">
      <w:pPr>
        <w:spacing w:line="360" w:lineRule="auto"/>
        <w:jc w:val="both"/>
        <w:rPr>
          <w:rFonts w:ascii="Times New Roman" w:hAnsi="Times New Roman" w:cs="Times New Roman"/>
        </w:rPr>
      </w:pPr>
    </w:p>
    <w:p w14:paraId="1A147FD3" w14:textId="4B38726B" w:rsidR="004D24EC" w:rsidRPr="004D24EC" w:rsidRDefault="004D24EC" w:rsidP="004D24EC">
      <w:pPr>
        <w:spacing w:line="360" w:lineRule="auto"/>
        <w:jc w:val="both"/>
        <w:rPr>
          <w:rFonts w:ascii="Times New Roman" w:hAnsi="Times New Roman" w:cs="Times New Roman"/>
        </w:rPr>
      </w:pPr>
      <w:r w:rsidRPr="004D24EC">
        <w:rPr>
          <w:rFonts w:ascii="Times New Roman" w:hAnsi="Times New Roman" w:cs="Times New Roman"/>
        </w:rPr>
        <w:t xml:space="preserve">In </w:t>
      </w:r>
      <w:r>
        <w:rPr>
          <w:rFonts w:ascii="Times New Roman" w:hAnsi="Times New Roman" w:cs="Times New Roman"/>
        </w:rPr>
        <w:t>summary,</w:t>
      </w:r>
      <w:r w:rsidRPr="004D24EC">
        <w:rPr>
          <w:rFonts w:ascii="Times New Roman" w:hAnsi="Times New Roman" w:cs="Times New Roman"/>
        </w:rPr>
        <w:t xml:space="preserve"> the NHS’s performance management framework integrates financial stewardship with service quality to guide strategic decisions. Financial KPIs drive cost containment and efficiency initiatives, while non-financial KPIs shape reforms in access, quality, and safety. This balanced approach ensures that strategic decision-making aligns with both fiscal responsibility and the NHS’s core mission of delivering high-quality patient care.</w:t>
      </w:r>
    </w:p>
    <w:p w14:paraId="2C50273D" w14:textId="1F7890EE" w:rsidR="0095454B" w:rsidRPr="00241380" w:rsidRDefault="0095454B" w:rsidP="004D24EC">
      <w:pPr>
        <w:spacing w:line="360" w:lineRule="auto"/>
        <w:jc w:val="both"/>
        <w:rPr>
          <w:rFonts w:ascii="Times New Roman" w:hAnsi="Times New Roman" w:cs="Times New Roman"/>
        </w:rPr>
      </w:pPr>
    </w:p>
    <w:p w14:paraId="107635A3" w14:textId="4F3979BC" w:rsidR="0095454B" w:rsidRPr="00241380" w:rsidRDefault="004E0943" w:rsidP="00241380">
      <w:pPr>
        <w:pStyle w:val="Heading1"/>
      </w:pPr>
      <w:bookmarkStart w:id="4" w:name="_Toc211174643"/>
      <w:r w:rsidRPr="00241380">
        <w:t>S</w:t>
      </w:r>
      <w:r w:rsidR="0095454B" w:rsidRPr="00241380">
        <w:t>ustainability and Ethical Considerations</w:t>
      </w:r>
      <w:bookmarkEnd w:id="4"/>
      <w:r w:rsidR="0095454B" w:rsidRPr="00241380">
        <w:t xml:space="preserve"> </w:t>
      </w:r>
    </w:p>
    <w:p w14:paraId="2AB4F534" w14:textId="4A0B8434" w:rsidR="00A874CE" w:rsidRPr="00241380" w:rsidRDefault="00A874CE" w:rsidP="00241380">
      <w:pPr>
        <w:spacing w:line="360" w:lineRule="auto"/>
        <w:jc w:val="both"/>
        <w:rPr>
          <w:rFonts w:ascii="Times New Roman" w:hAnsi="Times New Roman" w:cs="Times New Roman"/>
        </w:rPr>
      </w:pPr>
      <w:r w:rsidRPr="00A874CE">
        <w:rPr>
          <w:rFonts w:ascii="Times New Roman" w:hAnsi="Times New Roman" w:cs="Times New Roman"/>
        </w:rPr>
        <w:t>The National Health Service (NHS) has increasingly come to prioritise sustainability as a crucial aspect in strategic and financial decision-making. As the world’s largest public sector organisation</w:t>
      </w:r>
      <w:r w:rsidRPr="00241380">
        <w:rPr>
          <w:rFonts w:ascii="Times New Roman" w:hAnsi="Times New Roman" w:cs="Times New Roman"/>
        </w:rPr>
        <w:t>.</w:t>
      </w:r>
      <w:r w:rsidRPr="00A874CE">
        <w:rPr>
          <w:rFonts w:ascii="Times New Roman" w:hAnsi="Times New Roman" w:cs="Times New Roman"/>
        </w:rPr>
        <w:t xml:space="preserve"> The NHS recognises the essential need to balance economic efficiency with environmental stewardship and social equity (NHS England, 2023). Sustainability goals are now being incorporated into financial planning and investing activities through initiatives such as ‘Delivering a Net Zero NHS’ which sets the value basis for the health service to achieve net-zero carbon emissions by 2040 (NHS England, 2020). Low-carbon infrastructure, renewable energy systems and green procurement processes are now the order of the day for capital budgets with financial resource allocation tied </w:t>
      </w:r>
      <w:r w:rsidRPr="00241380">
        <w:rPr>
          <w:rFonts w:ascii="Times New Roman" w:hAnsi="Times New Roman" w:cs="Times New Roman"/>
        </w:rPr>
        <w:t>into</w:t>
      </w:r>
      <w:r w:rsidRPr="00A874CE">
        <w:rPr>
          <w:rFonts w:ascii="Times New Roman" w:hAnsi="Times New Roman" w:cs="Times New Roman"/>
        </w:rPr>
        <w:t xml:space="preserve"> </w:t>
      </w:r>
      <w:r w:rsidRPr="00241380">
        <w:rPr>
          <w:rFonts w:ascii="Times New Roman" w:hAnsi="Times New Roman" w:cs="Times New Roman"/>
        </w:rPr>
        <w:t>long-term</w:t>
      </w:r>
      <w:r w:rsidRPr="00A874CE">
        <w:rPr>
          <w:rFonts w:ascii="Times New Roman" w:hAnsi="Times New Roman" w:cs="Times New Roman"/>
        </w:rPr>
        <w:t xml:space="preserve"> environmental targets (The Health Foundation, 2024). Furthermore, management accounting also enables sustainability </w:t>
      </w:r>
      <w:r w:rsidRPr="00241380">
        <w:rPr>
          <w:rFonts w:ascii="Times New Roman" w:hAnsi="Times New Roman" w:cs="Times New Roman"/>
        </w:rPr>
        <w:t>using</w:t>
      </w:r>
      <w:r w:rsidRPr="00A874CE">
        <w:rPr>
          <w:rFonts w:ascii="Times New Roman" w:hAnsi="Times New Roman" w:cs="Times New Roman"/>
        </w:rPr>
        <w:t xml:space="preserve"> specific tools such as lifecycle costing and sustainability reporting that helps managers in assessing short-term financial performance and </w:t>
      </w:r>
      <w:r w:rsidRPr="00241380">
        <w:rPr>
          <w:rFonts w:ascii="Times New Roman" w:hAnsi="Times New Roman" w:cs="Times New Roman"/>
        </w:rPr>
        <w:t>long-term</w:t>
      </w:r>
      <w:r w:rsidRPr="00A874CE">
        <w:rPr>
          <w:rFonts w:ascii="Times New Roman" w:hAnsi="Times New Roman" w:cs="Times New Roman"/>
        </w:rPr>
        <w:t xml:space="preserve"> environmental impact (CIMA, 2021).</w:t>
      </w:r>
    </w:p>
    <w:p w14:paraId="3479F183" w14:textId="37A74317" w:rsidR="0057227E"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4613FB32" wp14:editId="5066B2ED">
            <wp:extent cx="3474720" cy="2119070"/>
            <wp:effectExtent l="0" t="0" r="0" b="0"/>
            <wp:docPr id="1265439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78759" cy="2121533"/>
                    </a:xfrm>
                    <a:prstGeom prst="rect">
                      <a:avLst/>
                    </a:prstGeom>
                    <a:noFill/>
                    <a:ln>
                      <a:noFill/>
                    </a:ln>
                  </pic:spPr>
                </pic:pic>
              </a:graphicData>
            </a:graphic>
          </wp:inline>
        </w:drawing>
      </w:r>
    </w:p>
    <w:p w14:paraId="4E399F46" w14:textId="77777777" w:rsidR="0057227E" w:rsidRPr="00241380" w:rsidRDefault="0057227E" w:rsidP="00241380">
      <w:pPr>
        <w:spacing w:line="360" w:lineRule="auto"/>
        <w:jc w:val="both"/>
        <w:rPr>
          <w:rFonts w:ascii="Times New Roman" w:hAnsi="Times New Roman" w:cs="Times New Roman"/>
        </w:rPr>
      </w:pPr>
    </w:p>
    <w:p w14:paraId="5F8F3690"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Ethical considerations are equally significant in NHS cost management and resource allocation. Unlike profit-oriented firms, the NHS operates within a moral framework based on equity, access, and fairness. Cost-management decisions must therefore ensure that efficiency improvements do not compromise patient safety or quality of care (Drury, 2022). For example, initiatives such as cost-saving through staff reductions or service consolidation must be evaluated against their potential ethical consequences on patient outcomes and workforce welfare.</w:t>
      </w:r>
    </w:p>
    <w:p w14:paraId="142D1A17" w14:textId="77777777" w:rsidR="0095454B" w:rsidRPr="00241380" w:rsidRDefault="0095454B" w:rsidP="00241380">
      <w:pPr>
        <w:spacing w:line="360" w:lineRule="auto"/>
        <w:jc w:val="both"/>
        <w:rPr>
          <w:rFonts w:ascii="Times New Roman" w:hAnsi="Times New Roman" w:cs="Times New Roman"/>
        </w:rPr>
      </w:pPr>
    </w:p>
    <w:p w14:paraId="214EADCA" w14:textId="795ADEFF"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Furthermore, ethical decision-making extends to procurement and supplier management, where the NHS is expected to uphold standards of transparency, fair labour practices, and environmental compliance (Department of Health and Social </w:t>
      </w:r>
      <w:r w:rsidR="004E0943" w:rsidRPr="00241380">
        <w:rPr>
          <w:rFonts w:ascii="Times New Roman" w:hAnsi="Times New Roman" w:cs="Times New Roman"/>
        </w:rPr>
        <w:t>Care,</w:t>
      </w:r>
      <w:r w:rsidRPr="00241380">
        <w:rPr>
          <w:rFonts w:ascii="Times New Roman" w:hAnsi="Times New Roman" w:cs="Times New Roman"/>
        </w:rPr>
        <w:t xml:space="preserve"> 2024). While the NHS does not engage in market-based pricing, ethical principles underpin its resource prioritisation ensuring that treatments are allocated based on clinical need rather than cost-effectiveness alone.</w:t>
      </w:r>
    </w:p>
    <w:p w14:paraId="626DD228" w14:textId="77777777" w:rsidR="0095454B" w:rsidRPr="00241380" w:rsidRDefault="0095454B" w:rsidP="00241380">
      <w:pPr>
        <w:spacing w:line="360" w:lineRule="auto"/>
        <w:jc w:val="both"/>
        <w:rPr>
          <w:rFonts w:ascii="Times New Roman" w:hAnsi="Times New Roman" w:cs="Times New Roman"/>
        </w:rPr>
      </w:pPr>
    </w:p>
    <w:p w14:paraId="6AB5B629" w14:textId="2A243614"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Overall, integrating sustainability and ethics into financial decision-making strengthens the NHS’s legitimacy, enhances public trust, and ensures that financial efficiency aligns with its broader social purpose.</w:t>
      </w:r>
    </w:p>
    <w:p w14:paraId="15214BD7" w14:textId="77777777" w:rsidR="004E0943" w:rsidRPr="00241380" w:rsidRDefault="004E0943" w:rsidP="00241380">
      <w:pPr>
        <w:spacing w:line="360" w:lineRule="auto"/>
        <w:jc w:val="both"/>
        <w:rPr>
          <w:rFonts w:ascii="Times New Roman" w:hAnsi="Times New Roman" w:cs="Times New Roman"/>
        </w:rPr>
      </w:pPr>
    </w:p>
    <w:p w14:paraId="20F81E7D" w14:textId="74129C59" w:rsidR="004E0943" w:rsidRPr="00241380" w:rsidRDefault="004E0943" w:rsidP="00241380">
      <w:pPr>
        <w:pStyle w:val="Heading1"/>
      </w:pPr>
      <w:bookmarkStart w:id="5" w:name="_Toc211174644"/>
      <w:r w:rsidRPr="00241380">
        <w:t>Conclusion and Recommendations</w:t>
      </w:r>
      <w:bookmarkEnd w:id="5"/>
      <w:r w:rsidRPr="00241380">
        <w:t xml:space="preserve"> </w:t>
      </w:r>
    </w:p>
    <w:p w14:paraId="69B65662" w14:textId="77777777" w:rsidR="004E0943" w:rsidRPr="00241380" w:rsidRDefault="004E0943" w:rsidP="00241380">
      <w:pPr>
        <w:spacing w:line="360" w:lineRule="auto"/>
        <w:jc w:val="both"/>
        <w:rPr>
          <w:rFonts w:ascii="Times New Roman" w:hAnsi="Times New Roman" w:cs="Times New Roman"/>
        </w:rPr>
      </w:pPr>
    </w:p>
    <w:p w14:paraId="131CD78E" w14:textId="4FE41DCC" w:rsidR="004E0943" w:rsidRPr="00241380" w:rsidRDefault="004E0943" w:rsidP="00241380">
      <w:pPr>
        <w:spacing w:line="360" w:lineRule="auto"/>
        <w:jc w:val="both"/>
        <w:rPr>
          <w:rFonts w:ascii="Times New Roman" w:hAnsi="Times New Roman" w:cs="Times New Roman"/>
        </w:rPr>
      </w:pPr>
      <w:r w:rsidRPr="00241380">
        <w:rPr>
          <w:rFonts w:ascii="Times New Roman" w:hAnsi="Times New Roman" w:cs="Times New Roman"/>
        </w:rPr>
        <w:t xml:space="preserve">In </w:t>
      </w:r>
      <w:r w:rsidR="00A351EB" w:rsidRPr="00241380">
        <w:rPr>
          <w:rFonts w:ascii="Times New Roman" w:hAnsi="Times New Roman" w:cs="Times New Roman"/>
        </w:rPr>
        <w:t>this report</w:t>
      </w:r>
      <w:r w:rsidRPr="00241380">
        <w:rPr>
          <w:rFonts w:ascii="Times New Roman" w:hAnsi="Times New Roman" w:cs="Times New Roman"/>
        </w:rPr>
        <w:t xml:space="preserve"> I have </w:t>
      </w:r>
      <w:r w:rsidR="0057227E" w:rsidRPr="00241380">
        <w:rPr>
          <w:rFonts w:ascii="Times New Roman" w:hAnsi="Times New Roman" w:cs="Times New Roman"/>
        </w:rPr>
        <w:t>been demonstrated</w:t>
      </w:r>
      <w:r w:rsidRPr="00241380">
        <w:rPr>
          <w:rFonts w:ascii="Times New Roman" w:hAnsi="Times New Roman" w:cs="Times New Roman"/>
        </w:rPr>
        <w:t xml:space="preserve"> that effective management accounting is essential for supporting financial sustainability and strategic decision-making within the National Health Service (NHS). The analysis highlighted how management accounting tools such as budgeting, cost analysis, and performance measurement enable NHS managers to allocate resources efficiently, monitor performance, and maintain accountability. Furthermore, sustainability and ethical considerations have become integral to financial decision-making, ensuring that cost efficiency aligns with environmental responsibility and equitable patient care (Drury, 2022; NHS England, 2023).</w:t>
      </w:r>
    </w:p>
    <w:p w14:paraId="54860FEB" w14:textId="10A11CF1" w:rsidR="004E0943" w:rsidRPr="00241380" w:rsidRDefault="0057227E" w:rsidP="00241380">
      <w:pPr>
        <w:pStyle w:val="Heading1"/>
      </w:pPr>
      <w:bookmarkStart w:id="6" w:name="_Toc211174645"/>
      <w:r w:rsidRPr="00241380">
        <w:t>Recommendations</w:t>
      </w:r>
      <w:bookmarkEnd w:id="6"/>
      <w:r w:rsidRPr="00241380">
        <w:t xml:space="preserve"> </w:t>
      </w:r>
    </w:p>
    <w:p w14:paraId="71A5BDCA" w14:textId="7F77B12F" w:rsidR="00241380" w:rsidRPr="00241380" w:rsidRDefault="00241380" w:rsidP="00241380">
      <w:pPr>
        <w:spacing w:line="360" w:lineRule="auto"/>
        <w:jc w:val="both"/>
        <w:rPr>
          <w:rFonts w:ascii="Times New Roman" w:hAnsi="Times New Roman" w:cs="Times New Roman"/>
        </w:rPr>
      </w:pPr>
      <w:r w:rsidRPr="00241380">
        <w:rPr>
          <w:rFonts w:ascii="Times New Roman" w:hAnsi="Times New Roman" w:cs="Times New Roman"/>
        </w:rPr>
        <w:t>To improve future performance, the NHS needs to place greater emphasis on the fit between financial and operational management. An emerging second generation of comprehensive cost implementation focused on extensive activity-based costing and advanced financial performance dashboards is additionally identifying KPIs that connect expenditure to patient outcomes, underpinning value-added decision making and achievement of lean standard costs (CIMA16, 2021). Further investment in digital financial management systems alongside real-</w:t>
      </w:r>
      <w:r w:rsidRPr="00241380">
        <w:rPr>
          <w:rFonts w:ascii="Times New Roman" w:hAnsi="Times New Roman" w:cs="Times New Roman"/>
        </w:rPr>
        <w:lastRenderedPageBreak/>
        <w:t>time analytics would enhance the reliability of forecasting, resource distribution and transparency across trusts (The Health Foundation, 2024). Second, integrating environmental accountancy into NHS budgeting systems would create an additional organisational system to ensure that sustainability targets – be they emissions reduction or driving low carbon procurement action are embedded within financial planning (NHS England, 2020). These strategies overall improve efficiency, accountability and long-term sustainability while maintaining the NHS’s ethical commitment to equitable access and patient interests (Drury, 2022; NHS England, 2023). Combining that knowledge with financial, digital and environmental innovation will enable the NHS to remain both resilient and responsive to future healthcare needs.</w:t>
      </w:r>
    </w:p>
    <w:p w14:paraId="2882A325" w14:textId="6E061470" w:rsidR="004E0943"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rPr>
        <w:t xml:space="preserve">The </w:t>
      </w:r>
      <w:r w:rsidR="004E0943" w:rsidRPr="00241380">
        <w:rPr>
          <w:rFonts w:ascii="Times New Roman" w:hAnsi="Times New Roman" w:cs="Times New Roman"/>
        </w:rPr>
        <w:t>NHS can improve efficiency, accountability, and sustainability while continuing to deliver high-quality, equitable healthcare.</w:t>
      </w:r>
    </w:p>
    <w:p w14:paraId="4854AB38" w14:textId="77777777" w:rsidR="004E0943" w:rsidRPr="00241380" w:rsidRDefault="004E0943" w:rsidP="00241380">
      <w:pPr>
        <w:pStyle w:val="Heading1"/>
      </w:pPr>
    </w:p>
    <w:p w14:paraId="2DCD4E57" w14:textId="2FD24CDF" w:rsidR="0095454B" w:rsidRPr="00241380" w:rsidRDefault="0057227E" w:rsidP="00241380">
      <w:pPr>
        <w:pStyle w:val="Heading1"/>
      </w:pPr>
      <w:bookmarkStart w:id="7" w:name="_Toc211174646"/>
      <w:r w:rsidRPr="00241380">
        <w:t>References:</w:t>
      </w:r>
      <w:bookmarkEnd w:id="7"/>
    </w:p>
    <w:p w14:paraId="23A82B04" w14:textId="77777777" w:rsidR="0057227E" w:rsidRPr="00241380" w:rsidRDefault="0057227E" w:rsidP="00241380">
      <w:pPr>
        <w:spacing w:line="360" w:lineRule="auto"/>
        <w:jc w:val="both"/>
        <w:rPr>
          <w:rFonts w:ascii="Times New Roman" w:hAnsi="Times New Roman" w:cs="Times New Roman"/>
        </w:rPr>
      </w:pPr>
    </w:p>
    <w:p w14:paraId="3E548DA2" w14:textId="1586D276" w:rsidR="001718D1"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rPr>
        <w:tab/>
      </w:r>
      <w:r w:rsidR="00241380">
        <w:rPr>
          <w:rFonts w:ascii="Times New Roman" w:hAnsi="Times New Roman" w:cs="Times New Roman"/>
        </w:rPr>
        <w:t xml:space="preserve">1.       </w:t>
      </w:r>
      <w:r w:rsidR="001718D1" w:rsidRPr="00241380">
        <w:rPr>
          <w:rFonts w:ascii="Times New Roman" w:hAnsi="Times New Roman" w:cs="Times New Roman"/>
        </w:rPr>
        <w:t>Chartered Institute of Management Accountants (CIMA) (2021) Management Accounting: Business Strategy and Decision Making. London: CIMA.</w:t>
      </w:r>
    </w:p>
    <w:p w14:paraId="4CCA551F"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2.</w:t>
      </w:r>
      <w:r w:rsidRPr="00241380">
        <w:rPr>
          <w:rFonts w:ascii="Times New Roman" w:hAnsi="Times New Roman" w:cs="Times New Roman"/>
        </w:rPr>
        <w:tab/>
        <w:t>Drury, C. (2022) Management and Cost Accounting. 11th edn. Andover: Cengage Learning.</w:t>
      </w:r>
    </w:p>
    <w:p w14:paraId="093054DD"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3.</w:t>
      </w:r>
      <w:r w:rsidRPr="00241380">
        <w:rPr>
          <w:rFonts w:ascii="Times New Roman" w:hAnsi="Times New Roman" w:cs="Times New Roman"/>
        </w:rPr>
        <w:tab/>
        <w:t>NHS England (2020) Delivering a Net Zero NHS. London: NHS England.</w:t>
      </w:r>
    </w:p>
    <w:p w14:paraId="1E346A85"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4.</w:t>
      </w:r>
      <w:r w:rsidRPr="00241380">
        <w:rPr>
          <w:rFonts w:ascii="Times New Roman" w:hAnsi="Times New Roman" w:cs="Times New Roman"/>
        </w:rPr>
        <w:tab/>
        <w:t>NHS England (2023) Annual Report and Accounts 2023/24. London: NHS England.</w:t>
      </w:r>
    </w:p>
    <w:p w14:paraId="5BE727B0"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5.</w:t>
      </w:r>
      <w:r w:rsidRPr="00241380">
        <w:rPr>
          <w:rFonts w:ascii="Times New Roman" w:hAnsi="Times New Roman" w:cs="Times New Roman"/>
        </w:rPr>
        <w:tab/>
        <w:t>The Health Foundation (2024) Investing in the Future NHS: Digital Transformation and System Efficiency. London: The Health Foundation.</w:t>
      </w:r>
    </w:p>
    <w:p w14:paraId="4DEA6DB1"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6.</w:t>
      </w:r>
      <w:r w:rsidRPr="00241380">
        <w:rPr>
          <w:rFonts w:ascii="Times New Roman" w:hAnsi="Times New Roman" w:cs="Times New Roman"/>
        </w:rPr>
        <w:tab/>
        <w:t>Department of Health and Social Care (DHSC) (2024) Procurement Policy and Ethical Standards in Public Health. London: DHSC.</w:t>
      </w:r>
    </w:p>
    <w:p w14:paraId="357F0893"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7.</w:t>
      </w:r>
      <w:r w:rsidRPr="00241380">
        <w:rPr>
          <w:rFonts w:ascii="Times New Roman" w:hAnsi="Times New Roman" w:cs="Times New Roman"/>
        </w:rPr>
        <w:tab/>
        <w:t>NHS England (2023) Sustainability and Transformation Partnerships Progress Report. London: NHS England.</w:t>
      </w:r>
    </w:p>
    <w:p w14:paraId="6578D11B"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lastRenderedPageBreak/>
        <w:tab/>
        <w:t>8.</w:t>
      </w:r>
      <w:r w:rsidRPr="00241380">
        <w:rPr>
          <w:rFonts w:ascii="Times New Roman" w:hAnsi="Times New Roman" w:cs="Times New Roman"/>
        </w:rPr>
        <w:tab/>
        <w:t>HM Treasury (2023) Public Expenditure Statistical Analyses 2023. London: The Stationery Office.</w:t>
      </w:r>
    </w:p>
    <w:p w14:paraId="66FAF39D"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9.</w:t>
      </w:r>
      <w:r w:rsidRPr="00241380">
        <w:rPr>
          <w:rFonts w:ascii="Times New Roman" w:hAnsi="Times New Roman" w:cs="Times New Roman"/>
        </w:rPr>
        <w:tab/>
        <w:t>NHS Digital (2023) NHS Workforce Statistics. London: NHS Digital.</w:t>
      </w:r>
    </w:p>
    <w:p w14:paraId="0586F91F" w14:textId="4460C313"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10.</w:t>
      </w:r>
      <w:r w:rsidRPr="00241380">
        <w:rPr>
          <w:rFonts w:ascii="Times New Roman" w:hAnsi="Times New Roman" w:cs="Times New Roman"/>
        </w:rPr>
        <w:tab/>
        <w:t>The King’s Fund (2024) The NHS Budget: How It Works and Where the Money Goes. London: The King’s Fund.</w:t>
      </w:r>
    </w:p>
    <w:p w14:paraId="5555D56D" w14:textId="47DA18DD" w:rsidR="0095454B" w:rsidRPr="00241380" w:rsidRDefault="0095454B" w:rsidP="00241380">
      <w:pPr>
        <w:spacing w:line="360" w:lineRule="auto"/>
        <w:jc w:val="both"/>
        <w:rPr>
          <w:rFonts w:ascii="Times New Roman" w:hAnsi="Times New Roman" w:cs="Times New Roman"/>
        </w:rPr>
      </w:pPr>
    </w:p>
    <w:sectPr w:rsidR="0095454B" w:rsidRPr="0024138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5970F" w14:textId="77777777" w:rsidR="006C2D57" w:rsidRDefault="006C2D57" w:rsidP="004E0943">
      <w:pPr>
        <w:spacing w:after="0" w:line="240" w:lineRule="auto"/>
      </w:pPr>
      <w:r>
        <w:separator/>
      </w:r>
    </w:p>
  </w:endnote>
  <w:endnote w:type="continuationSeparator" w:id="0">
    <w:p w14:paraId="743197FD" w14:textId="77777777" w:rsidR="006C2D57" w:rsidRDefault="006C2D57" w:rsidP="004E0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502"/>
      <w:docPartObj>
        <w:docPartGallery w:val="Page Numbers (Bottom of Page)"/>
        <w:docPartUnique/>
      </w:docPartObj>
    </w:sdtPr>
    <w:sdtContent>
      <w:p w14:paraId="4F630333" w14:textId="2A2906CF" w:rsidR="004E0943" w:rsidRDefault="004E0943">
        <w:pPr>
          <w:pStyle w:val="Footer"/>
          <w:jc w:val="right"/>
        </w:pPr>
        <w:r>
          <w:fldChar w:fldCharType="begin"/>
        </w:r>
        <w:r>
          <w:instrText>PAGE   \* MERGEFORMAT</w:instrText>
        </w:r>
        <w:r>
          <w:fldChar w:fldCharType="separate"/>
        </w:r>
        <w:r>
          <w:t>2</w:t>
        </w:r>
        <w:r>
          <w:fldChar w:fldCharType="end"/>
        </w:r>
      </w:p>
    </w:sdtContent>
  </w:sdt>
  <w:p w14:paraId="521FC185" w14:textId="77777777" w:rsidR="004E0943" w:rsidRDefault="004E0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D865D" w14:textId="77777777" w:rsidR="006C2D57" w:rsidRDefault="006C2D57" w:rsidP="004E0943">
      <w:pPr>
        <w:spacing w:after="0" w:line="240" w:lineRule="auto"/>
      </w:pPr>
      <w:r>
        <w:separator/>
      </w:r>
    </w:p>
  </w:footnote>
  <w:footnote w:type="continuationSeparator" w:id="0">
    <w:p w14:paraId="563DF401" w14:textId="77777777" w:rsidR="006C2D57" w:rsidRDefault="006C2D57" w:rsidP="004E09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4B"/>
    <w:rsid w:val="001718D1"/>
    <w:rsid w:val="001F47C1"/>
    <w:rsid w:val="00241380"/>
    <w:rsid w:val="0039069A"/>
    <w:rsid w:val="004A2D0A"/>
    <w:rsid w:val="004D24EC"/>
    <w:rsid w:val="004E0943"/>
    <w:rsid w:val="0057227E"/>
    <w:rsid w:val="006C2D57"/>
    <w:rsid w:val="00764E65"/>
    <w:rsid w:val="00817BB0"/>
    <w:rsid w:val="00861292"/>
    <w:rsid w:val="008B6B9A"/>
    <w:rsid w:val="00951857"/>
    <w:rsid w:val="0095454B"/>
    <w:rsid w:val="00A351EB"/>
    <w:rsid w:val="00A874CE"/>
    <w:rsid w:val="00A929BF"/>
    <w:rsid w:val="00A9667E"/>
    <w:rsid w:val="00DE6CE9"/>
    <w:rsid w:val="00E67AAE"/>
    <w:rsid w:val="00F23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F3A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4E0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43"/>
  </w:style>
  <w:style w:type="paragraph" w:styleId="Footer">
    <w:name w:val="footer"/>
    <w:basedOn w:val="Normal"/>
    <w:link w:val="FooterChar"/>
    <w:uiPriority w:val="99"/>
    <w:unhideWhenUsed/>
    <w:rsid w:val="004E0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43"/>
  </w:style>
  <w:style w:type="paragraph" w:styleId="TOCHeading">
    <w:name w:val="TOC Heading"/>
    <w:basedOn w:val="Heading1"/>
    <w:next w:val="Normal"/>
    <w:uiPriority w:val="39"/>
    <w:unhideWhenUsed/>
    <w:qFormat/>
    <w:rsid w:val="0024138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1380"/>
    <w:pPr>
      <w:spacing w:after="100"/>
    </w:pPr>
  </w:style>
  <w:style w:type="character" w:styleId="Hyperlink">
    <w:name w:val="Hyperlink"/>
    <w:basedOn w:val="DefaultParagraphFont"/>
    <w:uiPriority w:val="99"/>
    <w:unhideWhenUsed/>
    <w:rsid w:val="0024138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01433-4C84-47D6-BC7E-491BF5358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2656</Words>
  <Characters>15141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2025-10-11T20:54:00Z</dcterms:created>
  <dcterms:modified xsi:type="dcterms:W3CDTF">2025-10-14T14:53:00Z</dcterms:modified>
</cp:coreProperties>
</file>