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35453" w14:textId="77777777" w:rsidR="00BC480F" w:rsidRPr="00286F4E" w:rsidRDefault="00BC480F" w:rsidP="00BC480F">
      <w:pPr>
        <w:spacing w:line="360" w:lineRule="auto"/>
        <w:jc w:val="center"/>
        <w:rPr>
          <w:b/>
          <w:bCs/>
          <w:sz w:val="32"/>
          <w:szCs w:val="32"/>
          <w:lang w:eastAsia="en-IN"/>
        </w:rPr>
      </w:pPr>
      <w:r w:rsidRPr="00286F4E">
        <w:rPr>
          <w:b/>
          <w:bCs/>
          <w:sz w:val="32"/>
          <w:szCs w:val="32"/>
          <w:lang w:eastAsia="en-IN"/>
        </w:rPr>
        <w:t>UNIVERSITY OF WALES TRINITY SAINT DAVID</w:t>
      </w:r>
    </w:p>
    <w:p w14:paraId="21A6F149" w14:textId="77777777" w:rsidR="00BC480F" w:rsidRPr="00286F4E" w:rsidRDefault="00BC480F" w:rsidP="00BC480F">
      <w:pPr>
        <w:spacing w:line="360" w:lineRule="auto"/>
        <w:jc w:val="center"/>
        <w:rPr>
          <w:b/>
          <w:bCs/>
          <w:sz w:val="32"/>
          <w:szCs w:val="32"/>
          <w:lang w:eastAsia="en-IN"/>
        </w:rPr>
      </w:pPr>
      <w:r w:rsidRPr="00286F4E">
        <w:rPr>
          <w:b/>
          <w:bCs/>
          <w:sz w:val="32"/>
          <w:szCs w:val="32"/>
          <w:lang w:eastAsia="en-IN"/>
        </w:rPr>
        <w:t>MASTER OF BUSINESS ADMINISTRATION (MBA)</w:t>
      </w:r>
    </w:p>
    <w:p w14:paraId="1C833E2F" w14:textId="77777777" w:rsidR="00BC480F" w:rsidRPr="00286F4E" w:rsidRDefault="00BC480F" w:rsidP="00BC480F">
      <w:pPr>
        <w:spacing w:line="360" w:lineRule="auto"/>
        <w:jc w:val="center"/>
        <w:rPr>
          <w:b/>
          <w:bCs/>
          <w:lang w:eastAsia="en-IN"/>
        </w:rPr>
      </w:pPr>
    </w:p>
    <w:p w14:paraId="71F5618B" w14:textId="77777777" w:rsidR="00BC480F" w:rsidRPr="00286F4E" w:rsidRDefault="00BC480F" w:rsidP="00BC480F">
      <w:pPr>
        <w:spacing w:line="360" w:lineRule="auto"/>
        <w:jc w:val="center"/>
        <w:rPr>
          <w:b/>
          <w:bCs/>
          <w:lang w:eastAsia="en-IN"/>
        </w:rPr>
      </w:pPr>
    </w:p>
    <w:p w14:paraId="6DAC14D8" w14:textId="77777777" w:rsidR="00BC480F" w:rsidRPr="00286F4E" w:rsidRDefault="00BC480F" w:rsidP="00BC480F">
      <w:pPr>
        <w:spacing w:line="360" w:lineRule="auto"/>
        <w:rPr>
          <w:b/>
          <w:bCs/>
          <w:lang w:eastAsia="en-IN"/>
        </w:rPr>
      </w:pPr>
      <w:r w:rsidRPr="00286F4E">
        <w:rPr>
          <w:b/>
          <w:bCs/>
          <w:lang w:eastAsia="en-IN"/>
        </w:rPr>
        <w:t>MODULE NAME</w:t>
      </w:r>
      <w:r>
        <w:rPr>
          <w:b/>
          <w:bCs/>
          <w:lang w:eastAsia="en-IN"/>
        </w:rPr>
        <w:tab/>
      </w:r>
      <w:r>
        <w:rPr>
          <w:b/>
          <w:bCs/>
          <w:lang w:eastAsia="en-IN"/>
        </w:rPr>
        <w:tab/>
      </w:r>
      <w:r w:rsidRPr="00286F4E">
        <w:rPr>
          <w:b/>
          <w:bCs/>
          <w:lang w:eastAsia="en-IN"/>
        </w:rPr>
        <w:t xml:space="preserve">:  </w:t>
      </w:r>
      <w:r>
        <w:rPr>
          <w:b/>
          <w:bCs/>
          <w:lang w:eastAsia="en-IN"/>
        </w:rPr>
        <w:t>MARKETING MANAGEMENT</w:t>
      </w:r>
    </w:p>
    <w:p w14:paraId="7DA88C57" w14:textId="77777777" w:rsidR="00BC480F" w:rsidRDefault="00BC480F" w:rsidP="00BC480F">
      <w:pPr>
        <w:spacing w:line="360" w:lineRule="auto"/>
        <w:rPr>
          <w:b/>
          <w:bCs/>
          <w:lang w:eastAsia="en-IN"/>
        </w:rPr>
      </w:pPr>
      <w:r w:rsidRPr="00286F4E">
        <w:rPr>
          <w:b/>
          <w:bCs/>
          <w:lang w:eastAsia="en-IN"/>
        </w:rPr>
        <w:t>MODULE CODE</w:t>
      </w:r>
      <w:r>
        <w:rPr>
          <w:b/>
          <w:bCs/>
          <w:lang w:eastAsia="en-IN"/>
        </w:rPr>
        <w:tab/>
      </w:r>
      <w:r>
        <w:rPr>
          <w:b/>
          <w:bCs/>
          <w:lang w:eastAsia="en-IN"/>
        </w:rPr>
        <w:tab/>
      </w:r>
      <w:r w:rsidRPr="00286F4E">
        <w:rPr>
          <w:b/>
          <w:bCs/>
          <w:lang w:eastAsia="en-IN"/>
        </w:rPr>
        <w:t>: LCMB70</w:t>
      </w:r>
      <w:r>
        <w:rPr>
          <w:b/>
          <w:bCs/>
          <w:lang w:eastAsia="en-IN"/>
        </w:rPr>
        <w:t>24</w:t>
      </w:r>
      <w:r>
        <w:rPr>
          <w:b/>
          <w:bCs/>
          <w:lang w:eastAsia="en-IN"/>
        </w:rPr>
        <w:tab/>
      </w:r>
      <w:r>
        <w:rPr>
          <w:b/>
          <w:bCs/>
          <w:lang w:eastAsia="en-IN"/>
        </w:rPr>
        <w:tab/>
      </w:r>
    </w:p>
    <w:p w14:paraId="461CD8C5" w14:textId="77777777" w:rsidR="00BC480F" w:rsidRDefault="00BC480F" w:rsidP="00BC480F">
      <w:pPr>
        <w:spacing w:line="360" w:lineRule="auto"/>
        <w:ind w:left="2880" w:hanging="2880"/>
        <w:rPr>
          <w:b/>
          <w:bCs/>
          <w:lang w:eastAsia="en-IN"/>
        </w:rPr>
      </w:pPr>
      <w:r w:rsidRPr="00286F4E">
        <w:rPr>
          <w:b/>
          <w:bCs/>
          <w:lang w:eastAsia="en-IN"/>
        </w:rPr>
        <w:t>ASSIGNMENT TITLE</w:t>
      </w:r>
      <w:r>
        <w:rPr>
          <w:b/>
          <w:bCs/>
          <w:lang w:eastAsia="en-IN"/>
        </w:rPr>
        <w:tab/>
      </w:r>
      <w:r w:rsidRPr="00286F4E">
        <w:rPr>
          <w:b/>
          <w:bCs/>
          <w:lang w:eastAsia="en-IN"/>
        </w:rPr>
        <w:t xml:space="preserve">: </w:t>
      </w:r>
      <w:r>
        <w:rPr>
          <w:b/>
          <w:bCs/>
          <w:lang w:eastAsia="en-IN"/>
        </w:rPr>
        <w:t>MARKETING ENVIRONMENT FOR PIONEERS AND FOLLOWERS</w:t>
      </w:r>
    </w:p>
    <w:p w14:paraId="5BB4DE73" w14:textId="77777777" w:rsidR="00BC480F" w:rsidRDefault="00BC480F" w:rsidP="00BC480F">
      <w:pPr>
        <w:spacing w:line="360" w:lineRule="auto"/>
        <w:ind w:firstLine="720"/>
        <w:rPr>
          <w:b/>
          <w:bCs/>
          <w:lang w:eastAsia="en-IN"/>
        </w:rPr>
      </w:pPr>
      <w:r>
        <w:rPr>
          <w:b/>
          <w:bCs/>
          <w:lang w:eastAsia="en-IN"/>
        </w:rPr>
        <w:t>INDUSTRY SELECTED: - ELECTRIC VEHICLES (EV) INDUSTRY</w:t>
      </w:r>
    </w:p>
    <w:p w14:paraId="44C6B64C" w14:textId="77777777" w:rsidR="00BC480F" w:rsidRDefault="00BC480F" w:rsidP="00BC480F">
      <w:pPr>
        <w:spacing w:line="360" w:lineRule="auto"/>
        <w:ind w:firstLine="720"/>
        <w:rPr>
          <w:b/>
          <w:bCs/>
          <w:lang w:eastAsia="en-IN"/>
        </w:rPr>
      </w:pPr>
      <w:r>
        <w:rPr>
          <w:b/>
          <w:bCs/>
          <w:lang w:eastAsia="en-IN"/>
        </w:rPr>
        <w:t xml:space="preserve">PIONEERING ORGANISATION: TESLA INC. </w:t>
      </w:r>
    </w:p>
    <w:p w14:paraId="164C5741" w14:textId="77777777" w:rsidR="00BC480F" w:rsidRPr="00286F4E" w:rsidRDefault="00BC480F" w:rsidP="00BC480F">
      <w:pPr>
        <w:spacing w:line="360" w:lineRule="auto"/>
        <w:ind w:firstLine="720"/>
        <w:rPr>
          <w:b/>
          <w:bCs/>
          <w:lang w:eastAsia="en-IN"/>
        </w:rPr>
      </w:pPr>
      <w:r>
        <w:rPr>
          <w:b/>
          <w:bCs/>
          <w:lang w:eastAsia="en-IN"/>
        </w:rPr>
        <w:t>FOLLOWERS ORGANISATION: - FORD MOTOR COMPANY</w:t>
      </w:r>
    </w:p>
    <w:p w14:paraId="09BC23B2" w14:textId="77777777" w:rsidR="00BC480F" w:rsidRPr="00286F4E" w:rsidRDefault="00BC480F" w:rsidP="00BC480F">
      <w:pPr>
        <w:spacing w:line="360" w:lineRule="auto"/>
        <w:jc w:val="center"/>
        <w:rPr>
          <w:b/>
          <w:bCs/>
          <w:lang w:eastAsia="en-IN"/>
        </w:rPr>
      </w:pPr>
    </w:p>
    <w:p w14:paraId="11B2174B" w14:textId="77777777" w:rsidR="00BC480F" w:rsidRPr="00286F4E" w:rsidRDefault="00BC480F" w:rsidP="00BC480F">
      <w:pPr>
        <w:spacing w:line="360" w:lineRule="auto"/>
        <w:jc w:val="center"/>
        <w:rPr>
          <w:b/>
          <w:bCs/>
          <w:lang w:eastAsia="en-IN"/>
        </w:rPr>
      </w:pPr>
      <w:r w:rsidRPr="00286F4E">
        <w:rPr>
          <w:b/>
          <w:bCs/>
          <w:lang w:eastAsia="en-IN"/>
        </w:rPr>
        <w:t>ASSESSMENT COMPONENT:</w:t>
      </w:r>
    </w:p>
    <w:p w14:paraId="7834517D" w14:textId="77777777" w:rsidR="00BC480F" w:rsidRPr="00286F4E" w:rsidRDefault="00BC480F" w:rsidP="00BC480F">
      <w:pPr>
        <w:spacing w:line="360" w:lineRule="auto"/>
        <w:jc w:val="center"/>
        <w:rPr>
          <w:b/>
          <w:bCs/>
          <w:i/>
          <w:iCs/>
          <w:u w:val="single"/>
          <w:lang w:eastAsia="en-IN"/>
        </w:rPr>
      </w:pPr>
      <w:r w:rsidRPr="00286F4E">
        <w:rPr>
          <w:b/>
          <w:bCs/>
          <w:i/>
          <w:iCs/>
          <w:u w:val="single"/>
          <w:lang w:eastAsia="en-IN"/>
        </w:rPr>
        <w:t xml:space="preserve">COMPONENT 1 – </w:t>
      </w:r>
      <w:r>
        <w:rPr>
          <w:b/>
          <w:bCs/>
          <w:i/>
          <w:iCs/>
          <w:u w:val="single"/>
          <w:lang w:eastAsia="en-IN"/>
        </w:rPr>
        <w:t>MARKETING ENVIRONMENT ANALYSIS</w:t>
      </w:r>
    </w:p>
    <w:p w14:paraId="0A271FED" w14:textId="77777777" w:rsidR="00BC480F" w:rsidRPr="00286F4E" w:rsidRDefault="00BC480F" w:rsidP="00BC480F">
      <w:pPr>
        <w:spacing w:line="360" w:lineRule="auto"/>
        <w:jc w:val="center"/>
        <w:rPr>
          <w:b/>
          <w:bCs/>
          <w:i/>
          <w:iCs/>
          <w:u w:val="single"/>
          <w:lang w:eastAsia="en-IN"/>
        </w:rPr>
      </w:pPr>
    </w:p>
    <w:p w14:paraId="1A006FC9" w14:textId="77777777" w:rsidR="00BC480F" w:rsidRPr="00286F4E" w:rsidRDefault="00BC480F" w:rsidP="00BC480F">
      <w:pPr>
        <w:spacing w:line="360" w:lineRule="auto"/>
        <w:jc w:val="center"/>
        <w:rPr>
          <w:b/>
          <w:bCs/>
          <w:lang w:eastAsia="en-IN"/>
        </w:rPr>
      </w:pPr>
      <w:r w:rsidRPr="00286F4E">
        <w:rPr>
          <w:b/>
          <w:bCs/>
          <w:lang w:eastAsia="en-IN"/>
        </w:rPr>
        <w:tab/>
        <w:t>STUDENT NAME: PRAHAR SUNILBHAI SHAH</w:t>
      </w:r>
    </w:p>
    <w:p w14:paraId="1DCD3DB3" w14:textId="77777777" w:rsidR="00BC480F" w:rsidRPr="00286F4E" w:rsidRDefault="00BC480F" w:rsidP="00BC480F">
      <w:pPr>
        <w:spacing w:line="360" w:lineRule="auto"/>
        <w:jc w:val="center"/>
        <w:rPr>
          <w:b/>
          <w:bCs/>
          <w:lang w:eastAsia="en-IN"/>
        </w:rPr>
      </w:pPr>
      <w:r w:rsidRPr="00286F4E">
        <w:rPr>
          <w:b/>
          <w:bCs/>
          <w:lang w:eastAsia="en-IN"/>
        </w:rPr>
        <w:tab/>
        <w:t>STUDENT ID: 2528026</w:t>
      </w:r>
    </w:p>
    <w:p w14:paraId="65C4C109" w14:textId="77777777" w:rsidR="00BC480F" w:rsidRDefault="00BC480F" w:rsidP="00BC480F">
      <w:pPr>
        <w:spacing w:line="360" w:lineRule="auto"/>
        <w:jc w:val="center"/>
        <w:rPr>
          <w:b/>
          <w:bCs/>
          <w:lang w:eastAsia="en-IN"/>
        </w:rPr>
      </w:pPr>
      <w:r w:rsidRPr="00286F4E">
        <w:rPr>
          <w:b/>
          <w:bCs/>
          <w:lang w:eastAsia="en-IN"/>
        </w:rPr>
        <w:tab/>
        <w:t>LECTURER:</w:t>
      </w:r>
      <w:r w:rsidRPr="00286F4E">
        <w:rPr>
          <w:b/>
          <w:bCs/>
          <w:lang w:eastAsia="en-IN"/>
        </w:rPr>
        <w:tab/>
      </w:r>
      <w:r>
        <w:rPr>
          <w:b/>
          <w:bCs/>
          <w:lang w:eastAsia="en-IN"/>
        </w:rPr>
        <w:t>LAILA MAAZOUZ</w:t>
      </w:r>
    </w:p>
    <w:p w14:paraId="482E5B46" w14:textId="77777777" w:rsidR="00BC480F" w:rsidRDefault="00BC480F" w:rsidP="00BC480F">
      <w:pPr>
        <w:spacing w:line="360" w:lineRule="auto"/>
        <w:ind w:left="3600" w:firstLine="720"/>
        <w:jc w:val="center"/>
        <w:rPr>
          <w:b/>
          <w:bCs/>
          <w:lang w:eastAsia="en-IN"/>
        </w:rPr>
      </w:pPr>
      <w:r>
        <w:rPr>
          <w:b/>
          <w:bCs/>
          <w:lang w:eastAsia="en-IN"/>
        </w:rPr>
        <w:t>TAONGA KAONGA SOBERE-SNITHERS</w:t>
      </w:r>
    </w:p>
    <w:p w14:paraId="7B5E79B3" w14:textId="77777777" w:rsidR="00BC480F" w:rsidRDefault="00BC480F" w:rsidP="00BC480F">
      <w:pPr>
        <w:spacing w:line="360" w:lineRule="auto"/>
        <w:ind w:left="3600" w:firstLine="720"/>
        <w:jc w:val="center"/>
        <w:rPr>
          <w:b/>
          <w:bCs/>
          <w:lang w:eastAsia="en-IN"/>
        </w:rPr>
      </w:pPr>
    </w:p>
    <w:p w14:paraId="43E30DD8" w14:textId="77777777" w:rsidR="00BC480F" w:rsidRDefault="00BC480F" w:rsidP="00BC480F">
      <w:pPr>
        <w:spacing w:line="360" w:lineRule="auto"/>
        <w:ind w:left="3600" w:firstLine="720"/>
        <w:jc w:val="center"/>
        <w:rPr>
          <w:b/>
          <w:bCs/>
          <w:lang w:eastAsia="en-IN"/>
        </w:rPr>
      </w:pPr>
    </w:p>
    <w:p w14:paraId="532424D1" w14:textId="77777777" w:rsidR="00BC480F" w:rsidRDefault="00BC480F" w:rsidP="00BC480F">
      <w:pPr>
        <w:spacing w:line="360" w:lineRule="auto"/>
        <w:ind w:left="3600" w:firstLine="720"/>
        <w:jc w:val="center"/>
        <w:rPr>
          <w:b/>
          <w:bCs/>
          <w:lang w:eastAsia="en-IN"/>
        </w:rPr>
      </w:pPr>
    </w:p>
    <w:sdt>
      <w:sdtPr>
        <w:rPr>
          <w:rFonts w:asciiTheme="minorHAnsi" w:eastAsiaTheme="minorHAnsi" w:hAnsiTheme="minorHAnsi" w:cstheme="minorBidi"/>
          <w:color w:val="auto"/>
          <w:kern w:val="2"/>
          <w:sz w:val="24"/>
          <w:szCs w:val="24"/>
          <w:lang w:val="en-IN"/>
          <w14:ligatures w14:val="standardContextual"/>
        </w:rPr>
        <w:id w:val="1554196456"/>
        <w:docPartObj>
          <w:docPartGallery w:val="Table of Contents"/>
          <w:docPartUnique/>
        </w:docPartObj>
      </w:sdtPr>
      <w:sdtEndPr>
        <w:rPr>
          <w:b/>
          <w:bCs/>
          <w:noProof/>
        </w:rPr>
      </w:sdtEndPr>
      <w:sdtContent>
        <w:p w14:paraId="77375725" w14:textId="77777777" w:rsidR="00BC480F" w:rsidRPr="0004374A" w:rsidRDefault="00BC480F" w:rsidP="00BC480F">
          <w:pPr>
            <w:pStyle w:val="TOCHeading"/>
            <w:spacing w:line="360" w:lineRule="auto"/>
            <w:jc w:val="center"/>
            <w:rPr>
              <w:rFonts w:ascii="Times New Roman" w:hAnsi="Times New Roman" w:cs="Times New Roman"/>
              <w:b/>
              <w:bCs/>
              <w:color w:val="auto"/>
              <w:sz w:val="24"/>
              <w:szCs w:val="24"/>
            </w:rPr>
          </w:pPr>
          <w:r w:rsidRPr="0004374A">
            <w:rPr>
              <w:rFonts w:ascii="Times New Roman" w:hAnsi="Times New Roman" w:cs="Times New Roman"/>
              <w:b/>
              <w:bCs/>
              <w:color w:val="auto"/>
              <w:sz w:val="24"/>
              <w:szCs w:val="24"/>
            </w:rPr>
            <w:t>Table of Contents</w:t>
          </w:r>
        </w:p>
        <w:p w14:paraId="21172778"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r w:rsidRPr="0004374A">
            <w:rPr>
              <w:rFonts w:ascii="Times New Roman" w:hAnsi="Times New Roman" w:cs="Times New Roman"/>
            </w:rPr>
            <w:fldChar w:fldCharType="begin"/>
          </w:r>
          <w:r w:rsidRPr="0004374A">
            <w:rPr>
              <w:rFonts w:ascii="Times New Roman" w:hAnsi="Times New Roman" w:cs="Times New Roman"/>
            </w:rPr>
            <w:instrText xml:space="preserve"> TOC \o "1-3" \h \z \u </w:instrText>
          </w:r>
          <w:r w:rsidRPr="0004374A">
            <w:rPr>
              <w:rFonts w:ascii="Times New Roman" w:hAnsi="Times New Roman" w:cs="Times New Roman"/>
            </w:rPr>
            <w:fldChar w:fldCharType="separate"/>
          </w:r>
          <w:hyperlink w:anchor="_Toc223033565" w:history="1">
            <w:r w:rsidRPr="0004374A">
              <w:rPr>
                <w:rStyle w:val="Hyperlink"/>
                <w:rFonts w:ascii="Times New Roman" w:hAnsi="Times New Roman" w:cs="Times New Roman"/>
                <w:noProof/>
              </w:rPr>
              <w:t>1. Introduction</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_Toc223033565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2</w:t>
            </w:r>
            <w:r w:rsidRPr="0004374A">
              <w:rPr>
                <w:rFonts w:ascii="Times New Roman" w:hAnsi="Times New Roman" w:cs="Times New Roman"/>
                <w:noProof/>
                <w:webHidden/>
              </w:rPr>
              <w:fldChar w:fldCharType="end"/>
            </w:r>
          </w:hyperlink>
        </w:p>
        <w:p w14:paraId="1051F858" w14:textId="77777777" w:rsidR="00BC480F" w:rsidRPr="0004374A" w:rsidRDefault="00BC480F" w:rsidP="00BC480F">
          <w:pPr>
            <w:pStyle w:val="TOC1"/>
            <w:tabs>
              <w:tab w:val="right" w:leader="dot" w:pos="9016"/>
            </w:tabs>
            <w:spacing w:line="360" w:lineRule="auto"/>
            <w:rPr>
              <w:rFonts w:ascii="Times New Roman" w:hAnsi="Times New Roman" w:cs="Times New Roman"/>
              <w:noProof/>
            </w:rPr>
          </w:pPr>
          <w:hyperlink w:anchor="_Toc223033566" w:history="1">
            <w:r w:rsidRPr="0004374A">
              <w:rPr>
                <w:rStyle w:val="Hyperlink"/>
                <w:rFonts w:ascii="Times New Roman" w:hAnsi="Times New Roman" w:cs="Times New Roman"/>
                <w:noProof/>
              </w:rPr>
              <w:t>2. Task 1: Critical Analysis of the Macro Marketing Environment</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_Toc223033566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2</w:t>
            </w:r>
            <w:r w:rsidRPr="0004374A">
              <w:rPr>
                <w:rFonts w:ascii="Times New Roman" w:hAnsi="Times New Roman" w:cs="Times New Roman"/>
                <w:noProof/>
                <w:webHidden/>
              </w:rPr>
              <w:fldChar w:fldCharType="end"/>
            </w:r>
          </w:hyperlink>
        </w:p>
        <w:p w14:paraId="33B101F7"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67" w:history="1">
            <w:r w:rsidRPr="0004374A">
              <w:rPr>
                <w:rStyle w:val="Hyperlink"/>
                <w:rFonts w:ascii="Times New Roman" w:hAnsi="Times New Roman" w:cs="Times New Roman"/>
                <w:noProof/>
              </w:rPr>
              <w:t>2.1 Industry Context: The Electric Vehicle Market</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_Toc223033567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2</w:t>
            </w:r>
            <w:r w:rsidRPr="0004374A">
              <w:rPr>
                <w:rFonts w:ascii="Times New Roman" w:hAnsi="Times New Roman" w:cs="Times New Roman"/>
                <w:noProof/>
                <w:webHidden/>
              </w:rPr>
              <w:fldChar w:fldCharType="end"/>
            </w:r>
          </w:hyperlink>
        </w:p>
        <w:p w14:paraId="28A52AD6"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68" w:history="1">
            <w:r w:rsidRPr="0004374A">
              <w:rPr>
                <w:rStyle w:val="Hyperlink"/>
                <w:rFonts w:ascii="Times New Roman" w:hAnsi="Times New Roman" w:cs="Times New Roman"/>
                <w:noProof/>
              </w:rPr>
              <w:t>2.2 Macro Actor 1: Technological Forces</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_Toc223033568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2</w:t>
            </w:r>
            <w:r w:rsidRPr="0004374A">
              <w:rPr>
                <w:rFonts w:ascii="Times New Roman" w:hAnsi="Times New Roman" w:cs="Times New Roman"/>
                <w:noProof/>
                <w:webHidden/>
              </w:rPr>
              <w:fldChar w:fldCharType="end"/>
            </w:r>
          </w:hyperlink>
        </w:p>
        <w:p w14:paraId="63691FDE"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69" w:history="1">
            <w:r w:rsidRPr="0004374A">
              <w:rPr>
                <w:rStyle w:val="Hyperlink"/>
                <w:rFonts w:ascii="Times New Roman" w:hAnsi="Times New Roman" w:cs="Times New Roman"/>
                <w:noProof/>
              </w:rPr>
              <w:t>2.3 Macro Actor 2: Political and Regulatory Forces</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_Toc223033569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4</w:t>
            </w:r>
            <w:r w:rsidRPr="0004374A">
              <w:rPr>
                <w:rFonts w:ascii="Times New Roman" w:hAnsi="Times New Roman" w:cs="Times New Roman"/>
                <w:noProof/>
                <w:webHidden/>
              </w:rPr>
              <w:fldChar w:fldCharType="end"/>
            </w:r>
          </w:hyperlink>
        </w:p>
        <w:p w14:paraId="52F87677" w14:textId="77777777" w:rsidR="00BC480F" w:rsidRPr="0004374A" w:rsidRDefault="00BC480F" w:rsidP="00BC480F">
          <w:pPr>
            <w:pStyle w:val="TOC1"/>
            <w:tabs>
              <w:tab w:val="right" w:leader="dot" w:pos="9016"/>
            </w:tabs>
            <w:spacing w:line="360" w:lineRule="auto"/>
            <w:rPr>
              <w:rFonts w:ascii="Times New Roman" w:hAnsi="Times New Roman" w:cs="Times New Roman"/>
              <w:noProof/>
            </w:rPr>
          </w:pPr>
          <w:hyperlink w:anchor="_Toc223033570" w:history="1">
            <w:r w:rsidRPr="0004374A">
              <w:rPr>
                <w:rStyle w:val="Hyperlink"/>
                <w:rFonts w:ascii="Times New Roman" w:hAnsi="Times New Roman" w:cs="Times New Roman"/>
                <w:noProof/>
              </w:rPr>
              <w:t>3. Influence on Competitive Position</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_Toc223033570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5</w:t>
            </w:r>
            <w:r w:rsidRPr="0004374A">
              <w:rPr>
                <w:rFonts w:ascii="Times New Roman" w:hAnsi="Times New Roman" w:cs="Times New Roman"/>
                <w:noProof/>
                <w:webHidden/>
              </w:rPr>
              <w:fldChar w:fldCharType="end"/>
            </w:r>
          </w:hyperlink>
        </w:p>
        <w:p w14:paraId="20E5A5DF" w14:textId="77777777" w:rsidR="00BC480F" w:rsidRPr="0004374A" w:rsidRDefault="00BC480F" w:rsidP="00BC480F">
          <w:pPr>
            <w:pStyle w:val="TOC1"/>
            <w:tabs>
              <w:tab w:val="right" w:leader="dot" w:pos="9016"/>
            </w:tabs>
            <w:spacing w:line="360" w:lineRule="auto"/>
            <w:rPr>
              <w:rFonts w:ascii="Times New Roman" w:hAnsi="Times New Roman" w:cs="Times New Roman"/>
              <w:noProof/>
            </w:rPr>
          </w:pPr>
          <w:hyperlink w:anchor="_Toc223033571" w:history="1">
            <w:r w:rsidRPr="0004374A">
              <w:rPr>
                <w:rStyle w:val="Hyperlink"/>
                <w:rFonts w:ascii="Times New Roman" w:hAnsi="Times New Roman" w:cs="Times New Roman"/>
                <w:noProof/>
              </w:rPr>
              <w:t>4. Task 2: Strategic Responses to Sustain Growth</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_Toc223033571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6</w:t>
            </w:r>
            <w:r w:rsidRPr="0004374A">
              <w:rPr>
                <w:rFonts w:ascii="Times New Roman" w:hAnsi="Times New Roman" w:cs="Times New Roman"/>
                <w:noProof/>
                <w:webHidden/>
              </w:rPr>
              <w:fldChar w:fldCharType="end"/>
            </w:r>
          </w:hyperlink>
        </w:p>
        <w:p w14:paraId="25193268"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72" w:history="1">
            <w:r w:rsidRPr="0004374A">
              <w:rPr>
                <w:rStyle w:val="Hyperlink"/>
                <w:rFonts w:ascii="Times New Roman" w:hAnsi="Times New Roman" w:cs="Times New Roman"/>
                <w:noProof/>
              </w:rPr>
              <w:t>4.1 Tesla’s Strategic Response</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_Toc223033572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6</w:t>
            </w:r>
            <w:r w:rsidRPr="0004374A">
              <w:rPr>
                <w:rFonts w:ascii="Times New Roman" w:hAnsi="Times New Roman" w:cs="Times New Roman"/>
                <w:noProof/>
                <w:webHidden/>
              </w:rPr>
              <w:fldChar w:fldCharType="end"/>
            </w:r>
          </w:hyperlink>
        </w:p>
        <w:p w14:paraId="52AF83D1"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73" w:history="1">
            <w:r w:rsidRPr="0004374A">
              <w:rPr>
                <w:rStyle w:val="Hyperlink"/>
                <w:rFonts w:ascii="Times New Roman" w:hAnsi="Times New Roman" w:cs="Times New Roman"/>
                <w:noProof/>
              </w:rPr>
              <w:t>4.2 Ford’s Strategic Response</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_Toc223033573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8</w:t>
            </w:r>
            <w:r w:rsidRPr="0004374A">
              <w:rPr>
                <w:rFonts w:ascii="Times New Roman" w:hAnsi="Times New Roman" w:cs="Times New Roman"/>
                <w:noProof/>
                <w:webHidden/>
              </w:rPr>
              <w:fldChar w:fldCharType="end"/>
            </w:r>
          </w:hyperlink>
        </w:p>
        <w:p w14:paraId="3260C012"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74" w:history="1">
            <w:r w:rsidRPr="0004374A">
              <w:rPr>
                <w:rStyle w:val="Hyperlink"/>
                <w:rFonts w:ascii="Times New Roman" w:hAnsi="Times New Roman" w:cs="Times New Roman"/>
                <w:noProof/>
              </w:rPr>
              <w:t>Comparative Strategic Evaluation.</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_Toc223033574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10</w:t>
            </w:r>
            <w:r w:rsidRPr="0004374A">
              <w:rPr>
                <w:rFonts w:ascii="Times New Roman" w:hAnsi="Times New Roman" w:cs="Times New Roman"/>
                <w:noProof/>
                <w:webHidden/>
              </w:rPr>
              <w:fldChar w:fldCharType="end"/>
            </w:r>
          </w:hyperlink>
        </w:p>
        <w:p w14:paraId="44B52F88" w14:textId="77777777" w:rsidR="00BC480F" w:rsidRPr="0004374A" w:rsidRDefault="00BC480F" w:rsidP="00BC480F">
          <w:pPr>
            <w:pStyle w:val="TOC1"/>
            <w:tabs>
              <w:tab w:val="right" w:leader="dot" w:pos="9016"/>
            </w:tabs>
            <w:spacing w:line="360" w:lineRule="auto"/>
            <w:rPr>
              <w:rFonts w:ascii="Times New Roman" w:hAnsi="Times New Roman" w:cs="Times New Roman"/>
              <w:noProof/>
            </w:rPr>
          </w:pPr>
          <w:hyperlink w:anchor="_Toc223033575" w:history="1">
            <w:r w:rsidRPr="0004374A">
              <w:rPr>
                <w:rStyle w:val="Hyperlink"/>
                <w:rFonts w:ascii="Times New Roman" w:hAnsi="Times New Roman" w:cs="Times New Roman"/>
                <w:noProof/>
              </w:rPr>
              <w:t>5. Comparative Evaluation of Strategic Effectiveness</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_Toc223033575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10</w:t>
            </w:r>
            <w:r w:rsidRPr="0004374A">
              <w:rPr>
                <w:rFonts w:ascii="Times New Roman" w:hAnsi="Times New Roman" w:cs="Times New Roman"/>
                <w:noProof/>
                <w:webHidden/>
              </w:rPr>
              <w:fldChar w:fldCharType="end"/>
            </w:r>
          </w:hyperlink>
        </w:p>
        <w:p w14:paraId="75ED48B3"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76" w:history="1">
            <w:r w:rsidRPr="0004374A">
              <w:rPr>
                <w:rStyle w:val="Hyperlink"/>
                <w:rFonts w:ascii="Times New Roman" w:hAnsi="Times New Roman" w:cs="Times New Roman"/>
                <w:noProof/>
              </w:rPr>
              <w:t>5.1 Strategic Agility</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_Toc223033576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10</w:t>
            </w:r>
            <w:r w:rsidRPr="0004374A">
              <w:rPr>
                <w:rFonts w:ascii="Times New Roman" w:hAnsi="Times New Roman" w:cs="Times New Roman"/>
                <w:noProof/>
                <w:webHidden/>
              </w:rPr>
              <w:fldChar w:fldCharType="end"/>
            </w:r>
          </w:hyperlink>
        </w:p>
        <w:p w14:paraId="2B0AE221"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77" w:history="1">
            <w:r w:rsidRPr="0004374A">
              <w:rPr>
                <w:rStyle w:val="Hyperlink"/>
                <w:rFonts w:ascii="Times New Roman" w:hAnsi="Times New Roman" w:cs="Times New Roman"/>
                <w:noProof/>
              </w:rPr>
              <w:t>5.2 Risk Exposure</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_Toc223033577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10</w:t>
            </w:r>
            <w:r w:rsidRPr="0004374A">
              <w:rPr>
                <w:rFonts w:ascii="Times New Roman" w:hAnsi="Times New Roman" w:cs="Times New Roman"/>
                <w:noProof/>
                <w:webHidden/>
              </w:rPr>
              <w:fldChar w:fldCharType="end"/>
            </w:r>
          </w:hyperlink>
        </w:p>
        <w:p w14:paraId="5B91E36E" w14:textId="77777777" w:rsidR="00BC480F" w:rsidRPr="0004374A" w:rsidRDefault="00BC480F" w:rsidP="00BC480F">
          <w:pPr>
            <w:pStyle w:val="TOC2"/>
            <w:tabs>
              <w:tab w:val="right" w:leader="dot" w:pos="9016"/>
            </w:tabs>
            <w:spacing w:line="360" w:lineRule="auto"/>
            <w:rPr>
              <w:rFonts w:ascii="Times New Roman" w:hAnsi="Times New Roman" w:cs="Times New Roman"/>
              <w:noProof/>
            </w:rPr>
          </w:pPr>
          <w:hyperlink w:anchor="_Toc223033578" w:history="1">
            <w:r w:rsidRPr="0004374A">
              <w:rPr>
                <w:rStyle w:val="Hyperlink"/>
                <w:rFonts w:ascii="Times New Roman" w:hAnsi="Times New Roman" w:cs="Times New Roman"/>
                <w:noProof/>
              </w:rPr>
              <w:t>5.3 Sustainability of Competitive Advantage</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_Toc223033578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11</w:t>
            </w:r>
            <w:r w:rsidRPr="0004374A">
              <w:rPr>
                <w:rFonts w:ascii="Times New Roman" w:hAnsi="Times New Roman" w:cs="Times New Roman"/>
                <w:noProof/>
                <w:webHidden/>
              </w:rPr>
              <w:fldChar w:fldCharType="end"/>
            </w:r>
          </w:hyperlink>
        </w:p>
        <w:p w14:paraId="06CECBD4" w14:textId="77777777" w:rsidR="00BC480F" w:rsidRPr="0004374A" w:rsidRDefault="00BC480F" w:rsidP="00BC480F">
          <w:pPr>
            <w:pStyle w:val="TOC1"/>
            <w:tabs>
              <w:tab w:val="right" w:leader="dot" w:pos="9016"/>
            </w:tabs>
            <w:spacing w:line="360" w:lineRule="auto"/>
            <w:rPr>
              <w:rFonts w:ascii="Times New Roman" w:hAnsi="Times New Roman" w:cs="Times New Roman"/>
              <w:noProof/>
            </w:rPr>
          </w:pPr>
          <w:hyperlink w:anchor="_Toc223033579" w:history="1">
            <w:r w:rsidRPr="0004374A">
              <w:rPr>
                <w:rStyle w:val="Hyperlink"/>
                <w:rFonts w:ascii="Times New Roman" w:hAnsi="Times New Roman" w:cs="Times New Roman"/>
                <w:noProof/>
              </w:rPr>
              <w:t>6. Critical Reflection on Pioneer vs Follower Dynamics</w:t>
            </w:r>
            <w:r w:rsidRPr="0004374A">
              <w:rPr>
                <w:rFonts w:ascii="Times New Roman" w:hAnsi="Times New Roman" w:cs="Times New Roman"/>
                <w:noProof/>
                <w:webHidden/>
              </w:rPr>
              <w:tab/>
            </w:r>
            <w:r w:rsidRPr="0004374A">
              <w:rPr>
                <w:rFonts w:ascii="Times New Roman" w:hAnsi="Times New Roman" w:cs="Times New Roman"/>
                <w:noProof/>
                <w:webHidden/>
              </w:rPr>
              <w:fldChar w:fldCharType="begin"/>
            </w:r>
            <w:r w:rsidRPr="0004374A">
              <w:rPr>
                <w:rFonts w:ascii="Times New Roman" w:hAnsi="Times New Roman" w:cs="Times New Roman"/>
                <w:noProof/>
                <w:webHidden/>
              </w:rPr>
              <w:instrText xml:space="preserve"> PAGEREF _Toc223033579 \h </w:instrText>
            </w:r>
            <w:r w:rsidRPr="0004374A">
              <w:rPr>
                <w:rFonts w:ascii="Times New Roman" w:hAnsi="Times New Roman" w:cs="Times New Roman"/>
                <w:noProof/>
                <w:webHidden/>
              </w:rPr>
            </w:r>
            <w:r w:rsidRPr="0004374A">
              <w:rPr>
                <w:rFonts w:ascii="Times New Roman" w:hAnsi="Times New Roman" w:cs="Times New Roman"/>
                <w:noProof/>
                <w:webHidden/>
              </w:rPr>
              <w:fldChar w:fldCharType="separate"/>
            </w:r>
            <w:r>
              <w:rPr>
                <w:rFonts w:ascii="Times New Roman" w:hAnsi="Times New Roman" w:cs="Times New Roman"/>
                <w:noProof/>
                <w:webHidden/>
              </w:rPr>
              <w:t>11</w:t>
            </w:r>
            <w:r w:rsidRPr="0004374A">
              <w:rPr>
                <w:rFonts w:ascii="Times New Roman" w:hAnsi="Times New Roman" w:cs="Times New Roman"/>
                <w:noProof/>
                <w:webHidden/>
              </w:rPr>
              <w:fldChar w:fldCharType="end"/>
            </w:r>
          </w:hyperlink>
        </w:p>
        <w:p w14:paraId="466E47D3" w14:textId="77777777" w:rsidR="00BC480F" w:rsidRDefault="00BC480F" w:rsidP="00BC480F">
          <w:pPr>
            <w:spacing w:line="360" w:lineRule="auto"/>
          </w:pPr>
          <w:r w:rsidRPr="0004374A">
            <w:rPr>
              <w:rFonts w:ascii="Times New Roman" w:hAnsi="Times New Roman" w:cs="Times New Roman"/>
              <w:b/>
              <w:bCs/>
              <w:noProof/>
            </w:rPr>
            <w:fldChar w:fldCharType="end"/>
          </w:r>
        </w:p>
      </w:sdtContent>
    </w:sdt>
    <w:p w14:paraId="0FC65241" w14:textId="77777777" w:rsidR="00BC480F" w:rsidRDefault="00BC480F" w:rsidP="00BC480F">
      <w:pPr>
        <w:rPr>
          <w:rFonts w:ascii="Times New Roman" w:eastAsia="Times New Roman" w:hAnsi="Times New Roman" w:cs="Times New Roman"/>
          <w:b/>
          <w:bCs/>
          <w:kern w:val="0"/>
          <w:sz w:val="28"/>
          <w:szCs w:val="28"/>
          <w:lang w:eastAsia="en-IN"/>
          <w14:ligatures w14:val="none"/>
        </w:rPr>
      </w:pPr>
      <w:r>
        <w:br w:type="page"/>
      </w:r>
    </w:p>
    <w:p w14:paraId="464E50F8" w14:textId="77777777" w:rsidR="00BC480F" w:rsidRDefault="00BC480F" w:rsidP="00BC480F">
      <w:pPr>
        <w:pStyle w:val="Heading2"/>
        <w:spacing w:line="360" w:lineRule="auto"/>
      </w:pPr>
      <w:bookmarkStart w:id="0" w:name="_Toc223033565"/>
      <w:r w:rsidRPr="00BC480F">
        <w:rPr>
          <w:sz w:val="28"/>
          <w:szCs w:val="28"/>
        </w:rPr>
        <w:lastRenderedPageBreak/>
        <w:t>1</w:t>
      </w:r>
      <w:r w:rsidRPr="00C83E64">
        <w:t xml:space="preserve">. </w:t>
      </w:r>
      <w:r w:rsidRPr="00BC480F">
        <w:rPr>
          <w:sz w:val="28"/>
          <w:szCs w:val="28"/>
        </w:rPr>
        <w:t>Introduction</w:t>
      </w:r>
      <w:bookmarkEnd w:id="0"/>
    </w:p>
    <w:p w14:paraId="45850D44"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C83E64">
        <w:rPr>
          <w:rFonts w:ascii="Times New Roman" w:eastAsia="Times New Roman" w:hAnsi="Times New Roman" w:cs="Times New Roman"/>
          <w:kern w:val="0"/>
          <w:lang w:eastAsia="en-IN"/>
          <w14:ligatures w14:val="none"/>
        </w:rPr>
        <w:t xml:space="preserve">Macro marketing environment is determinant in determining organisational competitiveness, strategic direction and long-term sustainability. In technological sectors like electric vehicles (EVs), macro forces </w:t>
      </w:r>
      <w:proofErr w:type="gramStart"/>
      <w:r w:rsidRPr="00C83E64">
        <w:rPr>
          <w:rFonts w:ascii="Times New Roman" w:eastAsia="Times New Roman" w:hAnsi="Times New Roman" w:cs="Times New Roman"/>
          <w:kern w:val="0"/>
          <w:lang w:eastAsia="en-IN"/>
          <w14:ligatures w14:val="none"/>
        </w:rPr>
        <w:t>are able to</w:t>
      </w:r>
      <w:proofErr w:type="gramEnd"/>
      <w:r w:rsidRPr="00C83E64">
        <w:rPr>
          <w:rFonts w:ascii="Times New Roman" w:eastAsia="Times New Roman" w:hAnsi="Times New Roman" w:cs="Times New Roman"/>
          <w:kern w:val="0"/>
          <w:lang w:eastAsia="en-IN"/>
          <w14:ligatures w14:val="none"/>
        </w:rPr>
        <w:t xml:space="preserve"> change the competitive positioning quickly, redefine the value propositions, and modify the structure of the industry. The management of strategic marketing thus demands an analytical approach in examining the external players and a strategic reaction. This essay is a critical analysis of two macro-environmental forces, Technological forces and Political/Regulatory forces and how they have generated opportunities and threats in the EV industry to Tesla (pioneer) and Ford (follower). The strategic reaction of the two companies is then compared with reference to the Porters Generic Strategies and </w:t>
      </w:r>
      <w:proofErr w:type="spellStart"/>
      <w:r w:rsidRPr="00C83E64">
        <w:rPr>
          <w:rFonts w:ascii="Times New Roman" w:eastAsia="Times New Roman" w:hAnsi="Times New Roman" w:cs="Times New Roman"/>
          <w:kern w:val="0"/>
          <w:lang w:eastAsia="en-IN"/>
          <w14:ligatures w14:val="none"/>
        </w:rPr>
        <w:t>Ansoffs</w:t>
      </w:r>
      <w:proofErr w:type="spellEnd"/>
      <w:r w:rsidRPr="00C83E64">
        <w:rPr>
          <w:rFonts w:ascii="Times New Roman" w:eastAsia="Times New Roman" w:hAnsi="Times New Roman" w:cs="Times New Roman"/>
          <w:kern w:val="0"/>
          <w:lang w:eastAsia="en-IN"/>
          <w14:ligatures w14:val="none"/>
        </w:rPr>
        <w:t xml:space="preserve"> Growth Matrix to evaluate the process by which each organisation tries to maintain growth and competitive advantage.</w:t>
      </w:r>
    </w:p>
    <w:p w14:paraId="1C5AB502" w14:textId="77777777" w:rsidR="00BC480F" w:rsidRPr="00BC480F" w:rsidRDefault="00BC480F" w:rsidP="00BC480F">
      <w:pPr>
        <w:pStyle w:val="Heading1"/>
        <w:spacing w:line="360" w:lineRule="auto"/>
        <w:rPr>
          <w:sz w:val="28"/>
          <w:szCs w:val="28"/>
        </w:rPr>
      </w:pPr>
      <w:bookmarkStart w:id="1" w:name="_Toc223033566"/>
      <w:r w:rsidRPr="00BC480F">
        <w:rPr>
          <w:sz w:val="28"/>
          <w:szCs w:val="28"/>
        </w:rPr>
        <w:t>2. Task 1: Critical Analysis of the Macro Marketing Environment</w:t>
      </w:r>
      <w:bookmarkEnd w:id="1"/>
    </w:p>
    <w:p w14:paraId="5EDED641" w14:textId="77777777" w:rsidR="00BC480F" w:rsidRPr="00BC480F" w:rsidRDefault="00BC480F" w:rsidP="00BC480F">
      <w:pPr>
        <w:pStyle w:val="Heading2"/>
        <w:spacing w:line="360" w:lineRule="auto"/>
        <w:rPr>
          <w:sz w:val="28"/>
          <w:szCs w:val="28"/>
        </w:rPr>
      </w:pPr>
      <w:bookmarkStart w:id="2" w:name="_Toc223033567"/>
      <w:r w:rsidRPr="00BC480F">
        <w:rPr>
          <w:sz w:val="28"/>
          <w:szCs w:val="28"/>
        </w:rPr>
        <w:t>2.1 Industry Context: The Electric Vehicle Market</w:t>
      </w:r>
      <w:bookmarkEnd w:id="2"/>
    </w:p>
    <w:p w14:paraId="25CE7539" w14:textId="77777777" w:rsidR="00BC480F" w:rsidRPr="00C83E64"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C83E64">
        <w:rPr>
          <w:rFonts w:ascii="Times New Roman" w:eastAsia="Times New Roman" w:hAnsi="Times New Roman" w:cs="Times New Roman"/>
          <w:kern w:val="0"/>
          <w:lang w:eastAsia="en-IN"/>
          <w14:ligatures w14:val="none"/>
        </w:rPr>
        <w:t>The electric vehicle (EV) market has ceased to be a niche innovation, which is an experimental innovation. In 2023, EV sales in the world reached more than 14 million, which is about 18 percent of the total amount of new vehicles sold globally (IEA, 2024). This expansion is an indication of structural changes due to decarbonisation goals, speeding up of technology, and increased consumer sustainability awareness. Contrary to the gradual automotive enhancements in the past, electrification marks a disruptive shift in reorganizing supply chains, cost base, competition, and value propositions to customers</w:t>
      </w:r>
      <w:r>
        <w:rPr>
          <w:rFonts w:ascii="Times New Roman" w:eastAsia="Times New Roman" w:hAnsi="Times New Roman" w:cs="Times New Roman"/>
          <w:kern w:val="0"/>
          <w:lang w:eastAsia="en-IN"/>
          <w14:ligatures w14:val="none"/>
        </w:rPr>
        <w:t xml:space="preserve"> (</w:t>
      </w:r>
      <w:r w:rsidRPr="001D7D82">
        <w:rPr>
          <w:rFonts w:ascii="Times New Roman" w:eastAsia="Times New Roman" w:hAnsi="Times New Roman" w:cs="Times New Roman"/>
          <w:kern w:val="0"/>
          <w:lang w:eastAsia="en-IN"/>
          <w14:ligatures w14:val="none"/>
        </w:rPr>
        <w:t>IEA</w:t>
      </w:r>
      <w:r>
        <w:rPr>
          <w:rFonts w:ascii="Times New Roman" w:eastAsia="Times New Roman" w:hAnsi="Times New Roman" w:cs="Times New Roman"/>
          <w:kern w:val="0"/>
          <w:lang w:eastAsia="en-IN"/>
          <w14:ligatures w14:val="none"/>
        </w:rPr>
        <w:t xml:space="preserve">, </w:t>
      </w:r>
      <w:r w:rsidRPr="001D7D82">
        <w:rPr>
          <w:rFonts w:ascii="Times New Roman" w:eastAsia="Times New Roman" w:hAnsi="Times New Roman" w:cs="Times New Roman"/>
          <w:kern w:val="0"/>
          <w:lang w:eastAsia="en-IN"/>
          <w14:ligatures w14:val="none"/>
        </w:rPr>
        <w:t>2024</w:t>
      </w:r>
      <w:r>
        <w:rPr>
          <w:rFonts w:ascii="Times New Roman" w:eastAsia="Times New Roman" w:hAnsi="Times New Roman" w:cs="Times New Roman"/>
          <w:kern w:val="0"/>
          <w:lang w:eastAsia="en-IN"/>
          <w14:ligatures w14:val="none"/>
        </w:rPr>
        <w:t>)</w:t>
      </w:r>
      <w:r w:rsidRPr="00C83E64">
        <w:rPr>
          <w:rFonts w:ascii="Times New Roman" w:eastAsia="Times New Roman" w:hAnsi="Times New Roman" w:cs="Times New Roman"/>
          <w:kern w:val="0"/>
          <w:lang w:eastAsia="en-IN"/>
          <w14:ligatures w14:val="none"/>
        </w:rPr>
        <w:t>.</w:t>
      </w:r>
    </w:p>
    <w:p w14:paraId="7C73DDFA"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C83E64">
        <w:rPr>
          <w:rFonts w:ascii="Times New Roman" w:eastAsia="Times New Roman" w:hAnsi="Times New Roman" w:cs="Times New Roman"/>
          <w:kern w:val="0"/>
          <w:lang w:eastAsia="en-IN"/>
          <w14:ligatures w14:val="none"/>
        </w:rPr>
        <w:t xml:space="preserve">Tesla is commonly seen as the first company that has </w:t>
      </w:r>
      <w:proofErr w:type="spellStart"/>
      <w:r w:rsidRPr="00C83E64">
        <w:rPr>
          <w:rFonts w:ascii="Times New Roman" w:eastAsia="Times New Roman" w:hAnsi="Times New Roman" w:cs="Times New Roman"/>
          <w:kern w:val="0"/>
          <w:lang w:eastAsia="en-IN"/>
          <w14:ligatures w14:val="none"/>
        </w:rPr>
        <w:t>refressed</w:t>
      </w:r>
      <w:proofErr w:type="spellEnd"/>
      <w:r w:rsidRPr="00C83E64">
        <w:rPr>
          <w:rFonts w:ascii="Times New Roman" w:eastAsia="Times New Roman" w:hAnsi="Times New Roman" w:cs="Times New Roman"/>
          <w:kern w:val="0"/>
          <w:lang w:eastAsia="en-IN"/>
          <w14:ligatures w14:val="none"/>
        </w:rPr>
        <w:t xml:space="preserve"> EVs as environmental options into prestigious, high-performance technological products. By engaging in early technological inversion and branding Tesla influenced consumer culture and the future of the industry. </w:t>
      </w:r>
    </w:p>
    <w:p w14:paraId="0417AA99"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Pr>
          <w:noProof/>
        </w:rPr>
        <w:lastRenderedPageBreak/>
        <w:drawing>
          <wp:inline distT="0" distB="0" distL="0" distR="0" wp14:anchorId="38B0154B" wp14:editId="562DBE61">
            <wp:extent cx="5731510" cy="5731510"/>
            <wp:effectExtent l="0" t="0" r="2540" b="2540"/>
            <wp:docPr id="1" name="Picture 1" descr="Chart: Global Electric Car Sales Nearly Triple in Three Year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Global Electric Car Sales Nearly Triple in Three Years | Statist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AF85CEB" w14:textId="77777777" w:rsidR="00BC480F" w:rsidRPr="00C83E64" w:rsidRDefault="00BC480F" w:rsidP="00BC480F">
      <w:pPr>
        <w:spacing w:before="100" w:beforeAutospacing="1" w:after="100" w:afterAutospacing="1" w:line="360" w:lineRule="auto"/>
        <w:jc w:val="center"/>
        <w:rPr>
          <w:rFonts w:ascii="Times New Roman" w:eastAsia="Times New Roman" w:hAnsi="Times New Roman" w:cs="Times New Roman"/>
          <w:kern w:val="0"/>
          <w:lang w:eastAsia="en-IN"/>
          <w14:ligatures w14:val="none"/>
        </w:rPr>
      </w:pPr>
      <w:r w:rsidRPr="002375DD">
        <w:rPr>
          <w:rFonts w:ascii="Times New Roman" w:eastAsia="Times New Roman" w:hAnsi="Times New Roman" w:cs="Times New Roman"/>
          <w:b/>
          <w:bCs/>
          <w:kern w:val="0"/>
          <w:lang w:eastAsia="en-IN"/>
          <w14:ligatures w14:val="none"/>
        </w:rPr>
        <w:t>Figure 1: Global EV market growth</w:t>
      </w:r>
      <w:r>
        <w:rPr>
          <w:rFonts w:ascii="Times New Roman" w:eastAsia="Times New Roman" w:hAnsi="Times New Roman" w:cs="Times New Roman"/>
          <w:kern w:val="0"/>
          <w:lang w:eastAsia="en-IN"/>
          <w14:ligatures w14:val="none"/>
        </w:rPr>
        <w:t xml:space="preserve"> </w:t>
      </w:r>
      <w:r>
        <w:rPr>
          <w:rFonts w:ascii="Times New Roman" w:eastAsia="Times New Roman" w:hAnsi="Times New Roman" w:cs="Times New Roman"/>
          <w:kern w:val="0"/>
          <w:lang w:eastAsia="en-IN"/>
          <w14:ligatures w14:val="none"/>
        </w:rPr>
        <w:br/>
        <w:t xml:space="preserve">(Source: </w:t>
      </w:r>
      <w:r w:rsidRPr="00D85E5D">
        <w:rPr>
          <w:rFonts w:ascii="Times New Roman" w:eastAsia="Times New Roman" w:hAnsi="Times New Roman" w:cs="Times New Roman"/>
          <w:kern w:val="0"/>
          <w:lang w:eastAsia="en-IN"/>
          <w14:ligatures w14:val="none"/>
        </w:rPr>
        <w:t>bing.net</w:t>
      </w:r>
      <w:r>
        <w:rPr>
          <w:rFonts w:ascii="Times New Roman" w:eastAsia="Times New Roman" w:hAnsi="Times New Roman" w:cs="Times New Roman"/>
          <w:kern w:val="0"/>
          <w:lang w:eastAsia="en-IN"/>
          <w14:ligatures w14:val="none"/>
        </w:rPr>
        <w:t>)</w:t>
      </w:r>
    </w:p>
    <w:p w14:paraId="451152BA" w14:textId="77777777" w:rsidR="00BC480F" w:rsidRPr="00BC480F" w:rsidRDefault="00BC480F" w:rsidP="00BC480F">
      <w:pPr>
        <w:pStyle w:val="Heading2"/>
        <w:spacing w:line="360" w:lineRule="auto"/>
        <w:rPr>
          <w:sz w:val="28"/>
          <w:szCs w:val="28"/>
        </w:rPr>
      </w:pPr>
      <w:bookmarkStart w:id="3" w:name="_Toc223033568"/>
      <w:r w:rsidRPr="00BC480F">
        <w:rPr>
          <w:sz w:val="28"/>
          <w:szCs w:val="28"/>
        </w:rPr>
        <w:t>2.2 Macro Actor 1: Technological Forces</w:t>
      </w:r>
      <w:bookmarkEnd w:id="3"/>
    </w:p>
    <w:p w14:paraId="449F7B9E"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most changeable macro-environmental force in the EV industry is technological forces. The future of batteries, energy storage, artificial intelligence, self-driving technology, and charging stations define the performance of products, their cost effectiveness and their branding. In contrast to the conventional competition in the automotive industry that focused on mechanical engineering, EV rivalry is more about software integration, digital ecosystems, and platform innovation</w:t>
      </w:r>
      <w:r>
        <w:rPr>
          <w:rFonts w:ascii="Times New Roman" w:eastAsia="Times New Roman" w:hAnsi="Times New Roman" w:cs="Times New Roman"/>
          <w:kern w:val="0"/>
          <w:lang w:eastAsia="en-IN"/>
          <w14:ligatures w14:val="none"/>
        </w:rPr>
        <w:t xml:space="preserve"> (</w:t>
      </w:r>
      <w:r w:rsidRPr="00E4327B">
        <w:rPr>
          <w:rFonts w:ascii="Times New Roman" w:eastAsia="Times New Roman" w:hAnsi="Times New Roman" w:cs="Times New Roman"/>
          <w:kern w:val="0"/>
          <w:lang w:eastAsia="en-IN"/>
          <w14:ligatures w14:val="none"/>
        </w:rPr>
        <w:t xml:space="preserve">Shi </w:t>
      </w:r>
      <w:r>
        <w:rPr>
          <w:rFonts w:ascii="Times New Roman" w:eastAsia="Times New Roman" w:hAnsi="Times New Roman" w:cs="Times New Roman"/>
          <w:kern w:val="0"/>
          <w:lang w:eastAsia="en-IN"/>
          <w14:ligatures w14:val="none"/>
        </w:rPr>
        <w:t>and</w:t>
      </w:r>
      <w:r w:rsidRPr="00E4327B">
        <w:rPr>
          <w:rFonts w:ascii="Times New Roman" w:eastAsia="Times New Roman" w:hAnsi="Times New Roman" w:cs="Times New Roman"/>
          <w:kern w:val="0"/>
          <w:lang w:eastAsia="en-IN"/>
          <w14:ligatures w14:val="none"/>
        </w:rPr>
        <w:t xml:space="preserve"> Shen</w:t>
      </w:r>
      <w:r>
        <w:rPr>
          <w:rFonts w:ascii="Times New Roman" w:eastAsia="Times New Roman" w:hAnsi="Times New Roman" w:cs="Times New Roman"/>
          <w:kern w:val="0"/>
          <w:lang w:eastAsia="en-IN"/>
          <w14:ligatures w14:val="none"/>
        </w:rPr>
        <w:t xml:space="preserve">, </w:t>
      </w:r>
      <w:r w:rsidRPr="00E4327B">
        <w:rPr>
          <w:rFonts w:ascii="Times New Roman" w:eastAsia="Times New Roman" w:hAnsi="Times New Roman" w:cs="Times New Roman"/>
          <w:kern w:val="0"/>
          <w:lang w:eastAsia="en-IN"/>
          <w14:ligatures w14:val="none"/>
        </w:rPr>
        <w:t>2025</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w:t>
      </w:r>
    </w:p>
    <w:p w14:paraId="35563244"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lastRenderedPageBreak/>
        <w:t>Opportunities of Tesla (Pioneer)</w:t>
      </w:r>
    </w:p>
    <w:p w14:paraId="46D33AB0"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Tesla being a first mover took advantage of lithium-ion battery development and strived to be vertically integrated with its Gigafactories. This integration was possible to allow scale economies, cost savings and better management of intellectual property. Tesla transformed the car into an ever-changing digital product by creating software-defined vehicles with the capability of </w:t>
      </w:r>
      <w:r w:rsidRPr="00D95CEE">
        <w:rPr>
          <w:rFonts w:ascii="Times New Roman" w:eastAsia="Times New Roman" w:hAnsi="Times New Roman" w:cs="Times New Roman"/>
          <w:b/>
          <w:bCs/>
          <w:kern w:val="0"/>
          <w:lang w:eastAsia="en-IN"/>
          <w14:ligatures w14:val="none"/>
        </w:rPr>
        <w:t>over-the-air (OTA)</w:t>
      </w:r>
      <w:r w:rsidRPr="00891EBC">
        <w:rPr>
          <w:rFonts w:ascii="Times New Roman" w:eastAsia="Times New Roman" w:hAnsi="Times New Roman" w:cs="Times New Roman"/>
          <w:kern w:val="0"/>
          <w:lang w:eastAsia="en-IN"/>
          <w14:ligatures w14:val="none"/>
        </w:rPr>
        <w:t xml:space="preserve"> updates. This strategic positioning enhanced brand differentiation and generated switching cost due to integration of ecosystem</w:t>
      </w:r>
      <w:r>
        <w:rPr>
          <w:rFonts w:ascii="Times New Roman" w:eastAsia="Times New Roman" w:hAnsi="Times New Roman" w:cs="Times New Roman"/>
          <w:kern w:val="0"/>
          <w:lang w:eastAsia="en-IN"/>
          <w14:ligatures w14:val="none"/>
        </w:rPr>
        <w:t xml:space="preserve"> (</w:t>
      </w:r>
      <w:r w:rsidRPr="00604132">
        <w:rPr>
          <w:rFonts w:ascii="Times New Roman" w:eastAsia="Times New Roman" w:hAnsi="Times New Roman" w:cs="Times New Roman"/>
          <w:kern w:val="0"/>
          <w:lang w:eastAsia="en-IN"/>
          <w14:ligatures w14:val="none"/>
        </w:rPr>
        <w:t>Gao</w:t>
      </w:r>
      <w:r>
        <w:rPr>
          <w:rFonts w:ascii="Times New Roman" w:eastAsia="Times New Roman" w:hAnsi="Times New Roman" w:cs="Times New Roman"/>
          <w:kern w:val="0"/>
          <w:lang w:eastAsia="en-IN"/>
          <w14:ligatures w14:val="none"/>
        </w:rPr>
        <w:t xml:space="preserve"> </w:t>
      </w:r>
      <w:r>
        <w:rPr>
          <w:rFonts w:ascii="Times New Roman" w:eastAsia="Times New Roman" w:hAnsi="Times New Roman" w:cs="Times New Roman"/>
          <w:i/>
          <w:iCs/>
          <w:kern w:val="0"/>
          <w:lang w:eastAsia="en-IN"/>
          <w14:ligatures w14:val="none"/>
        </w:rPr>
        <w:t>et al.</w:t>
      </w:r>
      <w:r>
        <w:rPr>
          <w:rFonts w:ascii="Times New Roman" w:eastAsia="Times New Roman" w:hAnsi="Times New Roman" w:cs="Times New Roman"/>
          <w:kern w:val="0"/>
          <w:lang w:eastAsia="en-IN"/>
          <w14:ligatures w14:val="none"/>
        </w:rPr>
        <w:t xml:space="preserve"> 2</w:t>
      </w:r>
      <w:r w:rsidRPr="00604132">
        <w:rPr>
          <w:rFonts w:ascii="Times New Roman" w:eastAsia="Times New Roman" w:hAnsi="Times New Roman" w:cs="Times New Roman"/>
          <w:kern w:val="0"/>
          <w:lang w:eastAsia="en-IN"/>
          <w14:ligatures w14:val="none"/>
        </w:rPr>
        <w:t>025</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w:t>
      </w:r>
    </w:p>
    <w:p w14:paraId="307F3F91" w14:textId="77777777" w:rsidR="00BC480F" w:rsidRDefault="00BC480F" w:rsidP="00BC480F">
      <w:pPr>
        <w:spacing w:before="100" w:beforeAutospacing="1" w:after="100" w:afterAutospacing="1" w:line="360" w:lineRule="auto"/>
        <w:jc w:val="center"/>
        <w:rPr>
          <w:rFonts w:ascii="Times New Roman" w:eastAsia="Times New Roman" w:hAnsi="Times New Roman" w:cs="Times New Roman"/>
          <w:kern w:val="0"/>
          <w:lang w:eastAsia="en-IN"/>
          <w14:ligatures w14:val="none"/>
        </w:rPr>
      </w:pPr>
      <w:r>
        <w:rPr>
          <w:noProof/>
        </w:rPr>
        <w:drawing>
          <wp:inline distT="0" distB="0" distL="0" distR="0" wp14:anchorId="33ED6ACD" wp14:editId="0C8480D5">
            <wp:extent cx="4140200" cy="2328805"/>
            <wp:effectExtent l="0" t="0" r="0" b="0"/>
            <wp:docPr id="2" name="Picture 2" descr="Tesla Updates Supercharger Map, 35% Growth I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la Updates Supercharger Map, 35% Growth In 202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46240" cy="2332202"/>
                    </a:xfrm>
                    <a:prstGeom prst="rect">
                      <a:avLst/>
                    </a:prstGeom>
                    <a:noFill/>
                    <a:ln>
                      <a:noFill/>
                    </a:ln>
                  </pic:spPr>
                </pic:pic>
              </a:graphicData>
            </a:graphic>
          </wp:inline>
        </w:drawing>
      </w:r>
    </w:p>
    <w:p w14:paraId="1CB6580C" w14:textId="77777777" w:rsidR="00BC480F" w:rsidRDefault="00BC480F" w:rsidP="00BC480F">
      <w:pPr>
        <w:spacing w:before="100" w:beforeAutospacing="1" w:after="100" w:afterAutospacing="1" w:line="360" w:lineRule="auto"/>
        <w:jc w:val="center"/>
        <w:rPr>
          <w:rFonts w:ascii="Times New Roman" w:eastAsia="Times New Roman" w:hAnsi="Times New Roman" w:cs="Times New Roman"/>
          <w:b/>
          <w:bCs/>
          <w:kern w:val="0"/>
          <w:lang w:eastAsia="en-IN"/>
          <w14:ligatures w14:val="none"/>
        </w:rPr>
      </w:pPr>
      <w:r w:rsidRPr="007E6916">
        <w:rPr>
          <w:rFonts w:ascii="Times New Roman" w:eastAsia="Times New Roman" w:hAnsi="Times New Roman" w:cs="Times New Roman"/>
          <w:b/>
          <w:bCs/>
          <w:kern w:val="0"/>
          <w:lang w:eastAsia="en-IN"/>
          <w14:ligatures w14:val="none"/>
        </w:rPr>
        <w:t xml:space="preserve">Image 2 </w:t>
      </w:r>
      <w:r w:rsidRPr="007E6916">
        <w:rPr>
          <w:rFonts w:ascii="Times New Roman" w:eastAsia="Times New Roman" w:hAnsi="Times New Roman" w:cs="Times New Roman" w:hint="cs"/>
          <w:b/>
          <w:bCs/>
          <w:kern w:val="0"/>
          <w:lang w:eastAsia="en-IN"/>
          <w14:ligatures w14:val="none"/>
        </w:rPr>
        <w:t>—</w:t>
      </w:r>
      <w:r w:rsidRPr="007E6916">
        <w:rPr>
          <w:rFonts w:ascii="Times New Roman" w:eastAsia="Times New Roman" w:hAnsi="Times New Roman" w:cs="Times New Roman"/>
          <w:b/>
          <w:bCs/>
          <w:kern w:val="0"/>
          <w:lang w:eastAsia="en-IN"/>
          <w14:ligatures w14:val="none"/>
        </w:rPr>
        <w:t xml:space="preserve"> Tesla charging ecosystem (differentiation + switching costs)</w:t>
      </w:r>
    </w:p>
    <w:p w14:paraId="1A5C8AF2"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Threats for Tesla</w:t>
      </w:r>
    </w:p>
    <w:p w14:paraId="6B4B1D6F"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Nevertheless, technological leadership is volatile in high-velocity industries by nature. The exclusivity of Tesla is lowered by rapid dispersal of battery technology by other suppliers, including CATL and LG Energy Solution. With the standardisation of EV technology, differentiation could diminish, and the competition in terms of price could increase. In addition, the introduction of solid-state battery technology suggests a possible technological discontinuity that will pose a threat to existing investments</w:t>
      </w:r>
      <w:r>
        <w:rPr>
          <w:rFonts w:ascii="Times New Roman" w:eastAsia="Times New Roman" w:hAnsi="Times New Roman" w:cs="Times New Roman"/>
          <w:kern w:val="0"/>
          <w:lang w:eastAsia="en-IN"/>
          <w14:ligatures w14:val="none"/>
        </w:rPr>
        <w:t xml:space="preserve"> (</w:t>
      </w:r>
      <w:r w:rsidRPr="005B0E3C">
        <w:rPr>
          <w:rFonts w:ascii="Times New Roman" w:eastAsia="Times New Roman" w:hAnsi="Times New Roman" w:cs="Times New Roman"/>
          <w:kern w:val="0"/>
          <w:lang w:eastAsia="en-IN"/>
          <w14:ligatures w14:val="none"/>
        </w:rPr>
        <w:t>Gao</w:t>
      </w:r>
      <w:r>
        <w:rPr>
          <w:rFonts w:ascii="Times New Roman" w:eastAsia="Times New Roman" w:hAnsi="Times New Roman" w:cs="Times New Roman"/>
          <w:kern w:val="0"/>
          <w:lang w:eastAsia="en-IN"/>
          <w14:ligatures w14:val="none"/>
        </w:rPr>
        <w:t xml:space="preserve">, </w:t>
      </w:r>
      <w:r w:rsidRPr="005B0E3C">
        <w:rPr>
          <w:rFonts w:ascii="Times New Roman" w:eastAsia="Times New Roman" w:hAnsi="Times New Roman" w:cs="Times New Roman"/>
          <w:kern w:val="0"/>
          <w:lang w:eastAsia="en-IN"/>
          <w14:ligatures w14:val="none"/>
        </w:rPr>
        <w:t>2023</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w:t>
      </w:r>
    </w:p>
    <w:p w14:paraId="3BB51C04"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Threats to Ford (Follower)</w:t>
      </w:r>
    </w:p>
    <w:p w14:paraId="2E00A67D"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Ford is a beneficiary of the </w:t>
      </w:r>
      <w:proofErr w:type="spellStart"/>
      <w:r w:rsidRPr="00891EBC">
        <w:rPr>
          <w:rFonts w:ascii="Times New Roman" w:eastAsia="Times New Roman" w:hAnsi="Times New Roman" w:cs="Times New Roman"/>
          <w:kern w:val="0"/>
          <w:lang w:eastAsia="en-IN"/>
          <w14:ligatures w14:val="none"/>
        </w:rPr>
        <w:t>spill over</w:t>
      </w:r>
      <w:proofErr w:type="spellEnd"/>
      <w:r w:rsidRPr="00891EBC">
        <w:rPr>
          <w:rFonts w:ascii="Times New Roman" w:eastAsia="Times New Roman" w:hAnsi="Times New Roman" w:cs="Times New Roman"/>
          <w:kern w:val="0"/>
          <w:lang w:eastAsia="en-IN"/>
          <w14:ligatures w14:val="none"/>
        </w:rPr>
        <w:t xml:space="preserve"> effect of technology. As a follower, there are no upfront experimentation </w:t>
      </w:r>
      <w:proofErr w:type="gramStart"/>
      <w:r w:rsidRPr="00891EBC">
        <w:rPr>
          <w:rFonts w:ascii="Times New Roman" w:eastAsia="Times New Roman" w:hAnsi="Times New Roman" w:cs="Times New Roman"/>
          <w:kern w:val="0"/>
          <w:lang w:eastAsia="en-IN"/>
          <w14:ligatures w14:val="none"/>
        </w:rPr>
        <w:t>costs</w:t>
      </w:r>
      <w:proofErr w:type="gramEnd"/>
      <w:r w:rsidRPr="00891EBC">
        <w:rPr>
          <w:rFonts w:ascii="Times New Roman" w:eastAsia="Times New Roman" w:hAnsi="Times New Roman" w:cs="Times New Roman"/>
          <w:kern w:val="0"/>
          <w:lang w:eastAsia="en-IN"/>
          <w14:ligatures w14:val="none"/>
        </w:rPr>
        <w:t xml:space="preserve"> and it takes advantage of the already developed supply networks. Battery manufacturing can result in strategic joint ventures through which the company can be able to </w:t>
      </w:r>
      <w:proofErr w:type="gramStart"/>
      <w:r w:rsidRPr="00891EBC">
        <w:rPr>
          <w:rFonts w:ascii="Times New Roman" w:eastAsia="Times New Roman" w:hAnsi="Times New Roman" w:cs="Times New Roman"/>
          <w:kern w:val="0"/>
          <w:lang w:eastAsia="en-IN"/>
          <w14:ligatures w14:val="none"/>
        </w:rPr>
        <w:lastRenderedPageBreak/>
        <w:t>enter into</w:t>
      </w:r>
      <w:proofErr w:type="gramEnd"/>
      <w:r w:rsidRPr="00891EBC">
        <w:rPr>
          <w:rFonts w:ascii="Times New Roman" w:eastAsia="Times New Roman" w:hAnsi="Times New Roman" w:cs="Times New Roman"/>
          <w:kern w:val="0"/>
          <w:lang w:eastAsia="en-IN"/>
          <w14:ligatures w14:val="none"/>
        </w:rPr>
        <w:t xml:space="preserve"> the market faster without necessarily being that followers can be even better than pioneers as they learn about the mistakes made in the market initially.</w:t>
      </w:r>
    </w:p>
    <w:p w14:paraId="69FFC580"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Threats for Ford</w:t>
      </w:r>
    </w:p>
    <w:p w14:paraId="1448B344"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Irrespective of these merits, Ford has structural technological gaps. Tesla has an ecosystem rooted in data, autonomous driving data and vertical software architecture give it a differentiation that Ford can hardly replicate. Old organisational designs can provide barriers to digital agility and delay innovation. Moreover, reliance on exogenous battery providers lacks control of the strategic nature and subjects Ford to suppliers’ uncertainty.</w:t>
      </w:r>
    </w:p>
    <w:p w14:paraId="44120388"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Critical Evaluation</w:t>
      </w:r>
    </w:p>
    <w:p w14:paraId="021E4B5B"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competitive asymmetry has been converted by technological forces instead of being erased. Whereas diffusion lowers the exclusivity of Tesla, its ecosystem and data benefits maintain differentiation. In the case of Ford, technology reduces entry barriers but makes them dependent on external capabilities. As such, macro forces in the technology industry create dynamic competition where pioneer advantage lies in constant reinvention as opposed to being in active innovation.</w:t>
      </w:r>
    </w:p>
    <w:p w14:paraId="5F3D9874" w14:textId="77777777" w:rsidR="00BC480F" w:rsidRPr="00BC480F" w:rsidRDefault="00BC480F" w:rsidP="00BC480F">
      <w:pPr>
        <w:pStyle w:val="Heading2"/>
        <w:spacing w:line="360" w:lineRule="auto"/>
        <w:rPr>
          <w:sz w:val="28"/>
          <w:szCs w:val="28"/>
        </w:rPr>
      </w:pPr>
      <w:bookmarkStart w:id="4" w:name="_Toc223033569"/>
      <w:r w:rsidRPr="00BC480F">
        <w:rPr>
          <w:sz w:val="28"/>
          <w:szCs w:val="28"/>
        </w:rPr>
        <w:t>2.3 Macro Actor 2: Political and Regulatory Forces</w:t>
      </w:r>
      <w:bookmarkEnd w:id="4"/>
    </w:p>
    <w:p w14:paraId="590E9566"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EV market development is focused on political and regulatory forces. The demand conditions and the intensity of competitiveness are actively influenced by emission targets, carbon pricing, a zero-emission standard and subsidy schemes. The EV markets are highly policy-created unlike most industries where regulation is a growth constraint.</w:t>
      </w:r>
    </w:p>
    <w:p w14:paraId="1F86532E"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Opportunities for Tesla</w:t>
      </w:r>
    </w:p>
    <w:p w14:paraId="7F31DF7A"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The business model of Tesla was in line with environmental regulation. </w:t>
      </w:r>
      <w:r w:rsidRPr="00D95CEE">
        <w:rPr>
          <w:rFonts w:ascii="Times New Roman" w:eastAsia="Times New Roman" w:hAnsi="Times New Roman" w:cs="Times New Roman"/>
          <w:b/>
          <w:bCs/>
          <w:kern w:val="0"/>
          <w:lang w:eastAsia="en-IN"/>
          <w14:ligatures w14:val="none"/>
        </w:rPr>
        <w:t>The Zero Emission Vehicle (ZEV)</w:t>
      </w:r>
      <w:r w:rsidRPr="00891EBC">
        <w:rPr>
          <w:rFonts w:ascii="Times New Roman" w:eastAsia="Times New Roman" w:hAnsi="Times New Roman" w:cs="Times New Roman"/>
          <w:kern w:val="0"/>
          <w:lang w:eastAsia="en-IN"/>
          <w14:ligatures w14:val="none"/>
        </w:rPr>
        <w:t xml:space="preserve"> credit programmes in the United States created new sources of revenue, which added financial strength during the initial growth period. Consumer demand was stimulated by government subsidies and tax breaks, which triggered market penetration.</w:t>
      </w:r>
    </w:p>
    <w:p w14:paraId="37574E5F"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Threats for Tesla</w:t>
      </w:r>
    </w:p>
    <w:p w14:paraId="2B666083"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lastRenderedPageBreak/>
        <w:t>However, complexity comes with tightening of regulations. Legislations like the U.S. Inflation Reduction Act have enforced local sourcing of battery parts, which has made it difficult to manage global supply chain. The adherence will raise the cost of operations and will expose Tesla to geopolitical risk. There is also strategic uncertainty due to volatility of the policies across jurisdictions.</w:t>
      </w:r>
    </w:p>
    <w:p w14:paraId="11915ECE"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Opportunities for Ford</w:t>
      </w:r>
    </w:p>
    <w:p w14:paraId="10EEB6D1"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Regulatory pressure is an agent of change to Ford. Being an established firm, multinational, Ford is advantaged with institutional relations and access to public funds that promote electrification. Subsidies decrease financial risk in large scale capital investment in EV infrastructure.</w:t>
      </w:r>
    </w:p>
    <w:p w14:paraId="30E82952"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Threats for Ford</w:t>
      </w:r>
    </w:p>
    <w:p w14:paraId="55860DDF"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Nevertheless, the structural vulnerability of Ford is at the same time presented by regulatory pressure. The change towards EV platforms as opposed to a system of internal combustion engines involves restructuring the organisation, retraining of the workforce, and redesigning of the supply chain. No compliance with the standards of emissions will threaten fines, tarnished reputation, and the decline in competitiveness in the long term.</w:t>
      </w:r>
    </w:p>
    <w:p w14:paraId="12CF111C"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Critical Evaluation</w:t>
      </w:r>
    </w:p>
    <w:p w14:paraId="2CD024A2"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political forces have disproportionate effects among pioneer and follower firms. The initial regulatory conformity of Tesla boosted positioning and diversification of revenue. On the other hand, there is the regulation of Ford that is the opportunity and structural disruption. The acceleration afforded to regulation of EV-native firms has greater short-term advantages, and the pressure to transform legacy manufacturers. In this way macro forces reinforce competitive advantage where organisational environment is in line with external policy environments and strategic orientation of the organisation.</w:t>
      </w:r>
    </w:p>
    <w:p w14:paraId="481A1CF0"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Overall Conclusion of Task 1</w:t>
      </w:r>
    </w:p>
    <w:p w14:paraId="2CD504F8"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Macro-environmental forces (technological and political) have far-reaching impacts on the competitive environment of the EV industry. In the case of Tesla, the original source of strong differentiation was technological advantage and regulatory alignment, but a lack of </w:t>
      </w:r>
      <w:r w:rsidRPr="00891EBC">
        <w:rPr>
          <w:rFonts w:ascii="Times New Roman" w:eastAsia="Times New Roman" w:hAnsi="Times New Roman" w:cs="Times New Roman"/>
          <w:kern w:val="0"/>
          <w:lang w:eastAsia="en-IN"/>
          <w14:ligatures w14:val="none"/>
        </w:rPr>
        <w:lastRenderedPageBreak/>
        <w:t>sustainability of advantage currently hinges on sustained innovation. In the case of Ford, macro forces offer opportunities of catch-up, as well as structural threat, which demand adaptive transformation.</w:t>
      </w:r>
    </w:p>
    <w:p w14:paraId="032C7983" w14:textId="77777777" w:rsidR="00BC480F" w:rsidRPr="00BC480F" w:rsidRDefault="00BC480F" w:rsidP="00BC480F">
      <w:pPr>
        <w:pStyle w:val="Heading1"/>
        <w:spacing w:line="360" w:lineRule="auto"/>
        <w:rPr>
          <w:sz w:val="28"/>
          <w:szCs w:val="28"/>
        </w:rPr>
      </w:pPr>
      <w:bookmarkStart w:id="5" w:name="_Toc223033570"/>
      <w:r w:rsidRPr="00BC480F">
        <w:rPr>
          <w:sz w:val="28"/>
          <w:szCs w:val="28"/>
        </w:rPr>
        <w:t>3. Influence on Competitive Position</w:t>
      </w:r>
      <w:bookmarkEnd w:id="5"/>
    </w:p>
    <w:p w14:paraId="5C3E3AC7"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The macro-environment forces are divided into technological and political forces; </w:t>
      </w:r>
      <w:proofErr w:type="gramStart"/>
      <w:r w:rsidRPr="00891EBC">
        <w:rPr>
          <w:rFonts w:ascii="Times New Roman" w:eastAsia="Times New Roman" w:hAnsi="Times New Roman" w:cs="Times New Roman"/>
          <w:kern w:val="0"/>
          <w:lang w:eastAsia="en-IN"/>
          <w14:ligatures w14:val="none"/>
        </w:rPr>
        <w:t>both of these</w:t>
      </w:r>
      <w:proofErr w:type="gramEnd"/>
      <w:r w:rsidRPr="00891EBC">
        <w:rPr>
          <w:rFonts w:ascii="Times New Roman" w:eastAsia="Times New Roman" w:hAnsi="Times New Roman" w:cs="Times New Roman"/>
          <w:kern w:val="0"/>
          <w:lang w:eastAsia="en-IN"/>
          <w14:ligatures w14:val="none"/>
        </w:rPr>
        <w:t xml:space="preserve"> forces transform the competitive positioning in the EV industry by influencing the cost structures, differentiation potential, and industry rivalry. Technological leadership, namely the superior integration of batteries, software platforms, and charging systems, has strengthened Tesla in terms of differentiation. Tesla has built a good brand equity that is linked with innovation, sustainability, and performance because it operates as a technology company instead of a conventional automaker. </w:t>
      </w:r>
    </w:p>
    <w:p w14:paraId="5A61DA3B"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Conversely, the follower strategy used by Ford reduces the risk of innovation at an early stage but limits radical differentiation. The use of proven technologies and established manufacturing capacity makes Ford less uncertain; but </w:t>
      </w:r>
      <w:proofErr w:type="gramStart"/>
      <w:r w:rsidRPr="00891EBC">
        <w:rPr>
          <w:rFonts w:ascii="Times New Roman" w:eastAsia="Times New Roman" w:hAnsi="Times New Roman" w:cs="Times New Roman"/>
          <w:kern w:val="0"/>
          <w:lang w:eastAsia="en-IN"/>
          <w14:ligatures w14:val="none"/>
        </w:rPr>
        <w:t>again</w:t>
      </w:r>
      <w:proofErr w:type="gramEnd"/>
      <w:r w:rsidRPr="00891EBC">
        <w:rPr>
          <w:rFonts w:ascii="Times New Roman" w:eastAsia="Times New Roman" w:hAnsi="Times New Roman" w:cs="Times New Roman"/>
          <w:kern w:val="0"/>
          <w:lang w:eastAsia="en-IN"/>
          <w14:ligatures w14:val="none"/>
        </w:rPr>
        <w:t xml:space="preserve"> it fights more on brand heritage and incremental innovation as opposed to technological disruption. In the Porters Five Forces framework, technological diffusion will reduce barriers to entry since new EV manufacturers have access to common battery suppliers and digital platforms. </w:t>
      </w:r>
    </w:p>
    <w:p w14:paraId="76FDF687" w14:textId="77777777" w:rsidR="00BC480F" w:rsidRPr="00BC480F" w:rsidRDefault="00BC480F" w:rsidP="00BC480F">
      <w:pPr>
        <w:pStyle w:val="Heading1"/>
        <w:spacing w:line="360" w:lineRule="auto"/>
        <w:rPr>
          <w:sz w:val="28"/>
          <w:szCs w:val="28"/>
        </w:rPr>
      </w:pPr>
      <w:bookmarkStart w:id="6" w:name="_Toc223033571"/>
      <w:r w:rsidRPr="00BC480F">
        <w:rPr>
          <w:sz w:val="28"/>
          <w:szCs w:val="28"/>
        </w:rPr>
        <w:t>4. Task 2: Strategic Responses to Sustain Growth</w:t>
      </w:r>
      <w:bookmarkEnd w:id="6"/>
      <w:r w:rsidRPr="00BC480F">
        <w:rPr>
          <w:sz w:val="28"/>
          <w:szCs w:val="28"/>
        </w:rPr>
        <w:t xml:space="preserve"> </w:t>
      </w:r>
    </w:p>
    <w:p w14:paraId="07E784DE" w14:textId="77777777" w:rsidR="00BC480F" w:rsidRPr="00BC480F" w:rsidRDefault="00BC480F" w:rsidP="00BC480F">
      <w:pPr>
        <w:pStyle w:val="Heading2"/>
        <w:spacing w:line="360" w:lineRule="auto"/>
        <w:rPr>
          <w:sz w:val="28"/>
          <w:szCs w:val="28"/>
        </w:rPr>
      </w:pPr>
      <w:bookmarkStart w:id="7" w:name="_Toc223033572"/>
      <w:r w:rsidRPr="00BC480F">
        <w:rPr>
          <w:sz w:val="28"/>
          <w:szCs w:val="28"/>
        </w:rPr>
        <w:t>4.1 Tesla</w:t>
      </w:r>
      <w:r w:rsidRPr="00BC480F">
        <w:rPr>
          <w:rFonts w:hint="cs"/>
          <w:sz w:val="28"/>
          <w:szCs w:val="28"/>
        </w:rPr>
        <w:t>’</w:t>
      </w:r>
      <w:r w:rsidRPr="00BC480F">
        <w:rPr>
          <w:sz w:val="28"/>
          <w:szCs w:val="28"/>
        </w:rPr>
        <w:t>s Strategic Response</w:t>
      </w:r>
      <w:bookmarkEnd w:id="7"/>
    </w:p>
    <w:p w14:paraId="57E0FACF"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reaction of Tesla to the dynamism of technologies and acceleration of the regulation is an aggressive, innovation-based growth trend. Tesla has not responded defensively to macro-environmental changes but aimed to influence the future of the industry due to its constant ability building and building an ecosystem.</w:t>
      </w:r>
    </w:p>
    <w:p w14:paraId="6D02BFF2" w14:textId="77777777" w:rsidR="00BC480F" w:rsidRPr="00891EBC" w:rsidRDefault="00BC480F" w:rsidP="00BC480F">
      <w:pPr>
        <w:spacing w:line="360" w:lineRule="auto"/>
        <w:rPr>
          <w:rFonts w:ascii="Times New Roman" w:hAnsi="Times New Roman" w:cs="Times New Roman"/>
          <w:b/>
          <w:bCs/>
        </w:rPr>
      </w:pPr>
      <w:r w:rsidRPr="00891EBC">
        <w:rPr>
          <w:rFonts w:ascii="Times New Roman" w:hAnsi="Times New Roman" w:cs="Times New Roman"/>
          <w:b/>
          <w:bCs/>
        </w:rPr>
        <w:t>4.1.1 Porter’s Generic Strategy</w:t>
      </w:r>
    </w:p>
    <w:p w14:paraId="1D8AA492"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main strategy embraced by Tesla is that of Differentiation Strategy (Porter, 1985) by branding itself as a technology-oriented upscale brand as opposed to a traditional car company. It competes due to the following advantages:</w:t>
      </w:r>
    </w:p>
    <w:p w14:paraId="6AD8400A" w14:textId="77777777" w:rsidR="00BC480F" w:rsidRPr="00891EBC" w:rsidRDefault="00BC480F" w:rsidP="00BC480F">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lastRenderedPageBreak/>
        <w:t>Battery efficiency and software integration superiority Technological advantages.</w:t>
      </w:r>
    </w:p>
    <w:p w14:paraId="051DB905" w14:textId="77777777" w:rsidR="00BC480F" w:rsidRPr="00891EBC" w:rsidRDefault="00BC480F" w:rsidP="00BC480F">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High brand prestige: sustainability and innovation.</w:t>
      </w:r>
    </w:p>
    <w:p w14:paraId="604FB22E" w14:textId="77777777" w:rsidR="00BC480F" w:rsidRPr="00891EBC" w:rsidRDefault="00BC480F" w:rsidP="00BC480F">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State of the art over-the-air software architecture.</w:t>
      </w:r>
    </w:p>
    <w:p w14:paraId="6C7385D8" w14:textId="77777777" w:rsidR="00BC480F" w:rsidRPr="00891EBC" w:rsidRDefault="00BC480F" w:rsidP="00BC480F">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Intelligent driving and artificial intelligence.</w:t>
      </w:r>
    </w:p>
    <w:p w14:paraId="26E2A854"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In contrast to the competitors of the traditional automakers who compete mostly on price or incremental performance, Tesla competes on alleged technological leadership and integration in the ecosystem</w:t>
      </w:r>
      <w:r>
        <w:rPr>
          <w:rFonts w:ascii="Times New Roman" w:eastAsia="Times New Roman" w:hAnsi="Times New Roman" w:cs="Times New Roman"/>
          <w:kern w:val="0"/>
          <w:lang w:eastAsia="en-IN"/>
          <w14:ligatures w14:val="none"/>
        </w:rPr>
        <w:t xml:space="preserve"> (</w:t>
      </w:r>
      <w:proofErr w:type="spellStart"/>
      <w:r w:rsidRPr="005B0E3C">
        <w:rPr>
          <w:rFonts w:ascii="Times New Roman" w:eastAsia="Times New Roman" w:hAnsi="Times New Roman" w:cs="Times New Roman"/>
          <w:kern w:val="0"/>
          <w:lang w:eastAsia="en-IN"/>
          <w14:ligatures w14:val="none"/>
        </w:rPr>
        <w:t>Aeternus</w:t>
      </w:r>
      <w:proofErr w:type="spellEnd"/>
      <w:r>
        <w:rPr>
          <w:rFonts w:ascii="Times New Roman" w:eastAsia="Times New Roman" w:hAnsi="Times New Roman" w:cs="Times New Roman"/>
          <w:kern w:val="0"/>
          <w:lang w:eastAsia="en-IN"/>
          <w14:ligatures w14:val="none"/>
        </w:rPr>
        <w:t xml:space="preserve">, </w:t>
      </w:r>
      <w:r w:rsidRPr="005B0E3C">
        <w:rPr>
          <w:rFonts w:ascii="Times New Roman" w:eastAsia="Times New Roman" w:hAnsi="Times New Roman" w:cs="Times New Roman"/>
          <w:kern w:val="0"/>
          <w:lang w:eastAsia="en-IN"/>
          <w14:ligatures w14:val="none"/>
        </w:rPr>
        <w:t>2024</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 The cars are sold as constantly emerging digital environments, enhancing customer loyalty and switching expenses.</w:t>
      </w:r>
    </w:p>
    <w:p w14:paraId="606077E7"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Nevertheless, the recent price cuts in the markets of Tesla throughout the world suggest a subtle adjustment in strategy. The competition has been fierce especially with the entry of the Chinese manufacturers, Tesla has resorted to selective price adjustments </w:t>
      </w:r>
      <w:proofErr w:type="gramStart"/>
      <w:r w:rsidRPr="00891EBC">
        <w:rPr>
          <w:rFonts w:ascii="Times New Roman" w:eastAsia="Times New Roman" w:hAnsi="Times New Roman" w:cs="Times New Roman"/>
          <w:kern w:val="0"/>
          <w:lang w:eastAsia="en-IN"/>
          <w14:ligatures w14:val="none"/>
        </w:rPr>
        <w:t>in order to</w:t>
      </w:r>
      <w:proofErr w:type="gramEnd"/>
      <w:r w:rsidRPr="00891EBC">
        <w:rPr>
          <w:rFonts w:ascii="Times New Roman" w:eastAsia="Times New Roman" w:hAnsi="Times New Roman" w:cs="Times New Roman"/>
          <w:kern w:val="0"/>
          <w:lang w:eastAsia="en-IN"/>
          <w14:ligatures w14:val="none"/>
        </w:rPr>
        <w:t xml:space="preserve"> retain its market share. This implies that there is partial convergence towards more cost-based competition, without completely forsaking differentiation</w:t>
      </w:r>
      <w:r>
        <w:rPr>
          <w:rFonts w:ascii="Times New Roman" w:eastAsia="Times New Roman" w:hAnsi="Times New Roman" w:cs="Times New Roman"/>
          <w:kern w:val="0"/>
          <w:lang w:eastAsia="en-IN"/>
          <w14:ligatures w14:val="none"/>
        </w:rPr>
        <w:t xml:space="preserve"> (</w:t>
      </w:r>
      <w:proofErr w:type="spellStart"/>
      <w:r w:rsidRPr="00DE09C3">
        <w:rPr>
          <w:rFonts w:ascii="Times New Roman" w:eastAsia="Times New Roman" w:hAnsi="Times New Roman" w:cs="Times New Roman"/>
          <w:kern w:val="0"/>
          <w:lang w:eastAsia="en-IN"/>
          <w14:ligatures w14:val="none"/>
        </w:rPr>
        <w:t>Dysrupt</w:t>
      </w:r>
      <w:proofErr w:type="spellEnd"/>
      <w:r>
        <w:rPr>
          <w:rFonts w:ascii="Times New Roman" w:eastAsia="Times New Roman" w:hAnsi="Times New Roman" w:cs="Times New Roman"/>
          <w:kern w:val="0"/>
          <w:lang w:eastAsia="en-IN"/>
          <w14:ligatures w14:val="none"/>
        </w:rPr>
        <w:t xml:space="preserve">, </w:t>
      </w:r>
      <w:r w:rsidRPr="00DE09C3">
        <w:rPr>
          <w:rFonts w:ascii="Times New Roman" w:eastAsia="Times New Roman" w:hAnsi="Times New Roman" w:cs="Times New Roman"/>
          <w:kern w:val="0"/>
          <w:lang w:eastAsia="en-IN"/>
          <w14:ligatures w14:val="none"/>
        </w:rPr>
        <w:t>2023</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 xml:space="preserve">. </w:t>
      </w:r>
    </w:p>
    <w:p w14:paraId="6FE4CD81"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Tesla is strategically operating as a dynamic capability development, constantly rejuvenating the technological edge </w:t>
      </w:r>
      <w:proofErr w:type="gramStart"/>
      <w:r w:rsidRPr="00891EBC">
        <w:rPr>
          <w:rFonts w:ascii="Times New Roman" w:eastAsia="Times New Roman" w:hAnsi="Times New Roman" w:cs="Times New Roman"/>
          <w:kern w:val="0"/>
          <w:lang w:eastAsia="en-IN"/>
          <w14:ligatures w14:val="none"/>
        </w:rPr>
        <w:t>in order to</w:t>
      </w:r>
      <w:proofErr w:type="gramEnd"/>
      <w:r w:rsidRPr="00891EBC">
        <w:rPr>
          <w:rFonts w:ascii="Times New Roman" w:eastAsia="Times New Roman" w:hAnsi="Times New Roman" w:cs="Times New Roman"/>
          <w:kern w:val="0"/>
          <w:lang w:eastAsia="en-IN"/>
          <w14:ligatures w14:val="none"/>
        </w:rPr>
        <w:t xml:space="preserve"> maintain differentiation in an ever-converging market.</w:t>
      </w:r>
    </w:p>
    <w:p w14:paraId="37ACBFFB"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4.1.2 Ansoff</w:t>
      </w:r>
      <w:r w:rsidRPr="00891EBC">
        <w:rPr>
          <w:rFonts w:ascii="Times New Roman" w:eastAsia="Times New Roman" w:hAnsi="Times New Roman" w:cs="Times New Roman" w:hint="cs"/>
          <w:b/>
          <w:bCs/>
          <w:kern w:val="0"/>
          <w:lang w:eastAsia="en-IN"/>
          <w14:ligatures w14:val="none"/>
        </w:rPr>
        <w:t>’</w:t>
      </w:r>
      <w:r w:rsidRPr="00891EBC">
        <w:rPr>
          <w:rFonts w:ascii="Times New Roman" w:eastAsia="Times New Roman" w:hAnsi="Times New Roman" w:cs="Times New Roman"/>
          <w:b/>
          <w:bCs/>
          <w:kern w:val="0"/>
          <w:lang w:eastAsia="en-IN"/>
          <w14:ligatures w14:val="none"/>
        </w:rPr>
        <w:t>s Growth Matrix</w:t>
      </w:r>
    </w:p>
    <w:p w14:paraId="794DCC3C"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growth pattern of Tesla fits into various quadrants of a Growth Matrix developed by Ansoff (Ansoff, 1957), since it is aggressive in expanding beyond the automobile dominant markets.</w:t>
      </w:r>
    </w:p>
    <w:p w14:paraId="38A101A6"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Market Penetration:</w:t>
      </w:r>
    </w:p>
    <w:p w14:paraId="13C90DDB"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Tesla has been able to increase its sales in existing markets using pricing and boosting the production capacity. Tesla will conquer the dominance in the existing EV markets, like the United States and Europe, by enhancing their affordability and increasing their manufacturing scale.</w:t>
      </w:r>
    </w:p>
    <w:p w14:paraId="23254827"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Product Development:</w:t>
      </w:r>
    </w:p>
    <w:p w14:paraId="684DBF7B"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Constant innovation is the key. Tesla is strengthened by the introduction of the new models like the </w:t>
      </w:r>
      <w:proofErr w:type="spellStart"/>
      <w:r w:rsidRPr="00891EBC">
        <w:rPr>
          <w:rFonts w:ascii="Times New Roman" w:eastAsia="Times New Roman" w:hAnsi="Times New Roman" w:cs="Times New Roman"/>
          <w:kern w:val="0"/>
          <w:lang w:eastAsia="en-IN"/>
          <w14:ligatures w14:val="none"/>
        </w:rPr>
        <w:t>Cybertruck</w:t>
      </w:r>
      <w:proofErr w:type="spellEnd"/>
      <w:r w:rsidRPr="00891EBC">
        <w:rPr>
          <w:rFonts w:ascii="Times New Roman" w:eastAsia="Times New Roman" w:hAnsi="Times New Roman" w:cs="Times New Roman"/>
          <w:kern w:val="0"/>
          <w:lang w:eastAsia="en-IN"/>
          <w14:ligatures w14:val="none"/>
        </w:rPr>
        <w:t xml:space="preserve"> and continuous software development. Post purchasers are benefited by </w:t>
      </w:r>
      <w:r w:rsidRPr="00891EBC">
        <w:rPr>
          <w:rFonts w:ascii="Times New Roman" w:eastAsia="Times New Roman" w:hAnsi="Times New Roman" w:cs="Times New Roman"/>
          <w:kern w:val="0"/>
          <w:lang w:eastAsia="en-IN"/>
          <w14:ligatures w14:val="none"/>
        </w:rPr>
        <w:lastRenderedPageBreak/>
        <w:t>over the air updates because it increases the perceived value after purchase which improves the lifecycle of the product</w:t>
      </w:r>
      <w:r>
        <w:rPr>
          <w:rFonts w:ascii="Times New Roman" w:eastAsia="Times New Roman" w:hAnsi="Times New Roman" w:cs="Times New Roman"/>
          <w:kern w:val="0"/>
          <w:lang w:eastAsia="en-IN"/>
          <w14:ligatures w14:val="none"/>
        </w:rPr>
        <w:t xml:space="preserve"> (</w:t>
      </w:r>
      <w:r w:rsidRPr="00DE09C3">
        <w:rPr>
          <w:rFonts w:ascii="Times New Roman" w:eastAsia="Times New Roman" w:hAnsi="Times New Roman" w:cs="Times New Roman"/>
          <w:kern w:val="0"/>
          <w:lang w:eastAsia="en-IN"/>
          <w14:ligatures w14:val="none"/>
        </w:rPr>
        <w:t>Stoy</w:t>
      </w:r>
      <w:r>
        <w:rPr>
          <w:rFonts w:ascii="Times New Roman" w:eastAsia="Times New Roman" w:hAnsi="Times New Roman" w:cs="Times New Roman"/>
          <w:kern w:val="0"/>
          <w:lang w:eastAsia="en-IN"/>
          <w14:ligatures w14:val="none"/>
        </w:rPr>
        <w:t xml:space="preserve">, </w:t>
      </w:r>
      <w:r w:rsidRPr="00DE09C3">
        <w:rPr>
          <w:rFonts w:ascii="Times New Roman" w:eastAsia="Times New Roman" w:hAnsi="Times New Roman" w:cs="Times New Roman"/>
          <w:kern w:val="0"/>
          <w:lang w:eastAsia="en-IN"/>
          <w14:ligatures w14:val="none"/>
        </w:rPr>
        <w:t>2021</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w:t>
      </w:r>
    </w:p>
    <w:p w14:paraId="09B7BE2F"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Market Development:</w:t>
      </w:r>
    </w:p>
    <w:p w14:paraId="6907C526"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expansion to emerging EV markets such as Southeast Asia and potential move to India is a geographic diversification of Tesla. These markets are strategically appealing due to regulatory assistance and increasing demand by the middle classes.</w:t>
      </w:r>
    </w:p>
    <w:p w14:paraId="6A2325DC"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Related Diversification:</w:t>
      </w:r>
    </w:p>
    <w:p w14:paraId="617047B4"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Tesla has vertical and related diversification in its energy storage (Powerwall) and solar energy products. Such endeavours reinforce the sustainability ecosystem of the company and the combination of renewable energy solutions and transportation. Such strategic consistency improves brand positioning as a holistic clean-energy company instead of being an automaker.</w:t>
      </w:r>
    </w:p>
    <w:p w14:paraId="2B7BBBFA"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Altogether, Tesla exhibits aggressive and multi-directional growth strategy, which is in line with an innovative company aiming at maintaining first-mover advantage via expansion and ecosystem entrenchment.</w:t>
      </w:r>
    </w:p>
    <w:p w14:paraId="44E73BC3" w14:textId="77777777" w:rsidR="00BC480F" w:rsidRPr="00BC480F" w:rsidRDefault="00BC480F" w:rsidP="00BC480F">
      <w:pPr>
        <w:pStyle w:val="Heading2"/>
        <w:spacing w:line="360" w:lineRule="auto"/>
        <w:rPr>
          <w:sz w:val="28"/>
          <w:szCs w:val="28"/>
        </w:rPr>
      </w:pPr>
      <w:bookmarkStart w:id="8" w:name="_Toc223033573"/>
      <w:r w:rsidRPr="00BC480F">
        <w:rPr>
          <w:sz w:val="28"/>
          <w:szCs w:val="28"/>
        </w:rPr>
        <w:t>4.2 Ford</w:t>
      </w:r>
      <w:r w:rsidRPr="00BC480F">
        <w:rPr>
          <w:rFonts w:hint="cs"/>
          <w:sz w:val="28"/>
          <w:szCs w:val="28"/>
        </w:rPr>
        <w:t>’</w:t>
      </w:r>
      <w:r w:rsidRPr="00BC480F">
        <w:rPr>
          <w:sz w:val="28"/>
          <w:szCs w:val="28"/>
        </w:rPr>
        <w:t>s Strategic Response</w:t>
      </w:r>
      <w:bookmarkEnd w:id="8"/>
    </w:p>
    <w:p w14:paraId="75EC8ECA"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Unlike Tesla, which is oriented towards disruptive orientation, the strategic response of Ford is transformation under structural constraint. Ford as a traditional automaker </w:t>
      </w:r>
      <w:proofErr w:type="gramStart"/>
      <w:r w:rsidRPr="00891EBC">
        <w:rPr>
          <w:rFonts w:ascii="Times New Roman" w:eastAsia="Times New Roman" w:hAnsi="Times New Roman" w:cs="Times New Roman"/>
          <w:kern w:val="0"/>
          <w:lang w:eastAsia="en-IN"/>
          <w14:ligatures w14:val="none"/>
        </w:rPr>
        <w:t>has to</w:t>
      </w:r>
      <w:proofErr w:type="gramEnd"/>
      <w:r w:rsidRPr="00891EBC">
        <w:rPr>
          <w:rFonts w:ascii="Times New Roman" w:eastAsia="Times New Roman" w:hAnsi="Times New Roman" w:cs="Times New Roman"/>
          <w:kern w:val="0"/>
          <w:lang w:eastAsia="en-IN"/>
          <w14:ligatures w14:val="none"/>
        </w:rPr>
        <w:t xml:space="preserve"> juggle between investment in electrification and continuing internal combustion operations, and </w:t>
      </w:r>
      <w:proofErr w:type="gramStart"/>
      <w:r w:rsidRPr="00891EBC">
        <w:rPr>
          <w:rFonts w:ascii="Times New Roman" w:eastAsia="Times New Roman" w:hAnsi="Times New Roman" w:cs="Times New Roman"/>
          <w:kern w:val="0"/>
          <w:lang w:eastAsia="en-IN"/>
          <w14:ligatures w14:val="none"/>
        </w:rPr>
        <w:t>as a consequence</w:t>
      </w:r>
      <w:proofErr w:type="gramEnd"/>
      <w:r w:rsidRPr="00891EBC">
        <w:rPr>
          <w:rFonts w:ascii="Times New Roman" w:eastAsia="Times New Roman" w:hAnsi="Times New Roman" w:cs="Times New Roman"/>
          <w:kern w:val="0"/>
          <w:lang w:eastAsia="en-IN"/>
          <w14:ligatures w14:val="none"/>
        </w:rPr>
        <w:t>, there is strategic complexity.</w:t>
      </w:r>
    </w:p>
    <w:p w14:paraId="0F2ECB41"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4.2.1 Porter</w:t>
      </w:r>
      <w:r w:rsidRPr="00891EBC">
        <w:rPr>
          <w:rFonts w:ascii="Times New Roman" w:eastAsia="Times New Roman" w:hAnsi="Times New Roman" w:cs="Times New Roman" w:hint="cs"/>
          <w:b/>
          <w:bCs/>
          <w:kern w:val="0"/>
          <w:lang w:eastAsia="en-IN"/>
          <w14:ligatures w14:val="none"/>
        </w:rPr>
        <w:t>’</w:t>
      </w:r>
      <w:r w:rsidRPr="00891EBC">
        <w:rPr>
          <w:rFonts w:ascii="Times New Roman" w:eastAsia="Times New Roman" w:hAnsi="Times New Roman" w:cs="Times New Roman"/>
          <w:b/>
          <w:bCs/>
          <w:kern w:val="0"/>
          <w:lang w:eastAsia="en-IN"/>
          <w14:ligatures w14:val="none"/>
        </w:rPr>
        <w:t>s Generic Strategy</w:t>
      </w:r>
    </w:p>
    <w:p w14:paraId="1138376F"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Ford historically has been trying to achieve Cost Leadership in mass-produced automobiles by taking advantage of economies of scale. In the EV market, however, Ford has been using a Differentiation Focus Strategy, focusing on </w:t>
      </w:r>
      <w:proofErr w:type="gramStart"/>
      <w:r w:rsidRPr="00891EBC">
        <w:rPr>
          <w:rFonts w:ascii="Times New Roman" w:eastAsia="Times New Roman" w:hAnsi="Times New Roman" w:cs="Times New Roman"/>
          <w:kern w:val="0"/>
          <w:lang w:eastAsia="en-IN"/>
          <w14:ligatures w14:val="none"/>
        </w:rPr>
        <w:t>particular segments</w:t>
      </w:r>
      <w:proofErr w:type="gramEnd"/>
      <w:r w:rsidRPr="00891EBC">
        <w:rPr>
          <w:rFonts w:ascii="Times New Roman" w:eastAsia="Times New Roman" w:hAnsi="Times New Roman" w:cs="Times New Roman"/>
          <w:kern w:val="0"/>
          <w:lang w:eastAsia="en-IN"/>
          <w14:ligatures w14:val="none"/>
        </w:rPr>
        <w:t xml:space="preserve"> like electric trucks and performance SUVs.</w:t>
      </w:r>
    </w:p>
    <w:p w14:paraId="34B3675B"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F-150 Lightning is an example of such differentiation. Instead of facing Tesla in terms of sedan domination, Ford employs brand history and brand loyalty in the pickup truck market. This </w:t>
      </w:r>
      <w:r w:rsidRPr="00891EBC">
        <w:rPr>
          <w:rFonts w:ascii="Times New Roman" w:eastAsia="Times New Roman" w:hAnsi="Times New Roman" w:cs="Times New Roman"/>
          <w:kern w:val="0"/>
          <w:lang w:eastAsia="en-IN"/>
          <w14:ligatures w14:val="none"/>
        </w:rPr>
        <w:lastRenderedPageBreak/>
        <w:t xml:space="preserve">competitive advantage lowers the competition between companies head-to-head </w:t>
      </w:r>
      <w:proofErr w:type="gramStart"/>
      <w:r w:rsidRPr="00891EBC">
        <w:rPr>
          <w:rFonts w:ascii="Times New Roman" w:eastAsia="Times New Roman" w:hAnsi="Times New Roman" w:cs="Times New Roman"/>
          <w:kern w:val="0"/>
          <w:lang w:eastAsia="en-IN"/>
          <w14:ligatures w14:val="none"/>
        </w:rPr>
        <w:t>and also</w:t>
      </w:r>
      <w:proofErr w:type="gramEnd"/>
      <w:r w:rsidRPr="00891EBC">
        <w:rPr>
          <w:rFonts w:ascii="Times New Roman" w:eastAsia="Times New Roman" w:hAnsi="Times New Roman" w:cs="Times New Roman"/>
          <w:kern w:val="0"/>
          <w:lang w:eastAsia="en-IN"/>
          <w14:ligatures w14:val="none"/>
        </w:rPr>
        <w:t xml:space="preserve"> takes advantage of built customer relationships</w:t>
      </w:r>
      <w:r>
        <w:rPr>
          <w:rFonts w:ascii="Times New Roman" w:eastAsia="Times New Roman" w:hAnsi="Times New Roman" w:cs="Times New Roman"/>
          <w:kern w:val="0"/>
          <w:lang w:eastAsia="en-IN"/>
          <w14:ligatures w14:val="none"/>
        </w:rPr>
        <w:t xml:space="preserve"> (</w:t>
      </w:r>
      <w:r w:rsidRPr="00FE1D8D">
        <w:rPr>
          <w:rFonts w:ascii="Times New Roman" w:eastAsia="Times New Roman" w:hAnsi="Times New Roman" w:cs="Times New Roman"/>
          <w:kern w:val="0"/>
          <w:lang w:eastAsia="en-IN"/>
          <w14:ligatures w14:val="none"/>
        </w:rPr>
        <w:t>Yu</w:t>
      </w:r>
      <w:r>
        <w:rPr>
          <w:rFonts w:ascii="Times New Roman" w:eastAsia="Times New Roman" w:hAnsi="Times New Roman" w:cs="Times New Roman"/>
          <w:kern w:val="0"/>
          <w:lang w:eastAsia="en-IN"/>
          <w14:ligatures w14:val="none"/>
        </w:rPr>
        <w:t xml:space="preserve">, </w:t>
      </w:r>
      <w:r w:rsidRPr="00FE1D8D">
        <w:rPr>
          <w:rFonts w:ascii="Times New Roman" w:eastAsia="Times New Roman" w:hAnsi="Times New Roman" w:cs="Times New Roman"/>
          <w:kern w:val="0"/>
          <w:lang w:eastAsia="en-IN"/>
          <w14:ligatures w14:val="none"/>
        </w:rPr>
        <w:t>2024</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w:t>
      </w:r>
    </w:p>
    <w:p w14:paraId="6190D337"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differentiation of Ford is not based on a radical technological advancement but on brand credibility, practical reliability and reach. In contrast to the vertically integrated sales approach of Tesla, Ford uses the network of dealerships to speed up the adoption and assure service.</w:t>
      </w:r>
    </w:p>
    <w:p w14:paraId="0C03D7ED"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4.2.2 Ansoff</w:t>
      </w:r>
      <w:r w:rsidRPr="00891EBC">
        <w:rPr>
          <w:rFonts w:ascii="Times New Roman" w:eastAsia="Times New Roman" w:hAnsi="Times New Roman" w:cs="Times New Roman" w:hint="cs"/>
          <w:b/>
          <w:bCs/>
          <w:kern w:val="0"/>
          <w:lang w:eastAsia="en-IN"/>
          <w14:ligatures w14:val="none"/>
        </w:rPr>
        <w:t>’</w:t>
      </w:r>
      <w:r w:rsidRPr="00891EBC">
        <w:rPr>
          <w:rFonts w:ascii="Times New Roman" w:eastAsia="Times New Roman" w:hAnsi="Times New Roman" w:cs="Times New Roman"/>
          <w:b/>
          <w:bCs/>
          <w:kern w:val="0"/>
          <w:lang w:eastAsia="en-IN"/>
          <w14:ligatures w14:val="none"/>
        </w:rPr>
        <w:t>s Growth Matrix</w:t>
      </w:r>
    </w:p>
    <w:p w14:paraId="0A7F44A4"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EV change at Ford is mainly in line with incremental growth strategies within the framework of Ansoff.</w:t>
      </w:r>
    </w:p>
    <w:p w14:paraId="4F78FB21"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Product Development:</w:t>
      </w:r>
    </w:p>
    <w:p w14:paraId="6F46F9A0"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Ford does not create the new EV-native brands but electrifies current models. Mustang Mach-E and F-150 Lightning exhibit the adaption of established nameplates to the electric form, decreasing the uncertainty in the market and exploiting brand equity</w:t>
      </w:r>
      <w:r>
        <w:rPr>
          <w:rFonts w:ascii="Times New Roman" w:eastAsia="Times New Roman" w:hAnsi="Times New Roman" w:cs="Times New Roman"/>
          <w:kern w:val="0"/>
          <w:lang w:eastAsia="en-IN"/>
          <w14:ligatures w14:val="none"/>
        </w:rPr>
        <w:t xml:space="preserve"> (</w:t>
      </w:r>
      <w:proofErr w:type="spellStart"/>
      <w:r w:rsidRPr="00FE1D8D">
        <w:rPr>
          <w:rFonts w:ascii="Times New Roman" w:eastAsia="Times New Roman" w:hAnsi="Times New Roman" w:cs="Times New Roman"/>
          <w:kern w:val="0"/>
          <w:lang w:eastAsia="en-IN"/>
          <w14:ligatures w14:val="none"/>
        </w:rPr>
        <w:t>Balawardhana</w:t>
      </w:r>
      <w:proofErr w:type="spellEnd"/>
      <w:r>
        <w:rPr>
          <w:rFonts w:ascii="Times New Roman" w:eastAsia="Times New Roman" w:hAnsi="Times New Roman" w:cs="Times New Roman"/>
          <w:kern w:val="0"/>
          <w:lang w:eastAsia="en-IN"/>
          <w14:ligatures w14:val="none"/>
        </w:rPr>
        <w:t xml:space="preserve">, </w:t>
      </w:r>
      <w:r w:rsidRPr="00FE1D8D">
        <w:rPr>
          <w:rFonts w:ascii="Times New Roman" w:eastAsia="Times New Roman" w:hAnsi="Times New Roman" w:cs="Times New Roman"/>
          <w:kern w:val="0"/>
          <w:lang w:eastAsia="en-IN"/>
          <w14:ligatures w14:val="none"/>
        </w:rPr>
        <w:t>2020</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w:t>
      </w:r>
    </w:p>
    <w:p w14:paraId="10E36AC3"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Market Penetration:</w:t>
      </w:r>
    </w:p>
    <w:p w14:paraId="7F836339"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Ford </w:t>
      </w:r>
      <w:proofErr w:type="gramStart"/>
      <w:r w:rsidRPr="00891EBC">
        <w:rPr>
          <w:rFonts w:ascii="Times New Roman" w:eastAsia="Times New Roman" w:hAnsi="Times New Roman" w:cs="Times New Roman"/>
          <w:kern w:val="0"/>
          <w:lang w:eastAsia="en-IN"/>
          <w14:ligatures w14:val="none"/>
        </w:rPr>
        <w:t>is able to</w:t>
      </w:r>
      <w:proofErr w:type="gramEnd"/>
      <w:r w:rsidRPr="00891EBC">
        <w:rPr>
          <w:rFonts w:ascii="Times New Roman" w:eastAsia="Times New Roman" w:hAnsi="Times New Roman" w:cs="Times New Roman"/>
          <w:kern w:val="0"/>
          <w:lang w:eastAsia="en-IN"/>
          <w14:ligatures w14:val="none"/>
        </w:rPr>
        <w:t xml:space="preserve"> hasten EV adoption in the current markets through its expansive network of dealerships and worldwide manufacturing platform. The strategy is based on accessibility and trust as opposed to technological novelty.</w:t>
      </w:r>
    </w:p>
    <w:p w14:paraId="6E827E3C"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891EBC">
        <w:rPr>
          <w:rFonts w:ascii="Times New Roman" w:eastAsia="Times New Roman" w:hAnsi="Times New Roman" w:cs="Times New Roman"/>
          <w:b/>
          <w:bCs/>
          <w:kern w:val="0"/>
          <w:lang w:eastAsia="en-IN"/>
          <w14:ligatures w14:val="none"/>
        </w:rPr>
        <w:t>Strategic Retrenchment and reallocation:</w:t>
      </w:r>
    </w:p>
    <w:p w14:paraId="1F31BFCE"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Contrary to Tesla, to finance EV development, Ford </w:t>
      </w:r>
      <w:proofErr w:type="gramStart"/>
      <w:r w:rsidRPr="00891EBC">
        <w:rPr>
          <w:rFonts w:ascii="Times New Roman" w:eastAsia="Times New Roman" w:hAnsi="Times New Roman" w:cs="Times New Roman"/>
          <w:kern w:val="0"/>
          <w:lang w:eastAsia="en-IN"/>
          <w14:ligatures w14:val="none"/>
        </w:rPr>
        <w:t>has to</w:t>
      </w:r>
      <w:proofErr w:type="gramEnd"/>
      <w:r w:rsidRPr="00891EBC">
        <w:rPr>
          <w:rFonts w:ascii="Times New Roman" w:eastAsia="Times New Roman" w:hAnsi="Times New Roman" w:cs="Times New Roman"/>
          <w:kern w:val="0"/>
          <w:lang w:eastAsia="en-IN"/>
          <w14:ligatures w14:val="none"/>
        </w:rPr>
        <w:t xml:space="preserve"> either sell or decrease the focus on internal combustion vehicles. This redistribution of capital demonstrates organisational restructuring instead of the actual expansion. It is a shift then that has both expansionary and contractionary dynamics.</w:t>
      </w:r>
    </w:p>
    <w:p w14:paraId="52980CFD"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All in all, Ford has an evolutionary strategy and not revolutionary one. It focuses more on risk reduction, gradual change, and building on what it already has instead of disruptive expansion of the ecosystem.</w:t>
      </w:r>
    </w:p>
    <w:p w14:paraId="2E3726DE" w14:textId="77777777" w:rsidR="00BC480F" w:rsidRPr="00BC480F" w:rsidRDefault="00BC480F" w:rsidP="00BC480F">
      <w:pPr>
        <w:pStyle w:val="Heading2"/>
        <w:spacing w:line="360" w:lineRule="auto"/>
        <w:rPr>
          <w:sz w:val="28"/>
          <w:szCs w:val="28"/>
        </w:rPr>
      </w:pPr>
      <w:bookmarkStart w:id="9" w:name="_Toc223033574"/>
      <w:r w:rsidRPr="00BC480F">
        <w:rPr>
          <w:sz w:val="28"/>
          <w:szCs w:val="28"/>
        </w:rPr>
        <w:lastRenderedPageBreak/>
        <w:t>Comparative Strategic Evaluation.</w:t>
      </w:r>
      <w:bookmarkEnd w:id="9"/>
    </w:p>
    <w:p w14:paraId="14DAEE24"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Tesla approach is a proactive innovation and ecosystem leadership which aims at strengthening differentiation via aggressive growth and technological leadership. The approach adopted at Ford can be seen as a form of adaptation to changing the legacy, with a focus on differentiation and strategic electrification</w:t>
      </w:r>
      <w:r>
        <w:rPr>
          <w:rFonts w:ascii="Times New Roman" w:eastAsia="Times New Roman" w:hAnsi="Times New Roman" w:cs="Times New Roman"/>
          <w:kern w:val="0"/>
          <w:lang w:eastAsia="en-IN"/>
          <w14:ligatures w14:val="none"/>
        </w:rPr>
        <w:t xml:space="preserve"> (</w:t>
      </w:r>
      <w:r w:rsidRPr="009614CD">
        <w:rPr>
          <w:rFonts w:ascii="Times New Roman" w:eastAsia="Times New Roman" w:hAnsi="Times New Roman" w:cs="Times New Roman"/>
          <w:kern w:val="0"/>
          <w:lang w:eastAsia="en-IN"/>
          <w14:ligatures w14:val="none"/>
        </w:rPr>
        <w:t>Palii</w:t>
      </w:r>
      <w:r>
        <w:rPr>
          <w:rFonts w:ascii="Times New Roman" w:eastAsia="Times New Roman" w:hAnsi="Times New Roman" w:cs="Times New Roman"/>
          <w:kern w:val="0"/>
          <w:lang w:eastAsia="en-IN"/>
          <w14:ligatures w14:val="none"/>
        </w:rPr>
        <w:t xml:space="preserve"> </w:t>
      </w:r>
      <w:r>
        <w:rPr>
          <w:rFonts w:ascii="Times New Roman" w:eastAsia="Times New Roman" w:hAnsi="Times New Roman" w:cs="Times New Roman"/>
          <w:i/>
          <w:iCs/>
          <w:kern w:val="0"/>
          <w:lang w:eastAsia="en-IN"/>
          <w14:ligatures w14:val="none"/>
        </w:rPr>
        <w:t>et al.</w:t>
      </w:r>
      <w:r>
        <w:rPr>
          <w:rFonts w:ascii="Times New Roman" w:eastAsia="Times New Roman" w:hAnsi="Times New Roman" w:cs="Times New Roman"/>
          <w:kern w:val="0"/>
          <w:lang w:eastAsia="en-IN"/>
          <w14:ligatures w14:val="none"/>
        </w:rPr>
        <w:t xml:space="preserve"> </w:t>
      </w:r>
      <w:r w:rsidRPr="009614CD">
        <w:rPr>
          <w:rFonts w:ascii="Times New Roman" w:eastAsia="Times New Roman" w:hAnsi="Times New Roman" w:cs="Times New Roman"/>
          <w:kern w:val="0"/>
          <w:lang w:eastAsia="en-IN"/>
          <w14:ligatures w14:val="none"/>
        </w:rPr>
        <w:t>2024</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w:t>
      </w:r>
    </w:p>
    <w:p w14:paraId="2DEE863D"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Finally, the maintenance of the growth of EV business needs to be balanced between innovation and operational stability. Having expansion aims at entrenching pioneer advantage, Tesla pursues expansion, whereas Ford uses strategic adaptation to maintain relevance in a rapidly changing macro-environment</w:t>
      </w:r>
      <w:r>
        <w:rPr>
          <w:rFonts w:ascii="Times New Roman" w:eastAsia="Times New Roman" w:hAnsi="Times New Roman" w:cs="Times New Roman"/>
          <w:kern w:val="0"/>
          <w:lang w:eastAsia="en-IN"/>
          <w14:ligatures w14:val="none"/>
        </w:rPr>
        <w:t xml:space="preserve"> (</w:t>
      </w:r>
      <w:r w:rsidRPr="007C3BA7">
        <w:rPr>
          <w:rFonts w:ascii="Times New Roman" w:eastAsia="Times New Roman" w:hAnsi="Times New Roman" w:cs="Times New Roman"/>
          <w:kern w:val="0"/>
          <w:lang w:eastAsia="en-IN"/>
          <w14:ligatures w14:val="none"/>
        </w:rPr>
        <w:t>George Business Review</w:t>
      </w:r>
      <w:r>
        <w:rPr>
          <w:rFonts w:ascii="Times New Roman" w:eastAsia="Times New Roman" w:hAnsi="Times New Roman" w:cs="Times New Roman"/>
          <w:kern w:val="0"/>
          <w:lang w:eastAsia="en-IN"/>
          <w14:ligatures w14:val="none"/>
        </w:rPr>
        <w:t>, 2</w:t>
      </w:r>
      <w:r w:rsidRPr="007C3BA7">
        <w:rPr>
          <w:rFonts w:ascii="Times New Roman" w:eastAsia="Times New Roman" w:hAnsi="Times New Roman" w:cs="Times New Roman"/>
          <w:kern w:val="0"/>
          <w:lang w:eastAsia="en-IN"/>
          <w14:ligatures w14:val="none"/>
        </w:rPr>
        <w:t>022</w:t>
      </w:r>
      <w:r>
        <w:rPr>
          <w:rFonts w:ascii="Times New Roman" w:eastAsia="Times New Roman" w:hAnsi="Times New Roman" w:cs="Times New Roman"/>
          <w:kern w:val="0"/>
          <w:lang w:eastAsia="en-IN"/>
          <w14:ligatures w14:val="none"/>
        </w:rPr>
        <w:t>)</w:t>
      </w:r>
      <w:r w:rsidRPr="00891EBC">
        <w:rPr>
          <w:rFonts w:ascii="Times New Roman" w:eastAsia="Times New Roman" w:hAnsi="Times New Roman" w:cs="Times New Roman"/>
          <w:kern w:val="0"/>
          <w:lang w:eastAsia="en-IN"/>
          <w14:ligatures w14:val="none"/>
        </w:rPr>
        <w:t>.</w:t>
      </w:r>
    </w:p>
    <w:p w14:paraId="32A09D9D" w14:textId="77777777" w:rsidR="00BC480F" w:rsidRPr="00BC480F" w:rsidRDefault="00BC480F" w:rsidP="00BC480F">
      <w:pPr>
        <w:pStyle w:val="Heading1"/>
        <w:spacing w:line="360" w:lineRule="auto"/>
        <w:rPr>
          <w:sz w:val="28"/>
          <w:szCs w:val="28"/>
        </w:rPr>
      </w:pPr>
      <w:bookmarkStart w:id="10" w:name="_Toc223033575"/>
      <w:r w:rsidRPr="00BC480F">
        <w:rPr>
          <w:sz w:val="28"/>
          <w:szCs w:val="28"/>
        </w:rPr>
        <w:t>5. Comparative Evaluation of Strategic Effectiveness</w:t>
      </w:r>
      <w:bookmarkEnd w:id="10"/>
    </w:p>
    <w:p w14:paraId="56CB6680" w14:textId="77777777" w:rsidR="00BC480F" w:rsidRPr="00BC480F" w:rsidRDefault="00BC480F" w:rsidP="00BC480F">
      <w:pPr>
        <w:pStyle w:val="Heading2"/>
        <w:spacing w:line="360" w:lineRule="auto"/>
        <w:rPr>
          <w:sz w:val="28"/>
          <w:szCs w:val="28"/>
        </w:rPr>
      </w:pPr>
      <w:bookmarkStart w:id="11" w:name="_Toc223033576"/>
      <w:r w:rsidRPr="00BC480F">
        <w:rPr>
          <w:sz w:val="28"/>
          <w:szCs w:val="28"/>
        </w:rPr>
        <w:t>5.1 Strategic Agility</w:t>
      </w:r>
      <w:bookmarkEnd w:id="11"/>
    </w:p>
    <w:p w14:paraId="54282DDE"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 xml:space="preserve">This is because Tesla displays better strategic agility owing in part to its digital-native organisational form and no legacy dependence on combustion engines. The vertically integrated model allows it to have quick innovation cycles and fast response to change in technology. Conversely, responsiveness is hampered by a well-established system of operations at Ford and its two-fold business model (EV and internal combustion). </w:t>
      </w:r>
    </w:p>
    <w:p w14:paraId="247470AC" w14:textId="77777777" w:rsidR="00BC480F" w:rsidRPr="00BC480F" w:rsidRDefault="00BC480F" w:rsidP="00BC480F">
      <w:pPr>
        <w:pStyle w:val="Heading2"/>
        <w:spacing w:line="360" w:lineRule="auto"/>
        <w:rPr>
          <w:sz w:val="28"/>
          <w:szCs w:val="28"/>
        </w:rPr>
      </w:pPr>
      <w:bookmarkStart w:id="12" w:name="_Toc223033577"/>
      <w:r w:rsidRPr="00BC480F">
        <w:rPr>
          <w:sz w:val="28"/>
          <w:szCs w:val="28"/>
        </w:rPr>
        <w:t>5.2 Risk Exposure</w:t>
      </w:r>
      <w:bookmarkEnd w:id="12"/>
    </w:p>
    <w:p w14:paraId="221333DA" w14:textId="77777777" w:rsidR="00BC480F" w:rsidRPr="00891EBC"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891EBC">
        <w:rPr>
          <w:rFonts w:ascii="Times New Roman" w:eastAsia="Times New Roman" w:hAnsi="Times New Roman" w:cs="Times New Roman"/>
          <w:kern w:val="0"/>
          <w:lang w:eastAsia="en-IN"/>
          <w14:ligatures w14:val="none"/>
        </w:rPr>
        <w:t>The first-mover approach of Tesla incorporated massive investment in research and development and uncertainty in the market, but the risk yielded good results of a strong brand equity and technological advantage. Ford minimizes the risk of innovation by using strategic imitation and alliances but is at risk of strategic lag in case of not being rapid with transformation.</w:t>
      </w:r>
    </w:p>
    <w:p w14:paraId="55B902F8" w14:textId="77777777" w:rsidR="00BC480F" w:rsidRPr="00BC480F" w:rsidRDefault="00BC480F" w:rsidP="00BC480F">
      <w:pPr>
        <w:pStyle w:val="Heading2"/>
        <w:spacing w:line="360" w:lineRule="auto"/>
        <w:rPr>
          <w:sz w:val="28"/>
          <w:szCs w:val="28"/>
        </w:rPr>
      </w:pPr>
      <w:bookmarkStart w:id="13" w:name="_Toc223033578"/>
      <w:r w:rsidRPr="00BC480F">
        <w:rPr>
          <w:sz w:val="28"/>
          <w:szCs w:val="28"/>
        </w:rPr>
        <w:t>5.3 Sustainability of Competitive Advantage</w:t>
      </w:r>
      <w:bookmarkEnd w:id="13"/>
    </w:p>
    <w:p w14:paraId="35B3B697" w14:textId="77777777" w:rsidR="00BC480F" w:rsidRDefault="00BC480F" w:rsidP="00BC480F">
      <w:pPr>
        <w:spacing w:line="360" w:lineRule="auto"/>
        <w:jc w:val="both"/>
        <w:rPr>
          <w:rFonts w:ascii="Times New Roman" w:hAnsi="Times New Roman" w:cs="Times New Roman"/>
          <w:lang w:eastAsia="en-IN"/>
        </w:rPr>
      </w:pPr>
      <w:r w:rsidRPr="00891EBC">
        <w:rPr>
          <w:rFonts w:ascii="Times New Roman" w:hAnsi="Times New Roman" w:cs="Times New Roman"/>
          <w:lang w:eastAsia="en-IN"/>
        </w:rPr>
        <w:t>Under the Resource-Based View of resources (Barney, 1991) Tesla proprietary software, charging infrastructure and data capabilities are sources of asset resources, which are difficult to replicate. The scale of manufacturing and distribution networks of Ford are strategically significant, but not as uncommon as the ones of other companies.</w:t>
      </w:r>
    </w:p>
    <w:p w14:paraId="4A70982B" w14:textId="77777777" w:rsidR="00BC480F" w:rsidRPr="00BC480F" w:rsidRDefault="00BC480F" w:rsidP="00BC480F">
      <w:pPr>
        <w:pStyle w:val="Heading1"/>
        <w:spacing w:line="360" w:lineRule="auto"/>
        <w:rPr>
          <w:sz w:val="28"/>
          <w:szCs w:val="28"/>
        </w:rPr>
      </w:pPr>
      <w:bookmarkStart w:id="14" w:name="_Toc223033579"/>
      <w:r w:rsidRPr="00BC480F">
        <w:rPr>
          <w:sz w:val="28"/>
          <w:szCs w:val="28"/>
        </w:rPr>
        <w:lastRenderedPageBreak/>
        <w:t>6. Critical Reflection on Pioneer vs Follower Dynamics</w:t>
      </w:r>
      <w:bookmarkEnd w:id="14"/>
    </w:p>
    <w:p w14:paraId="5C8A973D" w14:textId="77777777" w:rsidR="00BC480F" w:rsidRPr="00891EBC" w:rsidRDefault="00BC480F" w:rsidP="00BC480F">
      <w:pPr>
        <w:spacing w:line="360" w:lineRule="auto"/>
        <w:jc w:val="both"/>
        <w:rPr>
          <w:rFonts w:ascii="Times New Roman" w:hAnsi="Times New Roman" w:cs="Times New Roman"/>
        </w:rPr>
      </w:pPr>
      <w:r w:rsidRPr="00891EBC">
        <w:rPr>
          <w:rFonts w:ascii="Times New Roman" w:hAnsi="Times New Roman" w:cs="Times New Roman"/>
        </w:rPr>
        <w:t>Whether pioneering firms will always be ahead of followers is theoretically controversial (Lieberman and Montgomery, 1988). Although Tesla has successfully capitalized on the first-mover benefits, including brand legitimacy, technological leadership, and the ability to control the ecosystem, these benefits are not always permanent. There is a risk of early dominance being undermined by technological diffusion and regulatory changes in high-speed industries. With EV technologies getting more standardised, follower firms like Ford can minimise performance differentials by scaling, brand heritage and incremental innovation.</w:t>
      </w:r>
    </w:p>
    <w:p w14:paraId="4BD8F566"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C2778A">
        <w:rPr>
          <w:rFonts w:ascii="Times New Roman" w:eastAsia="Times New Roman" w:hAnsi="Times New Roman" w:cs="Times New Roman"/>
          <w:b/>
          <w:bCs/>
          <w:kern w:val="0"/>
          <w:lang w:eastAsia="en-IN"/>
          <w14:ligatures w14:val="none"/>
        </w:rPr>
        <w:t>7. Conclusion</w:t>
      </w:r>
    </w:p>
    <w:p w14:paraId="5D4B15A8" w14:textId="77777777" w:rsidR="00BC480F" w:rsidRPr="00D95CEE"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95CEE">
        <w:rPr>
          <w:rFonts w:ascii="Times New Roman" w:eastAsia="Times New Roman" w:hAnsi="Times New Roman" w:cs="Times New Roman"/>
          <w:kern w:val="0"/>
          <w:lang w:eastAsia="en-IN"/>
          <w14:ligatures w14:val="none"/>
        </w:rPr>
        <w:t>This discussion shows that the EV industry has an impact of technological and political</w:t>
      </w:r>
      <w:r w:rsidRPr="00D95CEE">
        <w:rPr>
          <w:rFonts w:ascii="Times New Roman" w:eastAsia="Times New Roman" w:hAnsi="Times New Roman" w:cs="Times New Roman"/>
          <w:b/>
          <w:bCs/>
          <w:kern w:val="0"/>
          <w:lang w:eastAsia="en-IN"/>
          <w14:ligatures w14:val="none"/>
        </w:rPr>
        <w:t xml:space="preserve"> </w:t>
      </w:r>
      <w:r w:rsidRPr="00D95CEE">
        <w:rPr>
          <w:rFonts w:ascii="Times New Roman" w:eastAsia="Times New Roman" w:hAnsi="Times New Roman" w:cs="Times New Roman"/>
          <w:kern w:val="0"/>
          <w:lang w:eastAsia="en-IN"/>
          <w14:ligatures w14:val="none"/>
        </w:rPr>
        <w:t>macro-environmental forces on competitive positioning. As a ground-breaking organisation, Tesla used the edge of technological innovation and the alignment of regulation to create an effective differentiation and brand leadership. But new threats are presented by technological diffusion and complexity of policies.</w:t>
      </w:r>
    </w:p>
    <w:p w14:paraId="248AB270" w14:textId="77777777" w:rsidR="00BC480F" w:rsidRDefault="00BC480F" w:rsidP="00BC480F">
      <w:pPr>
        <w:spacing w:line="360" w:lineRule="auto"/>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br w:type="page"/>
      </w:r>
    </w:p>
    <w:p w14:paraId="77EC3572" w14:textId="77777777" w:rsidR="00BC480F" w:rsidRPr="00BC480F" w:rsidRDefault="00BC480F" w:rsidP="00BC480F">
      <w:pPr>
        <w:pStyle w:val="Heading1"/>
        <w:rPr>
          <w:sz w:val="28"/>
          <w:szCs w:val="28"/>
        </w:rPr>
      </w:pPr>
      <w:r w:rsidRPr="00BC480F">
        <w:rPr>
          <w:sz w:val="28"/>
          <w:szCs w:val="28"/>
        </w:rPr>
        <w:lastRenderedPageBreak/>
        <w:t>References</w:t>
      </w:r>
    </w:p>
    <w:p w14:paraId="3BCB508C"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F75FC7">
        <w:rPr>
          <w:rFonts w:ascii="Times New Roman" w:eastAsia="Times New Roman" w:hAnsi="Times New Roman" w:cs="Times New Roman"/>
          <w:kern w:val="0"/>
          <w:lang w:eastAsia="en-IN"/>
          <w14:ligatures w14:val="none"/>
        </w:rPr>
        <w:t xml:space="preserve">Academy, S.B. (2023). Understanding FORD’s Marketing Strategy. [online] Seven Boats Academy. Available at: </w:t>
      </w:r>
      <w:hyperlink r:id="rId7" w:history="1">
        <w:r w:rsidRPr="00F75FC7">
          <w:rPr>
            <w:rStyle w:val="Hyperlink"/>
            <w:rFonts w:ascii="Times New Roman" w:eastAsia="Times New Roman" w:hAnsi="Times New Roman" w:cs="Times New Roman"/>
            <w:kern w:val="0"/>
            <w:lang w:eastAsia="en-IN"/>
            <w14:ligatures w14:val="none"/>
          </w:rPr>
          <w:t>https://www.7boats.com/academy/fords-marketing-strategy/</w:t>
        </w:r>
      </w:hyperlink>
      <w:r w:rsidRPr="00F75FC7">
        <w:rPr>
          <w:rFonts w:ascii="Times New Roman" w:eastAsia="Times New Roman" w:hAnsi="Times New Roman" w:cs="Times New Roman"/>
          <w:kern w:val="0"/>
          <w:lang w:eastAsia="en-IN"/>
          <w14:ligatures w14:val="none"/>
        </w:rPr>
        <w:t xml:space="preserve">. </w:t>
      </w:r>
    </w:p>
    <w:p w14:paraId="01DDE7B3"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roofErr w:type="spellStart"/>
      <w:r w:rsidRPr="00F75FC7">
        <w:rPr>
          <w:rFonts w:ascii="Times New Roman" w:eastAsia="Times New Roman" w:hAnsi="Times New Roman" w:cs="Times New Roman"/>
          <w:kern w:val="0"/>
          <w:lang w:eastAsia="en-IN"/>
          <w14:ligatures w14:val="none"/>
        </w:rPr>
        <w:t>Aeternus</w:t>
      </w:r>
      <w:proofErr w:type="spellEnd"/>
      <w:r w:rsidRPr="00F75FC7">
        <w:rPr>
          <w:rFonts w:ascii="Times New Roman" w:eastAsia="Times New Roman" w:hAnsi="Times New Roman" w:cs="Times New Roman"/>
          <w:kern w:val="0"/>
          <w:lang w:eastAsia="en-IN"/>
          <w14:ligatures w14:val="none"/>
        </w:rPr>
        <w:t xml:space="preserve"> (2024). Tesla’s Marketing Strategy and Its Impact on EV Growth. [online] </w:t>
      </w:r>
      <w:proofErr w:type="spellStart"/>
      <w:r w:rsidRPr="00F75FC7">
        <w:rPr>
          <w:rFonts w:ascii="Times New Roman" w:eastAsia="Times New Roman" w:hAnsi="Times New Roman" w:cs="Times New Roman"/>
          <w:kern w:val="0"/>
          <w:lang w:eastAsia="en-IN"/>
          <w14:ligatures w14:val="none"/>
        </w:rPr>
        <w:t>Aeternus</w:t>
      </w:r>
      <w:proofErr w:type="spellEnd"/>
      <w:r w:rsidRPr="00F75FC7">
        <w:rPr>
          <w:rFonts w:ascii="Times New Roman" w:eastAsia="Times New Roman" w:hAnsi="Times New Roman" w:cs="Times New Roman"/>
          <w:kern w:val="0"/>
          <w:lang w:eastAsia="en-IN"/>
          <w14:ligatures w14:val="none"/>
        </w:rPr>
        <w:t xml:space="preserve"> | Digital Marketing Agency -. Available at: </w:t>
      </w:r>
      <w:hyperlink r:id="rId8" w:history="1">
        <w:r w:rsidRPr="00F75FC7">
          <w:rPr>
            <w:rStyle w:val="Hyperlink"/>
            <w:rFonts w:ascii="Times New Roman" w:eastAsia="Times New Roman" w:hAnsi="Times New Roman" w:cs="Times New Roman"/>
            <w:kern w:val="0"/>
            <w:lang w:eastAsia="en-IN"/>
            <w14:ligatures w14:val="none"/>
          </w:rPr>
          <w:t>https://www.aeternus.rs/driving-innovation-teslas-marketing-strategy-and-its-impact-on-electric-vehicle-adoption/</w:t>
        </w:r>
      </w:hyperlink>
      <w:r w:rsidRPr="00F75FC7">
        <w:rPr>
          <w:rFonts w:ascii="Times New Roman" w:eastAsia="Times New Roman" w:hAnsi="Times New Roman" w:cs="Times New Roman"/>
          <w:kern w:val="0"/>
          <w:lang w:eastAsia="en-IN"/>
          <w14:ligatures w14:val="none"/>
        </w:rPr>
        <w:t xml:space="preserve">. </w:t>
      </w:r>
    </w:p>
    <w:p w14:paraId="390E7387"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roofErr w:type="spellStart"/>
      <w:r w:rsidRPr="00F75FC7">
        <w:rPr>
          <w:rFonts w:ascii="Times New Roman" w:eastAsia="Times New Roman" w:hAnsi="Times New Roman" w:cs="Times New Roman"/>
          <w:kern w:val="0"/>
          <w:lang w:eastAsia="en-IN"/>
          <w14:ligatures w14:val="none"/>
        </w:rPr>
        <w:t>Balawardhana</w:t>
      </w:r>
      <w:proofErr w:type="spellEnd"/>
      <w:r w:rsidRPr="00F75FC7">
        <w:rPr>
          <w:rFonts w:ascii="Times New Roman" w:eastAsia="Times New Roman" w:hAnsi="Times New Roman" w:cs="Times New Roman"/>
          <w:kern w:val="0"/>
          <w:lang w:eastAsia="en-IN"/>
          <w14:ligatures w14:val="none"/>
        </w:rPr>
        <w:t xml:space="preserve">, M. (2020). Marketing and Digital Future - Ford Motor Company. [online] ResearchGate. Available at: </w:t>
      </w:r>
      <w:hyperlink r:id="rId9" w:history="1">
        <w:r w:rsidRPr="00F75FC7">
          <w:rPr>
            <w:rStyle w:val="Hyperlink"/>
            <w:rFonts w:ascii="Times New Roman" w:eastAsia="Times New Roman" w:hAnsi="Times New Roman" w:cs="Times New Roman"/>
            <w:kern w:val="0"/>
            <w:lang w:eastAsia="en-IN"/>
            <w14:ligatures w14:val="none"/>
          </w:rPr>
          <w:t>https://www.researchgate.net/publication/345228131_Marketing_and_Digital_Future_-_Ford_Motor_Company</w:t>
        </w:r>
      </w:hyperlink>
      <w:r w:rsidRPr="00F75FC7">
        <w:rPr>
          <w:rFonts w:ascii="Times New Roman" w:eastAsia="Times New Roman" w:hAnsi="Times New Roman" w:cs="Times New Roman"/>
          <w:kern w:val="0"/>
          <w:lang w:eastAsia="en-IN"/>
          <w14:ligatures w14:val="none"/>
        </w:rPr>
        <w:t xml:space="preserve">. </w:t>
      </w:r>
    </w:p>
    <w:p w14:paraId="7A72D00B"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roofErr w:type="spellStart"/>
      <w:r w:rsidRPr="00F75FC7">
        <w:rPr>
          <w:rFonts w:ascii="Times New Roman" w:eastAsia="Times New Roman" w:hAnsi="Times New Roman" w:cs="Times New Roman"/>
          <w:kern w:val="0"/>
          <w:lang w:eastAsia="en-IN"/>
          <w14:ligatures w14:val="none"/>
        </w:rPr>
        <w:t>Dysrupt</w:t>
      </w:r>
      <w:proofErr w:type="spellEnd"/>
      <w:r w:rsidRPr="00F75FC7">
        <w:rPr>
          <w:rFonts w:ascii="Times New Roman" w:eastAsia="Times New Roman" w:hAnsi="Times New Roman" w:cs="Times New Roman"/>
          <w:kern w:val="0"/>
          <w:lang w:eastAsia="en-IN"/>
          <w14:ligatures w14:val="none"/>
        </w:rPr>
        <w:t xml:space="preserve"> (2023). Tesla’s Ingenious Marketing Strategy: A Masterclass in Brand Building and Consumer Engagement. [online] www.dysrupt.com. Available at: </w:t>
      </w:r>
      <w:hyperlink r:id="rId10" w:history="1">
        <w:r w:rsidRPr="00F75FC7">
          <w:rPr>
            <w:rStyle w:val="Hyperlink"/>
            <w:rFonts w:ascii="Times New Roman" w:eastAsia="Times New Roman" w:hAnsi="Times New Roman" w:cs="Times New Roman"/>
            <w:kern w:val="0"/>
            <w:lang w:eastAsia="en-IN"/>
            <w14:ligatures w14:val="none"/>
          </w:rPr>
          <w:t>https://www.dysrupt.com/thought-leadership/teslas-ingenious-marketing-strategy-a-masterclass-in-brand-building-and-consumer-engagement</w:t>
        </w:r>
      </w:hyperlink>
      <w:r w:rsidRPr="00F75FC7">
        <w:rPr>
          <w:rFonts w:ascii="Times New Roman" w:eastAsia="Times New Roman" w:hAnsi="Times New Roman" w:cs="Times New Roman"/>
          <w:kern w:val="0"/>
          <w:lang w:eastAsia="en-IN"/>
          <w14:ligatures w14:val="none"/>
        </w:rPr>
        <w:t xml:space="preserve">. </w:t>
      </w:r>
    </w:p>
    <w:p w14:paraId="21A42A36" w14:textId="77777777" w:rsidR="00BC480F" w:rsidRPr="00F75FC7" w:rsidRDefault="00BC480F" w:rsidP="00BC480F">
      <w:pPr>
        <w:spacing w:before="100" w:beforeAutospacing="1" w:after="100" w:afterAutospacing="1" w:line="360" w:lineRule="auto"/>
        <w:jc w:val="both"/>
        <w:rPr>
          <w:rFonts w:ascii="Times New Roman" w:hAnsi="Times New Roman" w:cs="Times New Roman"/>
          <w:color w:val="222222"/>
          <w:shd w:val="clear" w:color="auto" w:fill="FFFFFF"/>
        </w:rPr>
      </w:pPr>
      <w:r w:rsidRPr="00F75FC7">
        <w:rPr>
          <w:rFonts w:ascii="Times New Roman" w:hAnsi="Times New Roman" w:cs="Times New Roman"/>
          <w:color w:val="222222"/>
          <w:shd w:val="clear" w:color="auto" w:fill="FFFFFF"/>
        </w:rPr>
        <w:t>Gao, J., Qiu, Y. and Chen, Z., 2025. Systemic Integration of EV and Autonomous Driving Technologies: A Study of China’s Intelligent Mobility Transition. </w:t>
      </w:r>
      <w:r w:rsidRPr="00F75FC7">
        <w:rPr>
          <w:rFonts w:ascii="Times New Roman" w:hAnsi="Times New Roman" w:cs="Times New Roman"/>
          <w:i/>
          <w:iCs/>
          <w:color w:val="222222"/>
          <w:shd w:val="clear" w:color="auto" w:fill="FFFFFF"/>
        </w:rPr>
        <w:t>World Electric Vehicle Journal</w:t>
      </w:r>
      <w:r w:rsidRPr="00F75FC7">
        <w:rPr>
          <w:rFonts w:ascii="Times New Roman" w:hAnsi="Times New Roman" w:cs="Times New Roman"/>
          <w:color w:val="222222"/>
          <w:shd w:val="clear" w:color="auto" w:fill="FFFFFF"/>
        </w:rPr>
        <w:t>, </w:t>
      </w:r>
      <w:r w:rsidRPr="00F75FC7">
        <w:rPr>
          <w:rFonts w:ascii="Times New Roman" w:hAnsi="Times New Roman" w:cs="Times New Roman"/>
          <w:i/>
          <w:iCs/>
          <w:color w:val="222222"/>
          <w:shd w:val="clear" w:color="auto" w:fill="FFFFFF"/>
        </w:rPr>
        <w:t>16</w:t>
      </w:r>
      <w:r w:rsidRPr="00F75FC7">
        <w:rPr>
          <w:rFonts w:ascii="Times New Roman" w:hAnsi="Times New Roman" w:cs="Times New Roman"/>
          <w:color w:val="222222"/>
          <w:shd w:val="clear" w:color="auto" w:fill="FFFFFF"/>
        </w:rPr>
        <w:t>(10), p.574.</w:t>
      </w:r>
      <w:r w:rsidRPr="00F75FC7">
        <w:rPr>
          <w:rFonts w:ascii="Times New Roman" w:hAnsi="Times New Roman" w:cs="Times New Roman"/>
        </w:rPr>
        <w:t xml:space="preserve"> </w:t>
      </w:r>
      <w:hyperlink r:id="rId11" w:history="1">
        <w:r w:rsidRPr="00F75FC7">
          <w:rPr>
            <w:rStyle w:val="Hyperlink"/>
            <w:rFonts w:ascii="Times New Roman" w:hAnsi="Times New Roman" w:cs="Times New Roman"/>
            <w:shd w:val="clear" w:color="auto" w:fill="FFFFFF"/>
          </w:rPr>
          <w:t>https://www.mdpi.com/2032-6653/16/10/574</w:t>
        </w:r>
      </w:hyperlink>
      <w:r w:rsidRPr="00F75FC7">
        <w:rPr>
          <w:rFonts w:ascii="Times New Roman" w:hAnsi="Times New Roman" w:cs="Times New Roman"/>
          <w:color w:val="222222"/>
          <w:shd w:val="clear" w:color="auto" w:fill="FFFFFF"/>
        </w:rPr>
        <w:t xml:space="preserve"> </w:t>
      </w:r>
    </w:p>
    <w:p w14:paraId="31F428F8"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F75FC7">
        <w:rPr>
          <w:rFonts w:ascii="Times New Roman" w:eastAsia="Times New Roman" w:hAnsi="Times New Roman" w:cs="Times New Roman"/>
          <w:kern w:val="0"/>
          <w:lang w:eastAsia="en-IN"/>
          <w14:ligatures w14:val="none"/>
        </w:rPr>
        <w:t xml:space="preserve">Gao, Y. (2023). A Study of Tesla’s International Marketing Strategy Based on the STEPPS Model. Highlights in Business, Economics and Management, [online] 23, pp.971–979. </w:t>
      </w:r>
      <w:proofErr w:type="spellStart"/>
      <w:r w:rsidRPr="00F75FC7">
        <w:rPr>
          <w:rFonts w:ascii="Times New Roman" w:eastAsia="Times New Roman" w:hAnsi="Times New Roman" w:cs="Times New Roman"/>
          <w:kern w:val="0"/>
          <w:lang w:eastAsia="en-IN"/>
          <w14:ligatures w14:val="none"/>
        </w:rPr>
        <w:t>doi</w:t>
      </w:r>
      <w:proofErr w:type="spellEnd"/>
      <w:r w:rsidRPr="00F75FC7">
        <w:rPr>
          <w:rFonts w:ascii="Times New Roman" w:eastAsia="Times New Roman" w:hAnsi="Times New Roman" w:cs="Times New Roman"/>
          <w:kern w:val="0"/>
          <w:lang w:eastAsia="en-IN"/>
          <w14:ligatures w14:val="none"/>
        </w:rPr>
        <w:t xml:space="preserve">: </w:t>
      </w:r>
      <w:hyperlink r:id="rId12" w:history="1">
        <w:r w:rsidRPr="00F75FC7">
          <w:rPr>
            <w:rStyle w:val="Hyperlink"/>
            <w:rFonts w:ascii="Times New Roman" w:eastAsia="Times New Roman" w:hAnsi="Times New Roman" w:cs="Times New Roman"/>
            <w:kern w:val="0"/>
            <w:lang w:eastAsia="en-IN"/>
            <w14:ligatures w14:val="none"/>
          </w:rPr>
          <w:t>https://doi.org/10.54097/es6rry79</w:t>
        </w:r>
      </w:hyperlink>
      <w:r w:rsidRPr="00F75FC7">
        <w:rPr>
          <w:rFonts w:ascii="Times New Roman" w:eastAsia="Times New Roman" w:hAnsi="Times New Roman" w:cs="Times New Roman"/>
          <w:kern w:val="0"/>
          <w:lang w:eastAsia="en-IN"/>
          <w14:ligatures w14:val="none"/>
        </w:rPr>
        <w:t xml:space="preserve">.  </w:t>
      </w:r>
    </w:p>
    <w:p w14:paraId="7ED47347"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r w:rsidRPr="00F75FC7">
        <w:rPr>
          <w:rFonts w:ascii="Times New Roman" w:eastAsia="Times New Roman" w:hAnsi="Times New Roman" w:cs="Times New Roman"/>
          <w:kern w:val="0"/>
          <w:lang w:eastAsia="en-IN"/>
          <w14:ligatures w14:val="none"/>
        </w:rPr>
        <w:t xml:space="preserve">IEA (2024). Global EV Outlook 2024. [online] IEA. Available at: </w:t>
      </w:r>
      <w:hyperlink r:id="rId13" w:history="1">
        <w:r w:rsidRPr="00F75FC7">
          <w:rPr>
            <w:rStyle w:val="Hyperlink"/>
            <w:rFonts w:ascii="Times New Roman" w:eastAsia="Times New Roman" w:hAnsi="Times New Roman" w:cs="Times New Roman"/>
            <w:kern w:val="0"/>
            <w:lang w:eastAsia="en-IN"/>
            <w14:ligatures w14:val="none"/>
          </w:rPr>
          <w:t>https://www.iea.org/reports/global-ev-outlook-2024</w:t>
        </w:r>
      </w:hyperlink>
      <w:r w:rsidRPr="00F75FC7">
        <w:rPr>
          <w:rFonts w:ascii="Times New Roman" w:eastAsia="Times New Roman" w:hAnsi="Times New Roman" w:cs="Times New Roman"/>
          <w:kern w:val="0"/>
          <w:lang w:eastAsia="en-IN"/>
          <w14:ligatures w14:val="none"/>
        </w:rPr>
        <w:t>.</w:t>
      </w:r>
      <w:r w:rsidRPr="00F75FC7">
        <w:rPr>
          <w:rFonts w:ascii="Times New Roman" w:eastAsia="Times New Roman" w:hAnsi="Times New Roman" w:cs="Times New Roman"/>
          <w:b/>
          <w:bCs/>
          <w:kern w:val="0"/>
          <w:lang w:eastAsia="en-IN"/>
          <w14:ligatures w14:val="none"/>
        </w:rPr>
        <w:t xml:space="preserve"> </w:t>
      </w:r>
    </w:p>
    <w:p w14:paraId="37576C0C"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F75FC7">
        <w:rPr>
          <w:rFonts w:ascii="Times New Roman" w:eastAsia="Times New Roman" w:hAnsi="Times New Roman" w:cs="Times New Roman"/>
          <w:kern w:val="0"/>
          <w:lang w:eastAsia="en-IN"/>
          <w14:ligatures w14:val="none"/>
        </w:rPr>
        <w:t xml:space="preserve">Palii, D., Pereira, A. and Teixeira, T. (2024). FORD -An Approach to the Organization Model. International Journal of Humanities Social Science and Management (IJHSSM), [online] 4(5), pp.3048–6874. Available at: </w:t>
      </w:r>
      <w:hyperlink r:id="rId14" w:history="1">
        <w:r w:rsidRPr="00F75FC7">
          <w:rPr>
            <w:rStyle w:val="Hyperlink"/>
            <w:rFonts w:ascii="Times New Roman" w:eastAsia="Times New Roman" w:hAnsi="Times New Roman" w:cs="Times New Roman"/>
            <w:kern w:val="0"/>
            <w:lang w:eastAsia="en-IN"/>
            <w14:ligatures w14:val="none"/>
          </w:rPr>
          <w:t>https://ijhssm.org/issue_dcp/FORD%20An%20Approach%20to%20the%20Organization%20Model.pdf</w:t>
        </w:r>
      </w:hyperlink>
      <w:r w:rsidRPr="00F75FC7">
        <w:rPr>
          <w:rFonts w:ascii="Times New Roman" w:eastAsia="Times New Roman" w:hAnsi="Times New Roman" w:cs="Times New Roman"/>
          <w:kern w:val="0"/>
          <w:lang w:eastAsia="en-IN"/>
          <w14:ligatures w14:val="none"/>
        </w:rPr>
        <w:t xml:space="preserve">.  </w:t>
      </w:r>
    </w:p>
    <w:p w14:paraId="2FD8C893" w14:textId="77777777" w:rsidR="00BC480F" w:rsidRPr="00F75FC7" w:rsidRDefault="00BC480F" w:rsidP="00BC480F">
      <w:pPr>
        <w:spacing w:before="100" w:beforeAutospacing="1" w:after="100" w:afterAutospacing="1" w:line="360" w:lineRule="auto"/>
        <w:jc w:val="both"/>
        <w:rPr>
          <w:rFonts w:ascii="Times New Roman" w:hAnsi="Times New Roman" w:cs="Times New Roman"/>
          <w:color w:val="222222"/>
          <w:shd w:val="clear" w:color="auto" w:fill="FFFFFF"/>
        </w:rPr>
      </w:pPr>
      <w:r w:rsidRPr="00F75FC7">
        <w:rPr>
          <w:rFonts w:ascii="Times New Roman" w:hAnsi="Times New Roman" w:cs="Times New Roman"/>
          <w:color w:val="222222"/>
          <w:shd w:val="clear" w:color="auto" w:fill="FFFFFF"/>
        </w:rPr>
        <w:lastRenderedPageBreak/>
        <w:t>Shi, Q. and Shen, L., 2025. Advancing Firm-Level Digital Technology Diffusion: A Hybrid Bibliometric and Framework-Based Systematic Literature Review. </w:t>
      </w:r>
      <w:r w:rsidRPr="00F75FC7">
        <w:rPr>
          <w:rFonts w:ascii="Times New Roman" w:hAnsi="Times New Roman" w:cs="Times New Roman"/>
          <w:i/>
          <w:iCs/>
          <w:color w:val="222222"/>
          <w:shd w:val="clear" w:color="auto" w:fill="FFFFFF"/>
        </w:rPr>
        <w:t>Systems</w:t>
      </w:r>
      <w:r w:rsidRPr="00F75FC7">
        <w:rPr>
          <w:rFonts w:ascii="Times New Roman" w:hAnsi="Times New Roman" w:cs="Times New Roman"/>
          <w:color w:val="222222"/>
          <w:shd w:val="clear" w:color="auto" w:fill="FFFFFF"/>
        </w:rPr>
        <w:t>, </w:t>
      </w:r>
      <w:r w:rsidRPr="00F75FC7">
        <w:rPr>
          <w:rFonts w:ascii="Times New Roman" w:hAnsi="Times New Roman" w:cs="Times New Roman"/>
          <w:i/>
          <w:iCs/>
          <w:color w:val="222222"/>
          <w:shd w:val="clear" w:color="auto" w:fill="FFFFFF"/>
        </w:rPr>
        <w:t>13</w:t>
      </w:r>
      <w:r w:rsidRPr="00F75FC7">
        <w:rPr>
          <w:rFonts w:ascii="Times New Roman" w:hAnsi="Times New Roman" w:cs="Times New Roman"/>
          <w:color w:val="222222"/>
          <w:shd w:val="clear" w:color="auto" w:fill="FFFFFF"/>
        </w:rPr>
        <w:t>(4), p.262.</w:t>
      </w:r>
      <w:r w:rsidRPr="00F75FC7">
        <w:rPr>
          <w:rFonts w:ascii="Times New Roman" w:hAnsi="Times New Roman" w:cs="Times New Roman"/>
        </w:rPr>
        <w:t xml:space="preserve"> </w:t>
      </w:r>
      <w:hyperlink r:id="rId15" w:history="1">
        <w:r w:rsidRPr="00F75FC7">
          <w:rPr>
            <w:rStyle w:val="Hyperlink"/>
            <w:rFonts w:ascii="Times New Roman" w:hAnsi="Times New Roman" w:cs="Times New Roman"/>
            <w:shd w:val="clear" w:color="auto" w:fill="FFFFFF"/>
          </w:rPr>
          <w:t>https://www.mdpi.com/2079-8954/13/4/262</w:t>
        </w:r>
      </w:hyperlink>
      <w:r w:rsidRPr="00F75FC7">
        <w:rPr>
          <w:rFonts w:ascii="Times New Roman" w:hAnsi="Times New Roman" w:cs="Times New Roman"/>
          <w:color w:val="222222"/>
          <w:shd w:val="clear" w:color="auto" w:fill="FFFFFF"/>
        </w:rPr>
        <w:t xml:space="preserve"> </w:t>
      </w:r>
    </w:p>
    <w:p w14:paraId="2A937C6E"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F75FC7">
        <w:rPr>
          <w:rFonts w:ascii="Times New Roman" w:eastAsia="Times New Roman" w:hAnsi="Times New Roman" w:cs="Times New Roman"/>
          <w:kern w:val="0"/>
          <w:lang w:eastAsia="en-IN"/>
          <w14:ligatures w14:val="none"/>
        </w:rPr>
        <w:t xml:space="preserve">Stoy, L. (2021). 6 Lessons </w:t>
      </w:r>
      <w:proofErr w:type="gramStart"/>
      <w:r w:rsidRPr="00F75FC7">
        <w:rPr>
          <w:rFonts w:ascii="Times New Roman" w:eastAsia="Times New Roman" w:hAnsi="Times New Roman" w:cs="Times New Roman"/>
          <w:kern w:val="0"/>
          <w:lang w:eastAsia="en-IN"/>
          <w14:ligatures w14:val="none"/>
        </w:rPr>
        <w:t>From</w:t>
      </w:r>
      <w:proofErr w:type="gramEnd"/>
      <w:r w:rsidRPr="00F75FC7">
        <w:rPr>
          <w:rFonts w:ascii="Times New Roman" w:eastAsia="Times New Roman" w:hAnsi="Times New Roman" w:cs="Times New Roman"/>
          <w:kern w:val="0"/>
          <w:lang w:eastAsia="en-IN"/>
          <w14:ligatures w14:val="none"/>
        </w:rPr>
        <w:t xml:space="preserve"> Tesla’s Smart Marketing Strategy on Satisfying Customers. [online] Medium. Available at: </w:t>
      </w:r>
      <w:hyperlink r:id="rId16" w:history="1">
        <w:r w:rsidRPr="00F75FC7">
          <w:rPr>
            <w:rStyle w:val="Hyperlink"/>
            <w:rFonts w:ascii="Times New Roman" w:eastAsia="Times New Roman" w:hAnsi="Times New Roman" w:cs="Times New Roman"/>
            <w:kern w:val="0"/>
            <w:lang w:eastAsia="en-IN"/>
            <w14:ligatures w14:val="none"/>
          </w:rPr>
          <w:t>https://bettermarketing.pub/6-lessons-from-teslas-clever-marketing-strategy-on-satisfying-customers-631632f25557</w:t>
        </w:r>
      </w:hyperlink>
      <w:r w:rsidRPr="00F75FC7">
        <w:rPr>
          <w:rFonts w:ascii="Times New Roman" w:eastAsia="Times New Roman" w:hAnsi="Times New Roman" w:cs="Times New Roman"/>
          <w:kern w:val="0"/>
          <w:lang w:eastAsia="en-IN"/>
          <w14:ligatures w14:val="none"/>
        </w:rPr>
        <w:t xml:space="preserve">. </w:t>
      </w:r>
    </w:p>
    <w:p w14:paraId="7719574F"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F75FC7">
        <w:rPr>
          <w:rFonts w:ascii="Times New Roman" w:eastAsia="Times New Roman" w:hAnsi="Times New Roman" w:cs="Times New Roman"/>
          <w:kern w:val="0"/>
          <w:lang w:eastAsia="en-IN"/>
          <w14:ligatures w14:val="none"/>
        </w:rPr>
        <w:t xml:space="preserve">Team, G.E. (2022). External and Internal Environment Analysis of Ford. [online] George Business Review. Available at: </w:t>
      </w:r>
      <w:hyperlink r:id="rId17" w:history="1">
        <w:r w:rsidRPr="00F75FC7">
          <w:rPr>
            <w:rStyle w:val="Hyperlink"/>
            <w:rFonts w:ascii="Times New Roman" w:eastAsia="Times New Roman" w:hAnsi="Times New Roman" w:cs="Times New Roman"/>
            <w:kern w:val="0"/>
            <w:lang w:eastAsia="en-IN"/>
            <w14:ligatures w14:val="none"/>
          </w:rPr>
          <w:t>https://www.george-business-review.com/external-and-internal-environment-analysis-and-marketing-strategies-of-ford/</w:t>
        </w:r>
      </w:hyperlink>
      <w:r w:rsidRPr="00F75FC7">
        <w:rPr>
          <w:rFonts w:ascii="Times New Roman" w:eastAsia="Times New Roman" w:hAnsi="Times New Roman" w:cs="Times New Roman"/>
          <w:kern w:val="0"/>
          <w:lang w:eastAsia="en-IN"/>
          <w14:ligatures w14:val="none"/>
        </w:rPr>
        <w:t xml:space="preserve">. </w:t>
      </w:r>
    </w:p>
    <w:p w14:paraId="22375941" w14:textId="77777777" w:rsidR="00BC480F" w:rsidRPr="00F75FC7"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F75FC7">
        <w:rPr>
          <w:rFonts w:ascii="Times New Roman" w:eastAsia="Times New Roman" w:hAnsi="Times New Roman" w:cs="Times New Roman"/>
          <w:kern w:val="0"/>
          <w:lang w:eastAsia="en-IN"/>
          <w14:ligatures w14:val="none"/>
        </w:rPr>
        <w:t xml:space="preserve">Yu, Y. (2024). Market Competition Analysis and Strategic Research of Ford Motor Company. Highlights in Business, Economics and Management, [online] 24, pp.1263–1273. </w:t>
      </w:r>
      <w:proofErr w:type="spellStart"/>
      <w:r w:rsidRPr="00F75FC7">
        <w:rPr>
          <w:rFonts w:ascii="Times New Roman" w:eastAsia="Times New Roman" w:hAnsi="Times New Roman" w:cs="Times New Roman"/>
          <w:kern w:val="0"/>
          <w:lang w:eastAsia="en-IN"/>
          <w14:ligatures w14:val="none"/>
        </w:rPr>
        <w:t>doi</w:t>
      </w:r>
      <w:proofErr w:type="spellEnd"/>
      <w:r w:rsidRPr="00F75FC7">
        <w:rPr>
          <w:rFonts w:ascii="Times New Roman" w:eastAsia="Times New Roman" w:hAnsi="Times New Roman" w:cs="Times New Roman"/>
          <w:kern w:val="0"/>
          <w:lang w:eastAsia="en-IN"/>
          <w14:ligatures w14:val="none"/>
        </w:rPr>
        <w:t xml:space="preserve">: </w:t>
      </w:r>
      <w:hyperlink r:id="rId18" w:history="1">
        <w:r w:rsidRPr="00F75FC7">
          <w:rPr>
            <w:rStyle w:val="Hyperlink"/>
            <w:rFonts w:ascii="Times New Roman" w:eastAsia="Times New Roman" w:hAnsi="Times New Roman" w:cs="Times New Roman"/>
            <w:kern w:val="0"/>
            <w:lang w:eastAsia="en-IN"/>
            <w14:ligatures w14:val="none"/>
          </w:rPr>
          <w:t>https://doi.org/10.54097/99hc1323</w:t>
        </w:r>
      </w:hyperlink>
      <w:r w:rsidRPr="00F75FC7">
        <w:rPr>
          <w:rFonts w:ascii="Times New Roman" w:eastAsia="Times New Roman" w:hAnsi="Times New Roman" w:cs="Times New Roman"/>
          <w:kern w:val="0"/>
          <w:lang w:eastAsia="en-IN"/>
          <w14:ligatures w14:val="none"/>
        </w:rPr>
        <w:t xml:space="preserve">. </w:t>
      </w:r>
    </w:p>
    <w:p w14:paraId="4067C74A" w14:textId="77777777" w:rsidR="00BC480F" w:rsidRPr="0062680F" w:rsidRDefault="00BC480F" w:rsidP="00BC480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68552FF5" w14:textId="77777777" w:rsidR="00BC480F"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p>
    <w:p w14:paraId="271DAE2F" w14:textId="77777777" w:rsidR="00BC480F" w:rsidRPr="00D95CEE" w:rsidRDefault="00BC480F" w:rsidP="00BC480F">
      <w:pPr>
        <w:spacing w:before="100" w:beforeAutospacing="1" w:after="100" w:afterAutospacing="1" w:line="360" w:lineRule="auto"/>
        <w:jc w:val="both"/>
        <w:rPr>
          <w:rFonts w:ascii="Times New Roman" w:eastAsia="Times New Roman" w:hAnsi="Times New Roman" w:cs="Times New Roman"/>
          <w:b/>
          <w:bCs/>
          <w:kern w:val="0"/>
          <w:lang w:eastAsia="en-IN"/>
          <w14:ligatures w14:val="none"/>
        </w:rPr>
      </w:pPr>
    </w:p>
    <w:p w14:paraId="2023226A" w14:textId="77777777" w:rsidR="00C22E7C" w:rsidRDefault="00C22E7C"/>
    <w:sectPr w:rsidR="00C22E7C" w:rsidSect="00BC480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6A0EB9"/>
    <w:multiLevelType w:val="hybridMultilevel"/>
    <w:tmpl w:val="DDDE0D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35856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80F"/>
    <w:rsid w:val="007F1214"/>
    <w:rsid w:val="00926F2A"/>
    <w:rsid w:val="00BC480F"/>
    <w:rsid w:val="00C22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CB609"/>
  <w15:chartTrackingRefBased/>
  <w15:docId w15:val="{CA9533C8-A824-4533-8012-A77DD690D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80F"/>
    <w:pPr>
      <w:spacing w:line="278" w:lineRule="auto"/>
    </w:pPr>
    <w:rPr>
      <w:sz w:val="24"/>
      <w:szCs w:val="24"/>
      <w:lang w:val="en-IN"/>
    </w:rPr>
  </w:style>
  <w:style w:type="paragraph" w:styleId="Heading1">
    <w:name w:val="heading 1"/>
    <w:basedOn w:val="Normal"/>
    <w:next w:val="Normal"/>
    <w:link w:val="Heading1Char"/>
    <w:uiPriority w:val="9"/>
    <w:qFormat/>
    <w:rsid w:val="00BC48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48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8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8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8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8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8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8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8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8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48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8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8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8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8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8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8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80F"/>
    <w:rPr>
      <w:rFonts w:eastAsiaTheme="majorEastAsia" w:cstheme="majorBidi"/>
      <w:color w:val="272727" w:themeColor="text1" w:themeTint="D8"/>
    </w:rPr>
  </w:style>
  <w:style w:type="paragraph" w:styleId="Title">
    <w:name w:val="Title"/>
    <w:basedOn w:val="Normal"/>
    <w:next w:val="Normal"/>
    <w:link w:val="TitleChar"/>
    <w:uiPriority w:val="10"/>
    <w:qFormat/>
    <w:rsid w:val="00BC48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8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8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8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80F"/>
    <w:pPr>
      <w:spacing w:before="160"/>
      <w:jc w:val="center"/>
    </w:pPr>
    <w:rPr>
      <w:i/>
      <w:iCs/>
      <w:color w:val="404040" w:themeColor="text1" w:themeTint="BF"/>
    </w:rPr>
  </w:style>
  <w:style w:type="character" w:customStyle="1" w:styleId="QuoteChar">
    <w:name w:val="Quote Char"/>
    <w:basedOn w:val="DefaultParagraphFont"/>
    <w:link w:val="Quote"/>
    <w:uiPriority w:val="29"/>
    <w:rsid w:val="00BC480F"/>
    <w:rPr>
      <w:i/>
      <w:iCs/>
      <w:color w:val="404040" w:themeColor="text1" w:themeTint="BF"/>
    </w:rPr>
  </w:style>
  <w:style w:type="paragraph" w:styleId="ListParagraph">
    <w:name w:val="List Paragraph"/>
    <w:basedOn w:val="Normal"/>
    <w:uiPriority w:val="34"/>
    <w:qFormat/>
    <w:rsid w:val="00BC480F"/>
    <w:pPr>
      <w:ind w:left="720"/>
      <w:contextualSpacing/>
    </w:pPr>
  </w:style>
  <w:style w:type="character" w:styleId="IntenseEmphasis">
    <w:name w:val="Intense Emphasis"/>
    <w:basedOn w:val="DefaultParagraphFont"/>
    <w:uiPriority w:val="21"/>
    <w:qFormat/>
    <w:rsid w:val="00BC480F"/>
    <w:rPr>
      <w:i/>
      <w:iCs/>
      <w:color w:val="0F4761" w:themeColor="accent1" w:themeShade="BF"/>
    </w:rPr>
  </w:style>
  <w:style w:type="paragraph" w:styleId="IntenseQuote">
    <w:name w:val="Intense Quote"/>
    <w:basedOn w:val="Normal"/>
    <w:next w:val="Normal"/>
    <w:link w:val="IntenseQuoteChar"/>
    <w:uiPriority w:val="30"/>
    <w:qFormat/>
    <w:rsid w:val="00BC48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80F"/>
    <w:rPr>
      <w:i/>
      <w:iCs/>
      <w:color w:val="0F4761" w:themeColor="accent1" w:themeShade="BF"/>
    </w:rPr>
  </w:style>
  <w:style w:type="character" w:styleId="IntenseReference">
    <w:name w:val="Intense Reference"/>
    <w:basedOn w:val="DefaultParagraphFont"/>
    <w:uiPriority w:val="32"/>
    <w:qFormat/>
    <w:rsid w:val="00BC480F"/>
    <w:rPr>
      <w:b/>
      <w:bCs/>
      <w:smallCaps/>
      <w:color w:val="0F4761" w:themeColor="accent1" w:themeShade="BF"/>
      <w:spacing w:val="5"/>
    </w:rPr>
  </w:style>
  <w:style w:type="character" w:styleId="Hyperlink">
    <w:name w:val="Hyperlink"/>
    <w:basedOn w:val="DefaultParagraphFont"/>
    <w:uiPriority w:val="99"/>
    <w:unhideWhenUsed/>
    <w:rsid w:val="00BC480F"/>
    <w:rPr>
      <w:color w:val="467886" w:themeColor="hyperlink"/>
      <w:u w:val="single"/>
    </w:rPr>
  </w:style>
  <w:style w:type="paragraph" w:styleId="TOCHeading">
    <w:name w:val="TOC Heading"/>
    <w:basedOn w:val="Heading1"/>
    <w:next w:val="Normal"/>
    <w:uiPriority w:val="39"/>
    <w:unhideWhenUsed/>
    <w:qFormat/>
    <w:rsid w:val="00BC480F"/>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BC480F"/>
    <w:pPr>
      <w:spacing w:after="100"/>
      <w:ind w:left="240"/>
    </w:pPr>
  </w:style>
  <w:style w:type="paragraph" w:styleId="TOC1">
    <w:name w:val="toc 1"/>
    <w:basedOn w:val="Normal"/>
    <w:next w:val="Normal"/>
    <w:autoRedefine/>
    <w:uiPriority w:val="39"/>
    <w:unhideWhenUsed/>
    <w:rsid w:val="00BC48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eternus.rs/driving-innovation-teslas-marketing-strategy-and-its-impact-on-electric-vehicle-adoption/" TargetMode="External"/><Relationship Id="rId13" Type="http://schemas.openxmlformats.org/officeDocument/2006/relationships/hyperlink" Target="https://www.iea.org/reports/global-ev-outlook-2024" TargetMode="External"/><Relationship Id="rId18" Type="http://schemas.openxmlformats.org/officeDocument/2006/relationships/hyperlink" Target="https://doi.org/10.54097/99hc1323" TargetMode="External"/><Relationship Id="rId3" Type="http://schemas.openxmlformats.org/officeDocument/2006/relationships/settings" Target="settings.xml"/><Relationship Id="rId7" Type="http://schemas.openxmlformats.org/officeDocument/2006/relationships/hyperlink" Target="https://www.7boats.com/academy/fords-marketing-strategy/" TargetMode="External"/><Relationship Id="rId12" Type="http://schemas.openxmlformats.org/officeDocument/2006/relationships/hyperlink" Target="https://doi.org/10.54097/es6rry79" TargetMode="External"/><Relationship Id="rId17" Type="http://schemas.openxmlformats.org/officeDocument/2006/relationships/hyperlink" Target="https://www.george-business-review.com/external-and-internal-environment-analysis-and-marketing-strategies-of-ford/" TargetMode="External"/><Relationship Id="rId2" Type="http://schemas.openxmlformats.org/officeDocument/2006/relationships/styles" Target="styles.xml"/><Relationship Id="rId16" Type="http://schemas.openxmlformats.org/officeDocument/2006/relationships/hyperlink" Target="https://bettermarketing.pub/6-lessons-from-teslas-clever-marketing-strategy-on-satisfying-customers-631632f2555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mdpi.com/2032-6653/16/10/574" TargetMode="External"/><Relationship Id="rId5" Type="http://schemas.openxmlformats.org/officeDocument/2006/relationships/image" Target="media/image1.jpeg"/><Relationship Id="rId15" Type="http://schemas.openxmlformats.org/officeDocument/2006/relationships/hyperlink" Target="https://www.mdpi.com/2079-8954/13/4/262" TargetMode="External"/><Relationship Id="rId10" Type="http://schemas.openxmlformats.org/officeDocument/2006/relationships/hyperlink" Target="https://www.dysrupt.com/thought-leadership/teslas-ingenious-marketing-strategy-a-masterclass-in-brand-building-and-consumer-engage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345228131_Marketing_and_Digital_Future_-_Ford_Motor_Company" TargetMode="External"/><Relationship Id="rId14" Type="http://schemas.openxmlformats.org/officeDocument/2006/relationships/hyperlink" Target="https://ijhssm.org/issue_dcp/FORD%20An%20Approach%20to%20the%20Organization%20Mod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3674</Words>
  <Characters>20942</Characters>
  <Application>Microsoft Office Word</Application>
  <DocSecurity>0</DocSecurity>
  <Lines>174</Lines>
  <Paragraphs>49</Paragraphs>
  <ScaleCrop>false</ScaleCrop>
  <Company/>
  <LinksUpToDate>false</LinksUpToDate>
  <CharactersWithSpaces>24567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Prahar shah</dc:creator>
  <cp:keywords/>
  <dc:description/>
  <cp:lastModifiedBy>Prahar shah</cp:lastModifiedBy>
  <cp:revision>1</cp:revision>
  <dcterms:created xsi:type="dcterms:W3CDTF">2026-02-27T12:12:00Z</dcterms:created>
  <dcterms:modified xsi:type="dcterms:W3CDTF">2026-02-27T12:22:00Z</dcterms:modified>
</cp:coreProperties>
</file>