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E5FE90" w14:textId="0208821B" w:rsidR="00BE32D1" w:rsidRDefault="00D558B0" w:rsidP="0036443A">
      <w:pPr>
        <w:spacing w:before="2000" w:line="360" w:lineRule="auto"/>
        <w:rPr>
          <w:color w:val="000000" w:themeColor="text1"/>
          <w:sz w:val="22"/>
          <w:szCs w:val="22"/>
        </w:rPr>
      </w:pPr>
      <w:r>
        <w:rPr>
          <w:noProof/>
        </w:rPr>
        <w:drawing>
          <wp:anchor distT="0" distB="0" distL="114300" distR="114300" simplePos="0" relativeHeight="251658240" behindDoc="1" locked="0" layoutInCell="1" allowOverlap="1" wp14:anchorId="0162C14A" wp14:editId="75B1E042">
            <wp:simplePos x="0" y="0"/>
            <wp:positionH relativeFrom="column">
              <wp:posOffset>1570551</wp:posOffset>
            </wp:positionH>
            <wp:positionV relativeFrom="paragraph">
              <wp:posOffset>1336040</wp:posOffset>
            </wp:positionV>
            <wp:extent cx="2619375" cy="1165894"/>
            <wp:effectExtent l="0" t="0" r="0" b="2540"/>
            <wp:wrapNone/>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14:sizeRelH relativeFrom="page">
              <wp14:pctWidth>0</wp14:pctWidth>
            </wp14:sizeRelH>
            <wp14:sizeRelV relativeFrom="page">
              <wp14:pctHeight>0</wp14:pctHeight>
            </wp14:sizeRelV>
          </wp:anchor>
        </w:drawing>
      </w:r>
    </w:p>
    <w:p w14:paraId="2B59515D" w14:textId="203A923A" w:rsidR="009F2B4F" w:rsidRDefault="009F2B4F" w:rsidP="0036443A">
      <w:pPr>
        <w:spacing w:before="2000" w:line="360" w:lineRule="auto"/>
        <w:rPr>
          <w:color w:val="000000" w:themeColor="text1"/>
          <w:sz w:val="22"/>
          <w:szCs w:val="22"/>
        </w:rPr>
      </w:pPr>
    </w:p>
    <w:p w14:paraId="51BE222F" w14:textId="77777777" w:rsidR="009F2B4F" w:rsidRPr="0036443A" w:rsidRDefault="009F2B4F" w:rsidP="0036443A">
      <w:pPr>
        <w:spacing w:before="2000" w:line="360" w:lineRule="auto"/>
        <w:rPr>
          <w:color w:val="000000" w:themeColor="text1"/>
          <w:sz w:val="22"/>
          <w:szCs w:val="22"/>
        </w:rPr>
      </w:pPr>
    </w:p>
    <w:p w14:paraId="05639237" w14:textId="77777777" w:rsidR="00BE32D1" w:rsidRPr="0036443A" w:rsidRDefault="00000000" w:rsidP="0036443A">
      <w:pPr>
        <w:spacing w:after="600" w:line="360" w:lineRule="auto"/>
        <w:jc w:val="center"/>
        <w:rPr>
          <w:color w:val="000000" w:themeColor="text1"/>
          <w:sz w:val="22"/>
          <w:szCs w:val="22"/>
        </w:rPr>
      </w:pPr>
      <w:r w:rsidRPr="0036443A">
        <w:rPr>
          <w:rFonts w:ascii="Arial" w:eastAsia="Arial" w:hAnsi="Arial" w:cs="Arial"/>
          <w:b/>
          <w:bCs/>
          <w:color w:val="000000" w:themeColor="text1"/>
          <w:sz w:val="22"/>
          <w:szCs w:val="22"/>
        </w:rPr>
        <w:t>Evaluating Person-Centred Care and Partnership Working in Maternity Services</w:t>
      </w:r>
    </w:p>
    <w:p w14:paraId="57ECE86C" w14:textId="0BD24ED4" w:rsidR="00BE32D1" w:rsidRPr="0036443A" w:rsidRDefault="0036443A" w:rsidP="0036443A">
      <w:pPr>
        <w:spacing w:after="200" w:line="360" w:lineRule="auto"/>
        <w:jc w:val="center"/>
        <w:rPr>
          <w:color w:val="000000" w:themeColor="text1"/>
          <w:sz w:val="22"/>
          <w:szCs w:val="22"/>
        </w:rPr>
      </w:pPr>
      <w:r w:rsidRPr="0036443A">
        <w:rPr>
          <w:rFonts w:ascii="Arial" w:eastAsia="Arial" w:hAnsi="Arial" w:cs="Arial"/>
          <w:color w:val="000000" w:themeColor="text1"/>
          <w:sz w:val="22"/>
          <w:szCs w:val="22"/>
        </w:rPr>
        <w:t>Lamaiya Smith</w:t>
      </w:r>
    </w:p>
    <w:p w14:paraId="369D6A07" w14:textId="4D817631" w:rsidR="00BE32D1" w:rsidRPr="0036443A" w:rsidRDefault="00000000" w:rsidP="0036443A">
      <w:pPr>
        <w:spacing w:after="200" w:line="360" w:lineRule="auto"/>
        <w:jc w:val="center"/>
        <w:rPr>
          <w:color w:val="000000" w:themeColor="text1"/>
          <w:sz w:val="22"/>
          <w:szCs w:val="22"/>
        </w:rPr>
      </w:pPr>
      <w:r w:rsidRPr="0036443A">
        <w:rPr>
          <w:rFonts w:ascii="Arial" w:eastAsia="Arial" w:hAnsi="Arial" w:cs="Arial"/>
          <w:color w:val="000000" w:themeColor="text1"/>
          <w:sz w:val="22"/>
          <w:szCs w:val="22"/>
        </w:rPr>
        <w:t xml:space="preserve">Student Number: </w:t>
      </w:r>
      <w:r w:rsidR="0036443A" w:rsidRPr="0036443A">
        <w:rPr>
          <w:rFonts w:ascii="Arial" w:eastAsia="Arial" w:hAnsi="Arial" w:cs="Arial"/>
          <w:color w:val="000000" w:themeColor="text1"/>
          <w:sz w:val="22"/>
          <w:szCs w:val="22"/>
        </w:rPr>
        <w:t>1815074</w:t>
      </w:r>
    </w:p>
    <w:p w14:paraId="4FF94C82" w14:textId="77777777" w:rsidR="00BE32D1" w:rsidRPr="0036443A" w:rsidRDefault="00000000" w:rsidP="0036443A">
      <w:pPr>
        <w:spacing w:after="200" w:line="360" w:lineRule="auto"/>
        <w:jc w:val="center"/>
        <w:rPr>
          <w:color w:val="000000" w:themeColor="text1"/>
          <w:sz w:val="22"/>
          <w:szCs w:val="22"/>
        </w:rPr>
      </w:pPr>
      <w:r w:rsidRPr="0036443A">
        <w:rPr>
          <w:rFonts w:ascii="Arial" w:eastAsia="Arial" w:hAnsi="Arial" w:cs="Arial"/>
          <w:color w:val="000000" w:themeColor="text1"/>
          <w:sz w:val="22"/>
          <w:szCs w:val="22"/>
        </w:rPr>
        <w:t>Module: BMHP5016 – Principles of Health and Social Care Practice</w:t>
      </w:r>
    </w:p>
    <w:p w14:paraId="29F8F962" w14:textId="77777777" w:rsidR="00BE32D1" w:rsidRPr="0036443A" w:rsidRDefault="00000000" w:rsidP="0036443A">
      <w:pPr>
        <w:spacing w:after="200" w:line="360" w:lineRule="auto"/>
        <w:jc w:val="center"/>
        <w:rPr>
          <w:color w:val="000000" w:themeColor="text1"/>
          <w:sz w:val="22"/>
          <w:szCs w:val="22"/>
        </w:rPr>
      </w:pPr>
      <w:r w:rsidRPr="0036443A">
        <w:rPr>
          <w:rFonts w:ascii="Arial" w:eastAsia="Arial" w:hAnsi="Arial" w:cs="Arial"/>
          <w:color w:val="000000" w:themeColor="text1"/>
          <w:sz w:val="22"/>
          <w:szCs w:val="22"/>
        </w:rPr>
        <w:t>Assignment: Component 2 – Written Assignment (Report)</w:t>
      </w:r>
    </w:p>
    <w:p w14:paraId="0F78FF71" w14:textId="77777777" w:rsidR="00BE32D1" w:rsidRPr="0036443A" w:rsidRDefault="00000000">
      <w:pPr>
        <w:rPr>
          <w:color w:val="000000" w:themeColor="text1"/>
        </w:rPr>
      </w:pPr>
      <w:r w:rsidRPr="0036443A">
        <w:rPr>
          <w:color w:val="000000" w:themeColor="text1"/>
        </w:rPr>
        <w:br w:type="page"/>
      </w:r>
    </w:p>
    <w:p w14:paraId="2FEC5689" w14:textId="77777777" w:rsidR="00BE32D1" w:rsidRPr="0036443A" w:rsidRDefault="00000000">
      <w:pPr>
        <w:pStyle w:val="Heading1"/>
        <w:spacing w:before="200" w:after="300"/>
        <w:rPr>
          <w:color w:val="000000" w:themeColor="text1"/>
        </w:rPr>
      </w:pPr>
      <w:bookmarkStart w:id="0" w:name="_Toc235955205"/>
      <w:r w:rsidRPr="0036443A">
        <w:rPr>
          <w:rFonts w:ascii="Arial" w:eastAsia="Arial" w:hAnsi="Arial" w:cs="Arial"/>
          <w:b/>
          <w:bCs/>
          <w:color w:val="000000" w:themeColor="text1"/>
          <w:sz w:val="26"/>
          <w:szCs w:val="26"/>
        </w:rPr>
        <w:lastRenderedPageBreak/>
        <w:t>Contents</w:t>
      </w:r>
      <w:bookmarkEnd w:id="0"/>
    </w:p>
    <w:sdt>
      <w:sdtPr>
        <w:rPr>
          <w:color w:val="000000" w:themeColor="text1"/>
        </w:rPr>
        <w:alias w:val="Contents"/>
        <w:id w:val="-2054608928"/>
      </w:sdtPr>
      <w:sdtContent>
        <w:p w14:paraId="18C0A05C" w14:textId="34B839B3" w:rsidR="008D425B" w:rsidRPr="0036443A" w:rsidRDefault="00000000" w:rsidP="0036443A">
          <w:pPr>
            <w:pStyle w:val="TOC1"/>
            <w:rPr>
              <w:noProof/>
              <w:color w:val="000000" w:themeColor="text1"/>
            </w:rPr>
          </w:pPr>
          <w:r w:rsidRPr="0036443A">
            <w:rPr>
              <w:color w:val="000000" w:themeColor="text1"/>
            </w:rPr>
            <w:fldChar w:fldCharType="begin"/>
          </w:r>
          <w:r w:rsidRPr="0036443A">
            <w:rPr>
              <w:color w:val="000000" w:themeColor="text1"/>
            </w:rPr>
            <w:instrText>TOC \h \o "1-1"</w:instrText>
          </w:r>
          <w:r w:rsidRPr="0036443A">
            <w:rPr>
              <w:color w:val="000000" w:themeColor="text1"/>
            </w:rPr>
            <w:fldChar w:fldCharType="separate"/>
          </w:r>
          <w:hyperlink w:anchor="_Toc235955205" w:history="1">
            <w:r w:rsidR="008D425B" w:rsidRPr="0036443A">
              <w:rPr>
                <w:rStyle w:val="Hyperlink"/>
                <w:rFonts w:ascii="Arial" w:eastAsia="Arial" w:hAnsi="Arial" w:cs="Arial"/>
                <w:b/>
                <w:bCs/>
                <w:noProof/>
                <w:color w:val="000000" w:themeColor="text1"/>
              </w:rPr>
              <w:t>Contents</w:t>
            </w:r>
            <w:r w:rsidR="008D425B" w:rsidRPr="0036443A">
              <w:rPr>
                <w:noProof/>
                <w:color w:val="000000" w:themeColor="text1"/>
              </w:rPr>
              <w:tab/>
            </w:r>
            <w:r w:rsidR="008D425B" w:rsidRPr="0036443A">
              <w:rPr>
                <w:noProof/>
                <w:color w:val="000000" w:themeColor="text1"/>
              </w:rPr>
              <w:fldChar w:fldCharType="begin"/>
            </w:r>
            <w:r w:rsidR="008D425B" w:rsidRPr="0036443A">
              <w:rPr>
                <w:noProof/>
                <w:color w:val="000000" w:themeColor="text1"/>
              </w:rPr>
              <w:instrText xml:space="preserve"> PAGEREF _Toc235955205 \h </w:instrText>
            </w:r>
            <w:r w:rsidR="008D425B" w:rsidRPr="0036443A">
              <w:rPr>
                <w:noProof/>
                <w:color w:val="000000" w:themeColor="text1"/>
              </w:rPr>
            </w:r>
            <w:r w:rsidR="008D425B" w:rsidRPr="0036443A">
              <w:rPr>
                <w:noProof/>
                <w:color w:val="000000" w:themeColor="text1"/>
              </w:rPr>
              <w:fldChar w:fldCharType="separate"/>
            </w:r>
            <w:r w:rsidR="00D558B0">
              <w:rPr>
                <w:noProof/>
                <w:color w:val="000000" w:themeColor="text1"/>
              </w:rPr>
              <w:t>2</w:t>
            </w:r>
            <w:r w:rsidR="008D425B" w:rsidRPr="0036443A">
              <w:rPr>
                <w:noProof/>
                <w:color w:val="000000" w:themeColor="text1"/>
              </w:rPr>
              <w:fldChar w:fldCharType="end"/>
            </w:r>
          </w:hyperlink>
        </w:p>
        <w:p w14:paraId="30D4B40D" w14:textId="4A99EAA8" w:rsidR="008D425B" w:rsidRPr="0036443A" w:rsidRDefault="008D425B" w:rsidP="0036443A">
          <w:pPr>
            <w:pStyle w:val="TOC1"/>
            <w:rPr>
              <w:noProof/>
              <w:color w:val="000000" w:themeColor="text1"/>
            </w:rPr>
          </w:pPr>
          <w:hyperlink w:anchor="_Toc235955206" w:history="1">
            <w:r w:rsidRPr="0036443A">
              <w:rPr>
                <w:rStyle w:val="Hyperlink"/>
                <w:rFonts w:ascii="Arial" w:eastAsia="Arial" w:hAnsi="Arial" w:cs="Arial"/>
                <w:b/>
                <w:bCs/>
                <w:noProof/>
                <w:color w:val="000000" w:themeColor="text1"/>
              </w:rPr>
              <w:t>Abstract</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_Toc235955206 \h </w:instrText>
            </w:r>
            <w:r w:rsidRPr="0036443A">
              <w:rPr>
                <w:noProof/>
                <w:color w:val="000000" w:themeColor="text1"/>
              </w:rPr>
            </w:r>
            <w:r w:rsidRPr="0036443A">
              <w:rPr>
                <w:noProof/>
                <w:color w:val="000000" w:themeColor="text1"/>
              </w:rPr>
              <w:fldChar w:fldCharType="separate"/>
            </w:r>
            <w:r w:rsidR="00D558B0">
              <w:rPr>
                <w:noProof/>
                <w:color w:val="000000" w:themeColor="text1"/>
              </w:rPr>
              <w:t>3</w:t>
            </w:r>
            <w:r w:rsidRPr="0036443A">
              <w:rPr>
                <w:noProof/>
                <w:color w:val="000000" w:themeColor="text1"/>
              </w:rPr>
              <w:fldChar w:fldCharType="end"/>
            </w:r>
          </w:hyperlink>
        </w:p>
        <w:p w14:paraId="6B0C2D43" w14:textId="66499285" w:rsidR="008D425B" w:rsidRPr="0036443A" w:rsidRDefault="008D425B" w:rsidP="0036443A">
          <w:pPr>
            <w:pStyle w:val="TOC1"/>
            <w:rPr>
              <w:noProof/>
              <w:color w:val="000000" w:themeColor="text1"/>
            </w:rPr>
          </w:pPr>
          <w:hyperlink w:anchor="_Toc235955207" w:history="1">
            <w:r w:rsidRPr="0036443A">
              <w:rPr>
                <w:rStyle w:val="Hyperlink"/>
                <w:rFonts w:ascii="Arial" w:eastAsia="Arial" w:hAnsi="Arial" w:cs="Arial"/>
                <w:b/>
                <w:bCs/>
                <w:noProof/>
                <w:color w:val="000000" w:themeColor="text1"/>
              </w:rPr>
              <w:t>Introduction</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_Toc235955207 \h </w:instrText>
            </w:r>
            <w:r w:rsidRPr="0036443A">
              <w:rPr>
                <w:noProof/>
                <w:color w:val="000000" w:themeColor="text1"/>
              </w:rPr>
            </w:r>
            <w:r w:rsidRPr="0036443A">
              <w:rPr>
                <w:noProof/>
                <w:color w:val="000000" w:themeColor="text1"/>
              </w:rPr>
              <w:fldChar w:fldCharType="separate"/>
            </w:r>
            <w:r w:rsidR="00D558B0">
              <w:rPr>
                <w:noProof/>
                <w:color w:val="000000" w:themeColor="text1"/>
              </w:rPr>
              <w:t>3</w:t>
            </w:r>
            <w:r w:rsidRPr="0036443A">
              <w:rPr>
                <w:noProof/>
                <w:color w:val="000000" w:themeColor="text1"/>
              </w:rPr>
              <w:fldChar w:fldCharType="end"/>
            </w:r>
          </w:hyperlink>
        </w:p>
        <w:p w14:paraId="4D315BAD" w14:textId="64FF1A42" w:rsidR="008D425B" w:rsidRPr="0036443A" w:rsidRDefault="008D425B" w:rsidP="0036443A">
          <w:pPr>
            <w:pStyle w:val="TOC1"/>
            <w:rPr>
              <w:noProof/>
              <w:color w:val="000000" w:themeColor="text1"/>
            </w:rPr>
          </w:pPr>
          <w:hyperlink w:anchor="_Toc235955208" w:history="1">
            <w:r w:rsidRPr="0036443A">
              <w:rPr>
                <w:rStyle w:val="Hyperlink"/>
                <w:rFonts w:ascii="Arial" w:eastAsia="Arial" w:hAnsi="Arial" w:cs="Arial"/>
                <w:b/>
                <w:bCs/>
                <w:noProof/>
                <w:color w:val="000000" w:themeColor="text1"/>
              </w:rPr>
              <w:t>Definition of Person-Centred Care</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_Toc235955208 \h </w:instrText>
            </w:r>
            <w:r w:rsidRPr="0036443A">
              <w:rPr>
                <w:noProof/>
                <w:color w:val="000000" w:themeColor="text1"/>
              </w:rPr>
            </w:r>
            <w:r w:rsidRPr="0036443A">
              <w:rPr>
                <w:noProof/>
                <w:color w:val="000000" w:themeColor="text1"/>
              </w:rPr>
              <w:fldChar w:fldCharType="separate"/>
            </w:r>
            <w:r w:rsidR="00D558B0">
              <w:rPr>
                <w:noProof/>
                <w:color w:val="000000" w:themeColor="text1"/>
              </w:rPr>
              <w:t>3</w:t>
            </w:r>
            <w:r w:rsidRPr="0036443A">
              <w:rPr>
                <w:noProof/>
                <w:color w:val="000000" w:themeColor="text1"/>
              </w:rPr>
              <w:fldChar w:fldCharType="end"/>
            </w:r>
          </w:hyperlink>
        </w:p>
        <w:p w14:paraId="7996CABE" w14:textId="5D97F877" w:rsidR="008D425B" w:rsidRPr="0036443A" w:rsidRDefault="008D425B" w:rsidP="0036443A">
          <w:pPr>
            <w:pStyle w:val="TOC1"/>
            <w:rPr>
              <w:noProof/>
              <w:color w:val="000000" w:themeColor="text1"/>
            </w:rPr>
          </w:pPr>
          <w:hyperlink w:anchor="_Toc235955209" w:history="1">
            <w:r w:rsidRPr="0036443A">
              <w:rPr>
                <w:rStyle w:val="Hyperlink"/>
                <w:rFonts w:ascii="Arial" w:eastAsia="Arial" w:hAnsi="Arial" w:cs="Arial"/>
                <w:b/>
                <w:bCs/>
                <w:noProof/>
                <w:color w:val="000000" w:themeColor="text1"/>
              </w:rPr>
              <w:t>Bronfenbrenner's Ecological Systems Theory</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_Toc235955209 \h </w:instrText>
            </w:r>
            <w:r w:rsidRPr="0036443A">
              <w:rPr>
                <w:noProof/>
                <w:color w:val="000000" w:themeColor="text1"/>
              </w:rPr>
            </w:r>
            <w:r w:rsidRPr="0036443A">
              <w:rPr>
                <w:noProof/>
                <w:color w:val="000000" w:themeColor="text1"/>
              </w:rPr>
              <w:fldChar w:fldCharType="separate"/>
            </w:r>
            <w:r w:rsidR="00D558B0">
              <w:rPr>
                <w:noProof/>
                <w:color w:val="000000" w:themeColor="text1"/>
              </w:rPr>
              <w:t>4</w:t>
            </w:r>
            <w:r w:rsidRPr="0036443A">
              <w:rPr>
                <w:noProof/>
                <w:color w:val="000000" w:themeColor="text1"/>
              </w:rPr>
              <w:fldChar w:fldCharType="end"/>
            </w:r>
          </w:hyperlink>
        </w:p>
        <w:p w14:paraId="28ECE57E" w14:textId="395C71ED" w:rsidR="008D425B" w:rsidRPr="0036443A" w:rsidRDefault="008D425B" w:rsidP="0036443A">
          <w:pPr>
            <w:pStyle w:val="TOC1"/>
            <w:rPr>
              <w:noProof/>
              <w:color w:val="000000" w:themeColor="text1"/>
            </w:rPr>
          </w:pPr>
          <w:hyperlink w:anchor="_Toc235955210" w:history="1">
            <w:r w:rsidRPr="0036443A">
              <w:rPr>
                <w:rStyle w:val="Hyperlink"/>
                <w:rFonts w:ascii="Arial" w:eastAsia="Arial" w:hAnsi="Arial" w:cs="Arial"/>
                <w:b/>
                <w:bCs/>
                <w:noProof/>
                <w:color w:val="000000" w:themeColor="text1"/>
              </w:rPr>
              <w:t>Ethical Fundamentals</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_Toc235955210 \h </w:instrText>
            </w:r>
            <w:r w:rsidRPr="0036443A">
              <w:rPr>
                <w:noProof/>
                <w:color w:val="000000" w:themeColor="text1"/>
              </w:rPr>
            </w:r>
            <w:r w:rsidRPr="0036443A">
              <w:rPr>
                <w:noProof/>
                <w:color w:val="000000" w:themeColor="text1"/>
              </w:rPr>
              <w:fldChar w:fldCharType="separate"/>
            </w:r>
            <w:r w:rsidR="00D558B0">
              <w:rPr>
                <w:noProof/>
                <w:color w:val="000000" w:themeColor="text1"/>
              </w:rPr>
              <w:t>5</w:t>
            </w:r>
            <w:r w:rsidRPr="0036443A">
              <w:rPr>
                <w:noProof/>
                <w:color w:val="000000" w:themeColor="text1"/>
              </w:rPr>
              <w:fldChar w:fldCharType="end"/>
            </w:r>
          </w:hyperlink>
        </w:p>
        <w:p w14:paraId="232CE007" w14:textId="42F99AB2" w:rsidR="008D425B" w:rsidRPr="0036443A" w:rsidRDefault="008D425B" w:rsidP="0036443A">
          <w:pPr>
            <w:pStyle w:val="TOC1"/>
            <w:rPr>
              <w:noProof/>
              <w:color w:val="000000" w:themeColor="text1"/>
            </w:rPr>
          </w:pPr>
          <w:hyperlink w:anchor="_Toc235955211" w:history="1">
            <w:r w:rsidRPr="0036443A">
              <w:rPr>
                <w:rStyle w:val="Hyperlink"/>
                <w:rFonts w:ascii="Arial" w:eastAsia="Arial" w:hAnsi="Arial" w:cs="Arial"/>
                <w:b/>
                <w:bCs/>
                <w:noProof/>
                <w:color w:val="000000" w:themeColor="text1"/>
              </w:rPr>
              <w:t>Evaluation of Partnership Working</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_Toc235955211 \h </w:instrText>
            </w:r>
            <w:r w:rsidRPr="0036443A">
              <w:rPr>
                <w:noProof/>
                <w:color w:val="000000" w:themeColor="text1"/>
              </w:rPr>
            </w:r>
            <w:r w:rsidRPr="0036443A">
              <w:rPr>
                <w:noProof/>
                <w:color w:val="000000" w:themeColor="text1"/>
              </w:rPr>
              <w:fldChar w:fldCharType="separate"/>
            </w:r>
            <w:r w:rsidR="00D558B0">
              <w:rPr>
                <w:noProof/>
                <w:color w:val="000000" w:themeColor="text1"/>
              </w:rPr>
              <w:t>6</w:t>
            </w:r>
            <w:r w:rsidRPr="0036443A">
              <w:rPr>
                <w:noProof/>
                <w:color w:val="000000" w:themeColor="text1"/>
              </w:rPr>
              <w:fldChar w:fldCharType="end"/>
            </w:r>
          </w:hyperlink>
        </w:p>
        <w:p w14:paraId="0B9B2A70" w14:textId="1684FBA3" w:rsidR="008D425B" w:rsidRPr="0036443A" w:rsidRDefault="008D425B" w:rsidP="0036443A">
          <w:pPr>
            <w:pStyle w:val="TOC1"/>
            <w:rPr>
              <w:noProof/>
              <w:color w:val="000000" w:themeColor="text1"/>
            </w:rPr>
          </w:pPr>
          <w:hyperlink w:anchor="_Toc235955212" w:history="1">
            <w:r w:rsidRPr="0036443A">
              <w:rPr>
                <w:rStyle w:val="Hyperlink"/>
                <w:rFonts w:ascii="Arial" w:eastAsia="Arial" w:hAnsi="Arial" w:cs="Arial"/>
                <w:b/>
                <w:bCs/>
                <w:noProof/>
                <w:color w:val="000000" w:themeColor="text1"/>
              </w:rPr>
              <w:t>Policy and Legislation</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_Toc235955212 \h </w:instrText>
            </w:r>
            <w:r w:rsidRPr="0036443A">
              <w:rPr>
                <w:noProof/>
                <w:color w:val="000000" w:themeColor="text1"/>
              </w:rPr>
            </w:r>
            <w:r w:rsidRPr="0036443A">
              <w:rPr>
                <w:noProof/>
                <w:color w:val="000000" w:themeColor="text1"/>
              </w:rPr>
              <w:fldChar w:fldCharType="separate"/>
            </w:r>
            <w:r w:rsidR="00D558B0">
              <w:rPr>
                <w:noProof/>
                <w:color w:val="000000" w:themeColor="text1"/>
              </w:rPr>
              <w:t>6</w:t>
            </w:r>
            <w:r w:rsidRPr="0036443A">
              <w:rPr>
                <w:noProof/>
                <w:color w:val="000000" w:themeColor="text1"/>
              </w:rPr>
              <w:fldChar w:fldCharType="end"/>
            </w:r>
          </w:hyperlink>
        </w:p>
        <w:p w14:paraId="5AB7BF83" w14:textId="1C07C05F" w:rsidR="008D425B" w:rsidRPr="0036443A" w:rsidRDefault="008D425B" w:rsidP="0036443A">
          <w:pPr>
            <w:pStyle w:val="TOC1"/>
            <w:rPr>
              <w:noProof/>
              <w:color w:val="000000" w:themeColor="text1"/>
            </w:rPr>
          </w:pPr>
          <w:hyperlink w:anchor="_Toc235955213" w:history="1">
            <w:r w:rsidRPr="0036443A">
              <w:rPr>
                <w:rStyle w:val="Hyperlink"/>
                <w:rFonts w:ascii="Arial" w:eastAsia="Arial" w:hAnsi="Arial" w:cs="Arial"/>
                <w:b/>
                <w:bCs/>
                <w:noProof/>
                <w:color w:val="000000" w:themeColor="text1"/>
              </w:rPr>
              <w:t>Recommendations</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_Toc235955213 \h </w:instrText>
            </w:r>
            <w:r w:rsidRPr="0036443A">
              <w:rPr>
                <w:noProof/>
                <w:color w:val="000000" w:themeColor="text1"/>
              </w:rPr>
            </w:r>
            <w:r w:rsidRPr="0036443A">
              <w:rPr>
                <w:noProof/>
                <w:color w:val="000000" w:themeColor="text1"/>
              </w:rPr>
              <w:fldChar w:fldCharType="separate"/>
            </w:r>
            <w:r w:rsidR="00D558B0">
              <w:rPr>
                <w:noProof/>
                <w:color w:val="000000" w:themeColor="text1"/>
              </w:rPr>
              <w:t>7</w:t>
            </w:r>
            <w:r w:rsidRPr="0036443A">
              <w:rPr>
                <w:noProof/>
                <w:color w:val="000000" w:themeColor="text1"/>
              </w:rPr>
              <w:fldChar w:fldCharType="end"/>
            </w:r>
          </w:hyperlink>
        </w:p>
        <w:p w14:paraId="563AE09A" w14:textId="6F53C2AE" w:rsidR="008D425B" w:rsidRPr="0036443A" w:rsidRDefault="008D425B" w:rsidP="0036443A">
          <w:pPr>
            <w:pStyle w:val="TOC1"/>
            <w:rPr>
              <w:noProof/>
              <w:color w:val="000000" w:themeColor="text1"/>
            </w:rPr>
          </w:pPr>
          <w:hyperlink w:anchor="_Toc235955214" w:history="1">
            <w:r w:rsidRPr="0036443A">
              <w:rPr>
                <w:rStyle w:val="Hyperlink"/>
                <w:rFonts w:ascii="Arial" w:eastAsia="Arial" w:hAnsi="Arial" w:cs="Arial"/>
                <w:b/>
                <w:bCs/>
                <w:noProof/>
                <w:color w:val="000000" w:themeColor="text1"/>
              </w:rPr>
              <w:t>Conclusion</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_Toc235955214 \h </w:instrText>
            </w:r>
            <w:r w:rsidRPr="0036443A">
              <w:rPr>
                <w:noProof/>
                <w:color w:val="000000" w:themeColor="text1"/>
              </w:rPr>
            </w:r>
            <w:r w:rsidRPr="0036443A">
              <w:rPr>
                <w:noProof/>
                <w:color w:val="000000" w:themeColor="text1"/>
              </w:rPr>
              <w:fldChar w:fldCharType="separate"/>
            </w:r>
            <w:r w:rsidR="00D558B0">
              <w:rPr>
                <w:noProof/>
                <w:color w:val="000000" w:themeColor="text1"/>
              </w:rPr>
              <w:t>8</w:t>
            </w:r>
            <w:r w:rsidRPr="0036443A">
              <w:rPr>
                <w:noProof/>
                <w:color w:val="000000" w:themeColor="text1"/>
              </w:rPr>
              <w:fldChar w:fldCharType="end"/>
            </w:r>
          </w:hyperlink>
        </w:p>
        <w:p w14:paraId="2BC74FE2" w14:textId="42B92645" w:rsidR="008D425B" w:rsidRPr="0036443A" w:rsidRDefault="008D425B" w:rsidP="0036443A">
          <w:pPr>
            <w:pStyle w:val="TOC1"/>
            <w:rPr>
              <w:noProof/>
              <w:color w:val="000000" w:themeColor="text1"/>
            </w:rPr>
          </w:pPr>
          <w:hyperlink w:anchor="_Toc235955215" w:history="1">
            <w:r w:rsidRPr="0036443A">
              <w:rPr>
                <w:rStyle w:val="Hyperlink"/>
                <w:rFonts w:ascii="Arial" w:eastAsia="Arial" w:hAnsi="Arial" w:cs="Arial"/>
                <w:b/>
                <w:bCs/>
                <w:noProof/>
                <w:color w:val="000000" w:themeColor="text1"/>
              </w:rPr>
              <w:t>Reference List</w:t>
            </w:r>
            <w:r w:rsidRPr="0036443A">
              <w:rPr>
                <w:noProof/>
                <w:color w:val="000000" w:themeColor="text1"/>
              </w:rPr>
              <w:tab/>
            </w:r>
            <w:r w:rsidRPr="0036443A">
              <w:rPr>
                <w:noProof/>
                <w:color w:val="000000" w:themeColor="text1"/>
              </w:rPr>
              <w:fldChar w:fldCharType="begin"/>
            </w:r>
            <w:r w:rsidRPr="0036443A">
              <w:rPr>
                <w:noProof/>
                <w:color w:val="000000" w:themeColor="text1"/>
              </w:rPr>
              <w:instrText xml:space="preserve"> PAGEREF _Toc235955215 \h </w:instrText>
            </w:r>
            <w:r w:rsidRPr="0036443A">
              <w:rPr>
                <w:noProof/>
                <w:color w:val="000000" w:themeColor="text1"/>
              </w:rPr>
            </w:r>
            <w:r w:rsidRPr="0036443A">
              <w:rPr>
                <w:noProof/>
                <w:color w:val="000000" w:themeColor="text1"/>
              </w:rPr>
              <w:fldChar w:fldCharType="separate"/>
            </w:r>
            <w:r w:rsidR="00D558B0">
              <w:rPr>
                <w:noProof/>
                <w:color w:val="000000" w:themeColor="text1"/>
              </w:rPr>
              <w:t>9</w:t>
            </w:r>
            <w:r w:rsidRPr="0036443A">
              <w:rPr>
                <w:noProof/>
                <w:color w:val="000000" w:themeColor="text1"/>
              </w:rPr>
              <w:fldChar w:fldCharType="end"/>
            </w:r>
          </w:hyperlink>
        </w:p>
        <w:p w14:paraId="18506613" w14:textId="77777777" w:rsidR="00BE32D1" w:rsidRPr="0036443A" w:rsidRDefault="00000000">
          <w:pPr>
            <w:rPr>
              <w:color w:val="000000" w:themeColor="text1"/>
            </w:rPr>
          </w:pPr>
          <w:r w:rsidRPr="0036443A">
            <w:rPr>
              <w:color w:val="000000" w:themeColor="text1"/>
            </w:rPr>
            <w:fldChar w:fldCharType="end"/>
          </w:r>
        </w:p>
      </w:sdtContent>
    </w:sdt>
    <w:p w14:paraId="5F6899A1" w14:textId="77777777" w:rsidR="00BE32D1" w:rsidRPr="0036443A" w:rsidRDefault="00000000">
      <w:pPr>
        <w:rPr>
          <w:color w:val="000000" w:themeColor="text1"/>
        </w:rPr>
      </w:pPr>
      <w:r w:rsidRPr="0036443A">
        <w:rPr>
          <w:color w:val="000000" w:themeColor="text1"/>
        </w:rPr>
        <w:br w:type="page"/>
      </w:r>
    </w:p>
    <w:p w14:paraId="4ADA8E34" w14:textId="77777777" w:rsidR="00BE32D1" w:rsidRPr="0036443A" w:rsidRDefault="00000000" w:rsidP="0036443A">
      <w:pPr>
        <w:pStyle w:val="Heading1"/>
        <w:spacing w:before="300" w:after="150" w:line="360" w:lineRule="auto"/>
        <w:rPr>
          <w:color w:val="000000" w:themeColor="text1"/>
          <w:sz w:val="22"/>
          <w:szCs w:val="22"/>
        </w:rPr>
      </w:pPr>
      <w:bookmarkStart w:id="1" w:name="_Toc235955206"/>
      <w:r w:rsidRPr="0036443A">
        <w:rPr>
          <w:rFonts w:ascii="Arial" w:eastAsia="Arial" w:hAnsi="Arial" w:cs="Arial"/>
          <w:b/>
          <w:bCs/>
          <w:color w:val="000000" w:themeColor="text1"/>
          <w:sz w:val="22"/>
          <w:szCs w:val="22"/>
        </w:rPr>
        <w:lastRenderedPageBreak/>
        <w:t>Abstract</w:t>
      </w:r>
      <w:bookmarkEnd w:id="1"/>
    </w:p>
    <w:p w14:paraId="3D8E3D21" w14:textId="4F77DBCD" w:rsidR="00BE32D1" w:rsidRPr="0036443A" w:rsidRDefault="007100DC" w:rsidP="0036443A">
      <w:pPr>
        <w:spacing w:after="200" w:line="360" w:lineRule="auto"/>
        <w:rPr>
          <w:color w:val="000000" w:themeColor="text1"/>
          <w:sz w:val="22"/>
          <w:szCs w:val="22"/>
        </w:rPr>
      </w:pPr>
      <w:r w:rsidRPr="007100DC">
        <w:rPr>
          <w:rFonts w:ascii="Arial" w:eastAsia="Arial" w:hAnsi="Arial" w:cs="Arial"/>
          <w:color w:val="000000" w:themeColor="text1"/>
          <w:sz w:val="22"/>
          <w:szCs w:val="22"/>
        </w:rPr>
        <w:t>This report offers a critical evaluation of person-centred care (PCC) and partnership working (PW) as they operate within UK maternity services, examining the ways these two principles intersect across professional practice and health and social care policy.</w:t>
      </w:r>
      <w:r>
        <w:rPr>
          <w:rFonts w:ascii="Arial" w:eastAsia="Arial" w:hAnsi="Arial" w:cs="Arial"/>
          <w:color w:val="000000" w:themeColor="text1"/>
          <w:sz w:val="22"/>
          <w:szCs w:val="22"/>
        </w:rPr>
        <w:t xml:space="preserve"> </w:t>
      </w:r>
      <w:r w:rsidR="00000000" w:rsidRPr="0036443A">
        <w:rPr>
          <w:rFonts w:ascii="Arial" w:eastAsia="Arial" w:hAnsi="Arial" w:cs="Arial"/>
          <w:color w:val="000000" w:themeColor="text1"/>
          <w:sz w:val="22"/>
          <w:szCs w:val="22"/>
        </w:rPr>
        <w:t>Maternity services are used throughout as the practical setting for this evaluation, reflecting the multi-agency nature of care surrounding pregnancy and birth. The report defines PCC and examines its benefits and limitations for pregnant women and their families, drawing on Bronfenbrenner's ecological systems theory to explain how care is shaped by the nested relationships and systems surrounding a woman. Ethical principles of autonomy, beneficence, non-maleficence and justice are applied to maternity decision-making, alongside an evaluation of PW between midwives, obstetricians, health visitors and social care. The report finds that, while policy and legislation increasingly mandate personalised and collaborative maternity care, workforce shortages and inconsistent communication between services continue to undermine consistent delivery of both PCC and PW in practice. Evidence-based recommendations are made for strengthening continuity of carer, interprofessional communication and equitable access, while acknowledging the resourcing barriers that limit their implementation.</w:t>
      </w:r>
    </w:p>
    <w:p w14:paraId="14CBE578" w14:textId="77777777" w:rsidR="00BE32D1" w:rsidRPr="0036443A" w:rsidRDefault="00000000" w:rsidP="0036443A">
      <w:pPr>
        <w:pStyle w:val="Heading1"/>
        <w:spacing w:before="300" w:after="150" w:line="360" w:lineRule="auto"/>
        <w:rPr>
          <w:color w:val="000000" w:themeColor="text1"/>
          <w:sz w:val="22"/>
          <w:szCs w:val="22"/>
        </w:rPr>
      </w:pPr>
      <w:bookmarkStart w:id="2" w:name="_Toc235955207"/>
      <w:r w:rsidRPr="0036443A">
        <w:rPr>
          <w:rFonts w:ascii="Arial" w:eastAsia="Arial" w:hAnsi="Arial" w:cs="Arial"/>
          <w:b/>
          <w:bCs/>
          <w:color w:val="000000" w:themeColor="text1"/>
          <w:sz w:val="22"/>
          <w:szCs w:val="22"/>
        </w:rPr>
        <w:t>Introduction</w:t>
      </w:r>
      <w:bookmarkEnd w:id="2"/>
    </w:p>
    <w:p w14:paraId="6D2EF532" w14:textId="2E6528BE" w:rsidR="00BE32D1" w:rsidRPr="00355D76" w:rsidRDefault="003B1127" w:rsidP="0036443A">
      <w:pPr>
        <w:spacing w:after="200" w:line="360" w:lineRule="auto"/>
        <w:rPr>
          <w:rFonts w:ascii="Arial" w:eastAsia="Arial" w:hAnsi="Arial" w:cs="Arial"/>
          <w:color w:val="000000" w:themeColor="text1"/>
          <w:sz w:val="22"/>
          <w:szCs w:val="22"/>
        </w:rPr>
      </w:pPr>
      <w:r w:rsidRPr="003B1127">
        <w:rPr>
          <w:rFonts w:ascii="Arial" w:eastAsia="Arial" w:hAnsi="Arial" w:cs="Arial"/>
          <w:color w:val="000000" w:themeColor="text1"/>
          <w:sz w:val="22"/>
          <w:szCs w:val="22"/>
        </w:rPr>
        <w:t>Person-centred care (PCC) and partnership working (PW) form the focus of this critical evaluation, which considers how the two concepts function together within professional health and social care policy and practice.</w:t>
      </w:r>
      <w:r>
        <w:rPr>
          <w:rFonts w:ascii="Arial" w:eastAsia="Arial" w:hAnsi="Arial" w:cs="Arial"/>
          <w:color w:val="000000" w:themeColor="text1"/>
          <w:sz w:val="22"/>
          <w:szCs w:val="22"/>
        </w:rPr>
        <w:t xml:space="preserve"> </w:t>
      </w:r>
      <w:r w:rsidR="00000000" w:rsidRPr="0036443A">
        <w:rPr>
          <w:rFonts w:ascii="Arial" w:eastAsia="Arial" w:hAnsi="Arial" w:cs="Arial"/>
          <w:color w:val="000000" w:themeColor="text1"/>
          <w:sz w:val="22"/>
          <w:szCs w:val="22"/>
        </w:rPr>
        <w:t>It begins by defining PCC before turning to a relevant theoretical model, the ethical fundamentals underpinning care, and an evaluation of PW, before considering the wider policy and legislative context; the report then closes with recommendations for future development and a concluding summary. Maternity services have been selected as the practical setting referred to throughout, reflecting a field in which PCC and PW are both central to safe, effective care and are subject to ongoing scrutiny following high-profile service failures (Kirkup, 2015; Ockenden, 2022). Maternity care involves multiple professionals and agencies coordinating around a woman and her family across pregnancy, birth and the postnatal period, making it a productive lens through which to explore both concepts.</w:t>
      </w:r>
    </w:p>
    <w:p w14:paraId="3D817FBE" w14:textId="77777777" w:rsidR="00BE32D1" w:rsidRPr="0036443A" w:rsidRDefault="00000000" w:rsidP="0036443A">
      <w:pPr>
        <w:pStyle w:val="Heading1"/>
        <w:spacing w:before="300" w:after="150" w:line="360" w:lineRule="auto"/>
        <w:rPr>
          <w:color w:val="000000" w:themeColor="text1"/>
          <w:sz w:val="22"/>
          <w:szCs w:val="22"/>
        </w:rPr>
      </w:pPr>
      <w:bookmarkStart w:id="3" w:name="_Toc235955208"/>
      <w:r w:rsidRPr="0036443A">
        <w:rPr>
          <w:rFonts w:ascii="Arial" w:eastAsia="Arial" w:hAnsi="Arial" w:cs="Arial"/>
          <w:b/>
          <w:bCs/>
          <w:color w:val="000000" w:themeColor="text1"/>
          <w:sz w:val="22"/>
          <w:szCs w:val="22"/>
        </w:rPr>
        <w:t>Definition of Person-Centred Care</w:t>
      </w:r>
      <w:bookmarkEnd w:id="3"/>
    </w:p>
    <w:p w14:paraId="2C0E6A2D"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 xml:space="preserve">Person-centred care can be defined as an approach that positions the individual, rather than the condition or service, at the centre of decision-making, respecting their values, preferences and circumstances (The Health Foundation, 2016). McCormack and McCance </w:t>
      </w:r>
      <w:r w:rsidRPr="0036443A">
        <w:rPr>
          <w:rFonts w:ascii="Arial" w:eastAsia="Arial" w:hAnsi="Arial" w:cs="Arial"/>
          <w:color w:val="000000" w:themeColor="text1"/>
          <w:sz w:val="22"/>
          <w:szCs w:val="22"/>
        </w:rPr>
        <w:lastRenderedPageBreak/>
        <w:t>(2010) similarly frame PCC as care that upholds personhood through mutual respect, shared decision-making and a therapeutic relationship between practitioner and patient. In maternity services, this translates into women being supported to make informed choices about place of birth, pain relief and infant feeding, rather than being subject to routine, standardised pathways (National Maternity Review, 2016). This is reflected internationally in commitments to respectful, individualised maternity care as central to a positive childbirth experience (WHO, 2018).</w:t>
      </w:r>
    </w:p>
    <w:p w14:paraId="400C0522"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The benefits of PCC are well evidenced. Woman-centred maternity models, such as midwife-led continuity of carer, are associated with reduced intervention rates, better health outcomes and improved satisfaction (Sandall et al., 2016). More broadly, PCC has been linked to improved patient satisfaction, better adherence to care plans and stronger therapeutic relationships (The Health Foundation, 2016).</w:t>
      </w:r>
    </w:p>
    <w:p w14:paraId="282DB974"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However, PCC also carries limitations. Resource constraints, including understaffing and time pressure, can prevent practitioners from offering the individualised attention PCC requires (Renfrew et al., 2014). Organisational cultures oriented towards efficiency and risk management can also generate resistance to change, particularly where personalised choices are perceived to increase clinical or litigation risk (Kirkup, 2015). Within maternity services specifically, women with complex social circumstances, language barriers or disabilities may find PCC harder to access in practice, despite policy commitments to it, highlighting a gap between the principle and its consistent delivery (National Maternity Review, 2016).</w:t>
      </w:r>
    </w:p>
    <w:p w14:paraId="7D305148" w14:textId="79D8D7DD" w:rsidR="00BE32D1" w:rsidRPr="0036443A" w:rsidRDefault="00000000" w:rsidP="0036443A">
      <w:pPr>
        <w:pStyle w:val="Heading1"/>
        <w:spacing w:before="300" w:after="150" w:line="360" w:lineRule="auto"/>
        <w:rPr>
          <w:color w:val="000000" w:themeColor="text1"/>
          <w:sz w:val="22"/>
          <w:szCs w:val="22"/>
        </w:rPr>
      </w:pPr>
      <w:bookmarkStart w:id="4" w:name="_Toc235955209"/>
      <w:r w:rsidRPr="0036443A">
        <w:rPr>
          <w:rFonts w:ascii="Arial" w:eastAsia="Arial" w:hAnsi="Arial" w:cs="Arial"/>
          <w:b/>
          <w:bCs/>
          <w:color w:val="000000" w:themeColor="text1"/>
          <w:sz w:val="22"/>
          <w:szCs w:val="22"/>
        </w:rPr>
        <w:t>Bronfenbrenner's Ecological Systems Theory</w:t>
      </w:r>
      <w:bookmarkEnd w:id="4"/>
    </w:p>
    <w:p w14:paraId="41AB358F"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Bronfenbrenner's (1996) ecological systems theory offers a useful, if non-clinical, lens through which to understand PCC. Although developed within developmental psychology rather than health and social care, its central premise, that an individual cannot be understood in isolation from the nested systems that surround them, aligns closely with the holistic ethos underpinning PCC (Bronfenbrenner, 1994). The model identifies five interacting layers: the microsystem (immediate relationships, such as a woman, her partner and her midwife), the mesosystem (interactions between these immediate systems, such as communication between a GP and a midwife), the exosystem (settings that affect the woman indirectly, such as a partner's employment conditions), the macrosystem (the broader cultural, political and legislative context) and the chronosystem (change over time, including life transitions and policy reform).</w:t>
      </w:r>
    </w:p>
    <w:p w14:paraId="60329945"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lastRenderedPageBreak/>
        <w:t>Applied to maternity care, the model supports the principle that a woman's experience of pregnancy cannot be fully understood through clinical assessment alone; her family relationships, community resources and the wider policy environment all shape her care needs and choices (Bronfenbrenner, 1994). This directly supports PCC's emphasis on treating the whole person: a midwife practising in a person-centred way is attending to microsystem and mesosystem factors, while policy-level change (macrosystem) determines whether such practice is resourced and sustained. The model also strengthens the rationale for PW, since coordinated communication between services is essentially mesosystem-level activity. However, Tudge et al. (2009) caution that the theory is frequently applied selectively and outside its original developmental purpose, without the full model or its later emphasis on process, person, context and time being properly considered. This is a relevant limitation here, since the theory is being applied to a health and social care context rather than the child development research it was designed for, meaning it is best used alongside, rather than instead of, maternity-specific frameworks.</w:t>
      </w:r>
    </w:p>
    <w:p w14:paraId="102EE29B" w14:textId="77777777" w:rsidR="00BE32D1" w:rsidRPr="0036443A" w:rsidRDefault="00000000" w:rsidP="0036443A">
      <w:pPr>
        <w:pStyle w:val="Heading1"/>
        <w:spacing w:before="300" w:after="150" w:line="360" w:lineRule="auto"/>
        <w:rPr>
          <w:color w:val="000000" w:themeColor="text1"/>
          <w:sz w:val="22"/>
          <w:szCs w:val="22"/>
        </w:rPr>
      </w:pPr>
      <w:bookmarkStart w:id="5" w:name="_Toc235955210"/>
      <w:r w:rsidRPr="0036443A">
        <w:rPr>
          <w:rFonts w:ascii="Arial" w:eastAsia="Arial" w:hAnsi="Arial" w:cs="Arial"/>
          <w:b/>
          <w:bCs/>
          <w:color w:val="000000" w:themeColor="text1"/>
          <w:sz w:val="22"/>
          <w:szCs w:val="22"/>
        </w:rPr>
        <w:t>Ethical Fundamentals</w:t>
      </w:r>
      <w:bookmarkEnd w:id="5"/>
    </w:p>
    <w:p w14:paraId="71B8156B"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Four core principles are widely applied to ethical decision-making in health and social care: autonomy, beneficence, non-maleficence and justice (Beauchamp and Childress, 2009). Autonomy, the right of an individual to make informed decisions about their own care, is central to PCC and is explicitly protected in maternity care through informed consent around birth choices, such as place of birth or mode of delivery (NMC, 2018). Beneficence and non-maleficence, acting in the woman's best interests while avoiding harm, can create tension with autonomy where a declined intervention is perceived by clinicians as carrying risk. Such dilemmas are typically resolved not by overriding the woman's decision but through supported decision-making conversations, with the midwife documenting an informed refusal and escalating only where immediate safety is at risk (Kirkup, 2015). These principles also underpin PW, since resolving such dilemmas well depends on the whole care team communicating consistently so that a woman's wishes are respected and acted on, rather than one professional's judgement overriding another's.</w:t>
      </w:r>
    </w:p>
    <w:p w14:paraId="3E1AA428"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 xml:space="preserve">Justice requires the fair and equitable distribution of care and resources. In maternity services, this is challenged by well-documented inequalities in outcomes for women from Black and minority ethnic backgrounds and those in areas of deprivation (National Maternity Review, 2016). Applying an ethical lens alongside PCC and PW therefore requires practitioners to consider structural fairness across the population they serve, not only individual decision-making. Differing viewpoints exist here: some argue that prioritising </w:t>
      </w:r>
      <w:r w:rsidRPr="0036443A">
        <w:rPr>
          <w:rFonts w:ascii="Arial" w:eastAsia="Arial" w:hAnsi="Arial" w:cs="Arial"/>
          <w:color w:val="000000" w:themeColor="text1"/>
          <w:sz w:val="22"/>
          <w:szCs w:val="22"/>
        </w:rPr>
        <w:lastRenderedPageBreak/>
        <w:t>individual autonomy can inadvertently widen inequality if support to exercise it is not equally distributed, underscoring the interdependence of ethics, PCC and PW in maternity practice.</w:t>
      </w:r>
    </w:p>
    <w:p w14:paraId="1F1856CB" w14:textId="77777777" w:rsidR="00BE32D1" w:rsidRPr="0036443A" w:rsidRDefault="00000000" w:rsidP="0036443A">
      <w:pPr>
        <w:pStyle w:val="Heading1"/>
        <w:spacing w:before="300" w:after="150" w:line="360" w:lineRule="auto"/>
        <w:rPr>
          <w:color w:val="000000" w:themeColor="text1"/>
          <w:sz w:val="22"/>
          <w:szCs w:val="22"/>
        </w:rPr>
      </w:pPr>
      <w:bookmarkStart w:id="6" w:name="_Toc235955211"/>
      <w:r w:rsidRPr="0036443A">
        <w:rPr>
          <w:rFonts w:ascii="Arial" w:eastAsia="Arial" w:hAnsi="Arial" w:cs="Arial"/>
          <w:b/>
          <w:bCs/>
          <w:color w:val="000000" w:themeColor="text1"/>
          <w:sz w:val="22"/>
          <w:szCs w:val="22"/>
        </w:rPr>
        <w:t>Evaluation of Partnership Working</w:t>
      </w:r>
      <w:bookmarkEnd w:id="6"/>
    </w:p>
    <w:p w14:paraId="03C66F6F" w14:textId="523F1018" w:rsidR="00BE32D1" w:rsidRPr="00953EA4" w:rsidRDefault="00953EA4" w:rsidP="00953EA4">
      <w:pPr>
        <w:spacing w:line="360" w:lineRule="auto"/>
        <w:rPr>
          <w:rFonts w:ascii="Arial" w:eastAsia="Arial" w:hAnsi="Arial" w:cs="Arial"/>
          <w:color w:val="000000" w:themeColor="text1"/>
          <w:sz w:val="22"/>
          <w:szCs w:val="22"/>
        </w:rPr>
      </w:pPr>
      <w:r w:rsidRPr="00953EA4">
        <w:rPr>
          <w:rFonts w:ascii="Arial" w:eastAsia="Arial" w:hAnsi="Arial" w:cs="Arial"/>
          <w:color w:val="000000" w:themeColor="text1"/>
          <w:sz w:val="22"/>
          <w:szCs w:val="22"/>
        </w:rPr>
        <w:t>Partnership working can be understood as the collaborative, goal-directed relationships that professionals, agencies and, within health and social care, service users themselves build together (NHS England, 2019).</w:t>
      </w:r>
      <w:r>
        <w:rPr>
          <w:rFonts w:ascii="Arial" w:eastAsia="Arial" w:hAnsi="Arial" w:cs="Arial"/>
          <w:color w:val="000000" w:themeColor="text1"/>
          <w:sz w:val="22"/>
          <w:szCs w:val="22"/>
        </w:rPr>
        <w:t xml:space="preserve"> </w:t>
      </w:r>
      <w:r w:rsidR="00000000" w:rsidRPr="0036443A">
        <w:rPr>
          <w:rFonts w:ascii="Arial" w:eastAsia="Arial" w:hAnsi="Arial" w:cs="Arial"/>
          <w:color w:val="000000" w:themeColor="text1"/>
          <w:sz w:val="22"/>
          <w:szCs w:val="22"/>
        </w:rPr>
        <w:t>In maternity services, PW is essential given the number of professionals involved in a woman's care, including midwives, obstetricians, GPs, health visitors, and, where safeguarding needs arise, social workers. The introduction of Integrated Care Systems (ICSs) under the Health and Care Act 2022 formalised this approach, creating a legal duty for closer partnership working between NHS bodies and local authorities (Health and Care Act 2022).</w:t>
      </w:r>
    </w:p>
    <w:p w14:paraId="6EADA5F3" w14:textId="77777777" w:rsidR="00BE32D1" w:rsidRPr="0036443A" w:rsidRDefault="00000000" w:rsidP="00953EA4">
      <w:pPr>
        <w:spacing w:after="200" w:line="360" w:lineRule="auto"/>
        <w:rPr>
          <w:color w:val="000000" w:themeColor="text1"/>
          <w:sz w:val="22"/>
          <w:szCs w:val="22"/>
        </w:rPr>
      </w:pPr>
      <w:r w:rsidRPr="0036443A">
        <w:rPr>
          <w:rFonts w:ascii="Arial" w:eastAsia="Arial" w:hAnsi="Arial" w:cs="Arial"/>
          <w:color w:val="000000" w:themeColor="text1"/>
          <w:sz w:val="22"/>
          <w:szCs w:val="22"/>
        </w:rPr>
        <w:t>The benefits of PW are considerable. Coordinated care between midwives and health visitors supports continuity from antenatal to postnatal services, reducing lost information between agencies and leading to enhanced service delivery (Renfrew et al., 2014). Effective PW is also associated with improved safeguarding identification and improved patient outcomes for women with complex social needs (National Maternity Review, 2016).</w:t>
      </w:r>
    </w:p>
    <w:p w14:paraId="16C45710"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However, PW is not without challenges. Communication barriers between services using different record systems, inconsistent information-sharing and professional hierarchies can all undermine coordination (Kirkup, 2015). The Ockenden review (2022) identified poor multidisciplinary communication and a lack of shared safety culture as recurring factors in avoidable harm, illustrating the real consequences of weak PW.</w:t>
      </w:r>
    </w:p>
    <w:p w14:paraId="054CB6FD"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Taken together, PW has a substantial impact on the safety and quality of maternity services rather than being a background process: where it functions well, as in continuity of carer models, it is linked to improved outcomes and satisfaction (Sandall et al., 2016); where it functions poorly, it is linked to missed warning signs and avoidable harm (Ockenden, 2022). This is most visible in continuity of carer models, where a small team of midwives works with obstetric and social care colleagues throughout a woman's pregnancy, though national implementation remains inconsistent due to workforce shortages (Sandall et al., 2016).</w:t>
      </w:r>
    </w:p>
    <w:p w14:paraId="6B14C7E6" w14:textId="77777777" w:rsidR="00BE32D1" w:rsidRPr="0036443A" w:rsidRDefault="00000000" w:rsidP="0036443A">
      <w:pPr>
        <w:pStyle w:val="Heading1"/>
        <w:spacing w:before="300" w:after="150" w:line="360" w:lineRule="auto"/>
        <w:rPr>
          <w:color w:val="000000" w:themeColor="text1"/>
          <w:sz w:val="22"/>
          <w:szCs w:val="22"/>
        </w:rPr>
      </w:pPr>
      <w:bookmarkStart w:id="7" w:name="_Toc235955212"/>
      <w:r w:rsidRPr="0036443A">
        <w:rPr>
          <w:rFonts w:ascii="Arial" w:eastAsia="Arial" w:hAnsi="Arial" w:cs="Arial"/>
          <w:b/>
          <w:bCs/>
          <w:color w:val="000000" w:themeColor="text1"/>
          <w:sz w:val="22"/>
          <w:szCs w:val="22"/>
        </w:rPr>
        <w:t>Policy and Legislation</w:t>
      </w:r>
      <w:bookmarkEnd w:id="7"/>
    </w:p>
    <w:p w14:paraId="1745A10B"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 xml:space="preserve">Several pieces of legislation and policy shape how PCC and PW are delivered in maternity services. The Health and Social Care Act 2012 established the framework for integrating health and social care commissioning, later extended by the Health and Care Act 2022, which placed ICSs on a statutory footing and created a legal duty for closer partnership </w:t>
      </w:r>
      <w:r w:rsidRPr="0036443A">
        <w:rPr>
          <w:rFonts w:ascii="Arial" w:eastAsia="Arial" w:hAnsi="Arial" w:cs="Arial"/>
          <w:color w:val="000000" w:themeColor="text1"/>
          <w:sz w:val="22"/>
          <w:szCs w:val="22"/>
        </w:rPr>
        <w:lastRenderedPageBreak/>
        <w:t>working between NHS bodies and local authorities (Health and Care Act 2022). In practice, a woman with both midwifery and social care needs should have her care jointly planned across NHS and local authority teams, rather than referred between disconnected services. The Care Act 2014, while primarily concerned with adult social care, reinforces the principle of person-centred, outcome-focused support; however, its eligibility thresholds are designed around adult social care needs rather than maternity, so pregnant women whose needs fall short of a Care Act threshold can receive less coordinated support than the Act's PCC ethos suggests.</w:t>
      </w:r>
    </w:p>
    <w:p w14:paraId="653FD86B"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At a maternity-specific level, Better Births (National Maternity Review, 2016) set out a vision for personalised, safe and equitable maternity care, recommending continuity of carer as a means of embedding PCC, a commitment reaffirmed in the NHS Long Term Plan (NHS England, 2019). The Human Rights Act 1998 underpins women's right to bodily autonomy and informed consent, reflected in practice through the requirement that a declined intervention, such as continuous foetal monitoring, be respected and documented rather than overridden. The Equality Act 2010 places a duty on services to make reasonable adjustments, such as interpreters or accessible appointment formats; this duty is not always matched by funding, meaning the legislation can create an expectation of equitable PCC that services are not always resourced to meet.</w:t>
      </w:r>
    </w:p>
    <w:p w14:paraId="5D5E6E44"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These policies broadly support PCC and PW in principle, but implementation depends on adequate workforce and funding, and the legislation itself can add administrative burden. The Ockenden review (2022) noted that policy ambitions for safe, personalised maternity care have not always been matched by the staffing levels required to deliver them, illustrating a gap between legislative intent and practice reality that recurs throughout this report.</w:t>
      </w:r>
    </w:p>
    <w:p w14:paraId="0AB9080A" w14:textId="77777777" w:rsidR="00BE32D1" w:rsidRPr="0036443A" w:rsidRDefault="00000000" w:rsidP="0036443A">
      <w:pPr>
        <w:pStyle w:val="Heading1"/>
        <w:spacing w:before="300" w:after="150" w:line="360" w:lineRule="auto"/>
        <w:rPr>
          <w:color w:val="000000" w:themeColor="text1"/>
          <w:sz w:val="22"/>
          <w:szCs w:val="22"/>
        </w:rPr>
      </w:pPr>
      <w:bookmarkStart w:id="8" w:name="_Toc235955213"/>
      <w:r w:rsidRPr="0036443A">
        <w:rPr>
          <w:rFonts w:ascii="Arial" w:eastAsia="Arial" w:hAnsi="Arial" w:cs="Arial"/>
          <w:b/>
          <w:bCs/>
          <w:color w:val="000000" w:themeColor="text1"/>
          <w:sz w:val="22"/>
          <w:szCs w:val="22"/>
        </w:rPr>
        <w:t>Recommendations</w:t>
      </w:r>
      <w:bookmarkEnd w:id="8"/>
    </w:p>
    <w:p w14:paraId="7776193B"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 xml:space="preserve">This report has identified recurring gaps in the delivery of PCC and PW within maternity services: inconsistent access to continuity of carer, communication breakdowns caused by disconnected record systems, unresolved inequalities for minority ethnic and deprived women, and a mismatch between policy ambition and workforce capacity. Addressing these, continuity of carer models should be expanded and adequately resourced, since evidence shows they improve PCC delivery and outcomes, though this requires sustained investment in midwifery recruitment to be viable at scale (Sandall et al., 2016). Shared digital care records across maternity, health visiting and social care would strengthen PW by reducing the communication gaps linked to avoidable harm (Ockenden, 2022); however, achieving </w:t>
      </w:r>
      <w:r w:rsidRPr="0036443A">
        <w:rPr>
          <w:rFonts w:ascii="Arial" w:eastAsia="Arial" w:hAnsi="Arial" w:cs="Arial"/>
          <w:color w:val="000000" w:themeColor="text1"/>
          <w:sz w:val="22"/>
          <w:szCs w:val="22"/>
        </w:rPr>
        <w:lastRenderedPageBreak/>
        <w:t>interoperability between NHS and local authority IT systems remains a significant barrier. Enhanced training in cultural competence and unconscious bias would support the justice principle by addressing outcome inequalities, although training alone cannot resolve inequalities rooted in wider social determinants of health. Embedding regular multidisciplinary case discussions would support the mesosystem-level coordination the evidence on maternity safety suggests is necessary, though this requires protected time understaffed services may struggle to guarantee. Further UK-specific research is also needed into the scalability of continuity of carer models, and this should directly inform future policy development, ensuring commitments such as Better Births and the NHS Long Term Plan are revised in line with realistic workforce capacity (National Maternity Review, 2016; NHS England, 2019); the risk is that research and policy revision take time, during which the existing gap persists. Collectively, these recommendations depend on adequate long-term investment; without it, national maternity policy risks remaining aspirational rather than consistently delivered.</w:t>
      </w:r>
    </w:p>
    <w:p w14:paraId="08B2F615" w14:textId="77777777" w:rsidR="00BE32D1" w:rsidRPr="0036443A" w:rsidRDefault="00000000" w:rsidP="0036443A">
      <w:pPr>
        <w:pStyle w:val="Heading1"/>
        <w:spacing w:before="300" w:after="150" w:line="360" w:lineRule="auto"/>
        <w:rPr>
          <w:color w:val="000000" w:themeColor="text1"/>
          <w:sz w:val="22"/>
          <w:szCs w:val="22"/>
        </w:rPr>
      </w:pPr>
      <w:bookmarkStart w:id="9" w:name="_Toc235955214"/>
      <w:r w:rsidRPr="0036443A">
        <w:rPr>
          <w:rFonts w:ascii="Arial" w:eastAsia="Arial" w:hAnsi="Arial" w:cs="Arial"/>
          <w:b/>
          <w:bCs/>
          <w:color w:val="000000" w:themeColor="text1"/>
          <w:sz w:val="22"/>
          <w:szCs w:val="22"/>
        </w:rPr>
        <w:t>Conclusion</w:t>
      </w:r>
      <w:bookmarkEnd w:id="9"/>
    </w:p>
    <w:p w14:paraId="54972AAA" w14:textId="77777777" w:rsidR="00BE32D1" w:rsidRPr="0036443A" w:rsidRDefault="00000000" w:rsidP="0036443A">
      <w:pPr>
        <w:spacing w:after="200" w:line="360" w:lineRule="auto"/>
        <w:rPr>
          <w:color w:val="000000" w:themeColor="text1"/>
          <w:sz w:val="22"/>
          <w:szCs w:val="22"/>
        </w:rPr>
      </w:pPr>
      <w:r w:rsidRPr="0036443A">
        <w:rPr>
          <w:rFonts w:ascii="Arial" w:eastAsia="Arial" w:hAnsi="Arial" w:cs="Arial"/>
          <w:color w:val="000000" w:themeColor="text1"/>
          <w:sz w:val="22"/>
          <w:szCs w:val="22"/>
        </w:rPr>
        <w:t>This report has evaluated person-centred care and partnership working within UK maternity services, demonstrating that the two concepts are closely interdependent. PCC was defined and shown to offer clear benefits for satisfaction and outcomes, while also facing limitations rooted in resource constraints and inconsistent implementation. Bronfenbrenner's ecological systems theory provided a useful framework for understanding how care is shaped by nested relationships and systems, reinforcing the rationale for both PCC and PW. Ethical analysis highlighted ongoing tensions between autonomy, beneficence and justice, particularly in relation to maternal inequalities. The evaluation of PW showed that, while policy increasingly mandates collaborative working, communication barriers and workforce pressures continue to undermine its delivery. This report has recommended expanding continuity of carer models, introducing shared digital records, strengthening staff training, and pursuing further research to inform policy development. Together, these point towards a maternity system in which personalised, well-coordinated care is a resourced and consistently delivered reality, not simply a policy aspiration.</w:t>
      </w:r>
    </w:p>
    <w:p w14:paraId="464CADF3" w14:textId="77777777" w:rsidR="00BE32D1" w:rsidRDefault="00000000" w:rsidP="0036443A">
      <w:pPr>
        <w:spacing w:line="360" w:lineRule="auto"/>
      </w:pPr>
      <w:r>
        <w:br w:type="page"/>
      </w:r>
    </w:p>
    <w:p w14:paraId="06BA163A" w14:textId="77777777" w:rsidR="00BE32D1" w:rsidRPr="0036443A" w:rsidRDefault="00000000" w:rsidP="0036443A">
      <w:pPr>
        <w:pStyle w:val="Heading1"/>
        <w:spacing w:before="300" w:after="150" w:line="360" w:lineRule="auto"/>
        <w:rPr>
          <w:color w:val="000000" w:themeColor="text1"/>
          <w:sz w:val="22"/>
          <w:szCs w:val="22"/>
        </w:rPr>
      </w:pPr>
      <w:bookmarkStart w:id="10" w:name="_Toc235955215"/>
      <w:r w:rsidRPr="0036443A">
        <w:rPr>
          <w:rFonts w:ascii="Arial" w:eastAsia="Arial" w:hAnsi="Arial" w:cs="Arial"/>
          <w:b/>
          <w:bCs/>
          <w:color w:val="000000" w:themeColor="text1"/>
          <w:sz w:val="22"/>
          <w:szCs w:val="22"/>
        </w:rPr>
        <w:lastRenderedPageBreak/>
        <w:t>Reference List</w:t>
      </w:r>
      <w:bookmarkEnd w:id="10"/>
    </w:p>
    <w:p w14:paraId="2BF36578" w14:textId="77777777"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Beauchamp, T.L. and Childress, J.F. (2009) Principles of Biomedical Ethics. 6th </w:t>
      </w:r>
      <w:proofErr w:type="spellStart"/>
      <w:r w:rsidRPr="0036443A">
        <w:rPr>
          <w:rFonts w:ascii="Arial" w:eastAsia="Arial" w:hAnsi="Arial" w:cs="Arial"/>
          <w:color w:val="000000" w:themeColor="text1"/>
          <w:sz w:val="22"/>
          <w:szCs w:val="22"/>
        </w:rPr>
        <w:t>edn</w:t>
      </w:r>
      <w:proofErr w:type="spellEnd"/>
      <w:r w:rsidRPr="0036443A">
        <w:rPr>
          <w:rFonts w:ascii="Arial" w:eastAsia="Arial" w:hAnsi="Arial" w:cs="Arial"/>
          <w:color w:val="000000" w:themeColor="text1"/>
          <w:sz w:val="22"/>
          <w:szCs w:val="22"/>
        </w:rPr>
        <w:t>. New York: Oxford University Press.</w:t>
      </w:r>
    </w:p>
    <w:p w14:paraId="3388817D" w14:textId="77777777"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Bronfenbrenner, U. (1996) The Ecology of Human Development: Experiments by Nature and Design. Cambridge, MA: Harvard University Press.</w:t>
      </w:r>
    </w:p>
    <w:p w14:paraId="16DC6A89" w14:textId="77777777"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Bronfenbrenner, U. (1994) 'Ecological models of human development', in Gauvain, M. and Cole, M. (eds.) Readings on the Development of Children. 2nd </w:t>
      </w:r>
      <w:proofErr w:type="spellStart"/>
      <w:r w:rsidRPr="0036443A">
        <w:rPr>
          <w:rFonts w:ascii="Arial" w:eastAsia="Arial" w:hAnsi="Arial" w:cs="Arial"/>
          <w:color w:val="000000" w:themeColor="text1"/>
          <w:sz w:val="22"/>
          <w:szCs w:val="22"/>
        </w:rPr>
        <w:t>edn</w:t>
      </w:r>
      <w:proofErr w:type="spellEnd"/>
      <w:r w:rsidRPr="0036443A">
        <w:rPr>
          <w:rFonts w:ascii="Arial" w:eastAsia="Arial" w:hAnsi="Arial" w:cs="Arial"/>
          <w:color w:val="000000" w:themeColor="text1"/>
          <w:sz w:val="22"/>
          <w:szCs w:val="22"/>
        </w:rPr>
        <w:t>. New York: Freeman, pp. 37–43.</w:t>
      </w:r>
    </w:p>
    <w:p w14:paraId="20EFC03F" w14:textId="77777777" w:rsidR="00BE32D1" w:rsidRPr="0036443A" w:rsidRDefault="00000000" w:rsidP="0036443A">
      <w:pPr>
        <w:spacing w:after="120" w:line="360" w:lineRule="auto"/>
        <w:ind w:left="720" w:hanging="720"/>
        <w:rPr>
          <w:color w:val="000000" w:themeColor="text1"/>
          <w:sz w:val="22"/>
          <w:szCs w:val="22"/>
        </w:rPr>
      </w:pPr>
      <w:r w:rsidRPr="0036443A">
        <w:rPr>
          <w:rFonts w:ascii="Arial" w:eastAsia="Arial" w:hAnsi="Arial" w:cs="Arial"/>
          <w:color w:val="000000" w:themeColor="text1"/>
          <w:sz w:val="22"/>
          <w:szCs w:val="22"/>
        </w:rPr>
        <w:t>Care Act 2014. London: The Stationery Office.</w:t>
      </w:r>
    </w:p>
    <w:p w14:paraId="28AEE663" w14:textId="77777777" w:rsidR="00BE32D1" w:rsidRPr="0036443A" w:rsidRDefault="00000000" w:rsidP="0036443A">
      <w:pPr>
        <w:spacing w:after="120" w:line="360" w:lineRule="auto"/>
        <w:ind w:left="720" w:hanging="720"/>
        <w:rPr>
          <w:color w:val="000000" w:themeColor="text1"/>
          <w:sz w:val="22"/>
          <w:szCs w:val="22"/>
        </w:rPr>
      </w:pPr>
      <w:r w:rsidRPr="0036443A">
        <w:rPr>
          <w:rFonts w:ascii="Arial" w:eastAsia="Arial" w:hAnsi="Arial" w:cs="Arial"/>
          <w:color w:val="000000" w:themeColor="text1"/>
          <w:sz w:val="22"/>
          <w:szCs w:val="22"/>
        </w:rPr>
        <w:t>Equality Act 2010. London: The Stationery Office.</w:t>
      </w:r>
    </w:p>
    <w:p w14:paraId="58C931F7" w14:textId="77777777" w:rsidR="00BE32D1" w:rsidRPr="0036443A" w:rsidRDefault="00000000" w:rsidP="0036443A">
      <w:pPr>
        <w:spacing w:after="120" w:line="360" w:lineRule="auto"/>
        <w:ind w:left="720" w:hanging="720"/>
        <w:rPr>
          <w:color w:val="000000" w:themeColor="text1"/>
          <w:sz w:val="22"/>
          <w:szCs w:val="22"/>
        </w:rPr>
      </w:pPr>
      <w:r w:rsidRPr="0036443A">
        <w:rPr>
          <w:rFonts w:ascii="Arial" w:eastAsia="Arial" w:hAnsi="Arial" w:cs="Arial"/>
          <w:color w:val="000000" w:themeColor="text1"/>
          <w:sz w:val="22"/>
          <w:szCs w:val="22"/>
        </w:rPr>
        <w:t>Health and Care Act 2022. London: The Stationery Office.</w:t>
      </w:r>
    </w:p>
    <w:p w14:paraId="398EADF1" w14:textId="77777777" w:rsidR="00BE32D1" w:rsidRPr="0036443A" w:rsidRDefault="00000000" w:rsidP="0036443A">
      <w:pPr>
        <w:spacing w:after="120" w:line="360" w:lineRule="auto"/>
        <w:ind w:left="720" w:hanging="720"/>
        <w:rPr>
          <w:color w:val="000000" w:themeColor="text1"/>
          <w:sz w:val="22"/>
          <w:szCs w:val="22"/>
        </w:rPr>
      </w:pPr>
      <w:r w:rsidRPr="0036443A">
        <w:rPr>
          <w:rFonts w:ascii="Arial" w:eastAsia="Arial" w:hAnsi="Arial" w:cs="Arial"/>
          <w:color w:val="000000" w:themeColor="text1"/>
          <w:sz w:val="22"/>
          <w:szCs w:val="22"/>
        </w:rPr>
        <w:t>Health and Social Care Act 2012. London: The Stationery Office.</w:t>
      </w:r>
    </w:p>
    <w:p w14:paraId="31B3CEE4" w14:textId="02CC271B"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The Health Foundation (2016) Person-centred Care Made Simple: What Everyone Should Know About Person-centred Care. London: The Health Foundation. Available at: </w:t>
      </w:r>
      <w:hyperlink r:id="rId8" w:history="1">
        <w:r w:rsidR="0036443A" w:rsidRPr="00020C11">
          <w:rPr>
            <w:rStyle w:val="Hyperlink"/>
            <w:rFonts w:ascii="Arial" w:eastAsia="Arial" w:hAnsi="Arial" w:cs="Arial"/>
            <w:sz w:val="22"/>
            <w:szCs w:val="22"/>
          </w:rPr>
          <w:t>https://www.h</w:t>
        </w:r>
        <w:r w:rsidR="0036443A" w:rsidRPr="00020C11">
          <w:rPr>
            <w:rStyle w:val="Hyperlink"/>
            <w:rFonts w:ascii="Arial" w:eastAsia="Arial" w:hAnsi="Arial" w:cs="Arial"/>
            <w:sz w:val="22"/>
            <w:szCs w:val="22"/>
          </w:rPr>
          <w:t>e</w:t>
        </w:r>
        <w:r w:rsidR="0036443A" w:rsidRPr="00020C11">
          <w:rPr>
            <w:rStyle w:val="Hyperlink"/>
            <w:rFonts w:ascii="Arial" w:eastAsia="Arial" w:hAnsi="Arial" w:cs="Arial"/>
            <w:sz w:val="22"/>
            <w:szCs w:val="22"/>
          </w:rPr>
          <w:t>alth.org.uk/sites/default/files/PersonCentredCareMadeSimple.pdf</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(Accessed: 13 July 2026).</w:t>
      </w:r>
    </w:p>
    <w:p w14:paraId="5A14E096" w14:textId="77777777" w:rsidR="00BE32D1" w:rsidRPr="0036443A" w:rsidRDefault="00000000" w:rsidP="0036443A">
      <w:pPr>
        <w:spacing w:after="120" w:line="360" w:lineRule="auto"/>
        <w:ind w:left="720" w:hanging="720"/>
        <w:rPr>
          <w:color w:val="000000" w:themeColor="text1"/>
          <w:sz w:val="22"/>
          <w:szCs w:val="22"/>
        </w:rPr>
      </w:pPr>
      <w:r w:rsidRPr="0036443A">
        <w:rPr>
          <w:rFonts w:ascii="Arial" w:eastAsia="Arial" w:hAnsi="Arial" w:cs="Arial"/>
          <w:color w:val="000000" w:themeColor="text1"/>
          <w:sz w:val="22"/>
          <w:szCs w:val="22"/>
        </w:rPr>
        <w:t>Human Rights Act 1998. London: The Stationery Office.</w:t>
      </w:r>
    </w:p>
    <w:p w14:paraId="6DF8B993" w14:textId="04918E02"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Kirkup, B. (2015) The Report of the Morecambe Bay Investigation. London: The Stationery Office.</w:t>
      </w:r>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 xml:space="preserve">Available at: </w:t>
      </w:r>
      <w:hyperlink r:id="rId9" w:history="1">
        <w:r w:rsidR="0036443A" w:rsidRPr="00020C11">
          <w:rPr>
            <w:rStyle w:val="Hyperlink"/>
            <w:rFonts w:ascii="Arial" w:eastAsia="Arial" w:hAnsi="Arial" w:cs="Arial"/>
            <w:sz w:val="22"/>
            <w:szCs w:val="22"/>
          </w:rPr>
          <w:t>https://a</w:t>
        </w:r>
        <w:r w:rsidR="0036443A" w:rsidRPr="00020C11">
          <w:rPr>
            <w:rStyle w:val="Hyperlink"/>
            <w:rFonts w:ascii="Arial" w:eastAsia="Arial" w:hAnsi="Arial" w:cs="Arial"/>
            <w:sz w:val="22"/>
            <w:szCs w:val="22"/>
          </w:rPr>
          <w:t>s</w:t>
        </w:r>
        <w:r w:rsidR="0036443A" w:rsidRPr="00020C11">
          <w:rPr>
            <w:rStyle w:val="Hyperlink"/>
            <w:rFonts w:ascii="Arial" w:eastAsia="Arial" w:hAnsi="Arial" w:cs="Arial"/>
            <w:sz w:val="22"/>
            <w:szCs w:val="22"/>
          </w:rPr>
          <w:t>sets.publishing.service.gov.uk/media/5a7f3d7240f0b62305b85efb/47487_MBI_Accessible_v0.1.pdf</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(Accessed: 15 July 2026).</w:t>
      </w:r>
    </w:p>
    <w:p w14:paraId="79F4297F" w14:textId="77777777"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McCormack, B. and McCance, T. (2010) Person-centred Nursing: Theory and Practice. Chichester: Wiley-Blackwell.</w:t>
      </w:r>
    </w:p>
    <w:p w14:paraId="26E8D8F6" w14:textId="32B276A1"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National Maternity Review (2016) Better Births: Improving Outcomes of Maternity Services in England – A Five Year Forward View for Maternity Care. London: NHS England. Available at: </w:t>
      </w:r>
      <w:hyperlink r:id="rId10" w:history="1">
        <w:r w:rsidR="0036443A" w:rsidRPr="00020C11">
          <w:rPr>
            <w:rStyle w:val="Hyperlink"/>
            <w:rFonts w:ascii="Arial" w:eastAsia="Arial" w:hAnsi="Arial" w:cs="Arial"/>
            <w:sz w:val="22"/>
            <w:szCs w:val="22"/>
          </w:rPr>
          <w:t>https://www.england.nhs.uk/publication/better-births-impr</w:t>
        </w:r>
        <w:r w:rsidR="0036443A" w:rsidRPr="00020C11">
          <w:rPr>
            <w:rStyle w:val="Hyperlink"/>
            <w:rFonts w:ascii="Arial" w:eastAsia="Arial" w:hAnsi="Arial" w:cs="Arial"/>
            <w:sz w:val="22"/>
            <w:szCs w:val="22"/>
          </w:rPr>
          <w:t>o</w:t>
        </w:r>
        <w:r w:rsidR="0036443A" w:rsidRPr="00020C11">
          <w:rPr>
            <w:rStyle w:val="Hyperlink"/>
            <w:rFonts w:ascii="Arial" w:eastAsia="Arial" w:hAnsi="Arial" w:cs="Arial"/>
            <w:sz w:val="22"/>
            <w:szCs w:val="22"/>
          </w:rPr>
          <w:t>ving-outcomes-of-maternity-services-in-england-a-five-year-forward-view-for-maternity-care/</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 xml:space="preserve"> (Accessed: 13 July 2026).</w:t>
      </w:r>
    </w:p>
    <w:p w14:paraId="4DD81787" w14:textId="33A345C9"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NHS England (2019) The NHS Long Term Plan. London: NHS England. Available at: </w:t>
      </w:r>
      <w:hyperlink r:id="rId11" w:history="1">
        <w:r w:rsidR="0036443A" w:rsidRPr="00020C11">
          <w:rPr>
            <w:rStyle w:val="Hyperlink"/>
            <w:rFonts w:ascii="Arial" w:eastAsia="Arial" w:hAnsi="Arial" w:cs="Arial"/>
            <w:sz w:val="22"/>
            <w:szCs w:val="22"/>
          </w:rPr>
          <w:t>https://webarchive.nationalarchives.gov.uk/ukgwa/202505110912</w:t>
        </w:r>
        <w:r w:rsidR="0036443A" w:rsidRPr="00020C11">
          <w:rPr>
            <w:rStyle w:val="Hyperlink"/>
            <w:rFonts w:ascii="Arial" w:eastAsia="Arial" w:hAnsi="Arial" w:cs="Arial"/>
            <w:sz w:val="22"/>
            <w:szCs w:val="22"/>
          </w:rPr>
          <w:t>4</w:t>
        </w:r>
        <w:r w:rsidR="0036443A" w:rsidRPr="00020C11">
          <w:rPr>
            <w:rStyle w:val="Hyperlink"/>
            <w:rFonts w:ascii="Arial" w:eastAsia="Arial" w:hAnsi="Arial" w:cs="Arial"/>
            <w:sz w:val="22"/>
            <w:szCs w:val="22"/>
          </w:rPr>
          <w:t>3/https://www.longtermplan.nhs.uk/wp-content/uploads/2019/08/nhs-long-term-plan-version-1.2.pdf</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(Accessed: 10 July 2026).</w:t>
      </w:r>
    </w:p>
    <w:p w14:paraId="760B7ECA" w14:textId="605CBD9A"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lastRenderedPageBreak/>
        <w:t xml:space="preserve">Nursing and Midwifery Council (2018) The Code: Professional Standards of Practice and Behaviour for Nurses, Midwives and Nursing Associates. London: NMC. Available at: </w:t>
      </w:r>
      <w:hyperlink r:id="rId12" w:history="1">
        <w:r w:rsidR="0036443A" w:rsidRPr="00020C11">
          <w:rPr>
            <w:rStyle w:val="Hyperlink"/>
            <w:rFonts w:ascii="Arial" w:eastAsia="Arial" w:hAnsi="Arial" w:cs="Arial"/>
            <w:sz w:val="22"/>
            <w:szCs w:val="22"/>
          </w:rPr>
          <w:t>https://www.nmc.org.uk/standards</w:t>
        </w:r>
        <w:r w:rsidR="0036443A" w:rsidRPr="00020C11">
          <w:rPr>
            <w:rStyle w:val="Hyperlink"/>
            <w:rFonts w:ascii="Arial" w:eastAsia="Arial" w:hAnsi="Arial" w:cs="Arial"/>
            <w:sz w:val="22"/>
            <w:szCs w:val="22"/>
          </w:rPr>
          <w:t>/</w:t>
        </w:r>
        <w:r w:rsidR="0036443A" w:rsidRPr="00020C11">
          <w:rPr>
            <w:rStyle w:val="Hyperlink"/>
            <w:rFonts w:ascii="Arial" w:eastAsia="Arial" w:hAnsi="Arial" w:cs="Arial"/>
            <w:sz w:val="22"/>
            <w:szCs w:val="22"/>
          </w:rPr>
          <w:t>code/</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 xml:space="preserve"> (Accessed: 13 July 2026).</w:t>
      </w:r>
    </w:p>
    <w:p w14:paraId="320C090A" w14:textId="2C894774"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Ockenden, D. (2022) Findings, Conclusions and Essential Actions from the Independent Review of Maternity Services at the Shrewsbury and Telford Hospital NHS Trust. London: The Stationery Office. Available at: </w:t>
      </w:r>
      <w:hyperlink r:id="rId13" w:history="1">
        <w:r w:rsidR="0036443A" w:rsidRPr="00020C11">
          <w:rPr>
            <w:rStyle w:val="Hyperlink"/>
            <w:rFonts w:ascii="Arial" w:eastAsia="Arial" w:hAnsi="Arial" w:cs="Arial"/>
            <w:sz w:val="22"/>
            <w:szCs w:val="22"/>
          </w:rPr>
          <w:t>https://www.ockendenmaternityreview.org.uk/wp-content/uploads/2</w:t>
        </w:r>
        <w:r w:rsidR="0036443A" w:rsidRPr="00020C11">
          <w:rPr>
            <w:rStyle w:val="Hyperlink"/>
            <w:rFonts w:ascii="Arial" w:eastAsia="Arial" w:hAnsi="Arial" w:cs="Arial"/>
            <w:sz w:val="22"/>
            <w:szCs w:val="22"/>
          </w:rPr>
          <w:t>0</w:t>
        </w:r>
        <w:r w:rsidR="0036443A" w:rsidRPr="00020C11">
          <w:rPr>
            <w:rStyle w:val="Hyperlink"/>
            <w:rFonts w:ascii="Arial" w:eastAsia="Arial" w:hAnsi="Arial" w:cs="Arial"/>
            <w:sz w:val="22"/>
            <w:szCs w:val="22"/>
          </w:rPr>
          <w:t>22/03/FINAL_INDEPENDENT_MATERNITY_REVIEW_OF_MATERNITY_SERVICES_REPORT.pdf</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(Accessed: 10 July 2026).</w:t>
      </w:r>
    </w:p>
    <w:p w14:paraId="02250E9A" w14:textId="77777777" w:rsidR="0036443A" w:rsidRPr="005530C5" w:rsidRDefault="0036443A" w:rsidP="0036443A">
      <w:pPr>
        <w:spacing w:after="120" w:line="360" w:lineRule="auto"/>
        <w:rPr>
          <w:rFonts w:ascii="Arial" w:eastAsia="Arial" w:hAnsi="Arial" w:cs="Arial"/>
          <w:sz w:val="22"/>
          <w:szCs w:val="22"/>
        </w:rPr>
      </w:pPr>
      <w:r w:rsidRPr="005530C5">
        <w:rPr>
          <w:rFonts w:ascii="Arial" w:eastAsia="Arial" w:hAnsi="Arial" w:cs="Arial"/>
          <w:sz w:val="22"/>
          <w:szCs w:val="22"/>
        </w:rPr>
        <w:t xml:space="preserve">Renfrew, M.J. et al. (2014) “Midwifery and quality care: findings from a new evidence-informed framework for maternal and newborn care,” The Lancet (British edition), 384(9948), pp. 1129–1145. </w:t>
      </w:r>
    </w:p>
    <w:p w14:paraId="62ADDB65" w14:textId="77777777" w:rsidR="0036443A" w:rsidRPr="005530C5" w:rsidRDefault="0036443A" w:rsidP="0036443A">
      <w:pPr>
        <w:spacing w:after="120" w:line="360" w:lineRule="auto"/>
        <w:rPr>
          <w:rFonts w:ascii="Arial" w:hAnsi="Arial" w:cs="Arial"/>
          <w:sz w:val="22"/>
          <w:szCs w:val="22"/>
        </w:rPr>
      </w:pPr>
      <w:r w:rsidRPr="005530C5">
        <w:rPr>
          <w:rFonts w:ascii="Arial" w:hAnsi="Arial" w:cs="Arial"/>
          <w:sz w:val="22"/>
          <w:szCs w:val="22"/>
        </w:rPr>
        <w:t>Sandall, J. et al. (2016) “Midwife</w:t>
      </w:r>
      <w:r w:rsidRPr="005530C5">
        <w:rPr>
          <w:rFonts w:ascii="Cambria Math" w:hAnsi="Cambria Math" w:cs="Cambria Math"/>
          <w:sz w:val="22"/>
          <w:szCs w:val="22"/>
        </w:rPr>
        <w:t>‐</w:t>
      </w:r>
      <w:r w:rsidRPr="005530C5">
        <w:rPr>
          <w:rFonts w:ascii="Arial" w:hAnsi="Arial" w:cs="Arial"/>
          <w:sz w:val="22"/>
          <w:szCs w:val="22"/>
        </w:rPr>
        <w:t xml:space="preserve">led continuity models versus other models of care for childbearing women,” Cochrane database of systematic reviews, 2016(4), p. CD004667. </w:t>
      </w:r>
    </w:p>
    <w:p w14:paraId="42C6AD67" w14:textId="77777777" w:rsidR="0036443A" w:rsidRPr="005530C5" w:rsidRDefault="0036443A" w:rsidP="0036443A">
      <w:pPr>
        <w:spacing w:after="120" w:line="360" w:lineRule="auto"/>
        <w:rPr>
          <w:rFonts w:ascii="Arial" w:hAnsi="Arial" w:cs="Arial"/>
          <w:sz w:val="22"/>
          <w:szCs w:val="22"/>
        </w:rPr>
      </w:pPr>
      <w:r w:rsidRPr="005530C5">
        <w:rPr>
          <w:rFonts w:ascii="Arial" w:hAnsi="Arial" w:cs="Arial"/>
          <w:sz w:val="22"/>
          <w:szCs w:val="22"/>
        </w:rPr>
        <w:t xml:space="preserve">Tudge, J.R.H. et al. (2009) “Uses and Misuses of Bronfenbrenner’s Bioecological Theory of Human Development,” Journal of family theory &amp; review, 1(4), pp. 198–210. </w:t>
      </w:r>
    </w:p>
    <w:p w14:paraId="4482D3E4" w14:textId="1794576A" w:rsidR="00BE32D1" w:rsidRPr="0036443A" w:rsidRDefault="00000000" w:rsidP="0036443A">
      <w:pPr>
        <w:spacing w:after="120" w:line="360" w:lineRule="auto"/>
        <w:rPr>
          <w:color w:val="000000" w:themeColor="text1"/>
          <w:sz w:val="22"/>
          <w:szCs w:val="22"/>
        </w:rPr>
      </w:pPr>
      <w:r w:rsidRPr="0036443A">
        <w:rPr>
          <w:rFonts w:ascii="Arial" w:eastAsia="Arial" w:hAnsi="Arial" w:cs="Arial"/>
          <w:color w:val="000000" w:themeColor="text1"/>
          <w:sz w:val="22"/>
          <w:szCs w:val="22"/>
        </w:rPr>
        <w:t xml:space="preserve">World Health Organization (2018) WHO Recommendations: Intrapartum Care for a Positive Childbirth Experience. Geneva: WHO. Available at: </w:t>
      </w:r>
      <w:hyperlink r:id="rId14" w:history="1">
        <w:r w:rsidR="0036443A" w:rsidRPr="00020C11">
          <w:rPr>
            <w:rStyle w:val="Hyperlink"/>
            <w:rFonts w:ascii="Arial" w:eastAsia="Arial" w:hAnsi="Arial" w:cs="Arial"/>
            <w:sz w:val="22"/>
            <w:szCs w:val="22"/>
          </w:rPr>
          <w:t>https://www.who.int/publications/i/item/9789241550215</w:t>
        </w:r>
      </w:hyperlink>
      <w:r w:rsidR="0036443A">
        <w:rPr>
          <w:rFonts w:ascii="Arial" w:eastAsia="Arial" w:hAnsi="Arial" w:cs="Arial"/>
          <w:color w:val="000000" w:themeColor="text1"/>
          <w:sz w:val="22"/>
          <w:szCs w:val="22"/>
        </w:rPr>
        <w:t xml:space="preserve"> </w:t>
      </w:r>
      <w:r w:rsidRPr="0036443A">
        <w:rPr>
          <w:rFonts w:ascii="Arial" w:eastAsia="Arial" w:hAnsi="Arial" w:cs="Arial"/>
          <w:color w:val="000000" w:themeColor="text1"/>
          <w:sz w:val="22"/>
          <w:szCs w:val="22"/>
        </w:rPr>
        <w:t xml:space="preserve"> (Accessed: </w:t>
      </w:r>
      <w:r w:rsidR="0036443A">
        <w:rPr>
          <w:rFonts w:ascii="Arial" w:eastAsia="Arial" w:hAnsi="Arial" w:cs="Arial"/>
          <w:color w:val="000000" w:themeColor="text1"/>
          <w:sz w:val="22"/>
          <w:szCs w:val="22"/>
        </w:rPr>
        <w:t>9</w:t>
      </w:r>
      <w:r w:rsidRPr="0036443A">
        <w:rPr>
          <w:rFonts w:ascii="Arial" w:eastAsia="Arial" w:hAnsi="Arial" w:cs="Arial"/>
          <w:color w:val="000000" w:themeColor="text1"/>
          <w:sz w:val="22"/>
          <w:szCs w:val="22"/>
        </w:rPr>
        <w:t xml:space="preserve"> July 2026).</w:t>
      </w:r>
    </w:p>
    <w:sectPr w:rsidR="00BE32D1" w:rsidRPr="0036443A">
      <w:headerReference w:type="default" r:id="rId15"/>
      <w:footerReference w:type="default" r:id="rId16"/>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9B9BAE" w14:textId="77777777" w:rsidR="00A52535" w:rsidRDefault="00A52535">
      <w:r>
        <w:separator/>
      </w:r>
    </w:p>
  </w:endnote>
  <w:endnote w:type="continuationSeparator" w:id="0">
    <w:p w14:paraId="6BF92DFE" w14:textId="77777777" w:rsidR="00A52535" w:rsidRDefault="00A52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921062" w14:textId="77777777" w:rsidR="00BE32D1"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8D425B">
      <w:rPr>
        <w:rFonts w:ascii="Arial" w:eastAsia="Arial" w:hAnsi="Arial" w:cs="Arial"/>
        <w:noProof/>
      </w:rPr>
      <w:t>5</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569310" w14:textId="77777777" w:rsidR="00A52535" w:rsidRDefault="00A52535">
      <w:r>
        <w:separator/>
      </w:r>
    </w:p>
  </w:footnote>
  <w:footnote w:type="continuationSeparator" w:id="0">
    <w:p w14:paraId="515F8ACF" w14:textId="77777777" w:rsidR="00A52535" w:rsidRDefault="00A52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650100" w14:textId="77777777" w:rsidR="00BE32D1" w:rsidRDefault="00BE32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542B5C"/>
    <w:multiLevelType w:val="hybridMultilevel"/>
    <w:tmpl w:val="3820B51A"/>
    <w:lvl w:ilvl="0" w:tplc="5C6AA100">
      <w:start w:val="1"/>
      <w:numFmt w:val="bullet"/>
      <w:lvlText w:val="●"/>
      <w:lvlJc w:val="left"/>
      <w:pPr>
        <w:ind w:left="720" w:hanging="360"/>
      </w:pPr>
    </w:lvl>
    <w:lvl w:ilvl="1" w:tplc="2E860FB2">
      <w:start w:val="1"/>
      <w:numFmt w:val="bullet"/>
      <w:lvlText w:val="○"/>
      <w:lvlJc w:val="left"/>
      <w:pPr>
        <w:ind w:left="1440" w:hanging="360"/>
      </w:pPr>
    </w:lvl>
    <w:lvl w:ilvl="2" w:tplc="8F8EAB32">
      <w:start w:val="1"/>
      <w:numFmt w:val="bullet"/>
      <w:lvlText w:val="■"/>
      <w:lvlJc w:val="left"/>
      <w:pPr>
        <w:ind w:left="2160" w:hanging="360"/>
      </w:pPr>
    </w:lvl>
    <w:lvl w:ilvl="3" w:tplc="4EB86A42">
      <w:start w:val="1"/>
      <w:numFmt w:val="bullet"/>
      <w:lvlText w:val="●"/>
      <w:lvlJc w:val="left"/>
      <w:pPr>
        <w:ind w:left="2880" w:hanging="360"/>
      </w:pPr>
    </w:lvl>
    <w:lvl w:ilvl="4" w:tplc="E8128B6E">
      <w:start w:val="1"/>
      <w:numFmt w:val="bullet"/>
      <w:lvlText w:val="○"/>
      <w:lvlJc w:val="left"/>
      <w:pPr>
        <w:ind w:left="3600" w:hanging="360"/>
      </w:pPr>
    </w:lvl>
    <w:lvl w:ilvl="5" w:tplc="6F82543A">
      <w:start w:val="1"/>
      <w:numFmt w:val="bullet"/>
      <w:lvlText w:val="■"/>
      <w:lvlJc w:val="left"/>
      <w:pPr>
        <w:ind w:left="4320" w:hanging="360"/>
      </w:pPr>
    </w:lvl>
    <w:lvl w:ilvl="6" w:tplc="9FB68FE8">
      <w:start w:val="1"/>
      <w:numFmt w:val="bullet"/>
      <w:lvlText w:val="●"/>
      <w:lvlJc w:val="left"/>
      <w:pPr>
        <w:ind w:left="5040" w:hanging="360"/>
      </w:pPr>
    </w:lvl>
    <w:lvl w:ilvl="7" w:tplc="388006E4">
      <w:start w:val="1"/>
      <w:numFmt w:val="bullet"/>
      <w:lvlText w:val="●"/>
      <w:lvlJc w:val="left"/>
      <w:pPr>
        <w:ind w:left="5760" w:hanging="360"/>
      </w:pPr>
    </w:lvl>
    <w:lvl w:ilvl="8" w:tplc="C8342C2C">
      <w:start w:val="1"/>
      <w:numFmt w:val="bullet"/>
      <w:lvlText w:val="●"/>
      <w:lvlJc w:val="left"/>
      <w:pPr>
        <w:ind w:left="6480" w:hanging="360"/>
      </w:pPr>
    </w:lvl>
  </w:abstractNum>
  <w:num w:numId="1" w16cid:durableId="164050951">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2D1"/>
    <w:rsid w:val="000002FA"/>
    <w:rsid w:val="00355D76"/>
    <w:rsid w:val="0036443A"/>
    <w:rsid w:val="003B1127"/>
    <w:rsid w:val="007100DC"/>
    <w:rsid w:val="008D425B"/>
    <w:rsid w:val="00953EA4"/>
    <w:rsid w:val="009F2B4F"/>
    <w:rsid w:val="00A52535"/>
    <w:rsid w:val="00BA6458"/>
    <w:rsid w:val="00BE32D1"/>
    <w:rsid w:val="00D16D39"/>
    <w:rsid w:val="00D558B0"/>
    <w:rsid w:val="00E87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C8D6D"/>
  <w15:docId w15:val="{2C98FB2F-9059-314E-BE60-23BD876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36443A"/>
    <w:pPr>
      <w:tabs>
        <w:tab w:val="right" w:leader="dot" w:pos="9016"/>
      </w:tabs>
      <w:spacing w:after="100"/>
    </w:pPr>
  </w:style>
  <w:style w:type="character" w:styleId="UnresolvedMention">
    <w:name w:val="Unresolved Mention"/>
    <w:basedOn w:val="DefaultParagraphFont"/>
    <w:uiPriority w:val="99"/>
    <w:semiHidden/>
    <w:unhideWhenUsed/>
    <w:rsid w:val="0036443A"/>
    <w:rPr>
      <w:color w:val="605E5C"/>
      <w:shd w:val="clear" w:color="auto" w:fill="E1DFDD"/>
    </w:rPr>
  </w:style>
  <w:style w:type="character" w:styleId="FollowedHyperlink">
    <w:name w:val="FollowedHyperlink"/>
    <w:basedOn w:val="DefaultParagraphFont"/>
    <w:uiPriority w:val="99"/>
    <w:semiHidden/>
    <w:unhideWhenUsed/>
    <w:rsid w:val="003644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ealth.org.uk/sites/default/files/PersonCentredCareMadeSimple.pdf" TargetMode="External"/><Relationship Id="rId13" Type="http://schemas.openxmlformats.org/officeDocument/2006/relationships/hyperlink" Target="https://www.ockendenmaternityreview.org.uk/wp-content/uploads/2022/03/FINAL_INDEPENDENT_MATERNITY_REVIEW_OF_MATERNITY_SERVICES_REPORT.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mc.org.uk/standards/co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nationalarchives.gov.uk/ukgwa/20250511091243/https://www.longtermplan.nhs.uk/wp-content/uploads/2019/08/nhs-long-term-plan-version-1.2.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ngland.nhs.uk/publication/better-births-improving-outcomes-of-maternity-services-in-england-a-five-year-forward-view-for-maternity-care/" TargetMode="External"/><Relationship Id="rId4" Type="http://schemas.openxmlformats.org/officeDocument/2006/relationships/webSettings" Target="webSettings.xml"/><Relationship Id="rId9" Type="http://schemas.openxmlformats.org/officeDocument/2006/relationships/hyperlink" Target="https://assets.publishing.service.gov.uk/media/5a7f3d7240f0b62305b85efb/47487_MBI_Accessible_v0.1.pdf" TargetMode="External"/><Relationship Id="rId14" Type="http://schemas.openxmlformats.org/officeDocument/2006/relationships/hyperlink" Target="https://www.who.int/publications/i/item/9789241550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3202</Words>
  <Characters>18254</Characters>
  <Application>Microsoft Office Word</Application>
  <DocSecurity>0</DocSecurity>
  <Lines>152</Lines>
  <Paragraphs>42</Paragraphs>
  <ScaleCrop>false</ScaleCrop>
  <Company/>
  <LinksUpToDate>false</LinksUpToDate>
  <CharactersWithSpaces>21414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Lamaiya Smith (1815074)</cp:lastModifiedBy>
  <cp:revision>11</cp:revision>
  <dcterms:created xsi:type="dcterms:W3CDTF">2026-07-26T09:55:00Z</dcterms:created>
  <dcterms:modified xsi:type="dcterms:W3CDTF">2026-07-26T10:05:00Z</dcterms:modified>
</cp:coreProperties>
</file>