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5646E7D" wp14:paraId="5232B4CB" wp14:textId="0A158A25">
      <w:pPr>
        <w:shd w:val="clear" w:color="auto" w:fill="FFFFFF" w:themeFill="background1"/>
        <w:spacing w:before="220" w:beforeAutospacing="off" w:after="220" w:afterAutospacing="off"/>
        <w:ind w:left="0"/>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 confirm that I have used Microsoft Editor to spellcheck during the creation of this assignment. I confirm that I have not presented any AI generated materials as my own work. I confirm I have copies of my drafts, notes, and other resources I used, which I may be asked to provide in evidence.</w:t>
      </w:r>
      <w:r w:rsidRPr="75646E7D" w:rsidR="0A38134B">
        <w:rPr>
          <w:rFonts w:ascii="Arial" w:hAnsi="Arial" w:eastAsia="Arial" w:cs="Arial"/>
          <w:noProof w:val="0"/>
          <w:sz w:val="24"/>
          <w:szCs w:val="24"/>
          <w:lang w:val="en-GB"/>
        </w:rPr>
        <w:t xml:space="preserve"> </w:t>
      </w:r>
    </w:p>
    <w:p xmlns:wp14="http://schemas.microsoft.com/office/word/2010/wordml" w:rsidP="75646E7D" wp14:paraId="07E1E3EC" wp14:textId="4A25C69A">
      <w:pPr>
        <w:shd w:val="clear" w:color="auto" w:fill="FFFFFF" w:themeFill="background1"/>
        <w:spacing w:before="220" w:beforeAutospacing="off" w:after="220" w:afterAutospacing="off"/>
        <w:ind w:left="0"/>
        <w:rPr>
          <w:rFonts w:ascii="Arial" w:hAnsi="Arial" w:eastAsia="Arial" w:cs="Arial"/>
          <w:noProof w:val="0"/>
          <w:sz w:val="24"/>
          <w:szCs w:val="24"/>
          <w:lang w:val="en-GB"/>
        </w:rPr>
      </w:pPr>
    </w:p>
    <w:p xmlns:wp14="http://schemas.microsoft.com/office/word/2010/wordml" w:rsidP="75646E7D" wp14:paraId="3B4D0BD3" wp14:textId="4389B06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Section 1</w:t>
      </w:r>
    </w:p>
    <w:p xmlns:wp14="http://schemas.microsoft.com/office/word/2010/wordml" w:rsidP="75646E7D" wp14:paraId="78845346" wp14:textId="4CBE1A7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What are the differences for children and adults receiving an autism spectrum disorder (ASD) diagnosis in childhood and adulthood?</w:t>
      </w:r>
    </w:p>
    <w:p xmlns:wp14="http://schemas.microsoft.com/office/word/2010/wordml" w:rsidP="75646E7D" wp14:paraId="0536384A" wp14:textId="70D48B1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Autism is a neurological condition that effects both male and females regardless of race, colour, background, or ethnicity. This paper will discuss findings from medical professionals, government </w:t>
      </w:r>
      <w:r w:rsidRPr="75646E7D" w:rsidR="603FC4DA">
        <w:rPr>
          <w:rFonts w:ascii="Arial" w:hAnsi="Arial" w:eastAsia="Arial" w:cs="Arial"/>
          <w:b w:val="0"/>
          <w:bCs w:val="0"/>
          <w:i w:val="0"/>
          <w:iCs w:val="0"/>
          <w:caps w:val="0"/>
          <w:smallCaps w:val="0"/>
          <w:noProof w:val="0"/>
          <w:color w:val="000000" w:themeColor="text1" w:themeTint="FF" w:themeShade="FF"/>
          <w:sz w:val="24"/>
          <w:szCs w:val="24"/>
          <w:lang w:val="en-GB"/>
        </w:rPr>
        <w:t>data,</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and historical conclusions to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if an ASD diagnosis in childhood has enabled or impeded their opportunities in life. Additionally, what impact receiving a late diagnosis of ASD into adulthood and how this has resulted in their choices in later life. Furthermore, what is the government policies on autism and how do they provide support and guidance for those affected by autism.</w:t>
      </w:r>
    </w:p>
    <w:p xmlns:wp14="http://schemas.microsoft.com/office/word/2010/wordml" w:rsidP="75646E7D" wp14:paraId="0028FA8D" wp14:textId="4155BEC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Dr Leo Kanner was the first person in 1943 to publish findings of what he described as ‘early infantile autism’ (Harris, 2018). Since then, further research and clinical trials have led to a better understanding and the ability to diagnose those with autism spectrum disorder, hereafter ASD (National Autistic Society, 2026). This paper will outline the differences between children and adults receiving an ASD diagnosis.</w:t>
      </w:r>
    </w:p>
    <w:p xmlns:wp14="http://schemas.microsoft.com/office/word/2010/wordml" w:rsidP="75646E7D" wp14:paraId="1F328C48" wp14:textId="68B126C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Dr Norman Kiogora (2025), the early diagnosis and suitable interventions are more likely to have a positive impact on ASD symptoms and later life skills. Early interventions can give a child with ASD the best possible start </w:t>
      </w:r>
      <w:bookmarkStart w:name="_Int_w2g3qCsg" w:id="1683860251"/>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and also</w:t>
      </w:r>
      <w:bookmarkEnd w:id="1683860251"/>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best opportunity to reach their full potential. He continues that with early intervention some children with ASD progress so that they are no longer on the autism spectrum in later life (Kiogroa, 2025).</w:t>
      </w:r>
    </w:p>
    <w:p xmlns:wp14="http://schemas.microsoft.com/office/word/2010/wordml" w:rsidP="75646E7D" wp14:paraId="0398C0D2" wp14:textId="6E01D26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Additionally, as noted by Berman and Farmer (2022), the early assessment, and interventions for children with ASD can be crucial in achieving better outcomes. They continue that making and ASD diagnosis can be critical in receiving the appropriate support services, programmes, and behavioural interventions.</w:t>
      </w:r>
    </w:p>
    <w:p xmlns:wp14="http://schemas.microsoft.com/office/word/2010/wordml" w:rsidP="75646E7D" wp14:paraId="4B71CE7C" wp14:textId="29E505C4">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according to Clark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(2018), early diagnosis of ASD is considered an optimal approach. They continue that children who received an early diagnosis accessed a greater range of interventions and, by school age, showed stronger verbal abilities and overall cognitive development. They were also more likely to attend mainstream settings and required less long-term support than those identified later.</w:t>
      </w:r>
    </w:p>
    <w:p xmlns:wp14="http://schemas.microsoft.com/office/word/2010/wordml" w:rsidP="75646E7D" wp14:paraId="06EB32D0" wp14:textId="40AAC1F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Conversely, Gabbay-Dizdar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Discusses that several longitudinal studies following children diagnosed with ASD between 18 months and six years of age, and receiving support within community settings, have found no evidence that earlier identification is linked to better outcomes in core autistic features.</w:t>
      </w:r>
    </w:p>
    <w:p xmlns:wp14="http://schemas.microsoft.com/office/word/2010/wordml" w:rsidP="75646E7D" wp14:paraId="4BF21E76" wp14:textId="3815488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Diagnosing ASD is achieved through a range of behavioural tests such as a detailed developmental history, observations and information gathered from parents (Cardiff and Vale University Health Board, n.d.). Typical symptoms of ASD can include difficulties in understanding how others feel, avoidance of eye contact and they can also display repetitive movements such as rocking or hand flapping (Rusick, 2022).</w:t>
      </w:r>
    </w:p>
    <w:p xmlns:wp14="http://schemas.microsoft.com/office/word/2010/wordml" w:rsidP="75646E7D" wp14:paraId="4026C3FD" wp14:textId="3050F7E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According to Kristensen (2022) children as young as five months old can display autistic traits however a clear diagnosis is not possible until a child reaches one and a half to three years old. However, Briggs (2013), identifies that children as young as two months old can display traits of autism that would then later lead to an autism diagnosis. There is evidence from Allaby and Sharma (2011), cited by Russell (2021), that offers that the stability of screening at 2 months old may not be stable, are insufficiently sensitive, result in variable outcomes and the short-term improvements benefit the long-term outcomes.</w:t>
      </w:r>
    </w:p>
    <w:p xmlns:wp14="http://schemas.microsoft.com/office/word/2010/wordml" w:rsidP="75646E7D" wp14:paraId="1913C824" wp14:textId="6BC7EFE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Through findings by Hansen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(2015), the increase in the prevalence of ASD is </w:t>
      </w:r>
      <w:bookmarkStart w:name="_Int_2hrbq9PR" w:id="632700738"/>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mainly due</w:t>
      </w:r>
      <w:bookmarkEnd w:id="632700738"/>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to growing awareness. There are many complex experiences for those adults diagnosed in adulthood such as feeling of relief, anger, sadness, and disappointment. In conjunction with this, feelings of understanding which led to feeling of self-acceptance were also noted (Legg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2023). Portuguese (2019), also discusses that adults with an ASD diagnosis are also commonly diagnosed with depression and the commonality of psychotic disorders among those with ASD is higher than the general population. This would suggest that those with an early ASD diagnosis ad appropriate interventions can inhibit some of these disorders although further research is needed.</w:t>
      </w:r>
    </w:p>
    <w:p xmlns:wp14="http://schemas.microsoft.com/office/word/2010/wordml" w:rsidP="75646E7D" wp14:paraId="7735767F" wp14:textId="701EC18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What is being done to diagnose ASD earlier?</w:t>
      </w:r>
    </w:p>
    <w:p xmlns:wp14="http://schemas.microsoft.com/office/word/2010/wordml" w:rsidP="75646E7D" wp14:paraId="70DE6D18" wp14:textId="4118B6D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Within Wales there has been a significant increase for a diagnosis of ASD. The number of children and young people waiting to start an ASD neurodevelopmental assessment rose by 87% from February 2022 to December 2023 (Senedd Research, 2024). The demand for assessment has superseded the capacity by many years (Welsh Government, 2022). A statement published by the Welsh Government in 2022 pledged an additional £12 million to the already invested £11.5 million to the improvement of autism services to the year 2025. This money was intended to ensure equity of services and support the development of timely and consistent all age neurodevelopmental services. In 2022-2023, 72% of the 5140 referrals for adults to the Integrated Autism Service requested an autism diagnostic assessment, and 2.2% of pupils in Wales were reported to have ASD. Due to the high demand for an ASD neurodevelopmental assessment, in December 2023 there were 16,812 children and young people waiting for an assessment (Senedd Wales, 2024).</w:t>
      </w:r>
    </w:p>
    <w:p xmlns:wp14="http://schemas.microsoft.com/office/word/2010/wordml" w:rsidP="75646E7D" wp14:paraId="257D8449" wp14:textId="64AFEEE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2021, the Welsh Government provided the Code of Practice on the Delivery of Autism Services outlining what autistic people, their parents and carers can expect from public services in Wales and their commitment to improving autism services in Wales (Welsh Government, 2021). This provides guidance to those who are newly diagnosed with autism to gain understanding into their diagnosis.</w:t>
      </w:r>
    </w:p>
    <w:p xmlns:wp14="http://schemas.microsoft.com/office/word/2010/wordml" w:rsidP="75646E7D" wp14:paraId="5F2A9C41" wp14:textId="6869C38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Conclusion</w:t>
      </w:r>
    </w:p>
    <w:p xmlns:wp14="http://schemas.microsoft.com/office/word/2010/wordml" w:rsidP="75646E7D" wp14:paraId="73B2D81F" wp14:textId="47B3C6A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Early diagnosis of ASD in children has a positive impact as they can receive appropriate interventions to give them the best start in life however depending on the age of diagnosis, the result can be unreliable until the child is older. A later diagnosis can have a detrimental effect on an adult's mental health and can lead to further complications of depression and other mental health issues. Further studies and funding from local authorities are required to reduce waiting time for diagnosis and additional support is needed for newly diagnosed adults to help them navigate their new way of life. Furthermore, following on from this review more detailed research into the opinions of early years practitioners and the impact on the diagnosis time and how </w:t>
      </w:r>
      <w:bookmarkStart w:name="_Int_VBTlD6zH" w:id="602461445"/>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this impacts learners</w:t>
      </w:r>
      <w:bookmarkEnd w:id="602461445"/>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in Specialist Teaching Facilities (STF’s) and mainstream schools.</w:t>
      </w:r>
    </w:p>
    <w:p xmlns:wp14="http://schemas.microsoft.com/office/word/2010/wordml" wp14:paraId="2C078E63" wp14:textId="335FCC1C"/>
    <w:p w:rsidR="75646E7D" w:rsidRDefault="75646E7D" w14:paraId="5340C997" w14:textId="263BF886"/>
    <w:p w:rsidR="75646E7D" w:rsidRDefault="75646E7D" w14:paraId="61235094" w14:textId="082EB527"/>
    <w:p w:rsidR="75646E7D" w:rsidRDefault="75646E7D" w14:paraId="30C7E680" w14:textId="073210BD"/>
    <w:p w:rsidR="75646E7D" w:rsidRDefault="75646E7D" w14:paraId="77486590" w14:textId="78D6CCEC"/>
    <w:p w:rsidR="75646E7D" w:rsidRDefault="75646E7D" w14:paraId="3005FEE6" w14:textId="1687A409"/>
    <w:p w:rsidR="75646E7D" w:rsidRDefault="75646E7D" w14:paraId="3DA9B2DB" w14:textId="2B6A6988"/>
    <w:p w:rsidR="75646E7D" w:rsidRDefault="75646E7D" w14:paraId="7CAB650A" w14:textId="14463220"/>
    <w:p w:rsidR="75646E7D" w:rsidRDefault="75646E7D" w14:paraId="010E2750" w14:textId="00604C81"/>
    <w:p w:rsidR="75646E7D" w:rsidRDefault="75646E7D" w14:paraId="469F047D" w14:textId="1A7C1990"/>
    <w:p w:rsidR="75646E7D" w:rsidRDefault="75646E7D" w14:paraId="3C52BF3A" w14:textId="14A70EF5"/>
    <w:p w:rsidR="75646E7D" w:rsidRDefault="75646E7D" w14:paraId="2471E40F" w14:textId="5645F1AF"/>
    <w:p w:rsidR="75646E7D" w:rsidRDefault="75646E7D" w14:paraId="271CF45F" w14:textId="4F5C67C9"/>
    <w:p w:rsidR="75646E7D" w:rsidRDefault="75646E7D" w14:paraId="796A50E6" w14:textId="70CE18F3"/>
    <w:p w:rsidR="75646E7D" w:rsidRDefault="75646E7D" w14:paraId="3278C6EB" w14:textId="13BD6F6B"/>
    <w:p w:rsidR="75646E7D" w:rsidRDefault="75646E7D" w14:paraId="302D8F3D" w14:textId="52D4B07F"/>
    <w:p w:rsidR="75646E7D" w:rsidRDefault="75646E7D" w14:paraId="1B72565C" w14:textId="1E26FD3F"/>
    <w:p w:rsidR="75646E7D" w:rsidRDefault="75646E7D" w14:paraId="045113C5" w14:textId="434D53E8"/>
    <w:p w:rsidR="75646E7D" w:rsidRDefault="75646E7D" w14:paraId="1728DCD3" w14:textId="25858188"/>
    <w:p w:rsidR="75646E7D" w:rsidRDefault="75646E7D" w14:paraId="30F6A226" w14:textId="2957FDEE"/>
    <w:p w:rsidR="75646E7D" w:rsidRDefault="75646E7D" w14:paraId="1926EB2A" w14:textId="222957E1"/>
    <w:p w:rsidR="0A38134B" w:rsidP="75646E7D" w:rsidRDefault="0A38134B" w14:paraId="648C1994" w14:textId="114B726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Section 2</w:t>
      </w:r>
    </w:p>
    <w:p w:rsidR="0A38134B" w:rsidP="75646E7D" w:rsidRDefault="0A38134B" w14:paraId="18CB221B" w14:textId="627474D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When deliberating research projects, there are several methodological considerations to evaluate including what data collection methods are being used, their strengths and limitations and the propriety for the study. Also, effects such as the Hawthorne effect, the Halo effect and triangulation and how these can affect the reliability of a research project.</w:t>
      </w:r>
    </w:p>
    <w:p w:rsidR="0A38134B" w:rsidP="75646E7D" w:rsidRDefault="0A38134B" w14:paraId="47FAFA95" w14:textId="295C139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regard to the question, ‘What are the differences for children and adults receiving an autism spectrum disorder (ASD) diagnosis in childhood and adulthood?’ research into the opinions of practitioners in Specialist Teaching Facilities (STF’s) and mainstream schools and also the impact of the children attending those settings. Additionally, the opinions of adults who received a later diagnosis and the impact this has had on their lives. To achieve the desired results, interviews and questionnaires can be considered.</w:t>
      </w:r>
    </w:p>
    <w:p w:rsidR="0A38134B" w:rsidP="75646E7D" w:rsidRDefault="0A38134B" w14:paraId="5097B999" w14:textId="1730845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Interviews allow for a broader understanding and acknowledgement for the circumstances of people's lives (Coe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2025). According to Nolan (2013), qualitative research can allow more of a focus to be more in-depth on a smaller scale to capture the experiences of participants in a more detailed and intimate way. Additionally, qualitative research explores the depth and complexity of human experiences and viewpoints revealing subtleties that quantitive data fails to capture (Weng, 2025). Moreover, interviews are considered sources of primary sources as the information is being received directly from the original source (Newby, 2014).</w:t>
      </w:r>
    </w:p>
    <w:p w:rsidR="0A38134B" w:rsidP="75646E7D" w:rsidRDefault="0A38134B" w14:paraId="6A5DFE5E" w14:textId="6B460AC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A strength of conducting interviews would be that the participant and the interviewer can self-analyse not only ‘what’ is being said but also ‘how’ it is being said (Denzin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2023). This would suggest that interpretations of body language and tone of voice can be considered in the interviewee's responses. However, Newby (2014), discusses that interviews are more time consuming both to partake and then further analyse the results. Nevertheless, interview questions can explore facts and firsthand experiences thus gaining a more individual approach and broader response. Finally, ethical considerations such as permissions to record the information gathered either digitally or physically will need to be discussed and agreed with the interviewees to gain approval of their participation (Lambert, 2019).</w:t>
      </w:r>
    </w:p>
    <w:p w:rsidR="0A38134B" w:rsidP="75646E7D" w:rsidRDefault="0A38134B" w14:paraId="4DA844F3" w14:textId="4A04660E">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further considerations to interviews </w:t>
      </w:r>
      <w:bookmarkStart w:name="_Int_agVGfQYI" w:id="622812020"/>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622812020"/>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their format. Structured interviews include pre-determined questions that are given to all interview candidates consistently. Structured interviews often include a ranking scale of the candidates' answers (McGill University, n.d.). Semi-structured interviews are used to fully understand the interviewees individual perspective opposed to a generic occurrence (Adeoye-Olatunde, 2021). Finally, unstructured interviews, where questions are not standardized across interviewees has more of a focus on a more open discussion with candidates (McGill University, n.d.).</w:t>
      </w:r>
    </w:p>
    <w:p w:rsidR="0A38134B" w:rsidP="75646E7D" w:rsidRDefault="0A38134B" w14:paraId="75EF7911" w14:textId="256E7BEE">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Pertaining to</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question, the type of sample needed for interview would be a purposive sample due to the uniqueness of the study. Data obtained from interviews of parents without children diagnosed with ASD and adults without an ASD diagnosis will be irrelevant. Interviews with practitioners at STF’s and parents of children with ASD would be ideal candidates for conducting the interviews to gain relevant data. However, there are limitations to this surrounding consent due to the nature of the research. Ahmad and Wilkins (2024), suggest that purposive sampling is one of the most common approaches to qualitative research and that the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of this type of research is to gain insights and understanding of a specific topic. A small sample is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required</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to undertake the interviews due to the volume of work needed to transcribe the data. One of the most common forms of transcription is verbatim transcription meaning to produce a word for word account of the interview (McGrath, Palmgren, and Liljedahl, 2019). To have a larger sample of interviews would be very time consuming to transcribe. Some other limitations to consider would be the Halo effect. The Halo effect is when the physical appearance of someone is used as a basis for evaluating other characteristics unrelated to appearance (Gabrielli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2021). In relation to this study, the Halo effect could be considered in that the interviewee could perceive the interviewer to be trustworthy due to their appearance. Another limitation to consider would be the Hawthorne effect, whereby the participant would display behaviours that they expect the interviewer to display. This would not normally be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deemed</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as their usual behaviour (Oswald, Sherratt and Smith, 2014). </w:t>
      </w:r>
      <w:bookmarkStart w:name="_Int_qCWgOsof" w:id="1614808085"/>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1614808085"/>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interviewees may change their disposition to answers to appear a unique way which could then influence the result of the research.</w:t>
      </w:r>
    </w:p>
    <w:p w:rsidR="0A38134B" w:rsidP="75646E7D" w:rsidRDefault="0A38134B" w14:paraId="000E60EF" w14:textId="346486EC">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Questionnaires are examples of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quantitive</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data.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Quantitive</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data is data collected in the form of numbers and can be arranged </w:t>
      </w:r>
      <w:bookmarkStart w:name="_Int_jW7vOIAf" w:id="1170120436"/>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order to</w:t>
      </w:r>
      <w:bookmarkEnd w:id="1170120436"/>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describe, explore, and explain. It can also provide </w:t>
      </w:r>
      <w:r w:rsidRPr="75646E7D" w:rsidR="28635FE2">
        <w:rPr>
          <w:rFonts w:ascii="Arial" w:hAnsi="Arial" w:eastAsia="Arial" w:cs="Arial"/>
          <w:b w:val="0"/>
          <w:bCs w:val="0"/>
          <w:i w:val="0"/>
          <w:iCs w:val="0"/>
          <w:caps w:val="0"/>
          <w:smallCaps w:val="0"/>
          <w:noProof w:val="0"/>
          <w:color w:val="000000" w:themeColor="text1" w:themeTint="FF" w:themeShade="FF"/>
          <w:sz w:val="24"/>
          <w:szCs w:val="24"/>
          <w:lang w:val="en-GB"/>
        </w:rPr>
        <w:t>substantial amounts</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of data using minimal effort (Hammond, 2021). According to Cohen (2018), questionnaires can be cost effective, reliable, and simple to complete. Conversely, he offers that there is a likelihood of a limited response dependant on the nominal or ordinal data within the questionnaire. Lambert (2019), offers that questionnaires can gain a succinct and clear analysis of data, thus providing a briefer profile of data that can be easily read. Similarly to interviews, questionnaires are a source of primary data (Newby, 2014). However, Coe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(2025), state that questionnaires offer a forced choice which can limit the findings within the research project. Within a questionnaire, the questions should be clear, understandable, relevant, and concise. Leading questions, assumptions, and complexities should also be avoided (Cohen, 2018). A questionnaire can consist of a variety of types. Likert scales are commonly used to gauge the feelings of the respondent which usually involves a statement asking whether they agree, disagree or are not sure about the statement. Other types of questionnaires include multiple choice questions, open ended questions, rank ordering, and written response (Coe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2025). Questionnaires can be helpful in providing a vast sample size that can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wider population (Manchester Metropolitan University, 2013). Additionally, questionnaires can gather and record information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a particular area of interest (Kirklees Council, n.d.). Questionnaires need to be clear </w:t>
      </w:r>
      <w:bookmarkStart w:name="_Int_YBO6vpqA" w:id="1657523089"/>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1657523089"/>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sample size, the basis of the chosen respondents and the characteristics of those that responded </w:t>
      </w:r>
      <w:bookmarkStart w:name="_Int_OdlNu00e" w:id="695614757"/>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and also</w:t>
      </w:r>
      <w:bookmarkEnd w:id="695614757"/>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of those who chose not to respond (Newby, 2014).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project, questionnaires must be transparent in including all aspects of the research project (Walker and Solvason, 2014).</w:t>
      </w:r>
    </w:p>
    <w:p w:rsidR="0A38134B" w:rsidP="75646E7D" w:rsidRDefault="0A38134B" w14:paraId="6638C612" w14:textId="6659B2B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For the research project, observations were not a chosen methodological consideration as although, in general, they can offer valuable insights into the participants world, observations in this case would not give a holistic view of the participant. (Walker and Solvason, 2014). There are many ethical considerations with observations especially for those with an ASD diagnosis. People with Autism can face coercion to consent to research, lowered ethical safeguards in research and instances of participant discomfort (Cascio, Weiss and Racine, 2020). By using alternative methods of research, it mitigates the risk of any ethical issues.</w:t>
      </w:r>
    </w:p>
    <w:p w:rsidR="0A38134B" w:rsidP="75646E7D" w:rsidRDefault="0A38134B" w14:paraId="23925EBF" w14:textId="76BF7E7F">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relevance to the research question, a questionnaire would be suitable to gauge the interest and information from practitioners, parents and adults regarding an ASD diagnosis, however there would be a limitation to the amount of people able to complete the form and its relevance in the wider scope of analysis. This could influence the data gathered for the research. However, this method could be considered as an initial form of research to gather baseline data which can be analysed for further considerations.</w:t>
      </w:r>
    </w:p>
    <w:p w:rsidR="0A38134B" w:rsidP="75646E7D" w:rsidRDefault="0A38134B" w14:paraId="5E659FF9" w14:textId="41A030A6">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G7rKMQnO" w:id="1912276140"/>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1912276140"/>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Halo effect and questionnaires, some respondents may change their answer to appear better or be more aware of their requirements to answer what they believe the questionnaire author requires of them (Gabrielli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2021). This can be unreliable for the results of the research. Another limitation could be the Hawthorne effect, which can also have a detrimental effect on the study as the person answering can change their behaviour to suit the questionnaire’s outcome (Oswald, Sherratt and Smith, 2014).</w:t>
      </w:r>
    </w:p>
    <w:p w:rsidR="0A38134B" w:rsidP="75646E7D" w:rsidRDefault="0A38134B" w14:paraId="0C7BFD45" w14:textId="20E2467B">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Triangulation is when both qualitative and quantitative data agree and are complimentary to one another. It combines a variety of sources to fully understand the research topic and make the findings accurate and convincing. It can also help achieve data gathering from a range of perspectives (Roberts-Holmes, 2018). Using mixed methods can create unbiased data as it is not subject to limitations of either quantitative or qualitative approaches (Nolan, 2013).</w:t>
      </w:r>
    </w:p>
    <w:p w:rsidR="0A38134B" w:rsidP="75646E7D" w:rsidRDefault="0A38134B" w14:paraId="099B83BB" w14:textId="49E319B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conclusion, both methodologies have their advantages and limitations to the research question. Questionnaires would be beneficial to gauge initial interest and participation, with interviews gaining deeper, more personable insights into the effects of ASD diagnosis in children and adults. However, due to the sensitive nature of the question, ethical considerations will need to be addressed.</w:t>
      </w:r>
    </w:p>
    <w:p w:rsidR="75646E7D" w:rsidP="75646E7D" w:rsidRDefault="75646E7D" w14:paraId="51D0C0BD" w14:textId="14D5C43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1B9FF3C0" w14:textId="018DCDF3">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369178B7" w14:textId="7E8438DD">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4246E498" w14:textId="7EF51B8A">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34F02BD7" w14:textId="0557317D">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1A64BA91" w14:textId="28B11E5A">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08C26F46" w14:textId="65960731">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79E8B772" w14:textId="635B4B98">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1D2FB548" w14:textId="308FCD60">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65100C02" w14:textId="3E2AC0D1">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681C9C15" w14:textId="71791597">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56F0A995" w14:textId="388E280B">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4D8D7464" w14:textId="5A5E3785">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737C07AA" w14:textId="6CE2E9DB">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5F703114" w14:textId="48D9011F">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12344D9A" w14:textId="01277584">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5743AD88" w14:textId="3A797E53">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541A1156" w14:textId="521C7D51">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24F6A13F" w14:textId="72DEAAA5">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29006CC3" w14:textId="113EEE5A">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2A93A305" w14:textId="1C848208">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79DE381D" w14:textId="5C5D916F">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6A39E868" w14:textId="098E56E7">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454C39E6" w14:textId="067383CA">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44F5B5EB" w14:textId="087A2BF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248D017" w:rsidP="75646E7D" w:rsidRDefault="7248D017" w14:paraId="4C59D5B6" w14:textId="47F7922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Section 3</w:t>
      </w:r>
    </w:p>
    <w:p w:rsidR="7248D017" w:rsidP="75646E7D" w:rsidRDefault="7248D017" w14:paraId="0F24EC31" w14:textId="6B2BCBA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Ethical considerations are a critical aspect of any research project (UWTSD, 2025, p.3). Ensuring all considerations are met and adhered to is critical when conducting research, even more so with children. </w:t>
      </w:r>
      <w:bookmarkStart w:name="_Int_4tkpnRRT" w:id="1578389674"/>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1578389674"/>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those with ASD, empowering children and adults with ASD can lead to decision making and allowing participants to decide their involvement, shaping research processes and contexts (Cascio, Weiss, and Racine, 2020).</w:t>
      </w:r>
    </w:p>
    <w:p w:rsidR="7248D017" w:rsidP="75646E7D" w:rsidRDefault="7248D017" w14:paraId="4E053EF2" w14:textId="00E78B1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Consent is required in all cases of research. According to guidelines set by the British, Educational Research Association (BERA) (2024, p.13), researchers are required to obtain the participants voluntary informed consent at the outset of the study, and are to remain attentive to the possibility that the participants may choose to withdraw that consent at any point and for any reason. Consent is regarded by voluntary, informed, and ongoing as the basis on which participants understand and agree to take part including the associated terms and arrangements, without any form of pressure. However, Beresford </w:t>
      </w:r>
      <w:r w:rsidRPr="75646E7D" w:rsidR="7248D017">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(2004), state that children with ASD are usually neglected from research studies. Additionally, Dawson (2017), offers that denying a specific group of people against the protections and benefits of ethical research standards causes </w:t>
      </w:r>
      <w:bookmarkStart w:name="_Int_jTCPJkip" w:id="78716397"/>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particular harm</w:t>
      </w:r>
      <w:bookmarkEnd w:id="78716397"/>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and constitutes a violation of fundamental human rights. </w:t>
      </w:r>
      <w:bookmarkStart w:name="_Int_1Khd1Z4l" w:id="423164802"/>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423164802"/>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the current research project, assent would be necessary in this circumstance. According to Murray (2011, cited by Palaiologou (2012), assent is defined as the participants active and affirmative agreement – in this context, the child’s own willingness to take part – and informed consent as the formal approval provided either by a competent child or by the child’s legal representative. BERA (2024, p.5), offers that the Equality Act (2010), will also need consideration for those regarded as having a disability and neurodiversity and the researcher's responsibility to consider sensitivity and attentiveness.</w:t>
      </w:r>
    </w:p>
    <w:p w:rsidR="7248D017" w:rsidP="75646E7D" w:rsidRDefault="7248D017" w14:paraId="46C717E1" w14:textId="7204C98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The United Nations Convention on the Rights of the Child (UNCRC) (2019), ensures propriety and inclusion are principal factors, regardless of race, religion, or abilities. Article 12 states that all children who </w:t>
      </w:r>
      <w:bookmarkStart w:name="_Int_opfM8JmL" w:id="342598317"/>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are capable of forming</w:t>
      </w:r>
      <w:bookmarkEnd w:id="342598317"/>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their own views should be granted the right to express their view freely in all matters affecting them, in line with their age and maturity. Additionally, Article 3 states that the best interests of the child must be the primary consideration. Also, Article 13 offers that every child has the right to express their views and access a wide range of information, provided this occurs within the boundaries of the law. These Articles communicate that all children have rights without discrimination of any kind. </w:t>
      </w:r>
    </w:p>
    <w:p w:rsidR="7248D017" w:rsidP="75646E7D" w:rsidRDefault="7248D017" w14:paraId="0CC1326D" w14:textId="1350900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As a researcher, showing openness and transparency can mitigate any risks to those participating in the research project. According to BERA (2024 p.19), researchers should be open and honest with all participants to ensure the appropriate data is collected. Furthermore, the University of Wales Trinity Saint David (UWTSD) Research Ethics and Integrity Policy (2025, p.6), outlines that all research should be designed to ensure integrity, transparency, and accountability. Regarding this research project, particular attention needs to be drawn to the participants and their potential communication difficulties ensuring they are fully aware either by personal consent or by assent through parents, family members, and other autism professionals (Cascio, Weiss and Racine, 2021). </w:t>
      </w:r>
    </w:p>
    <w:p w:rsidR="7248D017" w:rsidP="75646E7D" w:rsidRDefault="7248D017" w14:paraId="6001AC18" w14:textId="22E6B9A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Another aspect to consider as a researcher is the participants' right to withdraw. Participants have the right to withdraw at any time, and they must be informed of this at the time of obtaining informed consent (Moodle, 2024). BERA (2024, p.19), offers that researchers should recognise that all participants have the right to withdraw from a study at any time, with or without giving a reason; they should be clearly informed of this right and the process of exercising it. The UWTSD Research Ethics and Integrity Policy (2025, p.18), adds that due to the more vulnerable nature of the participants pertaining to this research project, careful consideration to the participants freedom to act in their ability to withdraw and also take into consideration any visual cues as a sign that they no longer wish to continue the research.</w:t>
      </w:r>
    </w:p>
    <w:p w:rsidR="7248D017" w:rsidP="75646E7D" w:rsidRDefault="7248D017" w14:paraId="32550DEC" w14:textId="70151A7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To ensure the protection of confidentiality and anonymity is another </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key factor</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project, ensuring that the research follows General Data Protection Regulation (GDPR) (2018), and the Data Protection Act (2018). BERA (2024, p.24), </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advises</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that researchers must safeguard all data securely and ensure that any form of publication does not either directly or indirectly compromise the confidentiality that has been agreed with the participants. The UWTSD Research Ethics and Integrity Policy (2025, p22), offers that the researchers must respect the right of both institutions and individual participants to privacy. This can require the use of anonymisation or pseudonymisation and that when it is used, researchers should clearly explain the rationale for their approach. Continually, preferences </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anonymity should be respected throughout the research process.</w:t>
      </w:r>
    </w:p>
    <w:p w:rsidR="7248D017" w:rsidP="75646E7D" w:rsidRDefault="7248D017" w14:paraId="483EC834" w14:textId="480DB85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Within research projects there can be risks to the participant, the researcher and university. The ability to mitigate risks is important to achieve fair research. A potential risk to the participant would be gaining consent to conduct the research. BERA (2024, p.13), offers that even though participants give voluntary informed consent, they must also know they have the right to withdraw at any time, without providing an explanation. The UWTSD Research Ethics and Integrity Policy (2025, p.6) proposes that by offering a full disclosure of what is expected during the research project can also mitigate any risks to the participant. Regarding the current research project, the researcher would need to be observant to any expressions of discomfort and address this as a right to withdraw.</w:t>
      </w:r>
    </w:p>
    <w:p w:rsidR="7248D017" w:rsidP="75646E7D" w:rsidRDefault="7248D017" w14:paraId="3574B800" w14:textId="04D1166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Another potential risk to the participant would be how securely the research data is stored. BERA (2024, p. 24), states that keeping of hard copy data must be under lock and key on a secured premises and by using password protection on any online digital files can minimise the risk of any confidentiality breach. The UWTSD Research Ethics and Integrity Policy (2025, p.6), offers that any requirements relating to the confidential handling of information and personal data must be upheld. Due to the nature of the research project in question, it would be imperative to ensure that confidentiality agreements are complied with.</w:t>
      </w:r>
    </w:p>
    <w:p w:rsidR="7248D017" w:rsidP="75646E7D" w:rsidRDefault="7248D017" w14:paraId="58C4F32F" w14:textId="37221B9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Reducing risks to the researcher and the University often go hand in hand. In reference to the UWTSD Research Ethics and Integrity Policy (2025, p.7), risks such as failure of assessed work, the inability to publish the research findings and possible disciplinary or legal action can impact both the researcher and the University. By adhering to robust precautions, gaining appropriate consent and following confidentiality and data protection guidelines can reduce any risk to researchers and the University. In addition, BERA (2024, p.33), offers that the University as an institution has a legal and moral responsibilities to ensure the safety of staff and students.</w:t>
      </w:r>
    </w:p>
    <w:p w:rsidR="7248D017" w:rsidP="75646E7D" w:rsidRDefault="7248D017" w14:paraId="001E101E" w14:textId="71A8CA4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Along with following advice from BERA and in this instance the UWTSD Research Ethics and Integrity Policy, additional instruction is conveyed through legislation such as GDPR (2018), and the Data Protection Act (2018). This legislation controls how a person's personal information is used and that the information gathered is used fairly, lawfully, and transparently (Gov. UK, n.d.) By following this legal framework, the risks of any legal action will be diminished.</w:t>
      </w:r>
    </w:p>
    <w:p w:rsidR="7248D017" w:rsidP="75646E7D" w:rsidRDefault="7248D017" w14:paraId="6C1A1A6C" w14:textId="5B07638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By having ethical integrity throughout the research project can help to achieve accurate results whilst maintaining honesty and openness to all those involved in the research project.</w:t>
      </w:r>
    </w:p>
    <w:p w:rsidR="75646E7D" w:rsidP="75646E7D" w:rsidRDefault="75646E7D" w14:paraId="64B4987E" w14:textId="7D845A5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50625BE9" w14:textId="247DC83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RDefault="75646E7D" w14:paraId="7169A56A" w14:textId="6B75EB8E"/>
    <w:sectPr>
      <w:pgSz w:w="12240" w:h="15840" w:orient="portrait"/>
      <w:pgMar w:top="1440" w:right="1440" w:bottom="1440" w:left="1440" w:header="720" w:footer="720" w:gutter="0"/>
      <w:cols w:space="720"/>
      <w:docGrid w:linePitch="360"/>
      <w:headerReference w:type="default" r:id="R9711d0b3a9494c12"/>
      <w:footerReference w:type="default" r:id="Rc6aa360c834449d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5646E7D" w:rsidTr="75646E7D" w14:paraId="5595E2F8">
      <w:trPr>
        <w:trHeight w:val="300"/>
      </w:trPr>
      <w:tc>
        <w:tcPr>
          <w:tcW w:w="3120" w:type="dxa"/>
          <w:tcMar/>
        </w:tcPr>
        <w:p w:rsidR="75646E7D" w:rsidP="75646E7D" w:rsidRDefault="75646E7D" w14:paraId="4581CBAA" w14:textId="0ED378C5">
          <w:pPr>
            <w:pStyle w:val="Header"/>
            <w:bidi w:val="0"/>
            <w:ind w:left="-115"/>
            <w:jc w:val="left"/>
          </w:pPr>
        </w:p>
      </w:tc>
      <w:tc>
        <w:tcPr>
          <w:tcW w:w="3120" w:type="dxa"/>
          <w:tcMar/>
        </w:tcPr>
        <w:p w:rsidR="75646E7D" w:rsidP="75646E7D" w:rsidRDefault="75646E7D" w14:paraId="261469DC" w14:textId="0F8CE326">
          <w:pPr>
            <w:pStyle w:val="Header"/>
            <w:bidi w:val="0"/>
            <w:jc w:val="center"/>
          </w:pPr>
          <w:r>
            <w:fldChar w:fldCharType="begin"/>
          </w:r>
          <w:r>
            <w:instrText xml:space="preserve">PAGE</w:instrText>
          </w:r>
          <w:r>
            <w:fldChar w:fldCharType="separate"/>
          </w:r>
          <w:r>
            <w:fldChar w:fldCharType="end"/>
          </w:r>
        </w:p>
      </w:tc>
      <w:tc>
        <w:tcPr>
          <w:tcW w:w="3120" w:type="dxa"/>
          <w:tcMar/>
        </w:tcPr>
        <w:p w:rsidR="75646E7D" w:rsidP="75646E7D" w:rsidRDefault="75646E7D" w14:paraId="2DAA1E59" w14:textId="09973EE7">
          <w:pPr>
            <w:pStyle w:val="Header"/>
            <w:bidi w:val="0"/>
            <w:ind w:right="-115"/>
            <w:jc w:val="right"/>
          </w:pPr>
        </w:p>
      </w:tc>
    </w:tr>
  </w:tbl>
  <w:p w:rsidR="75646E7D" w:rsidP="75646E7D" w:rsidRDefault="75646E7D" w14:paraId="1432DD3D" w14:textId="62719D8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5646E7D" w:rsidTr="75646E7D" w14:paraId="6298B286">
      <w:trPr>
        <w:trHeight w:val="300"/>
      </w:trPr>
      <w:tc>
        <w:tcPr>
          <w:tcW w:w="3120" w:type="dxa"/>
          <w:tcMar/>
        </w:tcPr>
        <w:p w:rsidR="75646E7D" w:rsidP="75646E7D" w:rsidRDefault="75646E7D" w14:paraId="685E494A" w14:textId="2F7985E8">
          <w:pPr>
            <w:pStyle w:val="Header"/>
            <w:bidi w:val="0"/>
            <w:ind w:left="-115"/>
            <w:jc w:val="left"/>
          </w:pPr>
          <w:r w:rsidR="75646E7D">
            <w:rPr/>
            <w:t>Student Number: 2503116</w:t>
          </w:r>
        </w:p>
        <w:p w:rsidR="75646E7D" w:rsidP="75646E7D" w:rsidRDefault="75646E7D" w14:paraId="071AB9DD" w14:textId="43A1AEC0">
          <w:pPr>
            <w:pStyle w:val="Header"/>
            <w:bidi w:val="0"/>
            <w:ind w:left="-115"/>
            <w:jc w:val="left"/>
          </w:pPr>
          <w:r w:rsidR="75646E7D">
            <w:rPr/>
            <w:t>Module Code: ECEY5010</w:t>
          </w:r>
        </w:p>
        <w:p w:rsidR="75646E7D" w:rsidP="75646E7D" w:rsidRDefault="75646E7D" w14:paraId="1D5FB78C" w14:textId="30C1EC31">
          <w:pPr>
            <w:pStyle w:val="Header"/>
            <w:bidi w:val="0"/>
            <w:ind w:left="-115"/>
            <w:jc w:val="left"/>
          </w:pPr>
          <w:r w:rsidR="75646E7D">
            <w:rPr/>
            <w:t>Word Count: 3748</w:t>
          </w:r>
        </w:p>
      </w:tc>
      <w:tc>
        <w:tcPr>
          <w:tcW w:w="3120" w:type="dxa"/>
          <w:tcMar/>
        </w:tcPr>
        <w:p w:rsidR="75646E7D" w:rsidP="75646E7D" w:rsidRDefault="75646E7D" w14:paraId="0ED30F1E" w14:textId="4CC584B5">
          <w:pPr>
            <w:pStyle w:val="Header"/>
            <w:bidi w:val="0"/>
            <w:jc w:val="center"/>
          </w:pPr>
        </w:p>
      </w:tc>
      <w:tc>
        <w:tcPr>
          <w:tcW w:w="3120" w:type="dxa"/>
          <w:tcMar/>
        </w:tcPr>
        <w:p w:rsidR="75646E7D" w:rsidP="75646E7D" w:rsidRDefault="75646E7D" w14:paraId="5221E23F" w14:textId="200F6627">
          <w:pPr>
            <w:pStyle w:val="Header"/>
            <w:bidi w:val="0"/>
            <w:ind w:right="-115"/>
            <w:jc w:val="right"/>
          </w:pPr>
        </w:p>
      </w:tc>
    </w:tr>
  </w:tbl>
  <w:p w:rsidR="75646E7D" w:rsidP="75646E7D" w:rsidRDefault="75646E7D" w14:paraId="1EF7D880" w14:textId="5D047E8A">
    <w:pPr>
      <w:pStyle w:val="Header"/>
      <w:bidi w:val="0"/>
    </w:pPr>
  </w:p>
</w:hdr>
</file>

<file path=word/intelligence2.xml><?xml version="1.0" encoding="utf-8"?>
<int2:intelligence xmlns:int2="http://schemas.microsoft.com/office/intelligence/2020/intelligence">
  <int2:observations>
    <int2:textHash int2:hashCode="0rydQ4oA3A4xYQ" int2:id="Fx2w07qe">
      <int2:state int2:type="spell" int2:value="Rejected"/>
    </int2:textHash>
    <int2:textHash int2:hashCode="IlBgK8b+PeLZnT" int2:id="zvQPoXYH">
      <int2:state int2:type="spell" int2:value="Rejected"/>
    </int2:textHash>
    <int2:textHash int2:hashCode="t5UoFjYC5JB630" int2:id="mKdqME1v">
      <int2:state int2:type="spell" int2:value="Rejected"/>
    </int2:textHash>
    <int2:textHash int2:hashCode="tic1eGSylDaUqK" int2:id="aBkgKZVC">
      <int2:state int2:type="spell" int2:value="Rejected"/>
    </int2:textHash>
    <int2:bookmark int2:bookmarkName="_Int_jTCPJkip" int2:invalidationBookmarkName="" int2:hashCode="bQ+QfBaucklgyA" int2:id="PVdpU43K">
      <int2:state int2:type="style" int2:value="Rejected"/>
    </int2:bookmark>
    <int2:bookmark int2:bookmarkName="_Int_4tkpnRRT" int2:invalidationBookmarkName="" int2:hashCode="D4JDEQ/HN5+s4C" int2:id="VreNLcNP">
      <int2:state int2:type="style" int2:value="Rejected"/>
    </int2:bookmark>
    <int2:bookmark int2:bookmarkName="_Int_1Khd1Z4l" int2:invalidationBookmarkName="" int2:hashCode="D4JDEQ/HN5+s4C" int2:id="qAbd1uiO">
      <int2:state int2:type="style" int2:value="Rejected"/>
    </int2:bookmark>
    <int2:bookmark int2:bookmarkName="_Int_opfM8JmL" int2:invalidationBookmarkName="" int2:hashCode="dYq0XcLfaCfBsx" int2:id="K4uabohQ">
      <int2:state int2:type="style" int2:value="Rejected"/>
    </int2:bookmark>
    <int2:bookmark int2:bookmarkName="_Int_w2g3qCsg" int2:invalidationBookmarkName="" int2:hashCode="oDKeFME1Nby2NZ" int2:id="2QidGhyi">
      <int2:state int2:type="style" int2:value="Rejected"/>
    </int2:bookmark>
    <int2:bookmark int2:bookmarkName="_Int_2hrbq9PR" int2:invalidationBookmarkName="" int2:hashCode="2zzAJcwyoS06vM" int2:id="1St8qlHx">
      <int2:state int2:type="style" int2:value="Rejected"/>
    </int2:bookmark>
    <int2:bookmark int2:bookmarkName="_Int_YBO6vpqA" int2:invalidationBookmarkName="" int2:hashCode="V9CnXcV+ZGgRNM" int2:id="ZR5ARDmo">
      <int2:state int2:type="style" int2:value="Rejected"/>
    </int2:bookmark>
    <int2:bookmark int2:bookmarkName="_Int_G7rKMQnO" int2:invalidationBookmarkName="" int2:hashCode="D4JDEQ/HN5+s4C" int2:id="KqHmOZBY">
      <int2:state int2:type="style" int2:value="Rejected"/>
    </int2:bookmark>
    <int2:bookmark int2:bookmarkName="_Int_OdlNu00e" int2:invalidationBookmarkName="" int2:hashCode="oDKeFME1Nby2NZ" int2:id="YVgOG7TC">
      <int2:state int2:type="style" int2:value="Rejected"/>
    </int2:bookmark>
    <int2:bookmark int2:bookmarkName="_Int_jW7vOIAf" int2:invalidationBookmarkName="" int2:hashCode="e0dMsLOcF3PXGS" int2:id="mJtuBQfW">
      <int2:state int2:type="style" int2:value="Rejected"/>
    </int2:bookmark>
    <int2:bookmark int2:bookmarkName="_Int_qCWgOsof" int2:invalidationBookmarkName="" int2:hashCode="D4JDEQ/HN5+s4C" int2:id="UBJAujFy">
      <int2:state int2:type="style" int2:value="Rejected"/>
    </int2:bookmark>
    <int2:bookmark int2:bookmarkName="_Int_agVGfQYI" int2:invalidationBookmarkName="" int2:hashCode="V9CnXcV+ZGgRNM" int2:id="w9e1yT4I">
      <int2:state int2:type="style" int2:value="Rejected"/>
    </int2:bookmark>
    <int2:bookmark int2:bookmarkName="_Int_VBTlD6zH" int2:invalidationBookmarkName="" int2:hashCode="jLGNd5QYCnxOSa" int2:id="dBMLILiO">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986905"/>
    <w:rsid w:val="02DF4B24"/>
    <w:rsid w:val="067C1495"/>
    <w:rsid w:val="08658D34"/>
    <w:rsid w:val="0A38134B"/>
    <w:rsid w:val="28635FE2"/>
    <w:rsid w:val="357C1B17"/>
    <w:rsid w:val="3889D4FE"/>
    <w:rsid w:val="4C986905"/>
    <w:rsid w:val="603FC4DA"/>
    <w:rsid w:val="67BADC57"/>
    <w:rsid w:val="7248D017"/>
    <w:rsid w:val="75646E7D"/>
    <w:rsid w:val="7FCB1B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86905"/>
  <w15:chartTrackingRefBased/>
  <w15:docId w15:val="{65FC79D9-D527-44B0-80EE-7B327718B6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5646E7D"/>
    <w:pPr>
      <w:tabs>
        <w:tab w:val="center" w:leader="none" w:pos="4680"/>
        <w:tab w:val="right" w:leader="none" w:pos="9360"/>
      </w:tabs>
      <w:spacing w:after="0" w:line="240" w:lineRule="auto"/>
    </w:pPr>
  </w:style>
  <w:style w:type="paragraph" w:styleId="Footer">
    <w:uiPriority w:val="99"/>
    <w:name w:val="footer"/>
    <w:basedOn w:val="Normal"/>
    <w:unhideWhenUsed/>
    <w:rsid w:val="75646E7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711d0b3a9494c12" /><Relationship Type="http://schemas.openxmlformats.org/officeDocument/2006/relationships/footer" Target="footer.xml" Id="Rc6aa360c834449df" /><Relationship Type="http://schemas.microsoft.com/office/2020/10/relationships/intelligence" Target="intelligence2.xml" Id="R80d8678fb85445c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2026-05-12T18:30:09.2342338Z</dcterms:created>
  <dcterms:modified xsi:type="dcterms:W3CDTF">2026-05-12T18:35:29.5726972Z</dcterms:modified>
  <dc:creator>Kate Fakher (2503116)</dc:creator>
  <lastModifiedBy>Kate Fakher (2503116)</lastModifiedBy>
</coreProperties>
</file>