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A36EF5" w14:textId="77777777"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 xml:space="preserve">Qualification: </w:t>
      </w:r>
      <w:r w:rsidRPr="00921606">
        <w:rPr>
          <w:rFonts w:ascii="Arial" w:hAnsi="Arial" w:cs="Arial"/>
          <w:sz w:val="24"/>
          <w:szCs w:val="24"/>
        </w:rPr>
        <w:t>PGDip/MA in Strategic People Management</w:t>
      </w:r>
    </w:p>
    <w:p w14:paraId="71E482CB" w14:textId="77777777" w:rsidR="00954CD4" w:rsidRPr="00921606" w:rsidRDefault="00954CD4" w:rsidP="0099359D">
      <w:pPr>
        <w:spacing w:line="276" w:lineRule="auto"/>
        <w:rPr>
          <w:rFonts w:ascii="Arial" w:hAnsi="Arial" w:cs="Arial"/>
          <w:color w:val="000000" w:themeColor="text1"/>
          <w:sz w:val="24"/>
          <w:szCs w:val="24"/>
        </w:rPr>
      </w:pPr>
    </w:p>
    <w:p w14:paraId="667AA51F" w14:textId="08641868"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 xml:space="preserve">Module Name: Advanced Application of </w:t>
      </w:r>
      <w:r w:rsidRPr="00921606">
        <w:rPr>
          <w:rFonts w:ascii="Arial" w:hAnsi="Arial" w:cs="Arial"/>
          <w:sz w:val="24"/>
          <w:szCs w:val="24"/>
        </w:rPr>
        <w:t xml:space="preserve">Employment Law </w:t>
      </w:r>
      <w:r w:rsidRPr="00921606">
        <w:rPr>
          <w:rFonts w:ascii="Arial" w:hAnsi="Arial" w:cs="Arial"/>
          <w:b/>
          <w:bCs/>
          <w:sz w:val="24"/>
          <w:szCs w:val="24"/>
        </w:rPr>
        <w:t xml:space="preserve">(Task </w:t>
      </w:r>
      <w:r>
        <w:rPr>
          <w:rFonts w:ascii="Arial" w:hAnsi="Arial" w:cs="Arial"/>
          <w:b/>
          <w:bCs/>
          <w:sz w:val="24"/>
          <w:szCs w:val="24"/>
        </w:rPr>
        <w:t>1</w:t>
      </w:r>
      <w:r w:rsidRPr="00921606">
        <w:rPr>
          <w:rFonts w:ascii="Arial" w:hAnsi="Arial" w:cs="Arial"/>
          <w:b/>
          <w:bCs/>
          <w:sz w:val="24"/>
          <w:szCs w:val="24"/>
        </w:rPr>
        <w:t>)</w:t>
      </w:r>
    </w:p>
    <w:p w14:paraId="0A1D8E60" w14:textId="77777777" w:rsidR="00954CD4" w:rsidRPr="00921606" w:rsidRDefault="00954CD4" w:rsidP="0099359D">
      <w:pPr>
        <w:spacing w:line="276" w:lineRule="auto"/>
        <w:rPr>
          <w:rFonts w:ascii="Arial" w:hAnsi="Arial" w:cs="Arial"/>
          <w:color w:val="000000" w:themeColor="text1"/>
          <w:sz w:val="24"/>
          <w:szCs w:val="24"/>
        </w:rPr>
      </w:pPr>
    </w:p>
    <w:p w14:paraId="2AEBB2DF" w14:textId="037D38AC"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 xml:space="preserve">Word count: </w:t>
      </w:r>
      <w:r>
        <w:rPr>
          <w:rFonts w:ascii="Arial" w:hAnsi="Arial" w:cs="Arial"/>
          <w:color w:val="000000" w:themeColor="text1"/>
          <w:sz w:val="24"/>
          <w:szCs w:val="24"/>
        </w:rPr>
        <w:t>3</w:t>
      </w:r>
      <w:r w:rsidR="00DE56BA">
        <w:rPr>
          <w:rFonts w:ascii="Arial" w:hAnsi="Arial" w:cs="Arial"/>
          <w:color w:val="000000" w:themeColor="text1"/>
          <w:sz w:val="24"/>
          <w:szCs w:val="24"/>
        </w:rPr>
        <w:t>,</w:t>
      </w:r>
      <w:r>
        <w:rPr>
          <w:rFonts w:ascii="Arial" w:hAnsi="Arial" w:cs="Arial"/>
          <w:color w:val="000000" w:themeColor="text1"/>
          <w:sz w:val="24"/>
          <w:szCs w:val="24"/>
        </w:rPr>
        <w:t>2</w:t>
      </w:r>
      <w:r w:rsidR="00DF1164">
        <w:rPr>
          <w:rFonts w:ascii="Arial" w:hAnsi="Arial" w:cs="Arial"/>
          <w:color w:val="000000" w:themeColor="text1"/>
          <w:sz w:val="24"/>
          <w:szCs w:val="24"/>
        </w:rPr>
        <w:t>35</w:t>
      </w:r>
      <w:r w:rsidRPr="00921606">
        <w:rPr>
          <w:rFonts w:ascii="Arial" w:hAnsi="Arial" w:cs="Arial"/>
          <w:color w:val="000000" w:themeColor="text1"/>
          <w:sz w:val="24"/>
          <w:szCs w:val="24"/>
        </w:rPr>
        <w:t xml:space="preserve"> words</w:t>
      </w:r>
    </w:p>
    <w:p w14:paraId="2F39DF1E" w14:textId="77777777" w:rsidR="00954CD4" w:rsidRPr="00921606" w:rsidRDefault="00954CD4" w:rsidP="0099359D">
      <w:pPr>
        <w:spacing w:line="276" w:lineRule="auto"/>
        <w:rPr>
          <w:rFonts w:ascii="Arial" w:hAnsi="Arial" w:cs="Arial"/>
          <w:color w:val="000000" w:themeColor="text1"/>
          <w:sz w:val="24"/>
          <w:szCs w:val="24"/>
        </w:rPr>
      </w:pPr>
    </w:p>
    <w:p w14:paraId="5A314E06" w14:textId="77777777"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Student Name: Joanne Thomas</w:t>
      </w:r>
    </w:p>
    <w:p w14:paraId="308B2B00" w14:textId="77777777"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Student Number: 1403229</w:t>
      </w:r>
    </w:p>
    <w:p w14:paraId="65FD6B46" w14:textId="77777777"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 xml:space="preserve">CIPD Membership Number: </w:t>
      </w:r>
      <w:r w:rsidRPr="00921606">
        <w:rPr>
          <w:rFonts w:ascii="Arial" w:hAnsi="Arial" w:cs="Arial"/>
          <w:bCs/>
          <w:color w:val="000000" w:themeColor="text1"/>
          <w:sz w:val="24"/>
          <w:szCs w:val="24"/>
          <w:shd w:val="clear" w:color="auto" w:fill="FFFFFF"/>
        </w:rPr>
        <w:t>53274130</w:t>
      </w:r>
    </w:p>
    <w:p w14:paraId="4609592F" w14:textId="77777777" w:rsidR="00954CD4" w:rsidRPr="00921606" w:rsidRDefault="00954CD4" w:rsidP="0099359D">
      <w:pPr>
        <w:spacing w:line="276" w:lineRule="auto"/>
        <w:rPr>
          <w:rFonts w:ascii="Arial" w:hAnsi="Arial" w:cs="Arial"/>
          <w:color w:val="000000" w:themeColor="text1"/>
          <w:sz w:val="24"/>
          <w:szCs w:val="24"/>
        </w:rPr>
      </w:pPr>
    </w:p>
    <w:p w14:paraId="6FAF4A78" w14:textId="77777777"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By signing below, I confirm that the work/evidence presented is my own, unaided work. I understand the regulations pertaining to candidate malpractice and the action that may be taken as a result.</w:t>
      </w:r>
    </w:p>
    <w:p w14:paraId="32C8DB1A" w14:textId="77777777" w:rsidR="00954CD4" w:rsidRPr="00921606" w:rsidRDefault="00954CD4" w:rsidP="0099359D">
      <w:pPr>
        <w:spacing w:line="276" w:lineRule="auto"/>
        <w:rPr>
          <w:rFonts w:ascii="Arial" w:hAnsi="Arial" w:cs="Arial"/>
          <w:color w:val="000000" w:themeColor="text1"/>
          <w:sz w:val="24"/>
          <w:szCs w:val="24"/>
        </w:rPr>
      </w:pPr>
    </w:p>
    <w:p w14:paraId="5E8A3183" w14:textId="77777777"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 xml:space="preserve">Signed: </w:t>
      </w:r>
      <w:r w:rsidRPr="00921606">
        <w:rPr>
          <w:rFonts w:ascii="Arial" w:hAnsi="Arial" w:cs="Arial"/>
          <w:noProof/>
          <w:sz w:val="24"/>
          <w:szCs w:val="24"/>
          <w:lang w:eastAsia="en-GB"/>
        </w:rPr>
        <w:drawing>
          <wp:inline distT="0" distB="0" distL="0" distR="0" wp14:anchorId="1810132E" wp14:editId="3BBC7D3D">
            <wp:extent cx="1143000" cy="523875"/>
            <wp:effectExtent l="0" t="0" r="0" b="9525"/>
            <wp:docPr id="5" name="Picture 5"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logo&#10;&#10;Description automatically generated with medium confidence"/>
                    <pic:cNvPicPr/>
                  </pic:nvPicPr>
                  <pic:blipFill>
                    <a:blip r:embed="rId7"/>
                    <a:stretch>
                      <a:fillRect/>
                    </a:stretch>
                  </pic:blipFill>
                  <pic:spPr>
                    <a:xfrm>
                      <a:off x="0" y="0"/>
                      <a:ext cx="1143000" cy="523875"/>
                    </a:xfrm>
                    <a:prstGeom prst="rect">
                      <a:avLst/>
                    </a:prstGeom>
                  </pic:spPr>
                </pic:pic>
              </a:graphicData>
            </a:graphic>
          </wp:inline>
        </w:drawing>
      </w:r>
      <w:r w:rsidRPr="00921606">
        <w:rPr>
          <w:rFonts w:ascii="Arial" w:hAnsi="Arial" w:cs="Arial"/>
          <w:color w:val="000000" w:themeColor="text1"/>
          <w:sz w:val="24"/>
          <w:szCs w:val="24"/>
        </w:rPr>
        <w:t xml:space="preserve"> J. Thomas</w:t>
      </w:r>
    </w:p>
    <w:p w14:paraId="769A49D9" w14:textId="77777777" w:rsidR="00954CD4" w:rsidRPr="00921606" w:rsidRDefault="00954CD4" w:rsidP="0099359D">
      <w:pPr>
        <w:spacing w:line="276" w:lineRule="auto"/>
        <w:rPr>
          <w:rFonts w:ascii="Arial" w:hAnsi="Arial" w:cs="Arial"/>
          <w:color w:val="000000" w:themeColor="text1"/>
          <w:sz w:val="24"/>
          <w:szCs w:val="24"/>
        </w:rPr>
      </w:pPr>
      <w:r w:rsidRPr="00921606">
        <w:rPr>
          <w:rFonts w:ascii="Arial" w:hAnsi="Arial" w:cs="Arial"/>
          <w:color w:val="000000" w:themeColor="text1"/>
          <w:sz w:val="24"/>
          <w:szCs w:val="24"/>
        </w:rPr>
        <w:t>Date: 14</w:t>
      </w:r>
      <w:r w:rsidRPr="00921606">
        <w:rPr>
          <w:rFonts w:ascii="Arial" w:hAnsi="Arial" w:cs="Arial"/>
          <w:color w:val="000000" w:themeColor="text1"/>
          <w:sz w:val="24"/>
          <w:szCs w:val="24"/>
          <w:vertAlign w:val="superscript"/>
        </w:rPr>
        <w:t>th</w:t>
      </w:r>
      <w:r w:rsidRPr="00921606">
        <w:rPr>
          <w:rFonts w:ascii="Arial" w:hAnsi="Arial" w:cs="Arial"/>
          <w:color w:val="000000" w:themeColor="text1"/>
          <w:sz w:val="24"/>
          <w:szCs w:val="24"/>
        </w:rPr>
        <w:t xml:space="preserve"> May 2023</w:t>
      </w:r>
    </w:p>
    <w:p w14:paraId="4C42AC31" w14:textId="20385F0E" w:rsidR="00954CD4" w:rsidRDefault="00954CD4" w:rsidP="0099359D">
      <w:pPr>
        <w:spacing w:line="276" w:lineRule="auto"/>
      </w:pPr>
    </w:p>
    <w:sdt>
      <w:sdtPr>
        <w:id w:val="-1111971017"/>
        <w:docPartObj>
          <w:docPartGallery w:val="Cover Pages"/>
          <w:docPartUnique/>
        </w:docPartObj>
      </w:sdtPr>
      <w:sdtEndPr>
        <w:rPr>
          <w:rFonts w:ascii="Arial" w:hAnsi="Arial" w:cs="Arial"/>
          <w:sz w:val="24"/>
          <w:szCs w:val="24"/>
        </w:rPr>
      </w:sdtEndPr>
      <w:sdtContent>
        <w:p w14:paraId="54F4260A" w14:textId="335B2FB9" w:rsidR="00954CD4" w:rsidRDefault="00954CD4" w:rsidP="0099359D">
          <w:pPr>
            <w:spacing w:line="276" w:lineRule="auto"/>
          </w:pPr>
        </w:p>
        <w:p w14:paraId="4AB94093" w14:textId="415A1AD6" w:rsidR="00954CD4" w:rsidRDefault="00954CD4" w:rsidP="0099359D">
          <w:pPr>
            <w:spacing w:line="276" w:lineRule="auto"/>
            <w:rPr>
              <w:rFonts w:ascii="Arial" w:hAnsi="Arial" w:cs="Arial"/>
              <w:sz w:val="24"/>
              <w:szCs w:val="24"/>
            </w:rPr>
          </w:pPr>
          <w:r>
            <w:rPr>
              <w:rFonts w:ascii="Arial" w:hAnsi="Arial" w:cs="Arial"/>
              <w:sz w:val="24"/>
              <w:szCs w:val="24"/>
            </w:rPr>
            <w:br w:type="page"/>
          </w:r>
        </w:p>
      </w:sdtContent>
    </w:sdt>
    <w:p w14:paraId="2B7E4773" w14:textId="0B0E9D67" w:rsidR="00785540" w:rsidRPr="00C3526E" w:rsidRDefault="00EF61F0" w:rsidP="0099359D">
      <w:pPr>
        <w:pStyle w:val="CompanyName"/>
        <w:spacing w:line="276" w:lineRule="auto"/>
      </w:pPr>
      <w:r>
        <w:lastRenderedPageBreak/>
        <w:t>Scrumpy Cider Ltd</w:t>
      </w:r>
    </w:p>
    <w:sdt>
      <w:sdtPr>
        <w:alias w:val="Memo title:"/>
        <w:tag w:val="Memo title:"/>
        <w:id w:val="-164170097"/>
        <w:placeholder>
          <w:docPart w:val="01D73DF4C749424E8D025135B6451691"/>
        </w:placeholder>
        <w:temporary/>
        <w:showingPlcHdr/>
        <w15:appearance w15:val="hidden"/>
      </w:sdtPr>
      <w:sdtEndPr/>
      <w:sdtContent>
        <w:p w14:paraId="2687C5F2" w14:textId="77777777" w:rsidR="00785540" w:rsidRDefault="00785540" w:rsidP="0099359D">
          <w:pPr>
            <w:pStyle w:val="Title"/>
            <w:spacing w:line="276" w:lineRule="auto"/>
          </w:pPr>
          <w:r>
            <w:rPr>
              <w:lang w:bidi="en-GB"/>
            </w:rPr>
            <w:t>Memo</w:t>
          </w:r>
        </w:p>
      </w:sdtContent>
    </w:sdt>
    <w:tbl>
      <w:tblPr>
        <w:tblStyle w:val="Memotable"/>
        <w:tblW w:w="5000" w:type="pct"/>
        <w:tblLayout w:type="fixed"/>
        <w:tblCellMar>
          <w:left w:w="0" w:type="dxa"/>
          <w:right w:w="0" w:type="dxa"/>
        </w:tblCellMar>
        <w:tblLook w:val="04A0" w:firstRow="1" w:lastRow="0" w:firstColumn="1" w:lastColumn="0" w:noHBand="0" w:noVBand="1"/>
        <w:tblDescription w:val="Memo header fields"/>
      </w:tblPr>
      <w:tblGrid>
        <w:gridCol w:w="1188"/>
        <w:gridCol w:w="7838"/>
      </w:tblGrid>
      <w:tr w:rsidR="00785540" w14:paraId="326A8681" w14:textId="77777777" w:rsidTr="00EF61F0">
        <w:sdt>
          <w:sdtPr>
            <w:rPr>
              <w:rFonts w:ascii="Arial" w:hAnsi="Arial" w:cs="Arial"/>
              <w:sz w:val="24"/>
              <w:szCs w:val="24"/>
            </w:rPr>
            <w:alias w:val="To:"/>
            <w:tag w:val="To:"/>
            <w:id w:val="1015413264"/>
            <w:placeholder>
              <w:docPart w:val="2E9DACA60FDD4A3C9FB8BF40B24AC67E"/>
            </w:placeholder>
            <w:temporary/>
            <w:showingPlcHdr/>
            <w15:appearance w15:val="hidden"/>
          </w:sdtPr>
          <w:sdtEndPr/>
          <w:sdtContent>
            <w:tc>
              <w:tcPr>
                <w:cnfStyle w:val="001000000000" w:firstRow="0" w:lastRow="0" w:firstColumn="1" w:lastColumn="0" w:oddVBand="0" w:evenVBand="0" w:oddHBand="0" w:evenHBand="0" w:firstRowFirstColumn="0" w:firstRowLastColumn="0" w:lastRowFirstColumn="0" w:lastRowLastColumn="0"/>
                <w:tcW w:w="1188" w:type="dxa"/>
              </w:tcPr>
              <w:p w14:paraId="41C18D1C" w14:textId="77777777" w:rsidR="00785540" w:rsidRPr="00EF61F0" w:rsidRDefault="00785540" w:rsidP="0099359D">
                <w:pPr>
                  <w:pStyle w:val="Heading1"/>
                  <w:spacing w:line="276" w:lineRule="auto"/>
                  <w:contextualSpacing w:val="0"/>
                  <w:rPr>
                    <w:rFonts w:ascii="Arial" w:hAnsi="Arial" w:cs="Arial"/>
                    <w:sz w:val="24"/>
                    <w:szCs w:val="24"/>
                  </w:rPr>
                </w:pPr>
                <w:r w:rsidRPr="00EF61F0">
                  <w:rPr>
                    <w:rFonts w:ascii="Arial" w:hAnsi="Arial" w:cs="Arial"/>
                    <w:sz w:val="24"/>
                    <w:szCs w:val="24"/>
                    <w:lang w:bidi="en-GB"/>
                  </w:rPr>
                  <w:t>To:</w:t>
                </w:r>
              </w:p>
            </w:tc>
          </w:sdtContent>
        </w:sdt>
        <w:tc>
          <w:tcPr>
            <w:tcW w:w="7838" w:type="dxa"/>
          </w:tcPr>
          <w:p w14:paraId="394F4DDA" w14:textId="2F03751B" w:rsidR="00785540" w:rsidRPr="00EF61F0" w:rsidRDefault="00EF61F0" w:rsidP="0099359D">
            <w:pPr>
              <w:spacing w:before="280" w:line="276" w:lineRule="auto"/>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F61F0">
              <w:rPr>
                <w:rFonts w:ascii="Arial" w:hAnsi="Arial" w:cs="Arial"/>
                <w:sz w:val="24"/>
                <w:szCs w:val="24"/>
              </w:rPr>
              <w:t>Bob Braebun - MD</w:t>
            </w:r>
          </w:p>
        </w:tc>
      </w:tr>
      <w:tr w:rsidR="00785540" w14:paraId="46D320B0" w14:textId="77777777" w:rsidTr="00EF61F0">
        <w:sdt>
          <w:sdtPr>
            <w:rPr>
              <w:rFonts w:ascii="Arial" w:hAnsi="Arial" w:cs="Arial"/>
              <w:sz w:val="24"/>
              <w:szCs w:val="24"/>
            </w:rPr>
            <w:alias w:val="From:"/>
            <w:tag w:val="From:"/>
            <w:id w:val="21141888"/>
            <w:placeholder>
              <w:docPart w:val="7079629CA77D421DAE5FC3BC55D3B951"/>
            </w:placeholder>
            <w:temporary/>
            <w:showingPlcHdr/>
            <w15:appearance w15:val="hidden"/>
          </w:sdtPr>
          <w:sdtEndPr/>
          <w:sdtContent>
            <w:tc>
              <w:tcPr>
                <w:cnfStyle w:val="001000000000" w:firstRow="0" w:lastRow="0" w:firstColumn="1" w:lastColumn="0" w:oddVBand="0" w:evenVBand="0" w:oddHBand="0" w:evenHBand="0" w:firstRowFirstColumn="0" w:firstRowLastColumn="0" w:lastRowFirstColumn="0" w:lastRowLastColumn="0"/>
                <w:tcW w:w="1188" w:type="dxa"/>
              </w:tcPr>
              <w:p w14:paraId="3BB6C254" w14:textId="77777777" w:rsidR="00785540" w:rsidRPr="00EF61F0" w:rsidRDefault="00785540" w:rsidP="0099359D">
                <w:pPr>
                  <w:pStyle w:val="Heading1"/>
                  <w:spacing w:line="276" w:lineRule="auto"/>
                  <w:contextualSpacing w:val="0"/>
                  <w:rPr>
                    <w:rFonts w:ascii="Arial" w:hAnsi="Arial" w:cs="Arial"/>
                    <w:sz w:val="24"/>
                    <w:szCs w:val="24"/>
                  </w:rPr>
                </w:pPr>
                <w:r w:rsidRPr="00EF61F0">
                  <w:rPr>
                    <w:rFonts w:ascii="Arial" w:hAnsi="Arial" w:cs="Arial"/>
                    <w:sz w:val="24"/>
                    <w:szCs w:val="24"/>
                    <w:lang w:bidi="en-GB"/>
                  </w:rPr>
                  <w:t>From:</w:t>
                </w:r>
              </w:p>
            </w:tc>
          </w:sdtContent>
        </w:sdt>
        <w:tc>
          <w:tcPr>
            <w:tcW w:w="7838" w:type="dxa"/>
          </w:tcPr>
          <w:p w14:paraId="6D49E495" w14:textId="4FABB29D" w:rsidR="00EB38E6" w:rsidRPr="00EF61F0" w:rsidRDefault="00EF61F0" w:rsidP="0099359D">
            <w:pPr>
              <w:spacing w:before="280" w:line="276" w:lineRule="auto"/>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F61F0">
              <w:rPr>
                <w:rFonts w:ascii="Arial" w:hAnsi="Arial" w:cs="Arial"/>
                <w:sz w:val="24"/>
                <w:szCs w:val="24"/>
              </w:rPr>
              <w:t>Joanne Thomas</w:t>
            </w:r>
          </w:p>
        </w:tc>
      </w:tr>
      <w:tr w:rsidR="00785540" w14:paraId="1581BBC7" w14:textId="77777777" w:rsidTr="00EF61F0">
        <w:sdt>
          <w:sdtPr>
            <w:rPr>
              <w:rFonts w:ascii="Arial" w:hAnsi="Arial" w:cs="Arial"/>
              <w:sz w:val="24"/>
              <w:szCs w:val="24"/>
            </w:rPr>
            <w:alias w:val="Date:"/>
            <w:tag w:val="Date:"/>
            <w:id w:val="-2052519928"/>
            <w:placeholder>
              <w:docPart w:val="56B50AE96A8A4FB89ABE9F604809B1F4"/>
            </w:placeholder>
            <w:temporary/>
            <w:showingPlcHdr/>
            <w15:appearance w15:val="hidden"/>
          </w:sdtPr>
          <w:sdtEndPr/>
          <w:sdtContent>
            <w:tc>
              <w:tcPr>
                <w:cnfStyle w:val="001000000000" w:firstRow="0" w:lastRow="0" w:firstColumn="1" w:lastColumn="0" w:oddVBand="0" w:evenVBand="0" w:oddHBand="0" w:evenHBand="0" w:firstRowFirstColumn="0" w:firstRowLastColumn="0" w:lastRowFirstColumn="0" w:lastRowLastColumn="0"/>
                <w:tcW w:w="1188" w:type="dxa"/>
              </w:tcPr>
              <w:p w14:paraId="7448EFA8" w14:textId="77777777" w:rsidR="00785540" w:rsidRPr="00EF61F0" w:rsidRDefault="00785540" w:rsidP="0099359D">
                <w:pPr>
                  <w:pStyle w:val="Heading1"/>
                  <w:spacing w:line="276" w:lineRule="auto"/>
                  <w:contextualSpacing w:val="0"/>
                  <w:rPr>
                    <w:rFonts w:ascii="Arial" w:hAnsi="Arial" w:cs="Arial"/>
                    <w:sz w:val="24"/>
                    <w:szCs w:val="24"/>
                  </w:rPr>
                </w:pPr>
                <w:r w:rsidRPr="00EF61F0">
                  <w:rPr>
                    <w:rFonts w:ascii="Arial" w:hAnsi="Arial" w:cs="Arial"/>
                    <w:sz w:val="24"/>
                    <w:szCs w:val="24"/>
                    <w:lang w:bidi="en-GB"/>
                  </w:rPr>
                  <w:t>Date:</w:t>
                </w:r>
              </w:p>
            </w:tc>
          </w:sdtContent>
        </w:sdt>
        <w:tc>
          <w:tcPr>
            <w:tcW w:w="7838" w:type="dxa"/>
          </w:tcPr>
          <w:p w14:paraId="2D1EE69C" w14:textId="76D05892" w:rsidR="00785540" w:rsidRPr="00EF61F0" w:rsidRDefault="006E4F91" w:rsidP="0099359D">
            <w:pPr>
              <w:spacing w:before="280" w:line="276" w:lineRule="auto"/>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21 April</w:t>
            </w:r>
            <w:r w:rsidR="00EF61F0" w:rsidRPr="00EF61F0">
              <w:rPr>
                <w:rFonts w:ascii="Arial" w:hAnsi="Arial" w:cs="Arial"/>
                <w:sz w:val="24"/>
                <w:szCs w:val="24"/>
              </w:rPr>
              <w:t xml:space="preserve"> 2023</w:t>
            </w:r>
          </w:p>
        </w:tc>
      </w:tr>
      <w:tr w:rsidR="00785540" w14:paraId="5DA83BB0" w14:textId="77777777" w:rsidTr="00EF61F0">
        <w:sdt>
          <w:sdtPr>
            <w:rPr>
              <w:rFonts w:ascii="Arial" w:hAnsi="Arial" w:cs="Arial"/>
              <w:sz w:val="24"/>
              <w:szCs w:val="24"/>
            </w:rPr>
            <w:alias w:val="Re:"/>
            <w:tag w:val="Re:"/>
            <w:id w:val="-1435443775"/>
            <w:placeholder>
              <w:docPart w:val="3C1A13D8B25948ABA8559AFB0EFBC101"/>
            </w:placeholder>
            <w:temporary/>
            <w:showingPlcHdr/>
            <w15:appearance w15:val="hidden"/>
          </w:sdtPr>
          <w:sdtEndPr/>
          <w:sdtContent>
            <w:tc>
              <w:tcPr>
                <w:cnfStyle w:val="001000000000" w:firstRow="0" w:lastRow="0" w:firstColumn="1" w:lastColumn="0" w:oddVBand="0" w:evenVBand="0" w:oddHBand="0" w:evenHBand="0" w:firstRowFirstColumn="0" w:firstRowLastColumn="0" w:lastRowFirstColumn="0" w:lastRowLastColumn="0"/>
                <w:tcW w:w="1188" w:type="dxa"/>
                <w:tcMar>
                  <w:left w:w="0" w:type="dxa"/>
                  <w:bottom w:w="288" w:type="dxa"/>
                  <w:right w:w="0" w:type="dxa"/>
                </w:tcMar>
              </w:tcPr>
              <w:p w14:paraId="2D0D7140" w14:textId="77777777" w:rsidR="00785540" w:rsidRPr="00EF61F0" w:rsidRDefault="00785540" w:rsidP="0099359D">
                <w:pPr>
                  <w:pStyle w:val="Heading1"/>
                  <w:spacing w:line="276" w:lineRule="auto"/>
                  <w:contextualSpacing w:val="0"/>
                  <w:rPr>
                    <w:rFonts w:ascii="Arial" w:hAnsi="Arial" w:cs="Arial"/>
                    <w:sz w:val="24"/>
                    <w:szCs w:val="24"/>
                  </w:rPr>
                </w:pPr>
                <w:r w:rsidRPr="00EF61F0">
                  <w:rPr>
                    <w:rFonts w:ascii="Arial" w:hAnsi="Arial" w:cs="Arial"/>
                    <w:sz w:val="24"/>
                    <w:szCs w:val="24"/>
                    <w:lang w:bidi="en-GB"/>
                  </w:rPr>
                  <w:t>Re:</w:t>
                </w:r>
              </w:p>
            </w:tc>
          </w:sdtContent>
        </w:sdt>
        <w:tc>
          <w:tcPr>
            <w:tcW w:w="7838" w:type="dxa"/>
            <w:tcMar>
              <w:left w:w="0" w:type="dxa"/>
              <w:bottom w:w="288" w:type="dxa"/>
              <w:right w:w="0" w:type="dxa"/>
            </w:tcMar>
          </w:tcPr>
          <w:p w14:paraId="77BE6150" w14:textId="5BF75472" w:rsidR="00785540" w:rsidRPr="00EF61F0" w:rsidRDefault="00EF61F0" w:rsidP="0099359D">
            <w:pPr>
              <w:spacing w:before="280" w:line="276" w:lineRule="auto"/>
              <w:contextualSpacing w:val="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F61F0">
              <w:rPr>
                <w:rFonts w:ascii="Arial" w:hAnsi="Arial" w:cs="Arial"/>
                <w:sz w:val="24"/>
                <w:szCs w:val="24"/>
              </w:rPr>
              <w:t>Employment Tribunal Claim</w:t>
            </w:r>
          </w:p>
        </w:tc>
      </w:tr>
    </w:tbl>
    <w:p w14:paraId="1525D8A2" w14:textId="5F77EEEC" w:rsidR="00933B8F" w:rsidRPr="00EF61F0" w:rsidRDefault="00EF61F0" w:rsidP="0099359D">
      <w:pPr>
        <w:spacing w:line="360" w:lineRule="auto"/>
        <w:rPr>
          <w:sz w:val="24"/>
          <w:szCs w:val="24"/>
        </w:rPr>
      </w:pPr>
      <w:r w:rsidRPr="00EF61F0">
        <w:rPr>
          <w:sz w:val="24"/>
          <w:szCs w:val="24"/>
        </w:rPr>
        <w:t xml:space="preserve">This memo provides advice and guidance regarding how to respond to and handle the employment tribunal claim submitted by Miss Alison Ambrosia. </w:t>
      </w:r>
    </w:p>
    <w:p w14:paraId="7C9FC938" w14:textId="1D8262EE" w:rsidR="00EF61F0" w:rsidRPr="00EF61F0" w:rsidRDefault="00EF61F0" w:rsidP="0099359D">
      <w:pPr>
        <w:pStyle w:val="ListParagraph"/>
        <w:numPr>
          <w:ilvl w:val="0"/>
          <w:numId w:val="26"/>
        </w:numPr>
        <w:spacing w:line="360" w:lineRule="auto"/>
        <w:ind w:hanging="720"/>
        <w:rPr>
          <w:b/>
          <w:bCs/>
          <w:sz w:val="24"/>
          <w:szCs w:val="24"/>
        </w:rPr>
      </w:pPr>
      <w:r w:rsidRPr="00EF61F0">
        <w:rPr>
          <w:b/>
          <w:bCs/>
          <w:sz w:val="24"/>
          <w:szCs w:val="24"/>
        </w:rPr>
        <w:t xml:space="preserve">Responding to the ET1 </w:t>
      </w:r>
    </w:p>
    <w:p w14:paraId="02D44FC3"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The organisation must respond to the ET1 form within 28 days from the date which the tribunal sent Alison Ambrosia’s (AA) claim form. The claim form was received on the 15</w:t>
      </w:r>
      <w:r w:rsidRPr="00EF61F0">
        <w:rPr>
          <w:rFonts w:ascii="Arial" w:hAnsi="Arial" w:cs="Arial"/>
          <w:sz w:val="24"/>
          <w:szCs w:val="24"/>
          <w:vertAlign w:val="superscript"/>
        </w:rPr>
        <w:t>th</w:t>
      </w:r>
      <w:r w:rsidRPr="00EF61F0">
        <w:rPr>
          <w:rFonts w:ascii="Arial" w:hAnsi="Arial" w:cs="Arial"/>
          <w:sz w:val="24"/>
          <w:szCs w:val="24"/>
        </w:rPr>
        <w:t xml:space="preserve"> April 2023 therefore, the 28 day response period ends on the 13</w:t>
      </w:r>
      <w:r w:rsidRPr="00EF61F0">
        <w:rPr>
          <w:rFonts w:ascii="Arial" w:hAnsi="Arial" w:cs="Arial"/>
          <w:sz w:val="24"/>
          <w:szCs w:val="24"/>
          <w:vertAlign w:val="superscript"/>
        </w:rPr>
        <w:t>th</w:t>
      </w:r>
      <w:r w:rsidRPr="00EF61F0">
        <w:rPr>
          <w:rFonts w:ascii="Arial" w:hAnsi="Arial" w:cs="Arial"/>
          <w:sz w:val="24"/>
          <w:szCs w:val="24"/>
        </w:rPr>
        <w:t xml:space="preserve"> May 2023. Importantly, the tribunal office must </w:t>
      </w:r>
      <w:r w:rsidRPr="00DE56BA">
        <w:rPr>
          <w:rFonts w:ascii="Arial" w:hAnsi="Arial" w:cs="Arial"/>
          <w:sz w:val="24"/>
          <w:szCs w:val="24"/>
        </w:rPr>
        <w:t>receive</w:t>
      </w:r>
      <w:r w:rsidRPr="00EF61F0">
        <w:rPr>
          <w:rFonts w:ascii="Arial" w:hAnsi="Arial" w:cs="Arial"/>
          <w:sz w:val="24"/>
          <w:szCs w:val="24"/>
        </w:rPr>
        <w:t xml:space="preserve"> the response within this time frame. </w:t>
      </w:r>
    </w:p>
    <w:p w14:paraId="26048B76"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The claim can be responded to by either:</w:t>
      </w:r>
    </w:p>
    <w:p w14:paraId="1766FA60" w14:textId="77777777" w:rsidR="00EF61F0" w:rsidRPr="00EF61F0" w:rsidRDefault="00EF61F0" w:rsidP="0099359D">
      <w:pPr>
        <w:pStyle w:val="ListParagraph"/>
        <w:numPr>
          <w:ilvl w:val="0"/>
          <w:numId w:val="27"/>
        </w:numPr>
        <w:spacing w:before="0" w:after="160" w:line="360" w:lineRule="auto"/>
        <w:rPr>
          <w:rFonts w:ascii="Arial" w:hAnsi="Arial" w:cs="Arial"/>
          <w:sz w:val="24"/>
          <w:szCs w:val="24"/>
        </w:rPr>
      </w:pPr>
      <w:r w:rsidRPr="00EF61F0">
        <w:rPr>
          <w:rFonts w:ascii="Arial" w:hAnsi="Arial" w:cs="Arial"/>
          <w:sz w:val="24"/>
          <w:szCs w:val="24"/>
        </w:rPr>
        <w:t>Submitting an ET3 response form online.</w:t>
      </w:r>
    </w:p>
    <w:p w14:paraId="649FEA72" w14:textId="77777777" w:rsidR="00EF61F0" w:rsidRPr="00EF61F0" w:rsidRDefault="00EF61F0" w:rsidP="0099359D">
      <w:pPr>
        <w:pStyle w:val="ListParagraph"/>
        <w:numPr>
          <w:ilvl w:val="0"/>
          <w:numId w:val="27"/>
        </w:numPr>
        <w:spacing w:before="0" w:after="160" w:line="360" w:lineRule="auto"/>
        <w:rPr>
          <w:rFonts w:ascii="Arial" w:hAnsi="Arial" w:cs="Arial"/>
          <w:sz w:val="24"/>
          <w:szCs w:val="24"/>
        </w:rPr>
      </w:pPr>
      <w:r w:rsidRPr="00EF61F0">
        <w:rPr>
          <w:rFonts w:ascii="Arial" w:hAnsi="Arial" w:cs="Arial"/>
          <w:sz w:val="24"/>
          <w:szCs w:val="24"/>
        </w:rPr>
        <w:t>Complete and return the response pack the tribunal office provided.</w:t>
      </w:r>
    </w:p>
    <w:p w14:paraId="65F212BE" w14:textId="77777777" w:rsidR="00EF61F0" w:rsidRPr="00EF61F0" w:rsidRDefault="00EF61F0" w:rsidP="0099359D">
      <w:pPr>
        <w:pStyle w:val="ListParagraph"/>
        <w:numPr>
          <w:ilvl w:val="0"/>
          <w:numId w:val="27"/>
        </w:numPr>
        <w:spacing w:before="0" w:after="160" w:line="360" w:lineRule="auto"/>
        <w:rPr>
          <w:rFonts w:ascii="Arial" w:hAnsi="Arial" w:cs="Arial"/>
          <w:sz w:val="24"/>
          <w:szCs w:val="24"/>
        </w:rPr>
      </w:pPr>
      <w:r w:rsidRPr="00EF61F0">
        <w:rPr>
          <w:rFonts w:ascii="Arial" w:hAnsi="Arial" w:cs="Arial"/>
          <w:sz w:val="24"/>
          <w:szCs w:val="24"/>
        </w:rPr>
        <w:t xml:space="preserve">Download and complete the response form and send it to the relevant tribunal office. </w:t>
      </w:r>
    </w:p>
    <w:p w14:paraId="12C6027B"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As a minimum, the response must include the company name and address and whether you will be resisting the claim entirely or in part. If resisting the claim, the response must address the grounds on which the claim is being resisted and provide relevant information to support this. Additional information can be provided such as, </w:t>
      </w:r>
      <w:r w:rsidRPr="00EF61F0">
        <w:rPr>
          <w:rFonts w:ascii="Arial" w:hAnsi="Arial" w:cs="Arial"/>
          <w:sz w:val="24"/>
          <w:szCs w:val="24"/>
        </w:rPr>
        <w:lastRenderedPageBreak/>
        <w:t xml:space="preserve">agreeing or disagreeing with the employment details, earnings, and benefits which AA included on the ET1 form (HM Courts &amp; Tribunal Service, 2021). </w:t>
      </w:r>
    </w:p>
    <w:p w14:paraId="5159DB09" w14:textId="365DA4BB"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The tribunal can reject the response if the response was not completed </w:t>
      </w:r>
      <w:r w:rsidR="00DE56BA">
        <w:rPr>
          <w:rFonts w:ascii="Arial" w:hAnsi="Arial" w:cs="Arial"/>
          <w:sz w:val="24"/>
          <w:szCs w:val="24"/>
        </w:rPr>
        <w:t>using</w:t>
      </w:r>
      <w:r w:rsidRPr="00EF61F0">
        <w:rPr>
          <w:rFonts w:ascii="Arial" w:hAnsi="Arial" w:cs="Arial"/>
          <w:sz w:val="24"/>
          <w:szCs w:val="24"/>
        </w:rPr>
        <w:t xml:space="preserve"> the correct form, if the response is not received on time, or the minimum information is not provided. If the response is not accepted, the tribunal may issue a default judgment (Citizens Advice, 2021a).</w:t>
      </w:r>
    </w:p>
    <w:p w14:paraId="10A5F608" w14:textId="76D9D30C" w:rsidR="00EF61F0" w:rsidRPr="00EF61F0" w:rsidRDefault="00EF61F0" w:rsidP="0099359D">
      <w:pPr>
        <w:pStyle w:val="ListParagraph"/>
        <w:numPr>
          <w:ilvl w:val="0"/>
          <w:numId w:val="26"/>
        </w:numPr>
        <w:spacing w:line="360" w:lineRule="auto"/>
        <w:ind w:hanging="720"/>
        <w:rPr>
          <w:b/>
          <w:bCs/>
          <w:sz w:val="24"/>
          <w:szCs w:val="24"/>
        </w:rPr>
      </w:pPr>
      <w:r w:rsidRPr="00EF61F0">
        <w:rPr>
          <w:b/>
          <w:bCs/>
          <w:sz w:val="24"/>
          <w:szCs w:val="24"/>
        </w:rPr>
        <w:t>Grounds for claims</w:t>
      </w:r>
    </w:p>
    <w:p w14:paraId="60945F75"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Reviewing AA’s claim, the grounds for any claims are as follows:</w:t>
      </w:r>
    </w:p>
    <w:p w14:paraId="371EE4BF" w14:textId="77777777" w:rsidR="00EF61F0" w:rsidRPr="00EF61F0" w:rsidRDefault="00EF61F0" w:rsidP="0099359D">
      <w:pPr>
        <w:spacing w:line="360" w:lineRule="auto"/>
        <w:rPr>
          <w:rFonts w:ascii="Arial" w:hAnsi="Arial" w:cs="Arial"/>
          <w:b/>
          <w:bCs/>
          <w:sz w:val="24"/>
          <w:szCs w:val="24"/>
        </w:rPr>
      </w:pPr>
      <w:r w:rsidRPr="00EF61F0">
        <w:rPr>
          <w:rFonts w:ascii="Arial" w:hAnsi="Arial" w:cs="Arial"/>
          <w:b/>
          <w:bCs/>
          <w:sz w:val="24"/>
          <w:szCs w:val="24"/>
        </w:rPr>
        <w:t xml:space="preserve">Constructive dismissal </w:t>
      </w:r>
    </w:p>
    <w:p w14:paraId="373A33AD" w14:textId="3BBFA46B"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AA claims that the incidents which occurred during her time at the Newport office </w:t>
      </w:r>
      <w:r w:rsidR="00DE56BA" w:rsidRPr="00EF61F0">
        <w:rPr>
          <w:rFonts w:ascii="Arial" w:hAnsi="Arial" w:cs="Arial"/>
          <w:sz w:val="24"/>
          <w:szCs w:val="24"/>
        </w:rPr>
        <w:t>ha</w:t>
      </w:r>
      <w:r w:rsidR="00DE56BA">
        <w:rPr>
          <w:rFonts w:ascii="Arial" w:hAnsi="Arial" w:cs="Arial"/>
          <w:sz w:val="24"/>
          <w:szCs w:val="24"/>
        </w:rPr>
        <w:t>ve</w:t>
      </w:r>
      <w:r w:rsidRPr="00EF61F0">
        <w:rPr>
          <w:rFonts w:ascii="Arial" w:hAnsi="Arial" w:cs="Arial"/>
          <w:sz w:val="24"/>
          <w:szCs w:val="24"/>
        </w:rPr>
        <w:t xml:space="preserve"> forced her to submit her resignation; in addition, AA was an employee with 2 years’ service therefore, there may be grounds for constructive unfair dismissal. Constructive unfair dismissal, commonly known as constructive dismissal, is where an employee terminates their contract due to the conduct of their employer which constitutes a fundamental breach of their employment contract (Lewis, Sargeant and Schwab, 2023; Suff, 2022</w:t>
      </w:r>
      <w:r w:rsidR="0099359D">
        <w:rPr>
          <w:rFonts w:ascii="Arial" w:hAnsi="Arial" w:cs="Arial"/>
          <w:sz w:val="24"/>
          <w:szCs w:val="24"/>
        </w:rPr>
        <w:t>a</w:t>
      </w:r>
      <w:r w:rsidRPr="00EF61F0">
        <w:rPr>
          <w:rFonts w:ascii="Arial" w:hAnsi="Arial" w:cs="Arial"/>
          <w:sz w:val="24"/>
          <w:szCs w:val="24"/>
        </w:rPr>
        <w:t>). The underpinning issue of AA’s claim is sexual harassment, which would likely constitute a significant breach of contract regarding the implied term of trust and confidence.</w:t>
      </w:r>
    </w:p>
    <w:p w14:paraId="1A19F4B3" w14:textId="77777777" w:rsidR="00EF61F0" w:rsidRPr="00EF61F0" w:rsidRDefault="00EF61F0" w:rsidP="0099359D">
      <w:pPr>
        <w:spacing w:line="360" w:lineRule="auto"/>
        <w:rPr>
          <w:rFonts w:ascii="Arial" w:hAnsi="Arial" w:cs="Arial"/>
          <w:b/>
          <w:bCs/>
          <w:sz w:val="24"/>
          <w:szCs w:val="24"/>
        </w:rPr>
      </w:pPr>
      <w:r w:rsidRPr="00EF61F0">
        <w:rPr>
          <w:rFonts w:ascii="Arial" w:hAnsi="Arial" w:cs="Arial"/>
          <w:b/>
          <w:bCs/>
          <w:sz w:val="24"/>
          <w:szCs w:val="24"/>
        </w:rPr>
        <w:t xml:space="preserve">Discrimination and Harassment </w:t>
      </w:r>
    </w:p>
    <w:p w14:paraId="70CD3896" w14:textId="3651C1E3"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The claim detailed incidents with Steve Smith (SS) and Richard Rees (RR) which included comments and gestures of a sexual nature, and physical contact; AA claims these incidents were unwanted and made her feel uncomfortable. Under the Equality Act 2010, these incidents constitute sexual harassment despite this may not being the intentions of SS and RR (Acas, 2021a). Furthermore, SS and RR both made derogatory comments about AA’s sex boosting company sales. This action could constitute </w:t>
      </w:r>
      <w:r w:rsidR="00DE56BA">
        <w:rPr>
          <w:rFonts w:ascii="Arial" w:hAnsi="Arial" w:cs="Arial"/>
          <w:sz w:val="24"/>
          <w:szCs w:val="24"/>
        </w:rPr>
        <w:t>discrimination</w:t>
      </w:r>
      <w:r w:rsidRPr="00EF61F0">
        <w:rPr>
          <w:rFonts w:ascii="Arial" w:hAnsi="Arial" w:cs="Arial"/>
          <w:sz w:val="24"/>
          <w:szCs w:val="24"/>
        </w:rPr>
        <w:t xml:space="preserve"> related to</w:t>
      </w:r>
      <w:r w:rsidR="00DE56BA">
        <w:rPr>
          <w:rFonts w:ascii="Arial" w:hAnsi="Arial" w:cs="Arial"/>
          <w:sz w:val="24"/>
          <w:szCs w:val="24"/>
        </w:rPr>
        <w:t xml:space="preserve"> the</w:t>
      </w:r>
      <w:r w:rsidRPr="00EF61F0">
        <w:rPr>
          <w:rFonts w:ascii="Arial" w:hAnsi="Arial" w:cs="Arial"/>
          <w:sz w:val="24"/>
          <w:szCs w:val="24"/>
        </w:rPr>
        <w:t xml:space="preserve"> protected characteristic</w:t>
      </w:r>
      <w:r w:rsidR="00DE56BA">
        <w:rPr>
          <w:rFonts w:ascii="Arial" w:hAnsi="Arial" w:cs="Arial"/>
          <w:sz w:val="24"/>
          <w:szCs w:val="24"/>
        </w:rPr>
        <w:t xml:space="preserve"> sex</w:t>
      </w:r>
      <w:r w:rsidRPr="00EF61F0">
        <w:rPr>
          <w:rFonts w:ascii="Arial" w:hAnsi="Arial" w:cs="Arial"/>
          <w:sz w:val="24"/>
          <w:szCs w:val="24"/>
        </w:rPr>
        <w:t>, as a male comparator would not experience the same comments about wearing short skirts</w:t>
      </w:r>
      <w:r w:rsidR="00DE56BA">
        <w:rPr>
          <w:rFonts w:ascii="Arial" w:hAnsi="Arial" w:cs="Arial"/>
          <w:sz w:val="24"/>
          <w:szCs w:val="24"/>
        </w:rPr>
        <w:t xml:space="preserve"> thus, AA’s sex being the cause of unfavourably treatment</w:t>
      </w:r>
      <w:r w:rsidRPr="00EF61F0">
        <w:rPr>
          <w:rFonts w:ascii="Arial" w:hAnsi="Arial" w:cs="Arial"/>
          <w:sz w:val="24"/>
          <w:szCs w:val="24"/>
        </w:rPr>
        <w:t>.</w:t>
      </w:r>
    </w:p>
    <w:p w14:paraId="1640ECC2" w14:textId="77777777" w:rsidR="00EF61F0" w:rsidRPr="00EF61F0" w:rsidRDefault="00EF61F0" w:rsidP="0099359D">
      <w:pPr>
        <w:spacing w:line="360" w:lineRule="auto"/>
        <w:rPr>
          <w:rFonts w:ascii="Arial" w:hAnsi="Arial" w:cs="Arial"/>
          <w:b/>
          <w:bCs/>
          <w:sz w:val="24"/>
          <w:szCs w:val="24"/>
        </w:rPr>
      </w:pPr>
      <w:r w:rsidRPr="00EF61F0">
        <w:rPr>
          <w:rFonts w:ascii="Arial" w:hAnsi="Arial" w:cs="Arial"/>
          <w:b/>
          <w:bCs/>
          <w:sz w:val="24"/>
          <w:szCs w:val="24"/>
        </w:rPr>
        <w:lastRenderedPageBreak/>
        <w:t>Vicarious Liability</w:t>
      </w:r>
    </w:p>
    <w:p w14:paraId="53C77DFB"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Vicarious liability is where the business can be liable for the wrongful acts of employees. As defined in section 109 of the Act </w:t>
      </w:r>
      <w:r w:rsidRPr="00EF61F0">
        <w:rPr>
          <w:rFonts w:ascii="Arial" w:hAnsi="Arial" w:cs="Arial"/>
          <w:i/>
          <w:iCs/>
          <w:sz w:val="24"/>
          <w:szCs w:val="24"/>
        </w:rPr>
        <w:t xml:space="preserve">(Equality Act 2010) </w:t>
      </w:r>
      <w:r w:rsidRPr="00EF61F0">
        <w:rPr>
          <w:rFonts w:ascii="Arial" w:hAnsi="Arial" w:cs="Arial"/>
          <w:sz w:val="24"/>
          <w:szCs w:val="24"/>
        </w:rPr>
        <w:t xml:space="preserve">the employer is liable for employee actions unless they can demonstrate that they have taken all reasonable steps to avoid wrongful acts occurring. Therefore, the business could be liable for SS’s behaviour and conduct. </w:t>
      </w:r>
    </w:p>
    <w:p w14:paraId="23DF8BBD" w14:textId="2E871752" w:rsidR="00EF61F0" w:rsidRPr="00EF61F0" w:rsidRDefault="00EF61F0" w:rsidP="0099359D">
      <w:pPr>
        <w:pStyle w:val="ListParagraph"/>
        <w:numPr>
          <w:ilvl w:val="0"/>
          <w:numId w:val="26"/>
        </w:numPr>
        <w:spacing w:line="360" w:lineRule="auto"/>
        <w:ind w:left="0" w:firstLine="0"/>
        <w:rPr>
          <w:b/>
          <w:bCs/>
          <w:sz w:val="24"/>
          <w:szCs w:val="24"/>
        </w:rPr>
      </w:pPr>
      <w:r w:rsidRPr="00EF61F0">
        <w:rPr>
          <w:b/>
          <w:bCs/>
          <w:sz w:val="24"/>
          <w:szCs w:val="24"/>
        </w:rPr>
        <w:t>Defence to the claims</w:t>
      </w:r>
    </w:p>
    <w:p w14:paraId="075B04A5" w14:textId="6CB373EB"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AA did not raise an informal or formal grievance regarding her concerns about SS’s behaviour therefore, not providing the business an opportunity to resolve the issue. The Acas Code of Practice advises employees to promptly raise any grievance issues within the workplace to allow the employer to attempt to resolve the grievance; failure to do so can reduce any tribunal award by 25% (Acas, 2015). A disciplinary process is currently underway with SS with demotion or dismissal being potential outcomes therefore, demonstrating that the business would likely have responded</w:t>
      </w:r>
      <w:r w:rsidR="00DE56BA">
        <w:rPr>
          <w:rFonts w:ascii="Arial" w:hAnsi="Arial" w:cs="Arial"/>
          <w:sz w:val="24"/>
          <w:szCs w:val="24"/>
        </w:rPr>
        <w:t xml:space="preserve"> appropriately</w:t>
      </w:r>
      <w:r w:rsidRPr="00EF61F0">
        <w:rPr>
          <w:rFonts w:ascii="Arial" w:hAnsi="Arial" w:cs="Arial"/>
          <w:sz w:val="24"/>
          <w:szCs w:val="24"/>
        </w:rPr>
        <w:t xml:space="preserve"> to a grievance had AA raised issues. </w:t>
      </w:r>
    </w:p>
    <w:p w14:paraId="49CDD1D5"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It would be advantageous to examine the business’s equal opportunities policy, bullying and harassment policy, and training records in connection with these policies to demonstrate that the business has taken the necessary steps to mitigate the risk of employees undertaking acts of discrimination, bullying or harassment (Hall, 2022; Pearson Solicitors, no date). It was noted in SS’s statement that he was aware of the equal opportunities policy therefore, this would require further exploration to determine when it was read and if training was provided to ensure he was competent in the subject matter.  </w:t>
      </w:r>
    </w:p>
    <w:p w14:paraId="77F7B271" w14:textId="3B72FD26"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SS stated that AA and himself often had ‘lively banter’ in which he made comments about AA’s appearance therefore, it could be reasoned that AA was an active participant in this banter thus, making the comments not unwanted. In the case of ‘Evans v. Xactly Corporations Ltd’ (2018), a harassment claim in relation to harassing comments was not successful as it was deemed the claimant was an active participant of banter culture. </w:t>
      </w:r>
    </w:p>
    <w:p w14:paraId="74857FA0" w14:textId="77777777" w:rsidR="00EF61F0" w:rsidRPr="00EF61F0" w:rsidRDefault="00EF61F0" w:rsidP="0099359D">
      <w:pPr>
        <w:spacing w:line="360" w:lineRule="auto"/>
        <w:rPr>
          <w:rFonts w:ascii="Arial" w:hAnsi="Arial" w:cs="Arial"/>
          <w:sz w:val="24"/>
          <w:szCs w:val="24"/>
        </w:rPr>
      </w:pPr>
    </w:p>
    <w:p w14:paraId="407E1097" w14:textId="575ED8B7" w:rsidR="00EF61F0" w:rsidRPr="00EF61F0" w:rsidRDefault="00EF61F0" w:rsidP="0099359D">
      <w:pPr>
        <w:pStyle w:val="ListParagraph"/>
        <w:numPr>
          <w:ilvl w:val="0"/>
          <w:numId w:val="26"/>
        </w:numPr>
        <w:spacing w:before="0" w:after="160" w:line="360" w:lineRule="auto"/>
        <w:ind w:hanging="720"/>
        <w:rPr>
          <w:rFonts w:ascii="Arial" w:hAnsi="Arial" w:cs="Arial"/>
          <w:b/>
          <w:bCs/>
          <w:sz w:val="24"/>
          <w:szCs w:val="24"/>
        </w:rPr>
      </w:pPr>
      <w:r w:rsidRPr="00EF61F0">
        <w:rPr>
          <w:rFonts w:ascii="Arial" w:hAnsi="Arial" w:cs="Arial"/>
          <w:b/>
          <w:bCs/>
          <w:sz w:val="24"/>
          <w:szCs w:val="24"/>
        </w:rPr>
        <w:t>Analysis</w:t>
      </w:r>
    </w:p>
    <w:p w14:paraId="3F4F4740" w14:textId="7F4A9710"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To summarise, the business must respond to the ET1 by the 13</w:t>
      </w:r>
      <w:r w:rsidRPr="00EF61F0">
        <w:rPr>
          <w:rFonts w:ascii="Arial" w:hAnsi="Arial" w:cs="Arial"/>
          <w:sz w:val="24"/>
          <w:szCs w:val="24"/>
          <w:vertAlign w:val="superscript"/>
        </w:rPr>
        <w:t>th</w:t>
      </w:r>
      <w:r w:rsidRPr="00EF61F0">
        <w:rPr>
          <w:rFonts w:ascii="Arial" w:hAnsi="Arial" w:cs="Arial"/>
          <w:sz w:val="24"/>
          <w:szCs w:val="24"/>
        </w:rPr>
        <w:t xml:space="preserve"> May 2023 confirming whether the business will be resisting the claim. The grounds of AA’s claims are constructive unfair dismissal</w:t>
      </w:r>
      <w:r w:rsidR="00DE56BA">
        <w:rPr>
          <w:rFonts w:ascii="Arial" w:hAnsi="Arial" w:cs="Arial"/>
          <w:sz w:val="24"/>
          <w:szCs w:val="24"/>
        </w:rPr>
        <w:t>,</w:t>
      </w:r>
      <w:r w:rsidRPr="00EF61F0">
        <w:rPr>
          <w:rFonts w:ascii="Arial" w:hAnsi="Arial" w:cs="Arial"/>
          <w:sz w:val="24"/>
          <w:szCs w:val="24"/>
        </w:rPr>
        <w:t xml:space="preserve"> discrimination in relation to </w:t>
      </w:r>
      <w:r w:rsidR="00DE56BA">
        <w:rPr>
          <w:rFonts w:ascii="Arial" w:hAnsi="Arial" w:cs="Arial"/>
          <w:sz w:val="24"/>
          <w:szCs w:val="24"/>
        </w:rPr>
        <w:t>the protected characteristic sex, and sexual</w:t>
      </w:r>
      <w:r w:rsidRPr="00EF61F0">
        <w:rPr>
          <w:rFonts w:ascii="Arial" w:hAnsi="Arial" w:cs="Arial"/>
          <w:sz w:val="24"/>
          <w:szCs w:val="24"/>
        </w:rPr>
        <w:t xml:space="preserve"> harassment. Additionally, the business may be vicariously liable for SS’s wrongful acts. </w:t>
      </w:r>
    </w:p>
    <w:p w14:paraId="5F6D2649"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It could be argued that AA did not raise concerns out of fear or that the business would not take the issue seriously, as a recent EHRC commission found is a common occurrence in sexual harassment incidents at work (EHRC, 2020). Furthermore, SS failed to investigate AA’s complaint of RR’s harassing behaviour, despite being aware that RR is problematic, as reported by Peter Purves previously; this may have contributed to AA failing to report issues about SS. </w:t>
      </w:r>
    </w:p>
    <w:p w14:paraId="796295A8"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In the cases of ‘Jurkowlaniec v. Aykut Gul’ (2019) and ‘Joyce v. England’ (2021), the claimants experienced similar behaviour of unwanted comments and touching of a sexual nature, and were successful in their sexual harassment claims, as it satisfied the test for harassment. For a successful harassment claim, it must be unwanted conduct related to a protected characteristic which creates an environment violating a person’s dignity (Fahy, 2022), and if it was reasonable for the conduct the claimant experienced to have had that effect (Lewis, Sargeant and Schwab, 2023). Therefore, on that basis, it is likely AA’s claims would be considered sexual harassment.</w:t>
      </w:r>
    </w:p>
    <w:p w14:paraId="561457C0" w14:textId="182CC70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AA’s claim of constructive dismissal is </w:t>
      </w:r>
      <w:r w:rsidR="00DE56BA">
        <w:rPr>
          <w:rFonts w:ascii="Arial" w:hAnsi="Arial" w:cs="Arial"/>
          <w:sz w:val="24"/>
          <w:szCs w:val="24"/>
        </w:rPr>
        <w:t>strong</w:t>
      </w:r>
      <w:r w:rsidRPr="00EF61F0">
        <w:rPr>
          <w:rFonts w:ascii="Arial" w:hAnsi="Arial" w:cs="Arial"/>
          <w:sz w:val="24"/>
          <w:szCs w:val="24"/>
        </w:rPr>
        <w:t>, and it is reasonable to assume AA’s claim would pass the test for constructive dismissal. The test for constructive dismissal is (CIPD, 2020):</w:t>
      </w:r>
    </w:p>
    <w:p w14:paraId="65773531" w14:textId="77777777" w:rsidR="00EF61F0" w:rsidRPr="00EF61F0" w:rsidRDefault="00EF61F0" w:rsidP="0099359D">
      <w:pPr>
        <w:pStyle w:val="ListParagraph"/>
        <w:numPr>
          <w:ilvl w:val="0"/>
          <w:numId w:val="29"/>
        </w:numPr>
        <w:spacing w:before="0" w:after="160" w:line="360" w:lineRule="auto"/>
        <w:rPr>
          <w:rFonts w:ascii="Arial" w:hAnsi="Arial" w:cs="Arial"/>
          <w:sz w:val="24"/>
          <w:szCs w:val="24"/>
        </w:rPr>
      </w:pPr>
      <w:r w:rsidRPr="00EF61F0">
        <w:rPr>
          <w:rFonts w:ascii="Arial" w:hAnsi="Arial" w:cs="Arial"/>
          <w:sz w:val="24"/>
          <w:szCs w:val="24"/>
        </w:rPr>
        <w:t>Was the contract breached?</w:t>
      </w:r>
    </w:p>
    <w:p w14:paraId="29408DD7" w14:textId="77777777" w:rsidR="00EF61F0" w:rsidRPr="00EF61F0" w:rsidRDefault="00EF61F0" w:rsidP="0099359D">
      <w:pPr>
        <w:pStyle w:val="ListParagraph"/>
        <w:numPr>
          <w:ilvl w:val="0"/>
          <w:numId w:val="29"/>
        </w:numPr>
        <w:spacing w:before="0" w:after="160" w:line="360" w:lineRule="auto"/>
        <w:rPr>
          <w:rFonts w:ascii="Arial" w:hAnsi="Arial" w:cs="Arial"/>
          <w:sz w:val="24"/>
          <w:szCs w:val="24"/>
        </w:rPr>
      </w:pPr>
      <w:r w:rsidRPr="00EF61F0">
        <w:rPr>
          <w:rFonts w:ascii="Arial" w:hAnsi="Arial" w:cs="Arial"/>
          <w:sz w:val="24"/>
          <w:szCs w:val="24"/>
        </w:rPr>
        <w:t>Is it a significant breach?</w:t>
      </w:r>
    </w:p>
    <w:p w14:paraId="2C8E404E" w14:textId="77777777" w:rsidR="00EF61F0" w:rsidRPr="00EF61F0" w:rsidRDefault="00EF61F0" w:rsidP="0099359D">
      <w:pPr>
        <w:pStyle w:val="ListParagraph"/>
        <w:numPr>
          <w:ilvl w:val="0"/>
          <w:numId w:val="29"/>
        </w:numPr>
        <w:spacing w:before="0" w:after="160" w:line="360" w:lineRule="auto"/>
        <w:rPr>
          <w:rFonts w:ascii="Arial" w:hAnsi="Arial" w:cs="Arial"/>
          <w:sz w:val="24"/>
          <w:szCs w:val="24"/>
        </w:rPr>
      </w:pPr>
      <w:r w:rsidRPr="00EF61F0">
        <w:rPr>
          <w:rFonts w:ascii="Arial" w:hAnsi="Arial" w:cs="Arial"/>
          <w:sz w:val="24"/>
          <w:szCs w:val="24"/>
        </w:rPr>
        <w:t>The termination of employment was not delayed and in response to the breach itself.</w:t>
      </w:r>
    </w:p>
    <w:p w14:paraId="6845C9F3"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lastRenderedPageBreak/>
        <w:t xml:space="preserve">Reviewing the investigatory evidence, the behaviour AA experienced would likely constitute a breach of a significant nature; furthermore, AA resigned 3 days after the latest incident citing the issue in London being the cause thus, likely passing the test for constructive dismissal. </w:t>
      </w:r>
    </w:p>
    <w:p w14:paraId="58615268" w14:textId="77777777"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The constructive dismissal could be defended as AA affirming her contract by not raising concerns before the London incident (Merrit and Chandler, 2022) however, following the ‘last straw’ doctrine a later incident can be relied upon to revive the previous breaches as seen in the case of ‘Kaur v. Leeds Teaching Hospitals NHS Trust’ (2018).</w:t>
      </w:r>
    </w:p>
    <w:p w14:paraId="28A34589" w14:textId="2F55D549" w:rsidR="00EF61F0" w:rsidRPr="00EF61F0" w:rsidRDefault="00EF61F0" w:rsidP="0099359D">
      <w:pPr>
        <w:spacing w:line="360" w:lineRule="auto"/>
        <w:rPr>
          <w:rFonts w:ascii="Arial" w:hAnsi="Arial" w:cs="Arial"/>
          <w:sz w:val="24"/>
          <w:szCs w:val="24"/>
        </w:rPr>
      </w:pPr>
      <w:r w:rsidRPr="00EF61F0">
        <w:rPr>
          <w:rFonts w:ascii="Arial" w:hAnsi="Arial" w:cs="Arial"/>
          <w:sz w:val="24"/>
          <w:szCs w:val="24"/>
        </w:rPr>
        <w:t xml:space="preserve">In AA’s case for vicarious liability, the tribunal will consider if there was a sufficient connection between the wrongful act and what the business authorised SS to do in his normal course of work. In the case of ‘Mohamud v. WM Morrison Supermarkets plc’ (2016), the claimant assaulted a customer however, the employer was </w:t>
      </w:r>
      <w:r w:rsidR="007559FD">
        <w:rPr>
          <w:rFonts w:ascii="Arial" w:hAnsi="Arial" w:cs="Arial"/>
          <w:sz w:val="24"/>
          <w:szCs w:val="24"/>
        </w:rPr>
        <w:t xml:space="preserve">still </w:t>
      </w:r>
      <w:r w:rsidRPr="00EF61F0">
        <w:rPr>
          <w:rFonts w:ascii="Arial" w:hAnsi="Arial" w:cs="Arial"/>
          <w:sz w:val="24"/>
          <w:szCs w:val="24"/>
        </w:rPr>
        <w:t xml:space="preserve">found to be liable whereas, in the case of ‘Chell v. Tarmac Cement and Lime Limited’ (2020) the employer was not liable for the employee’s conduct which caused serious injury; therefore, demonstrating contrasting decisions despite both incidents seemingly not being in close connection to work (Morris, 2022). Moreover, it is difficult to predict vicarious liability using case law therefore, it will be imperative to evidence robust policies and training. </w:t>
      </w:r>
    </w:p>
    <w:p w14:paraId="1AAF65E0" w14:textId="55B6CD87" w:rsidR="00EF61F0" w:rsidRDefault="00EF61F0" w:rsidP="0099359D">
      <w:pPr>
        <w:spacing w:line="360" w:lineRule="auto"/>
        <w:rPr>
          <w:rFonts w:ascii="Arial" w:hAnsi="Arial" w:cs="Arial"/>
          <w:sz w:val="24"/>
          <w:szCs w:val="24"/>
        </w:rPr>
      </w:pPr>
      <w:r w:rsidRPr="00EF61F0">
        <w:rPr>
          <w:rFonts w:ascii="Arial" w:hAnsi="Arial" w:cs="Arial"/>
          <w:sz w:val="24"/>
          <w:szCs w:val="24"/>
        </w:rPr>
        <w:t xml:space="preserve">With the above legal principles and case law in mind, in my professional opinion AA has a robust case where in a final tribunal, is likely to be successful for claims of </w:t>
      </w:r>
      <w:r w:rsidR="007559FD">
        <w:rPr>
          <w:rFonts w:ascii="Arial" w:hAnsi="Arial" w:cs="Arial"/>
          <w:sz w:val="24"/>
          <w:szCs w:val="24"/>
        </w:rPr>
        <w:t>sex discrimination</w:t>
      </w:r>
      <w:r w:rsidRPr="00EF61F0">
        <w:rPr>
          <w:rFonts w:ascii="Arial" w:hAnsi="Arial" w:cs="Arial"/>
          <w:sz w:val="24"/>
          <w:szCs w:val="24"/>
        </w:rPr>
        <w:t xml:space="preserve">, sexual harassment and constructive unfair dismissal. In addition, possibly successful for a vicarious liability claim if the business does not have sufficient evidence. Therefore, my professional advice would be to resolve the matter outside of a tribunal. </w:t>
      </w:r>
    </w:p>
    <w:p w14:paraId="0969B6AE" w14:textId="77777777" w:rsidR="006E4F91" w:rsidRPr="006E4F91" w:rsidRDefault="006E4F91" w:rsidP="0099359D">
      <w:pPr>
        <w:pStyle w:val="ListParagraph"/>
        <w:numPr>
          <w:ilvl w:val="0"/>
          <w:numId w:val="26"/>
        </w:numPr>
        <w:spacing w:line="360" w:lineRule="auto"/>
        <w:rPr>
          <w:rFonts w:cstheme="minorHAnsi"/>
          <w:b/>
          <w:bCs/>
          <w:sz w:val="24"/>
          <w:szCs w:val="24"/>
        </w:rPr>
      </w:pPr>
      <w:r w:rsidRPr="006E4F91">
        <w:rPr>
          <w:rFonts w:cstheme="minorHAnsi"/>
          <w:b/>
          <w:bCs/>
          <w:sz w:val="24"/>
          <w:szCs w:val="24"/>
        </w:rPr>
        <w:t>Remedies and Financial Compensation Awards</w:t>
      </w:r>
    </w:p>
    <w:p w14:paraId="4AAC120E" w14:textId="77777777" w:rsidR="006E4F91" w:rsidRPr="006E4F91" w:rsidRDefault="006E4F91" w:rsidP="0099359D">
      <w:pPr>
        <w:spacing w:line="360" w:lineRule="auto"/>
        <w:rPr>
          <w:rFonts w:cstheme="minorHAnsi"/>
          <w:b/>
          <w:bCs/>
          <w:sz w:val="24"/>
          <w:szCs w:val="24"/>
        </w:rPr>
      </w:pPr>
      <w:r w:rsidRPr="006E4F91">
        <w:rPr>
          <w:rFonts w:cstheme="minorHAnsi"/>
          <w:b/>
          <w:bCs/>
          <w:sz w:val="24"/>
          <w:szCs w:val="24"/>
        </w:rPr>
        <w:t>Constructive dismissal</w:t>
      </w:r>
    </w:p>
    <w:p w14:paraId="463D71B0" w14:textId="77777777" w:rsidR="006E4F91" w:rsidRPr="006E4F91" w:rsidRDefault="006E4F91" w:rsidP="0099359D">
      <w:pPr>
        <w:spacing w:line="360" w:lineRule="auto"/>
        <w:rPr>
          <w:rFonts w:cstheme="minorHAnsi"/>
          <w:sz w:val="24"/>
          <w:szCs w:val="24"/>
        </w:rPr>
      </w:pPr>
      <w:r w:rsidRPr="006E4F91">
        <w:rPr>
          <w:rFonts w:cstheme="minorHAnsi"/>
          <w:sz w:val="24"/>
          <w:szCs w:val="24"/>
        </w:rPr>
        <w:t xml:space="preserve">Successful constructive dismissal claims can be remedied through an order of reinstatement, reengagement, or financial compensation. Reinstatement will see the </w:t>
      </w:r>
      <w:r w:rsidRPr="006E4F91">
        <w:rPr>
          <w:rFonts w:cstheme="minorHAnsi"/>
          <w:sz w:val="24"/>
          <w:szCs w:val="24"/>
        </w:rPr>
        <w:lastRenderedPageBreak/>
        <w:t xml:space="preserve">claimant return to their original role and terms and treated as if a dismissal did not occur whereas, reengagement employs the claimant into a comparable role (Maples, 2022). However, in AA’s case, it is unlikely reinstatement or reengagement would be appropriate due to the breakdown of trust and confidence within the employment relationship. </w:t>
      </w:r>
    </w:p>
    <w:p w14:paraId="3E3F352B" w14:textId="77777777" w:rsidR="006E4F91" w:rsidRPr="006E4F91" w:rsidRDefault="006E4F91" w:rsidP="0099359D">
      <w:pPr>
        <w:spacing w:line="360" w:lineRule="auto"/>
        <w:rPr>
          <w:rFonts w:cstheme="minorHAnsi"/>
          <w:sz w:val="24"/>
          <w:szCs w:val="24"/>
        </w:rPr>
      </w:pPr>
      <w:r w:rsidRPr="006E4F91">
        <w:rPr>
          <w:rFonts w:cstheme="minorHAnsi"/>
          <w:sz w:val="24"/>
          <w:szCs w:val="24"/>
        </w:rPr>
        <w:t>Financial compensation consists of a basic and compensatory award. The basic award is calculated using the length of continuous service and claimant’s age which is multiplied by the instructed number of weeks’ pay (Citizens Advice, 2021b); the maximum basic award is £19,120 (CIPD, 2022a). Given AA’s age, AA would be entitled to one weeks’ pay for each year of service however, as she terminated her employment before the 5</w:t>
      </w:r>
      <w:r w:rsidRPr="006E4F91">
        <w:rPr>
          <w:rFonts w:cstheme="minorHAnsi"/>
          <w:sz w:val="24"/>
          <w:szCs w:val="24"/>
          <w:vertAlign w:val="superscript"/>
        </w:rPr>
        <w:t>th</w:t>
      </w:r>
      <w:r w:rsidRPr="006E4F91">
        <w:rPr>
          <w:rFonts w:cstheme="minorHAnsi"/>
          <w:sz w:val="24"/>
          <w:szCs w:val="24"/>
        </w:rPr>
        <w:t xml:space="preserve"> April 2023, the weekly pay is capped at £571 per week (Citizens Advice, 2021b). Therefore, AA’s basic award would be </w:t>
      </w:r>
      <w:r w:rsidRPr="006E4F91">
        <w:rPr>
          <w:rFonts w:cstheme="minorHAnsi"/>
          <w:b/>
          <w:bCs/>
          <w:sz w:val="24"/>
          <w:szCs w:val="24"/>
        </w:rPr>
        <w:t>£1,142.</w:t>
      </w:r>
      <w:r w:rsidRPr="006E4F91">
        <w:rPr>
          <w:rFonts w:cstheme="minorHAnsi"/>
          <w:sz w:val="24"/>
          <w:szCs w:val="24"/>
        </w:rPr>
        <w:t xml:space="preserve"> </w:t>
      </w:r>
    </w:p>
    <w:p w14:paraId="19E7905C" w14:textId="77777777" w:rsidR="006E4F91" w:rsidRPr="006E4F91" w:rsidRDefault="006E4F91" w:rsidP="0099359D">
      <w:pPr>
        <w:spacing w:line="360" w:lineRule="auto"/>
        <w:rPr>
          <w:rFonts w:cstheme="minorHAnsi"/>
          <w:sz w:val="24"/>
          <w:szCs w:val="24"/>
        </w:rPr>
      </w:pPr>
      <w:r w:rsidRPr="006E4F91">
        <w:rPr>
          <w:rFonts w:cstheme="minorHAnsi"/>
          <w:sz w:val="24"/>
          <w:szCs w:val="24"/>
        </w:rPr>
        <w:t xml:space="preserve">As defined in section 123 of the Act </w:t>
      </w:r>
      <w:r w:rsidRPr="006E4F91">
        <w:rPr>
          <w:rFonts w:cstheme="minorHAnsi"/>
          <w:i/>
          <w:iCs/>
          <w:sz w:val="24"/>
          <w:szCs w:val="24"/>
        </w:rPr>
        <w:t>(Employment Rights Act 1996)</w:t>
      </w:r>
      <w:r w:rsidRPr="006E4F91">
        <w:rPr>
          <w:rFonts w:cstheme="minorHAnsi"/>
          <w:sz w:val="24"/>
          <w:szCs w:val="24"/>
        </w:rPr>
        <w:t xml:space="preserve">, the compensatory award is based on what the tribunal feels is just considering the losses the claimant has sustained due to the dismissal. Losses can include current and future wages, pension, and statutory rights. The tribunal will calculate losses sustained to date and future losses by considering the likely length of time it will take the claimant to find a new job however, this is capped to 1 years’ gross pay (Citizens Advice, 2021b); the compensatory award cap is £105,707 (Practical Law Employment, 2023). AA stated the economic situation and ill health will impact the likelihood of securing employment therefore, the tribunal may award compensation based on a longer period. Therefore, AA compensatory award could be up to </w:t>
      </w:r>
      <w:r w:rsidRPr="006E4F91">
        <w:rPr>
          <w:rFonts w:cstheme="minorHAnsi"/>
          <w:b/>
          <w:bCs/>
          <w:sz w:val="24"/>
          <w:szCs w:val="24"/>
        </w:rPr>
        <w:t>£34,000</w:t>
      </w:r>
      <w:r w:rsidRPr="006E4F91">
        <w:rPr>
          <w:rFonts w:cstheme="minorHAnsi"/>
          <w:sz w:val="24"/>
          <w:szCs w:val="24"/>
        </w:rPr>
        <w:t xml:space="preserve">, based on 1 years’ gross pay. </w:t>
      </w:r>
    </w:p>
    <w:p w14:paraId="6399D5D0" w14:textId="77777777" w:rsidR="006E4F91" w:rsidRDefault="006E4F91" w:rsidP="0099359D">
      <w:pPr>
        <w:spacing w:line="360" w:lineRule="auto"/>
        <w:rPr>
          <w:rFonts w:cstheme="minorHAnsi"/>
          <w:sz w:val="24"/>
          <w:szCs w:val="24"/>
        </w:rPr>
      </w:pPr>
      <w:r w:rsidRPr="006E4F91">
        <w:rPr>
          <w:rFonts w:cstheme="minorHAnsi"/>
          <w:sz w:val="24"/>
          <w:szCs w:val="24"/>
        </w:rPr>
        <w:t>The tribunal will reduce the award if AA’s behaviour contributed to the dismissal and if AA has not attempted to mitigate her loss by finding a new job. AA failed to follow the Acas Code of Practice by not submitting a grievance before resigning therefore, the compensatory award can be reduced by up to 25%; alternatively, the award can be increased by 25% if the business did not follow the Acas Code of Practice (Acas, 2015).</w:t>
      </w:r>
    </w:p>
    <w:p w14:paraId="1D214BC1" w14:textId="77777777" w:rsidR="0099359D" w:rsidRPr="006E4F91" w:rsidRDefault="0099359D" w:rsidP="0099359D">
      <w:pPr>
        <w:spacing w:line="360" w:lineRule="auto"/>
        <w:rPr>
          <w:rFonts w:cstheme="minorHAnsi"/>
          <w:sz w:val="24"/>
          <w:szCs w:val="24"/>
        </w:rPr>
      </w:pPr>
    </w:p>
    <w:p w14:paraId="1FAC75D7" w14:textId="77777777" w:rsidR="006E4F91" w:rsidRPr="006E4F91" w:rsidRDefault="006E4F91" w:rsidP="0099359D">
      <w:pPr>
        <w:spacing w:line="360" w:lineRule="auto"/>
        <w:rPr>
          <w:rFonts w:cstheme="minorHAnsi"/>
          <w:b/>
          <w:sz w:val="24"/>
          <w:szCs w:val="24"/>
        </w:rPr>
      </w:pPr>
      <w:r w:rsidRPr="006E4F91">
        <w:rPr>
          <w:rFonts w:cstheme="minorHAnsi"/>
          <w:b/>
          <w:sz w:val="24"/>
          <w:szCs w:val="24"/>
        </w:rPr>
        <w:lastRenderedPageBreak/>
        <w:t>Discrimination</w:t>
      </w:r>
    </w:p>
    <w:p w14:paraId="36317473" w14:textId="13C03A86" w:rsidR="006E4F91" w:rsidRPr="006E4F91" w:rsidRDefault="006E4F91" w:rsidP="0099359D">
      <w:pPr>
        <w:spacing w:line="360" w:lineRule="auto"/>
        <w:rPr>
          <w:rFonts w:cstheme="minorHAnsi"/>
          <w:bCs/>
          <w:sz w:val="24"/>
          <w:szCs w:val="24"/>
        </w:rPr>
      </w:pPr>
      <w:r w:rsidRPr="006E4F91">
        <w:rPr>
          <w:rFonts w:cstheme="minorHAnsi"/>
          <w:bCs/>
          <w:sz w:val="24"/>
          <w:szCs w:val="24"/>
        </w:rPr>
        <w:t xml:space="preserve">Alike constructive unfair dismissal, the tribunal can also make a non-financial award for a successful discrimination claim however, it is likely a financial award will be ordered. The tribunal will consider financial losses </w:t>
      </w:r>
      <w:r w:rsidR="007559FD" w:rsidRPr="006E4F91">
        <w:rPr>
          <w:rFonts w:cstheme="minorHAnsi"/>
          <w:bCs/>
          <w:sz w:val="24"/>
          <w:szCs w:val="24"/>
        </w:rPr>
        <w:t>like</w:t>
      </w:r>
      <w:r w:rsidRPr="006E4F91">
        <w:rPr>
          <w:rFonts w:cstheme="minorHAnsi"/>
          <w:bCs/>
          <w:sz w:val="24"/>
          <w:szCs w:val="24"/>
        </w:rPr>
        <w:t xml:space="preserve"> the compensatory award above, calculating loss of earnings and holiday owed. </w:t>
      </w:r>
    </w:p>
    <w:p w14:paraId="0EAB598C" w14:textId="5E970282" w:rsidR="007559FD" w:rsidRPr="006E4F91" w:rsidRDefault="006E4F91" w:rsidP="0099359D">
      <w:pPr>
        <w:spacing w:line="360" w:lineRule="auto"/>
        <w:rPr>
          <w:rFonts w:cstheme="minorHAnsi"/>
          <w:bCs/>
          <w:sz w:val="24"/>
          <w:szCs w:val="24"/>
        </w:rPr>
      </w:pPr>
      <w:r w:rsidRPr="006E4F91">
        <w:rPr>
          <w:rFonts w:cstheme="minorHAnsi"/>
          <w:bCs/>
          <w:sz w:val="24"/>
          <w:szCs w:val="24"/>
        </w:rPr>
        <w:t>In cases of discrimination, the tribunal can award an ‘injury to feelings’ award to compensate the claimant for hurt and distress caused by the discrimination experienced (Valla, 2023). When considering the amount to award, the tribunal refers to ‘Vento bands’ to determine the severity of injury to feelings; the current Vento bands are (The Judiciary, 2023):</w:t>
      </w:r>
    </w:p>
    <w:p w14:paraId="06D93D63" w14:textId="77777777" w:rsidR="006E4F91" w:rsidRPr="006E4F91" w:rsidRDefault="006E4F91" w:rsidP="0099359D">
      <w:pPr>
        <w:pStyle w:val="ListParagraph"/>
        <w:numPr>
          <w:ilvl w:val="0"/>
          <w:numId w:val="31"/>
        </w:numPr>
        <w:spacing w:before="0" w:after="160" w:line="360" w:lineRule="auto"/>
        <w:rPr>
          <w:rFonts w:cstheme="minorHAnsi"/>
          <w:bCs/>
          <w:sz w:val="24"/>
          <w:szCs w:val="24"/>
        </w:rPr>
      </w:pPr>
      <w:r w:rsidRPr="006E4F91">
        <w:rPr>
          <w:rFonts w:cstheme="minorHAnsi"/>
          <w:bCs/>
          <w:sz w:val="24"/>
          <w:szCs w:val="24"/>
        </w:rPr>
        <w:t>Less serious cases: £1,100 - £11,200</w:t>
      </w:r>
    </w:p>
    <w:p w14:paraId="5714A7CD" w14:textId="77777777" w:rsidR="006E4F91" w:rsidRPr="006E4F91" w:rsidRDefault="006E4F91" w:rsidP="0099359D">
      <w:pPr>
        <w:pStyle w:val="ListParagraph"/>
        <w:numPr>
          <w:ilvl w:val="0"/>
          <w:numId w:val="31"/>
        </w:numPr>
        <w:spacing w:before="0" w:after="160" w:line="360" w:lineRule="auto"/>
        <w:rPr>
          <w:rFonts w:cstheme="minorHAnsi"/>
          <w:bCs/>
          <w:sz w:val="24"/>
          <w:szCs w:val="24"/>
        </w:rPr>
      </w:pPr>
      <w:r w:rsidRPr="006E4F91">
        <w:rPr>
          <w:rFonts w:cstheme="minorHAnsi"/>
          <w:bCs/>
          <w:sz w:val="24"/>
          <w:szCs w:val="24"/>
        </w:rPr>
        <w:t>Middle band for cases that do not warrant an upper band award: £11,200 - £33,700</w:t>
      </w:r>
    </w:p>
    <w:p w14:paraId="4E763D16" w14:textId="77777777" w:rsidR="006E4F91" w:rsidRPr="006E4F91" w:rsidRDefault="006E4F91" w:rsidP="0099359D">
      <w:pPr>
        <w:pStyle w:val="ListParagraph"/>
        <w:numPr>
          <w:ilvl w:val="0"/>
          <w:numId w:val="31"/>
        </w:numPr>
        <w:spacing w:before="0" w:after="160" w:line="360" w:lineRule="auto"/>
        <w:rPr>
          <w:rFonts w:cstheme="minorHAnsi"/>
          <w:bCs/>
          <w:sz w:val="24"/>
          <w:szCs w:val="24"/>
        </w:rPr>
      </w:pPr>
      <w:r w:rsidRPr="006E4F91">
        <w:rPr>
          <w:rFonts w:cstheme="minorHAnsi"/>
          <w:bCs/>
          <w:sz w:val="24"/>
          <w:szCs w:val="24"/>
        </w:rPr>
        <w:t>Most serious cases: £33,700 - £56,200</w:t>
      </w:r>
    </w:p>
    <w:p w14:paraId="29125820" w14:textId="77777777" w:rsidR="006E4F91" w:rsidRPr="006E4F91" w:rsidRDefault="006E4F91" w:rsidP="0099359D">
      <w:pPr>
        <w:pStyle w:val="ListParagraph"/>
        <w:numPr>
          <w:ilvl w:val="0"/>
          <w:numId w:val="31"/>
        </w:numPr>
        <w:spacing w:before="0" w:after="160" w:line="360" w:lineRule="auto"/>
        <w:rPr>
          <w:rFonts w:cstheme="minorHAnsi"/>
          <w:bCs/>
          <w:sz w:val="24"/>
          <w:szCs w:val="24"/>
        </w:rPr>
      </w:pPr>
      <w:r w:rsidRPr="006E4F91">
        <w:rPr>
          <w:rFonts w:cstheme="minorHAnsi"/>
          <w:bCs/>
          <w:sz w:val="24"/>
          <w:szCs w:val="24"/>
        </w:rPr>
        <w:t>Exceptional cases will exceed £56,200</w:t>
      </w:r>
    </w:p>
    <w:p w14:paraId="3FCB8304" w14:textId="77777777" w:rsidR="006E4F91" w:rsidRPr="006E4F91" w:rsidRDefault="006E4F91" w:rsidP="0099359D">
      <w:pPr>
        <w:spacing w:line="360" w:lineRule="auto"/>
        <w:rPr>
          <w:rFonts w:cstheme="minorHAnsi"/>
          <w:bCs/>
          <w:sz w:val="24"/>
          <w:szCs w:val="24"/>
        </w:rPr>
      </w:pPr>
      <w:r w:rsidRPr="006E4F91">
        <w:rPr>
          <w:rFonts w:cstheme="minorHAnsi"/>
          <w:bCs/>
          <w:sz w:val="24"/>
          <w:szCs w:val="24"/>
        </w:rPr>
        <w:t xml:space="preserve">The EHRC (2018) states that the lower Vento band is for one-off or isolated incidents, and Citizens Advice (2019) describes the middle band as a serious act of harassment which has resulted in job loss therefore, as AA experienced multiple accounts of sexual harassment including verbal and physical, it is likely the tribunal would order a middle Vento band award. In the case of ‘Gronan (Née Woolf) v. Universal Science (UK) Limited and Stratford’ (2019), the claimant was awarded an amount in the mid-section of the middle Vento band for sexual harassment which was of a more serious nature and claims were well founded with multiple and consistent witness statements and claimant evidence. The award ordered is at the discretion of the tribunal therefore, it is difficult to specify an amount AA would receive; however, using this case as a comparator, it is likely AA’s claim would be considered less serious thus, an award being in the lower range of the middle Vento band. </w:t>
      </w:r>
      <w:r w:rsidRPr="006E4F91">
        <w:rPr>
          <w:rFonts w:cstheme="minorHAnsi"/>
          <w:b/>
          <w:sz w:val="24"/>
          <w:szCs w:val="24"/>
        </w:rPr>
        <w:t>On this basis, the minimum award would be £11,200 ranging to the mid-section of the band at approximately £19,000.</w:t>
      </w:r>
      <w:r w:rsidRPr="006E4F91">
        <w:rPr>
          <w:rFonts w:cstheme="minorHAnsi"/>
          <w:bCs/>
          <w:sz w:val="24"/>
          <w:szCs w:val="24"/>
        </w:rPr>
        <w:t xml:space="preserve"> </w:t>
      </w:r>
    </w:p>
    <w:p w14:paraId="10F7462B" w14:textId="77777777" w:rsidR="0099359D" w:rsidRDefault="0099359D" w:rsidP="0099359D">
      <w:pPr>
        <w:spacing w:line="360" w:lineRule="auto"/>
        <w:rPr>
          <w:rFonts w:cstheme="minorHAnsi"/>
          <w:b/>
          <w:sz w:val="24"/>
          <w:szCs w:val="24"/>
        </w:rPr>
      </w:pPr>
    </w:p>
    <w:p w14:paraId="7D6DFD8D" w14:textId="2163E93B" w:rsidR="006E4F91" w:rsidRPr="006E4F91" w:rsidRDefault="006E4F91" w:rsidP="0099359D">
      <w:pPr>
        <w:spacing w:line="360" w:lineRule="auto"/>
        <w:rPr>
          <w:rFonts w:cstheme="minorHAnsi"/>
          <w:bCs/>
          <w:sz w:val="24"/>
          <w:szCs w:val="24"/>
        </w:rPr>
      </w:pPr>
      <w:r w:rsidRPr="006E4F91">
        <w:rPr>
          <w:rFonts w:cstheme="minorHAnsi"/>
          <w:b/>
          <w:sz w:val="24"/>
          <w:szCs w:val="24"/>
        </w:rPr>
        <w:lastRenderedPageBreak/>
        <w:t>Interest</w:t>
      </w:r>
    </w:p>
    <w:p w14:paraId="7FA506E6" w14:textId="77777777" w:rsidR="006E4F91" w:rsidRPr="006E4F91" w:rsidRDefault="006E4F91" w:rsidP="0099359D">
      <w:pPr>
        <w:spacing w:line="360" w:lineRule="auto"/>
        <w:rPr>
          <w:rFonts w:cstheme="minorHAnsi"/>
          <w:bCs/>
          <w:sz w:val="24"/>
          <w:szCs w:val="24"/>
        </w:rPr>
      </w:pPr>
      <w:r w:rsidRPr="006E4F91">
        <w:rPr>
          <w:rFonts w:cstheme="minorHAnsi"/>
          <w:bCs/>
          <w:sz w:val="24"/>
          <w:szCs w:val="24"/>
        </w:rPr>
        <w:t xml:space="preserve">Interest, at a daily rate of usually 8%, can increase the overall amount paid; interest is added to the award for the period before the judgement and usually from the date discrimination occurred to the date of the tribunal hearing, and after the judgement if the claim is not paid within 14 days (Citizens Advice, 2019; Working Families, 2023). </w:t>
      </w:r>
    </w:p>
    <w:p w14:paraId="7906AF58" w14:textId="77777777" w:rsidR="006E4F91" w:rsidRPr="006E4F91" w:rsidRDefault="006E4F91" w:rsidP="0099359D">
      <w:pPr>
        <w:spacing w:line="360" w:lineRule="auto"/>
        <w:rPr>
          <w:rFonts w:cstheme="minorHAnsi"/>
          <w:bCs/>
          <w:sz w:val="24"/>
          <w:szCs w:val="24"/>
        </w:rPr>
      </w:pPr>
      <w:r w:rsidRPr="006E4F91">
        <w:rPr>
          <w:rFonts w:cstheme="minorHAnsi"/>
          <w:bCs/>
          <w:sz w:val="24"/>
          <w:szCs w:val="24"/>
        </w:rPr>
        <w:t>With the financial remedies above considered, refer to the below table for the possible award, based on legal principles, if AA’s case was successful:</w:t>
      </w:r>
    </w:p>
    <w:tbl>
      <w:tblPr>
        <w:tblStyle w:val="GridTable5Dark-Accent3"/>
        <w:tblW w:w="0" w:type="auto"/>
        <w:tblLook w:val="04A0" w:firstRow="1" w:lastRow="0" w:firstColumn="1" w:lastColumn="0" w:noHBand="0" w:noVBand="1"/>
      </w:tblPr>
      <w:tblGrid>
        <w:gridCol w:w="3005"/>
        <w:gridCol w:w="5637"/>
      </w:tblGrid>
      <w:tr w:rsidR="006E4F91" w:rsidRPr="006E4F91" w14:paraId="30256C1B" w14:textId="77777777" w:rsidTr="00C46C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081C4AC" w14:textId="77777777" w:rsidR="006E4F91" w:rsidRPr="006E4F91" w:rsidRDefault="006E4F91" w:rsidP="0099359D">
            <w:pPr>
              <w:spacing w:line="360" w:lineRule="auto"/>
              <w:jc w:val="center"/>
              <w:rPr>
                <w:rFonts w:cstheme="minorHAnsi"/>
                <w:b w:val="0"/>
                <w:sz w:val="24"/>
                <w:szCs w:val="24"/>
              </w:rPr>
            </w:pPr>
            <w:r w:rsidRPr="006E4F91">
              <w:rPr>
                <w:rFonts w:cstheme="minorHAnsi"/>
                <w:sz w:val="24"/>
                <w:szCs w:val="24"/>
              </w:rPr>
              <w:t>Type</w:t>
            </w:r>
          </w:p>
        </w:tc>
        <w:tc>
          <w:tcPr>
            <w:tcW w:w="5637" w:type="dxa"/>
          </w:tcPr>
          <w:p w14:paraId="5D62BE25" w14:textId="77777777" w:rsidR="006E4F91" w:rsidRPr="006E4F91" w:rsidRDefault="006E4F91" w:rsidP="0099359D">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b w:val="0"/>
                <w:sz w:val="24"/>
                <w:szCs w:val="24"/>
              </w:rPr>
            </w:pPr>
            <w:r w:rsidRPr="006E4F91">
              <w:rPr>
                <w:rFonts w:cstheme="minorHAnsi"/>
                <w:sz w:val="24"/>
                <w:szCs w:val="24"/>
              </w:rPr>
              <w:t>Award</w:t>
            </w:r>
          </w:p>
        </w:tc>
      </w:tr>
      <w:tr w:rsidR="006E4F91" w:rsidRPr="006E4F91" w14:paraId="7358063C" w14:textId="77777777" w:rsidTr="00C4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6B11968" w14:textId="77777777" w:rsidR="006E4F91" w:rsidRPr="006E4F91" w:rsidRDefault="006E4F91" w:rsidP="0099359D">
            <w:pPr>
              <w:spacing w:line="360" w:lineRule="auto"/>
              <w:rPr>
                <w:rFonts w:cstheme="minorHAnsi"/>
                <w:bCs w:val="0"/>
                <w:sz w:val="24"/>
                <w:szCs w:val="24"/>
              </w:rPr>
            </w:pPr>
            <w:r w:rsidRPr="006E4F91">
              <w:rPr>
                <w:rFonts w:cstheme="minorHAnsi"/>
                <w:sz w:val="24"/>
                <w:szCs w:val="24"/>
              </w:rPr>
              <w:t>Constructive dismissal basic award</w:t>
            </w:r>
          </w:p>
        </w:tc>
        <w:tc>
          <w:tcPr>
            <w:tcW w:w="5637" w:type="dxa"/>
          </w:tcPr>
          <w:p w14:paraId="73287D33" w14:textId="77777777" w:rsidR="006E4F91" w:rsidRPr="006E4F91" w:rsidRDefault="006E4F91" w:rsidP="0099359D">
            <w:pPr>
              <w:spacing w:line="360" w:lineRule="auto"/>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6E4F91">
              <w:rPr>
                <w:rFonts w:cstheme="minorHAnsi"/>
                <w:bCs/>
                <w:sz w:val="24"/>
                <w:szCs w:val="24"/>
              </w:rPr>
              <w:t>£1,142</w:t>
            </w:r>
          </w:p>
        </w:tc>
      </w:tr>
      <w:tr w:rsidR="006E4F91" w:rsidRPr="006E4F91" w14:paraId="305C5A90" w14:textId="77777777" w:rsidTr="00C46CD4">
        <w:tc>
          <w:tcPr>
            <w:cnfStyle w:val="001000000000" w:firstRow="0" w:lastRow="0" w:firstColumn="1" w:lastColumn="0" w:oddVBand="0" w:evenVBand="0" w:oddHBand="0" w:evenHBand="0" w:firstRowFirstColumn="0" w:firstRowLastColumn="0" w:lastRowFirstColumn="0" w:lastRowLastColumn="0"/>
            <w:tcW w:w="3005" w:type="dxa"/>
          </w:tcPr>
          <w:p w14:paraId="12F41D9E" w14:textId="77777777" w:rsidR="006E4F91" w:rsidRPr="006E4F91" w:rsidRDefault="006E4F91" w:rsidP="0099359D">
            <w:pPr>
              <w:spacing w:line="360" w:lineRule="auto"/>
              <w:rPr>
                <w:rFonts w:cstheme="minorHAnsi"/>
                <w:bCs w:val="0"/>
                <w:sz w:val="24"/>
                <w:szCs w:val="24"/>
              </w:rPr>
            </w:pPr>
            <w:r w:rsidRPr="006E4F91">
              <w:rPr>
                <w:rFonts w:cstheme="minorHAnsi"/>
                <w:sz w:val="24"/>
                <w:szCs w:val="24"/>
              </w:rPr>
              <w:t>Compensatory award</w:t>
            </w:r>
          </w:p>
        </w:tc>
        <w:tc>
          <w:tcPr>
            <w:tcW w:w="5637" w:type="dxa"/>
          </w:tcPr>
          <w:p w14:paraId="3A20E694" w14:textId="77777777" w:rsidR="006E4F91" w:rsidRPr="006E4F91" w:rsidRDefault="006E4F91" w:rsidP="0099359D">
            <w:pPr>
              <w:spacing w:line="360" w:lineRule="auto"/>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6E4F91">
              <w:rPr>
                <w:rFonts w:cstheme="minorHAnsi"/>
                <w:bCs/>
                <w:sz w:val="24"/>
                <w:szCs w:val="24"/>
              </w:rPr>
              <w:t>Loss of earnings:</w:t>
            </w:r>
          </w:p>
          <w:p w14:paraId="1B3A8DBD" w14:textId="77777777" w:rsidR="006E4F91" w:rsidRPr="006E4F91" w:rsidRDefault="006E4F91" w:rsidP="0099359D">
            <w:pPr>
              <w:spacing w:line="360" w:lineRule="auto"/>
              <w:cnfStyle w:val="000000000000" w:firstRow="0" w:lastRow="0" w:firstColumn="0" w:lastColumn="0" w:oddVBand="0" w:evenVBand="0" w:oddHBand="0" w:evenHBand="0" w:firstRowFirstColumn="0" w:firstRowLastColumn="0" w:lastRowFirstColumn="0" w:lastRowLastColumn="0"/>
              <w:rPr>
                <w:rFonts w:cstheme="minorHAnsi"/>
                <w:bCs/>
                <w:sz w:val="24"/>
                <w:szCs w:val="24"/>
              </w:rPr>
            </w:pPr>
            <w:r w:rsidRPr="006E4F91">
              <w:rPr>
                <w:rFonts w:cstheme="minorHAnsi"/>
                <w:bCs/>
                <w:sz w:val="24"/>
                <w:szCs w:val="24"/>
              </w:rPr>
              <w:t>Past/future wages: 6 months £17,000 – 1 years’ earnings £34,000</w:t>
            </w:r>
          </w:p>
        </w:tc>
      </w:tr>
      <w:tr w:rsidR="006E4F91" w:rsidRPr="006E4F91" w14:paraId="3E41797F" w14:textId="77777777" w:rsidTr="00C4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20B040D" w14:textId="77777777" w:rsidR="006E4F91" w:rsidRPr="006E4F91" w:rsidRDefault="006E4F91" w:rsidP="0099359D">
            <w:pPr>
              <w:spacing w:line="360" w:lineRule="auto"/>
              <w:rPr>
                <w:rFonts w:cstheme="minorHAnsi"/>
                <w:bCs w:val="0"/>
                <w:sz w:val="24"/>
                <w:szCs w:val="24"/>
              </w:rPr>
            </w:pPr>
            <w:r w:rsidRPr="006E4F91">
              <w:rPr>
                <w:rFonts w:cstheme="minorHAnsi"/>
                <w:sz w:val="24"/>
                <w:szCs w:val="24"/>
              </w:rPr>
              <w:t>Injury to feelings</w:t>
            </w:r>
          </w:p>
        </w:tc>
        <w:tc>
          <w:tcPr>
            <w:tcW w:w="5637" w:type="dxa"/>
          </w:tcPr>
          <w:p w14:paraId="5BA75A56" w14:textId="77777777" w:rsidR="006E4F91" w:rsidRPr="006E4F91" w:rsidRDefault="006E4F91" w:rsidP="0099359D">
            <w:pPr>
              <w:spacing w:line="360" w:lineRule="auto"/>
              <w:cnfStyle w:val="000000100000" w:firstRow="0" w:lastRow="0" w:firstColumn="0" w:lastColumn="0" w:oddVBand="0" w:evenVBand="0" w:oddHBand="1" w:evenHBand="0" w:firstRowFirstColumn="0" w:firstRowLastColumn="0" w:lastRowFirstColumn="0" w:lastRowLastColumn="0"/>
              <w:rPr>
                <w:rFonts w:cstheme="minorHAnsi"/>
                <w:bCs/>
                <w:sz w:val="24"/>
                <w:szCs w:val="24"/>
              </w:rPr>
            </w:pPr>
            <w:r w:rsidRPr="006E4F91">
              <w:rPr>
                <w:rFonts w:cstheme="minorHAnsi"/>
                <w:bCs/>
                <w:sz w:val="24"/>
                <w:szCs w:val="24"/>
              </w:rPr>
              <w:t>£11,200 - £19,000</w:t>
            </w:r>
          </w:p>
        </w:tc>
      </w:tr>
      <w:tr w:rsidR="006E4F91" w:rsidRPr="006E4F91" w14:paraId="00FB5B33" w14:textId="77777777" w:rsidTr="00C46CD4">
        <w:tc>
          <w:tcPr>
            <w:cnfStyle w:val="001000000000" w:firstRow="0" w:lastRow="0" w:firstColumn="1" w:lastColumn="0" w:oddVBand="0" w:evenVBand="0" w:oddHBand="0" w:evenHBand="0" w:firstRowFirstColumn="0" w:firstRowLastColumn="0" w:lastRowFirstColumn="0" w:lastRowLastColumn="0"/>
            <w:tcW w:w="3005" w:type="dxa"/>
          </w:tcPr>
          <w:p w14:paraId="70DED852" w14:textId="77777777" w:rsidR="006E4F91" w:rsidRPr="006E4F91" w:rsidRDefault="006E4F91" w:rsidP="0099359D">
            <w:pPr>
              <w:spacing w:line="360" w:lineRule="auto"/>
              <w:rPr>
                <w:rFonts w:cstheme="minorHAnsi"/>
                <w:b w:val="0"/>
                <w:sz w:val="24"/>
                <w:szCs w:val="24"/>
              </w:rPr>
            </w:pPr>
            <w:r w:rsidRPr="006E4F91">
              <w:rPr>
                <w:rFonts w:cstheme="minorHAnsi"/>
                <w:sz w:val="24"/>
                <w:szCs w:val="24"/>
              </w:rPr>
              <w:t>Total range</w:t>
            </w:r>
          </w:p>
        </w:tc>
        <w:tc>
          <w:tcPr>
            <w:tcW w:w="5637" w:type="dxa"/>
          </w:tcPr>
          <w:p w14:paraId="301DC42A" w14:textId="77777777" w:rsidR="006E4F91" w:rsidRPr="006E4F91" w:rsidRDefault="006E4F91" w:rsidP="0099359D">
            <w:pPr>
              <w:spacing w:line="360" w:lineRule="auto"/>
              <w:cnfStyle w:val="000000000000" w:firstRow="0" w:lastRow="0" w:firstColumn="0" w:lastColumn="0" w:oddVBand="0" w:evenVBand="0" w:oddHBand="0" w:evenHBand="0" w:firstRowFirstColumn="0" w:firstRowLastColumn="0" w:lastRowFirstColumn="0" w:lastRowLastColumn="0"/>
              <w:rPr>
                <w:rFonts w:cstheme="minorHAnsi"/>
                <w:b/>
                <w:sz w:val="24"/>
                <w:szCs w:val="24"/>
              </w:rPr>
            </w:pPr>
            <w:r w:rsidRPr="006E4F91">
              <w:rPr>
                <w:rFonts w:cstheme="minorHAnsi"/>
                <w:b/>
                <w:sz w:val="24"/>
                <w:szCs w:val="24"/>
              </w:rPr>
              <w:t>£29,342 - £54,142 plus 8% daily interest to be added for loss of earnings and injury to feelings</w:t>
            </w:r>
          </w:p>
        </w:tc>
      </w:tr>
    </w:tbl>
    <w:p w14:paraId="2EAE170A" w14:textId="77777777" w:rsidR="006E4F91" w:rsidRDefault="006E4F91" w:rsidP="0099359D">
      <w:pPr>
        <w:spacing w:line="360" w:lineRule="auto"/>
        <w:rPr>
          <w:rFonts w:cstheme="minorHAnsi"/>
          <w:b/>
          <w:bCs/>
          <w:sz w:val="24"/>
          <w:szCs w:val="24"/>
        </w:rPr>
      </w:pPr>
    </w:p>
    <w:p w14:paraId="515075A7" w14:textId="3E6B1FC1" w:rsidR="006E4F91" w:rsidRPr="006E4F91" w:rsidRDefault="006E4F91" w:rsidP="0099359D">
      <w:pPr>
        <w:spacing w:line="360" w:lineRule="auto"/>
        <w:rPr>
          <w:rFonts w:cstheme="minorHAnsi"/>
          <w:b/>
          <w:bCs/>
          <w:sz w:val="24"/>
          <w:szCs w:val="24"/>
        </w:rPr>
      </w:pPr>
      <w:r w:rsidRPr="006E4F91">
        <w:rPr>
          <w:rFonts w:cstheme="minorHAnsi"/>
          <w:b/>
          <w:bCs/>
          <w:sz w:val="24"/>
          <w:szCs w:val="24"/>
        </w:rPr>
        <w:t>Settlement agreement</w:t>
      </w:r>
    </w:p>
    <w:p w14:paraId="16BE67CE" w14:textId="77777777" w:rsidR="006E4F91" w:rsidRPr="006E4F91" w:rsidRDefault="006E4F91" w:rsidP="0099359D">
      <w:pPr>
        <w:spacing w:line="360" w:lineRule="auto"/>
        <w:rPr>
          <w:rFonts w:cstheme="minorHAnsi"/>
          <w:sz w:val="24"/>
          <w:szCs w:val="24"/>
        </w:rPr>
      </w:pPr>
      <w:r w:rsidRPr="006E4F91">
        <w:rPr>
          <w:rFonts w:cstheme="minorHAnsi"/>
          <w:sz w:val="24"/>
          <w:szCs w:val="24"/>
        </w:rPr>
        <w:t xml:space="preserve">The financial and commercial costs of a settlement agreement will be significantly less than defending the claim at tribunal and the costs of damages if AA is successful therefore, </w:t>
      </w:r>
      <w:r w:rsidRPr="006E4F91">
        <w:rPr>
          <w:rFonts w:cstheme="minorHAnsi"/>
          <w:b/>
          <w:bCs/>
          <w:sz w:val="24"/>
          <w:szCs w:val="24"/>
        </w:rPr>
        <w:t>it is recommended that the business negotiates a settlement agreement with AA.</w:t>
      </w:r>
      <w:r w:rsidRPr="006E4F91">
        <w:rPr>
          <w:rFonts w:cstheme="minorHAnsi"/>
          <w:sz w:val="24"/>
          <w:szCs w:val="24"/>
        </w:rPr>
        <w:t xml:space="preserve"> </w:t>
      </w:r>
    </w:p>
    <w:p w14:paraId="21A0FF0A" w14:textId="77777777" w:rsidR="006E4F91" w:rsidRPr="006E4F91" w:rsidRDefault="006E4F91" w:rsidP="0099359D">
      <w:pPr>
        <w:spacing w:line="360" w:lineRule="auto"/>
        <w:rPr>
          <w:rFonts w:cstheme="minorHAnsi"/>
          <w:sz w:val="24"/>
          <w:szCs w:val="24"/>
        </w:rPr>
      </w:pPr>
      <w:r w:rsidRPr="006E4F91">
        <w:rPr>
          <w:rFonts w:cstheme="minorHAnsi"/>
          <w:sz w:val="24"/>
          <w:szCs w:val="24"/>
        </w:rPr>
        <w:t xml:space="preserve">A settlement agreement could resolve the grievance and waive AA’s right to bring a claim in either employment tribunal or court (Acas, 2013); the agreement will outline the specific issues such as claims of constructive dismissal and discrimination, so a claim of this nature cannot be made at a later date thus, providing legal certainty to the business. </w:t>
      </w:r>
    </w:p>
    <w:p w14:paraId="3864D4C3" w14:textId="421380D3" w:rsidR="006E4F91" w:rsidRPr="006E4F91" w:rsidRDefault="006E4F91" w:rsidP="0099359D">
      <w:pPr>
        <w:spacing w:line="360" w:lineRule="auto"/>
        <w:rPr>
          <w:rFonts w:cstheme="minorHAnsi"/>
          <w:sz w:val="24"/>
          <w:szCs w:val="24"/>
        </w:rPr>
      </w:pPr>
      <w:r w:rsidRPr="006E4F91">
        <w:rPr>
          <w:rFonts w:cstheme="minorHAnsi"/>
          <w:sz w:val="24"/>
          <w:szCs w:val="24"/>
        </w:rPr>
        <w:lastRenderedPageBreak/>
        <w:t>Defending a claim through an employment tribunal is a prolonged process, often taking months to years for the claim to be heard, therefore, settlement agreements can resolve the issues in a timely manner thus, reducing the volume of management time involved (Suff, 2022</w:t>
      </w:r>
      <w:r w:rsidR="0099359D">
        <w:rPr>
          <w:rFonts w:cstheme="minorHAnsi"/>
          <w:sz w:val="24"/>
          <w:szCs w:val="24"/>
        </w:rPr>
        <w:t>b</w:t>
      </w:r>
      <w:r w:rsidRPr="006E4F91">
        <w:rPr>
          <w:rFonts w:cstheme="minorHAnsi"/>
          <w:sz w:val="24"/>
          <w:szCs w:val="24"/>
        </w:rPr>
        <w:t xml:space="preserve">). Furthermore, settlement agreements will tend to have a confidentiality clause prohibiting the claimant from publicly disclosing the issues and settlement therefore, protecting the reputational interests of the business.  </w:t>
      </w:r>
    </w:p>
    <w:p w14:paraId="0F43042D" w14:textId="77777777" w:rsidR="006E4F91" w:rsidRPr="006E4F91" w:rsidRDefault="006E4F91" w:rsidP="0099359D">
      <w:pPr>
        <w:spacing w:line="360" w:lineRule="auto"/>
        <w:rPr>
          <w:rFonts w:cstheme="minorHAnsi"/>
          <w:sz w:val="24"/>
          <w:szCs w:val="24"/>
        </w:rPr>
      </w:pPr>
      <w:r w:rsidRPr="006E4F91">
        <w:rPr>
          <w:rFonts w:cstheme="minorHAnsi"/>
          <w:sz w:val="24"/>
          <w:szCs w:val="24"/>
        </w:rPr>
        <w:t xml:space="preserve">An employment tribunal is an expensive process regardless if the business defends the claim successfully or not. Legal fees are very expensive and due to the claim of discrimination, it is likely the case will be considered more complex and will extend the hearing. Preparation to defend the case will involve a high volume of management time which can impact service delivery in other areas of the business. Furthermore, the damages to pay are high if AA’s claim is successful. However, employment tribunal costs go beyond financial cost due to the adverse publicity the business could receive as tribunal judgements are public and easily accessible. </w:t>
      </w:r>
    </w:p>
    <w:p w14:paraId="1903E2D4" w14:textId="77777777" w:rsidR="006E4F91" w:rsidRPr="006E4F91" w:rsidRDefault="006E4F91" w:rsidP="0099359D">
      <w:pPr>
        <w:spacing w:line="360" w:lineRule="auto"/>
        <w:rPr>
          <w:rFonts w:cstheme="minorHAnsi"/>
          <w:sz w:val="24"/>
          <w:szCs w:val="24"/>
        </w:rPr>
      </w:pPr>
      <w:r w:rsidRPr="006E4F91">
        <w:rPr>
          <w:rFonts w:cstheme="minorHAnsi"/>
          <w:sz w:val="24"/>
          <w:szCs w:val="24"/>
        </w:rPr>
        <w:t xml:space="preserve">Three months gross salary as an ex-gratia payment, in addition to statutory entitlements, is a reasonable settlement; however, this can vary depending on the circumstances of the claim such as time to take to find a new job, employer conduct and detriments suffered (Redmans Solicitors, no date; Winston Solicitors, no date). </w:t>
      </w:r>
    </w:p>
    <w:p w14:paraId="4521A67F" w14:textId="77777777" w:rsidR="006E4F91" w:rsidRDefault="006E4F91" w:rsidP="0099359D">
      <w:pPr>
        <w:spacing w:line="360" w:lineRule="auto"/>
        <w:rPr>
          <w:rFonts w:cstheme="minorHAnsi"/>
          <w:sz w:val="24"/>
          <w:szCs w:val="24"/>
        </w:rPr>
      </w:pPr>
      <w:r w:rsidRPr="006E4F91">
        <w:rPr>
          <w:rFonts w:cstheme="minorHAnsi"/>
          <w:sz w:val="24"/>
          <w:szCs w:val="24"/>
        </w:rPr>
        <w:t xml:space="preserve">On this basis, it is recommended to offer AA to settle the following amount: </w:t>
      </w:r>
    </w:p>
    <w:tbl>
      <w:tblPr>
        <w:tblStyle w:val="GridTable5Dark-Accent3"/>
        <w:tblW w:w="0" w:type="auto"/>
        <w:tblLook w:val="04A0" w:firstRow="1" w:lastRow="0" w:firstColumn="1" w:lastColumn="0" w:noHBand="0" w:noVBand="1"/>
      </w:tblPr>
      <w:tblGrid>
        <w:gridCol w:w="4508"/>
        <w:gridCol w:w="4508"/>
      </w:tblGrid>
      <w:tr w:rsidR="006E4F91" w:rsidRPr="006E4F91" w14:paraId="00B92E34" w14:textId="77777777" w:rsidTr="00C46C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6FD3AEB" w14:textId="77777777" w:rsidR="006E4F91" w:rsidRPr="006E4F91" w:rsidRDefault="006E4F91" w:rsidP="0099359D">
            <w:pPr>
              <w:spacing w:line="360" w:lineRule="auto"/>
              <w:jc w:val="center"/>
              <w:rPr>
                <w:rFonts w:cstheme="minorHAnsi"/>
                <w:sz w:val="24"/>
                <w:szCs w:val="24"/>
              </w:rPr>
            </w:pPr>
            <w:r w:rsidRPr="006E4F91">
              <w:rPr>
                <w:rFonts w:cstheme="minorHAnsi"/>
                <w:sz w:val="24"/>
                <w:szCs w:val="24"/>
              </w:rPr>
              <w:t>Payment</w:t>
            </w:r>
          </w:p>
        </w:tc>
        <w:tc>
          <w:tcPr>
            <w:tcW w:w="4508" w:type="dxa"/>
          </w:tcPr>
          <w:p w14:paraId="2BCA089D" w14:textId="77777777" w:rsidR="006E4F91" w:rsidRPr="006E4F91" w:rsidRDefault="006E4F91" w:rsidP="0099359D">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4"/>
                <w:szCs w:val="24"/>
              </w:rPr>
            </w:pPr>
            <w:r w:rsidRPr="006E4F91">
              <w:rPr>
                <w:rFonts w:cstheme="minorHAnsi"/>
                <w:sz w:val="24"/>
                <w:szCs w:val="24"/>
              </w:rPr>
              <w:t>Cost</w:t>
            </w:r>
          </w:p>
        </w:tc>
      </w:tr>
      <w:tr w:rsidR="006E4F91" w:rsidRPr="006E4F91" w14:paraId="153B2B42" w14:textId="77777777" w:rsidTr="00C4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2E3916" w14:textId="77777777" w:rsidR="006E4F91" w:rsidRPr="006E4F91" w:rsidRDefault="006E4F91" w:rsidP="0099359D">
            <w:pPr>
              <w:spacing w:line="360" w:lineRule="auto"/>
              <w:rPr>
                <w:rFonts w:cstheme="minorHAnsi"/>
                <w:sz w:val="24"/>
                <w:szCs w:val="24"/>
              </w:rPr>
            </w:pPr>
            <w:r w:rsidRPr="006E4F91">
              <w:rPr>
                <w:rFonts w:cstheme="minorHAnsi"/>
                <w:sz w:val="24"/>
                <w:szCs w:val="24"/>
              </w:rPr>
              <w:t>3 months gross salary</w:t>
            </w:r>
          </w:p>
        </w:tc>
        <w:tc>
          <w:tcPr>
            <w:tcW w:w="4508" w:type="dxa"/>
          </w:tcPr>
          <w:p w14:paraId="1750E3AD" w14:textId="77777777" w:rsidR="006E4F91" w:rsidRPr="006E4F91" w:rsidRDefault="006E4F91" w:rsidP="0099359D">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E4F91">
              <w:rPr>
                <w:rFonts w:cstheme="minorHAnsi"/>
                <w:sz w:val="24"/>
                <w:szCs w:val="24"/>
              </w:rPr>
              <w:t>£8,500</w:t>
            </w:r>
          </w:p>
        </w:tc>
      </w:tr>
      <w:tr w:rsidR="006E4F91" w:rsidRPr="006E4F91" w14:paraId="7541DE27" w14:textId="77777777" w:rsidTr="00C46CD4">
        <w:tc>
          <w:tcPr>
            <w:cnfStyle w:val="001000000000" w:firstRow="0" w:lastRow="0" w:firstColumn="1" w:lastColumn="0" w:oddVBand="0" w:evenVBand="0" w:oddHBand="0" w:evenHBand="0" w:firstRowFirstColumn="0" w:firstRowLastColumn="0" w:lastRowFirstColumn="0" w:lastRowLastColumn="0"/>
            <w:tcW w:w="4508" w:type="dxa"/>
          </w:tcPr>
          <w:p w14:paraId="19F73A6D" w14:textId="77777777" w:rsidR="006E4F91" w:rsidRPr="006E4F91" w:rsidRDefault="006E4F91" w:rsidP="0099359D">
            <w:pPr>
              <w:spacing w:line="360" w:lineRule="auto"/>
              <w:rPr>
                <w:rFonts w:cstheme="minorHAnsi"/>
                <w:sz w:val="24"/>
                <w:szCs w:val="24"/>
              </w:rPr>
            </w:pPr>
            <w:r w:rsidRPr="006E4F91">
              <w:rPr>
                <w:rFonts w:cstheme="minorHAnsi"/>
                <w:sz w:val="24"/>
                <w:szCs w:val="24"/>
              </w:rPr>
              <w:t>1 months’ notice pay</w:t>
            </w:r>
          </w:p>
        </w:tc>
        <w:tc>
          <w:tcPr>
            <w:tcW w:w="4508" w:type="dxa"/>
          </w:tcPr>
          <w:p w14:paraId="3C892AF5" w14:textId="77777777" w:rsidR="006E4F91" w:rsidRPr="006E4F91" w:rsidRDefault="006E4F91" w:rsidP="0099359D">
            <w:pPr>
              <w:spacing w:line="360" w:lineRule="auto"/>
              <w:cnfStyle w:val="000000000000" w:firstRow="0" w:lastRow="0" w:firstColumn="0" w:lastColumn="0" w:oddVBand="0" w:evenVBand="0" w:oddHBand="0" w:evenHBand="0" w:firstRowFirstColumn="0" w:firstRowLastColumn="0" w:lastRowFirstColumn="0" w:lastRowLastColumn="0"/>
              <w:rPr>
                <w:rFonts w:cstheme="minorHAnsi"/>
                <w:sz w:val="24"/>
                <w:szCs w:val="24"/>
              </w:rPr>
            </w:pPr>
            <w:r w:rsidRPr="006E4F91">
              <w:rPr>
                <w:rFonts w:cstheme="minorHAnsi"/>
                <w:sz w:val="24"/>
                <w:szCs w:val="24"/>
              </w:rPr>
              <w:t>£2,833</w:t>
            </w:r>
          </w:p>
        </w:tc>
      </w:tr>
      <w:tr w:rsidR="006E4F91" w:rsidRPr="006E4F91" w14:paraId="673D4861" w14:textId="77777777" w:rsidTr="00C46C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AF4869C" w14:textId="77777777" w:rsidR="006E4F91" w:rsidRPr="006E4F91" w:rsidRDefault="006E4F91" w:rsidP="0099359D">
            <w:pPr>
              <w:spacing w:line="360" w:lineRule="auto"/>
              <w:rPr>
                <w:rFonts w:cstheme="minorHAnsi"/>
                <w:sz w:val="24"/>
                <w:szCs w:val="24"/>
              </w:rPr>
            </w:pPr>
            <w:r w:rsidRPr="006E4F91">
              <w:rPr>
                <w:rFonts w:cstheme="minorHAnsi"/>
                <w:sz w:val="24"/>
                <w:szCs w:val="24"/>
              </w:rPr>
              <w:t>Accrued holiday to AA’s termination date</w:t>
            </w:r>
          </w:p>
        </w:tc>
        <w:tc>
          <w:tcPr>
            <w:tcW w:w="4508" w:type="dxa"/>
          </w:tcPr>
          <w:p w14:paraId="11DD0609" w14:textId="77777777" w:rsidR="006E4F91" w:rsidRPr="006E4F91" w:rsidRDefault="006E4F91" w:rsidP="0099359D">
            <w:pPr>
              <w:spacing w:line="360" w:lineRule="auto"/>
              <w:cnfStyle w:val="000000100000" w:firstRow="0" w:lastRow="0" w:firstColumn="0" w:lastColumn="0" w:oddVBand="0" w:evenVBand="0" w:oddHBand="1" w:evenHBand="0" w:firstRowFirstColumn="0" w:firstRowLastColumn="0" w:lastRowFirstColumn="0" w:lastRowLastColumn="0"/>
              <w:rPr>
                <w:rFonts w:cstheme="minorHAnsi"/>
                <w:sz w:val="24"/>
                <w:szCs w:val="24"/>
              </w:rPr>
            </w:pPr>
            <w:r w:rsidRPr="006E4F91">
              <w:rPr>
                <w:rFonts w:cstheme="minorHAnsi"/>
                <w:sz w:val="24"/>
                <w:szCs w:val="24"/>
              </w:rPr>
              <w:t xml:space="preserve">£1,820 </w:t>
            </w:r>
            <w:r w:rsidRPr="006E4F91">
              <w:rPr>
                <w:rFonts w:cstheme="minorHAnsi"/>
                <w:i/>
                <w:iCs/>
                <w:sz w:val="24"/>
                <w:szCs w:val="24"/>
              </w:rPr>
              <w:t>(estimate only, as calculation based on half of statutory allowance; specific calculation required).</w:t>
            </w:r>
          </w:p>
        </w:tc>
      </w:tr>
      <w:tr w:rsidR="006E4F91" w:rsidRPr="006E4F91" w14:paraId="67F29E3B" w14:textId="77777777" w:rsidTr="00C46CD4">
        <w:tc>
          <w:tcPr>
            <w:cnfStyle w:val="001000000000" w:firstRow="0" w:lastRow="0" w:firstColumn="1" w:lastColumn="0" w:oddVBand="0" w:evenVBand="0" w:oddHBand="0" w:evenHBand="0" w:firstRowFirstColumn="0" w:firstRowLastColumn="0" w:lastRowFirstColumn="0" w:lastRowLastColumn="0"/>
            <w:tcW w:w="4508" w:type="dxa"/>
          </w:tcPr>
          <w:p w14:paraId="350EAB86" w14:textId="77777777" w:rsidR="006E4F91" w:rsidRPr="006E4F91" w:rsidRDefault="006E4F91" w:rsidP="0099359D">
            <w:pPr>
              <w:spacing w:line="360" w:lineRule="auto"/>
              <w:rPr>
                <w:rFonts w:cstheme="minorHAnsi"/>
                <w:sz w:val="24"/>
                <w:szCs w:val="24"/>
              </w:rPr>
            </w:pPr>
            <w:r w:rsidRPr="006E4F91">
              <w:rPr>
                <w:rFonts w:cstheme="minorHAnsi"/>
                <w:sz w:val="24"/>
                <w:szCs w:val="24"/>
              </w:rPr>
              <w:t>Total</w:t>
            </w:r>
          </w:p>
        </w:tc>
        <w:tc>
          <w:tcPr>
            <w:tcW w:w="4508" w:type="dxa"/>
          </w:tcPr>
          <w:p w14:paraId="0ED6F7F1" w14:textId="77777777" w:rsidR="006E4F91" w:rsidRPr="006E4F91" w:rsidRDefault="006E4F91" w:rsidP="0099359D">
            <w:pPr>
              <w:spacing w:line="360" w:lineRule="auto"/>
              <w:cnfStyle w:val="000000000000" w:firstRow="0" w:lastRow="0" w:firstColumn="0" w:lastColumn="0" w:oddVBand="0" w:evenVBand="0" w:oddHBand="0" w:evenHBand="0" w:firstRowFirstColumn="0" w:firstRowLastColumn="0" w:lastRowFirstColumn="0" w:lastRowLastColumn="0"/>
              <w:rPr>
                <w:rFonts w:cstheme="minorHAnsi"/>
                <w:b/>
                <w:bCs/>
                <w:sz w:val="24"/>
                <w:szCs w:val="24"/>
              </w:rPr>
            </w:pPr>
            <w:r w:rsidRPr="006E4F91">
              <w:rPr>
                <w:rFonts w:cstheme="minorHAnsi"/>
                <w:b/>
                <w:bCs/>
                <w:sz w:val="24"/>
                <w:szCs w:val="24"/>
              </w:rPr>
              <w:t>£13,153</w:t>
            </w:r>
          </w:p>
        </w:tc>
      </w:tr>
    </w:tbl>
    <w:p w14:paraId="61AD3AC9" w14:textId="77777777" w:rsidR="006E4F91" w:rsidRPr="006E4F91" w:rsidRDefault="006E4F91" w:rsidP="0099359D">
      <w:pPr>
        <w:spacing w:line="360" w:lineRule="auto"/>
        <w:rPr>
          <w:rFonts w:cstheme="minorHAnsi"/>
          <w:sz w:val="24"/>
          <w:szCs w:val="24"/>
        </w:rPr>
      </w:pPr>
    </w:p>
    <w:p w14:paraId="4DB52CCD" w14:textId="77777777" w:rsidR="006E4F91" w:rsidRPr="006E4F91" w:rsidRDefault="006E4F91" w:rsidP="0099359D">
      <w:pPr>
        <w:spacing w:line="360" w:lineRule="auto"/>
        <w:rPr>
          <w:rFonts w:cstheme="minorHAnsi"/>
          <w:sz w:val="24"/>
          <w:szCs w:val="24"/>
        </w:rPr>
      </w:pPr>
      <w:r w:rsidRPr="006E4F91">
        <w:rPr>
          <w:rFonts w:cstheme="minorHAnsi"/>
          <w:sz w:val="24"/>
          <w:szCs w:val="24"/>
        </w:rPr>
        <w:lastRenderedPageBreak/>
        <w:t xml:space="preserve">The business would also be required to provide a nominal sum for AA to receive independent legal advice in respect of the settlement offer, this is usually in the region of £500 plus VAT. </w:t>
      </w:r>
    </w:p>
    <w:p w14:paraId="3A849102" w14:textId="77777777" w:rsidR="006E4F91" w:rsidRPr="006E4F91" w:rsidRDefault="006E4F91" w:rsidP="0099359D">
      <w:pPr>
        <w:spacing w:line="360" w:lineRule="auto"/>
        <w:rPr>
          <w:rFonts w:cstheme="minorHAnsi"/>
          <w:sz w:val="24"/>
          <w:szCs w:val="24"/>
        </w:rPr>
      </w:pPr>
      <w:r w:rsidRPr="006E4F91">
        <w:rPr>
          <w:rFonts w:cstheme="minorHAnsi"/>
          <w:sz w:val="24"/>
          <w:szCs w:val="24"/>
        </w:rPr>
        <w:t xml:space="preserve">In comparison, the difference between the recommended settlement amount and the low range estimated award is approximately £15,000 before including legal costs and time commitments. Therefore, demonstrating the significant financial saving. </w:t>
      </w:r>
    </w:p>
    <w:p w14:paraId="53526BD4" w14:textId="7DDF7099" w:rsidR="006E4F91" w:rsidRPr="006E4F91" w:rsidRDefault="006E4F91" w:rsidP="0099359D">
      <w:pPr>
        <w:spacing w:line="360" w:lineRule="auto"/>
        <w:ind w:left="360"/>
        <w:rPr>
          <w:rFonts w:cstheme="minorHAnsi"/>
          <w:sz w:val="24"/>
          <w:szCs w:val="24"/>
        </w:rPr>
      </w:pPr>
    </w:p>
    <w:p w14:paraId="4C801E75" w14:textId="77777777" w:rsidR="00EF61F0" w:rsidRPr="00EF61F0" w:rsidRDefault="00EF61F0" w:rsidP="0099359D">
      <w:pPr>
        <w:spacing w:line="360" w:lineRule="auto"/>
        <w:ind w:left="360"/>
        <w:rPr>
          <w:b/>
          <w:bCs/>
        </w:rPr>
      </w:pPr>
    </w:p>
    <w:p w14:paraId="27323270" w14:textId="77777777" w:rsidR="00EF61F0" w:rsidRPr="00EF61F0" w:rsidRDefault="00EF61F0" w:rsidP="0099359D">
      <w:pPr>
        <w:spacing w:line="360" w:lineRule="auto"/>
      </w:pPr>
    </w:p>
    <w:p w14:paraId="67B27237" w14:textId="77777777" w:rsidR="00EF61F0" w:rsidRPr="00EF61F0" w:rsidRDefault="00EF61F0" w:rsidP="0099359D">
      <w:pPr>
        <w:spacing w:line="360" w:lineRule="auto"/>
        <w:rPr>
          <w:b/>
          <w:bCs/>
        </w:rPr>
      </w:pPr>
    </w:p>
    <w:p w14:paraId="08F82017" w14:textId="36B2C50C" w:rsidR="00EF61F0" w:rsidRDefault="00EF61F0" w:rsidP="0099359D">
      <w:pPr>
        <w:spacing w:line="360" w:lineRule="auto"/>
      </w:pPr>
    </w:p>
    <w:p w14:paraId="536CCE72" w14:textId="77777777" w:rsidR="00EF61F0" w:rsidRDefault="00EF61F0" w:rsidP="0099359D">
      <w:pPr>
        <w:spacing w:line="360" w:lineRule="auto"/>
      </w:pPr>
    </w:p>
    <w:p w14:paraId="35918585" w14:textId="77777777" w:rsidR="006E4F91" w:rsidRDefault="006E4F91" w:rsidP="0099359D">
      <w:pPr>
        <w:spacing w:line="360" w:lineRule="auto"/>
      </w:pPr>
    </w:p>
    <w:p w14:paraId="09974DD1" w14:textId="77777777" w:rsidR="006E4F91" w:rsidRDefault="006E4F91" w:rsidP="0099359D">
      <w:pPr>
        <w:spacing w:line="360" w:lineRule="auto"/>
      </w:pPr>
    </w:p>
    <w:p w14:paraId="2FDE99B7" w14:textId="77777777" w:rsidR="006E4F91" w:rsidRDefault="006E4F91" w:rsidP="0099359D">
      <w:pPr>
        <w:spacing w:line="360" w:lineRule="auto"/>
      </w:pPr>
    </w:p>
    <w:p w14:paraId="03BA8E6B" w14:textId="77777777" w:rsidR="006E4F91" w:rsidRDefault="006E4F91" w:rsidP="0099359D">
      <w:pPr>
        <w:spacing w:line="360" w:lineRule="auto"/>
      </w:pPr>
    </w:p>
    <w:p w14:paraId="51E77BD5" w14:textId="77777777" w:rsidR="006E4F91" w:rsidRDefault="006E4F91" w:rsidP="0099359D">
      <w:pPr>
        <w:spacing w:line="360" w:lineRule="auto"/>
      </w:pPr>
    </w:p>
    <w:p w14:paraId="1A058FEE" w14:textId="77777777" w:rsidR="006E4F91" w:rsidRDefault="006E4F91" w:rsidP="0099359D">
      <w:pPr>
        <w:spacing w:line="360" w:lineRule="auto"/>
      </w:pPr>
    </w:p>
    <w:p w14:paraId="6701B082" w14:textId="77777777" w:rsidR="006E4F91" w:rsidRDefault="006E4F91" w:rsidP="0099359D">
      <w:pPr>
        <w:spacing w:line="360" w:lineRule="auto"/>
      </w:pPr>
    </w:p>
    <w:p w14:paraId="34670F8D" w14:textId="77777777" w:rsidR="006E4F91" w:rsidRDefault="006E4F91" w:rsidP="0099359D">
      <w:pPr>
        <w:spacing w:line="360" w:lineRule="auto"/>
      </w:pPr>
    </w:p>
    <w:p w14:paraId="6D9BAE00" w14:textId="77777777" w:rsidR="006E4F91" w:rsidRDefault="006E4F91" w:rsidP="0099359D">
      <w:pPr>
        <w:spacing w:line="360" w:lineRule="auto"/>
      </w:pPr>
    </w:p>
    <w:p w14:paraId="2A2C60EB" w14:textId="77777777" w:rsidR="006E4F91" w:rsidRDefault="006E4F91" w:rsidP="0099359D">
      <w:pPr>
        <w:spacing w:line="360" w:lineRule="auto"/>
      </w:pPr>
    </w:p>
    <w:p w14:paraId="25EE520E" w14:textId="26761D10" w:rsidR="006E4F91" w:rsidRDefault="006E4F91" w:rsidP="0099359D">
      <w:pPr>
        <w:pStyle w:val="Style1"/>
        <w:spacing w:line="360" w:lineRule="auto"/>
        <w:rPr>
          <w:sz w:val="48"/>
          <w:szCs w:val="12"/>
        </w:rPr>
      </w:pPr>
      <w:r>
        <w:rPr>
          <w:noProof/>
          <w:sz w:val="48"/>
          <w:szCs w:val="12"/>
        </w:rPr>
        <w:lastRenderedPageBreak/>
        <mc:AlternateContent>
          <mc:Choice Requires="wps">
            <w:drawing>
              <wp:anchor distT="0" distB="0" distL="114300" distR="114300" simplePos="0" relativeHeight="251659264" behindDoc="0" locked="0" layoutInCell="1" allowOverlap="1" wp14:anchorId="1C45B5C6" wp14:editId="37DFB0FB">
                <wp:simplePos x="0" y="0"/>
                <wp:positionH relativeFrom="column">
                  <wp:posOffset>-12613</wp:posOffset>
                </wp:positionH>
                <wp:positionV relativeFrom="paragraph">
                  <wp:posOffset>427246</wp:posOffset>
                </wp:positionV>
                <wp:extent cx="5768493" cy="0"/>
                <wp:effectExtent l="0" t="0" r="0" b="0"/>
                <wp:wrapNone/>
                <wp:docPr id="1554281145" name="Straight Connector 1"/>
                <wp:cNvGraphicFramePr/>
                <a:graphic xmlns:a="http://schemas.openxmlformats.org/drawingml/2006/main">
                  <a:graphicData uri="http://schemas.microsoft.com/office/word/2010/wordprocessingShape">
                    <wps:wsp>
                      <wps:cNvCnPr/>
                      <wps:spPr>
                        <a:xfrm flipH="1">
                          <a:off x="0" y="0"/>
                          <a:ext cx="57684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31D9E9"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3.65pt" to="453.2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" strokecolor="black [3040]"/>
            </w:pict>
          </mc:Fallback>
        </mc:AlternateContent>
      </w:r>
      <w:r w:rsidRPr="006E4F91">
        <w:rPr>
          <w:sz w:val="48"/>
          <w:szCs w:val="12"/>
        </w:rPr>
        <w:t>Briefing Note</w:t>
      </w:r>
    </w:p>
    <w:p w14:paraId="2B4D723B" w14:textId="33D11D39" w:rsidR="00954CD4" w:rsidRPr="00954CD4" w:rsidRDefault="00954CD4" w:rsidP="0099359D">
      <w:pPr>
        <w:spacing w:line="360" w:lineRule="auto"/>
        <w:rPr>
          <w:rFonts w:ascii="Arial" w:hAnsi="Arial" w:cs="Arial"/>
          <w:b/>
          <w:bCs/>
          <w:kern w:val="28"/>
          <w:sz w:val="24"/>
          <w:szCs w:val="24"/>
        </w:rPr>
      </w:pPr>
      <w:r w:rsidRPr="00954CD4">
        <w:rPr>
          <w:rFonts w:ascii="Arial" w:hAnsi="Arial" w:cs="Arial"/>
          <w:b/>
          <w:bCs/>
          <w:kern w:val="28"/>
          <w:sz w:val="24"/>
          <w:szCs w:val="24"/>
        </w:rPr>
        <w:t>Purpose</w:t>
      </w:r>
    </w:p>
    <w:p w14:paraId="6365730D" w14:textId="54FAEB8C" w:rsidR="00954CD4" w:rsidRPr="00954CD4" w:rsidRDefault="00954CD4" w:rsidP="0099359D">
      <w:pPr>
        <w:spacing w:line="360" w:lineRule="auto"/>
        <w:rPr>
          <w:rFonts w:ascii="Arial" w:hAnsi="Arial" w:cs="Arial"/>
          <w:kern w:val="28"/>
          <w:sz w:val="24"/>
          <w:szCs w:val="24"/>
        </w:rPr>
      </w:pPr>
      <w:r w:rsidRPr="00954CD4">
        <w:rPr>
          <w:rFonts w:ascii="Arial" w:hAnsi="Arial" w:cs="Arial"/>
          <w:kern w:val="28"/>
          <w:sz w:val="24"/>
          <w:szCs w:val="24"/>
        </w:rPr>
        <w:t xml:space="preserve">The purpose of this briefing note is to outline legal implications to consider when insourcing the IT and Payroll functions from Payment Providers. </w:t>
      </w:r>
    </w:p>
    <w:p w14:paraId="48C47333" w14:textId="7EE368BC" w:rsidR="00954CD4" w:rsidRPr="00954CD4" w:rsidRDefault="00954CD4" w:rsidP="0099359D">
      <w:pPr>
        <w:spacing w:line="360" w:lineRule="auto"/>
        <w:rPr>
          <w:rFonts w:ascii="Arial" w:hAnsi="Arial" w:cs="Arial"/>
          <w:b/>
          <w:bCs/>
          <w:sz w:val="24"/>
          <w:szCs w:val="24"/>
        </w:rPr>
      </w:pPr>
      <w:r w:rsidRPr="00954CD4">
        <w:rPr>
          <w:rFonts w:ascii="Arial" w:hAnsi="Arial" w:cs="Arial"/>
          <w:b/>
          <w:bCs/>
          <w:sz w:val="24"/>
          <w:szCs w:val="24"/>
        </w:rPr>
        <w:t>Considerations</w:t>
      </w:r>
    </w:p>
    <w:p w14:paraId="58038DC1" w14:textId="77777777" w:rsidR="00954CD4" w:rsidRPr="00954CD4" w:rsidRDefault="00954CD4" w:rsidP="0099359D">
      <w:pPr>
        <w:spacing w:line="360" w:lineRule="auto"/>
        <w:rPr>
          <w:rFonts w:ascii="Arial" w:hAnsi="Arial" w:cs="Arial"/>
          <w:sz w:val="24"/>
          <w:szCs w:val="24"/>
        </w:rPr>
      </w:pPr>
      <w:r w:rsidRPr="00954CD4">
        <w:rPr>
          <w:rFonts w:ascii="Arial" w:hAnsi="Arial" w:cs="Arial"/>
          <w:sz w:val="24"/>
          <w:szCs w:val="24"/>
        </w:rPr>
        <w:t xml:space="preserve">There are legal considerations for the business should the outsourcing of IT and payroll functions return to in-house services.  </w:t>
      </w:r>
    </w:p>
    <w:p w14:paraId="1B61F85C" w14:textId="77777777" w:rsidR="00954CD4" w:rsidRPr="00954CD4" w:rsidRDefault="00954CD4" w:rsidP="0099359D">
      <w:pPr>
        <w:spacing w:line="360" w:lineRule="auto"/>
        <w:rPr>
          <w:rFonts w:ascii="Arial" w:hAnsi="Arial" w:cs="Arial"/>
          <w:sz w:val="24"/>
          <w:szCs w:val="24"/>
        </w:rPr>
      </w:pPr>
      <w:r w:rsidRPr="00954CD4">
        <w:rPr>
          <w:rFonts w:ascii="Arial" w:hAnsi="Arial" w:cs="Arial"/>
          <w:sz w:val="24"/>
          <w:szCs w:val="24"/>
        </w:rPr>
        <w:t xml:space="preserve">The legal considerations centre around The Transfer of Undertakings (Protection of Employment) Regulations 2006, commonly referred to as TUPE. TUPE provides protection to employees when an organisation is transferring from one employer to another employer, or when there is a change of service provision (Acas, 2021b). Therefore, TUPE could apply in this case as the business is changing their service provision whereby, it is insourcing a function that is currently outsourced. </w:t>
      </w:r>
    </w:p>
    <w:p w14:paraId="1881B3B2" w14:textId="1E6120E3" w:rsidR="00954CD4" w:rsidRPr="00954CD4" w:rsidRDefault="00954CD4" w:rsidP="0099359D">
      <w:pPr>
        <w:spacing w:line="360" w:lineRule="auto"/>
        <w:rPr>
          <w:rFonts w:ascii="Arial" w:hAnsi="Arial" w:cs="Arial"/>
          <w:sz w:val="24"/>
          <w:szCs w:val="24"/>
        </w:rPr>
      </w:pPr>
      <w:r w:rsidRPr="00954CD4">
        <w:rPr>
          <w:rFonts w:ascii="Arial" w:hAnsi="Arial" w:cs="Arial"/>
          <w:sz w:val="24"/>
          <w:szCs w:val="24"/>
        </w:rPr>
        <w:t xml:space="preserve">If TUPE did apply, this would involve the group of employees from Payment Providers (PP) carrying out this function to be transferred to Scrumpy Cider (SC), on their current employment terms and conditions, which could be more favourable and costly than the current SC terms and conditions. It is unlawful to change the incoming terms and conditions if it links specifically to the transfer therefore, SC should consider the cost implications of inheriting the new terms. To legally change the terms, there must a genuine economic, </w:t>
      </w:r>
      <w:r w:rsidR="00FF1132" w:rsidRPr="00954CD4">
        <w:rPr>
          <w:rFonts w:ascii="Arial" w:hAnsi="Arial" w:cs="Arial"/>
          <w:sz w:val="24"/>
          <w:szCs w:val="24"/>
        </w:rPr>
        <w:t>technological,</w:t>
      </w:r>
      <w:r w:rsidRPr="00954CD4">
        <w:rPr>
          <w:rFonts w:ascii="Arial" w:hAnsi="Arial" w:cs="Arial"/>
          <w:sz w:val="24"/>
          <w:szCs w:val="24"/>
        </w:rPr>
        <w:t xml:space="preserve"> or organisational reason which generally see changes across the workforce in terms of functions or structure (CIPD, 2022b).</w:t>
      </w:r>
    </w:p>
    <w:p w14:paraId="42D77813" w14:textId="77777777" w:rsidR="00954CD4" w:rsidRPr="00954CD4" w:rsidRDefault="00954CD4" w:rsidP="0099359D">
      <w:pPr>
        <w:spacing w:line="360" w:lineRule="auto"/>
        <w:rPr>
          <w:rFonts w:ascii="Arial" w:hAnsi="Arial" w:cs="Arial"/>
          <w:sz w:val="24"/>
          <w:szCs w:val="24"/>
        </w:rPr>
      </w:pPr>
      <w:r w:rsidRPr="00954CD4">
        <w:rPr>
          <w:rFonts w:ascii="Arial" w:hAnsi="Arial" w:cs="Arial"/>
          <w:sz w:val="24"/>
          <w:szCs w:val="24"/>
        </w:rPr>
        <w:t xml:space="preserve">PP provide their services for this function to other clients across the country therefore, the business must determine if providing services to SC is the principal purpose of the group of PP employees undertaking the work, as this can impact whether TUPE applies. To satisfy TUPE, the work must be the principal purpose of the group, in addition the work must be fundamentally the same after the transfer </w:t>
      </w:r>
      <w:r w:rsidRPr="00954CD4">
        <w:rPr>
          <w:rFonts w:ascii="Arial" w:hAnsi="Arial" w:cs="Arial"/>
          <w:sz w:val="24"/>
          <w:szCs w:val="24"/>
        </w:rPr>
        <w:lastRenderedPageBreak/>
        <w:t xml:space="preserve">(Sheppard, 2023). Therefore, if providing services to SC is only a small proportion of the work, or if the nature of the work fundamentally changes when insourced to SC, it is likely TUPE would not apply. </w:t>
      </w:r>
    </w:p>
    <w:p w14:paraId="5F264485" w14:textId="77777777" w:rsidR="00954CD4" w:rsidRPr="00954CD4" w:rsidRDefault="00954CD4" w:rsidP="0099359D">
      <w:pPr>
        <w:spacing w:line="360" w:lineRule="auto"/>
        <w:rPr>
          <w:rFonts w:ascii="Arial" w:hAnsi="Arial" w:cs="Arial"/>
          <w:sz w:val="24"/>
          <w:szCs w:val="24"/>
        </w:rPr>
      </w:pPr>
      <w:r w:rsidRPr="00954CD4">
        <w:rPr>
          <w:rFonts w:ascii="Arial" w:hAnsi="Arial" w:cs="Arial"/>
          <w:sz w:val="24"/>
          <w:szCs w:val="24"/>
        </w:rPr>
        <w:t>To determine how many employees would transfer to SC, the automatic transfer principle is applied identifying which employees were undertaking the work immediately before the transfer, and the percentage of time worked on the service which is expected to be high to satisfy the test (Sheppard, 2023; CIPD, 2022b).</w:t>
      </w:r>
    </w:p>
    <w:p w14:paraId="5A1F976E" w14:textId="77777777" w:rsidR="00954CD4" w:rsidRPr="00954CD4" w:rsidRDefault="00954CD4" w:rsidP="0099359D">
      <w:pPr>
        <w:spacing w:line="360" w:lineRule="auto"/>
        <w:rPr>
          <w:rFonts w:ascii="Arial" w:hAnsi="Arial" w:cs="Arial"/>
          <w:sz w:val="24"/>
          <w:szCs w:val="24"/>
        </w:rPr>
      </w:pPr>
      <w:r w:rsidRPr="00954CD4">
        <w:rPr>
          <w:rFonts w:ascii="Arial" w:hAnsi="Arial" w:cs="Arial"/>
          <w:sz w:val="24"/>
          <w:szCs w:val="24"/>
        </w:rPr>
        <w:t xml:space="preserve">Should TUPE apply, it is a legal requirement that both SC and PP must inform affected employees about the transfer, and initiate consultation to understand the views and concerns of the employee group and importantly to seek agreement (Acas, 2022). SC must inform and consult via the trade union is SC is unionised however, if there is no trade union, employee representatives must be elected. Failure to inform and consult can result in a claim through the employment tribunal. </w:t>
      </w:r>
    </w:p>
    <w:p w14:paraId="09012D22" w14:textId="77777777" w:rsidR="00954CD4" w:rsidRPr="00954CD4" w:rsidRDefault="00954CD4" w:rsidP="0099359D">
      <w:pPr>
        <w:spacing w:line="360" w:lineRule="auto"/>
        <w:rPr>
          <w:rFonts w:ascii="Arial" w:hAnsi="Arial" w:cs="Arial"/>
          <w:sz w:val="24"/>
          <w:szCs w:val="24"/>
        </w:rPr>
      </w:pPr>
      <w:r w:rsidRPr="00954CD4">
        <w:rPr>
          <w:rFonts w:ascii="Arial" w:hAnsi="Arial" w:cs="Arial"/>
          <w:sz w:val="24"/>
          <w:szCs w:val="24"/>
        </w:rPr>
        <w:t xml:space="preserve">Importantly, if TUPE occurs, SC will inherit all liabilities, rights, and obligations of the employee group pre-transfer therefore, SC as opposed to PP will be liable claims linked to pre-transfer activity for example, claims linked to active disciplinary cases or underpayment (Acas, 2021b). Additionally, SC will be liable for dismissal made before the transfer which are connected to the transfer itself, in order to avoid unfair dismissal. </w:t>
      </w:r>
    </w:p>
    <w:p w14:paraId="2FC6DD48" w14:textId="0B2EE0C8" w:rsidR="00954CD4" w:rsidRPr="008E1F1F" w:rsidRDefault="008E1F1F" w:rsidP="0099359D">
      <w:pPr>
        <w:spacing w:line="360" w:lineRule="auto"/>
        <w:rPr>
          <w:rFonts w:ascii="Arial" w:hAnsi="Arial" w:cs="Arial"/>
          <w:sz w:val="24"/>
          <w:szCs w:val="24"/>
        </w:rPr>
      </w:pPr>
      <w:r w:rsidRPr="008E1F1F">
        <w:rPr>
          <w:rFonts w:ascii="Arial" w:hAnsi="Arial" w:cs="Arial"/>
          <w:sz w:val="24"/>
          <w:szCs w:val="24"/>
        </w:rPr>
        <w:t>It is recommended to contact PP to identify the</w:t>
      </w:r>
      <w:r>
        <w:rPr>
          <w:rFonts w:ascii="Arial" w:hAnsi="Arial" w:cs="Arial"/>
          <w:sz w:val="24"/>
          <w:szCs w:val="24"/>
        </w:rPr>
        <w:t xml:space="preserve"> amount of work undertaken by their employees for SC to determine if their</w:t>
      </w:r>
      <w:r w:rsidRPr="008E1F1F">
        <w:rPr>
          <w:rFonts w:ascii="Arial" w:hAnsi="Arial" w:cs="Arial"/>
          <w:sz w:val="24"/>
          <w:szCs w:val="24"/>
        </w:rPr>
        <w:t xml:space="preserve"> employees would be considered under TUPE</w:t>
      </w:r>
      <w:r>
        <w:rPr>
          <w:rFonts w:ascii="Arial" w:hAnsi="Arial" w:cs="Arial"/>
          <w:sz w:val="24"/>
          <w:szCs w:val="24"/>
        </w:rPr>
        <w:t>,</w:t>
      </w:r>
      <w:r w:rsidRPr="008E1F1F">
        <w:rPr>
          <w:rFonts w:ascii="Arial" w:hAnsi="Arial" w:cs="Arial"/>
          <w:sz w:val="24"/>
          <w:szCs w:val="24"/>
        </w:rPr>
        <w:t xml:space="preserve"> before proceeding with insourcing the function. </w:t>
      </w:r>
    </w:p>
    <w:p w14:paraId="144916B8" w14:textId="77777777" w:rsidR="00954CD4" w:rsidRDefault="00954CD4" w:rsidP="0099359D">
      <w:pPr>
        <w:spacing w:line="276" w:lineRule="auto"/>
        <w:rPr>
          <w:rFonts w:ascii="Arial" w:hAnsi="Arial" w:cs="Arial"/>
          <w:b/>
          <w:bCs/>
          <w:sz w:val="24"/>
          <w:szCs w:val="24"/>
        </w:rPr>
      </w:pPr>
    </w:p>
    <w:p w14:paraId="42CF8C28" w14:textId="77777777" w:rsidR="00954CD4" w:rsidRDefault="00954CD4" w:rsidP="0099359D">
      <w:pPr>
        <w:spacing w:line="276" w:lineRule="auto"/>
        <w:rPr>
          <w:rFonts w:ascii="Arial" w:hAnsi="Arial" w:cs="Arial"/>
          <w:b/>
          <w:bCs/>
          <w:sz w:val="24"/>
          <w:szCs w:val="24"/>
        </w:rPr>
      </w:pPr>
    </w:p>
    <w:p w14:paraId="5E63288E" w14:textId="77777777" w:rsidR="00954CD4" w:rsidRDefault="00954CD4" w:rsidP="0099359D">
      <w:pPr>
        <w:spacing w:line="276" w:lineRule="auto"/>
        <w:rPr>
          <w:rFonts w:ascii="Arial" w:hAnsi="Arial" w:cs="Arial"/>
          <w:b/>
          <w:bCs/>
          <w:sz w:val="24"/>
          <w:szCs w:val="24"/>
        </w:rPr>
      </w:pPr>
    </w:p>
    <w:p w14:paraId="3315C661" w14:textId="77777777" w:rsidR="00954CD4" w:rsidRDefault="00954CD4" w:rsidP="0099359D">
      <w:pPr>
        <w:spacing w:line="276" w:lineRule="auto"/>
        <w:rPr>
          <w:rFonts w:ascii="Arial" w:hAnsi="Arial" w:cs="Arial"/>
          <w:b/>
          <w:bCs/>
          <w:sz w:val="24"/>
          <w:szCs w:val="24"/>
        </w:rPr>
      </w:pPr>
    </w:p>
    <w:p w14:paraId="6B2F7E23" w14:textId="77777777" w:rsidR="00954CD4" w:rsidRDefault="00954CD4" w:rsidP="0099359D">
      <w:pPr>
        <w:spacing w:line="276" w:lineRule="auto"/>
        <w:rPr>
          <w:rFonts w:ascii="Arial" w:hAnsi="Arial" w:cs="Arial"/>
          <w:b/>
          <w:bCs/>
          <w:sz w:val="24"/>
          <w:szCs w:val="24"/>
        </w:rPr>
      </w:pPr>
    </w:p>
    <w:p w14:paraId="158D6F04" w14:textId="26942911" w:rsidR="00954CD4" w:rsidRDefault="00954CD4" w:rsidP="0099359D">
      <w:pPr>
        <w:spacing w:line="276" w:lineRule="auto"/>
        <w:rPr>
          <w:rFonts w:ascii="Arial" w:hAnsi="Arial" w:cs="Arial"/>
          <w:b/>
          <w:bCs/>
          <w:sz w:val="24"/>
          <w:szCs w:val="24"/>
        </w:rPr>
      </w:pPr>
      <w:r>
        <w:rPr>
          <w:rFonts w:ascii="Arial" w:hAnsi="Arial" w:cs="Arial"/>
          <w:b/>
          <w:bCs/>
          <w:sz w:val="24"/>
          <w:szCs w:val="24"/>
        </w:rPr>
        <w:lastRenderedPageBreak/>
        <w:t xml:space="preserve">Bibliography </w:t>
      </w:r>
    </w:p>
    <w:p w14:paraId="26430D8D"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Acas (2013) </w:t>
      </w:r>
      <w:r>
        <w:rPr>
          <w:rFonts w:ascii="Arial" w:hAnsi="Arial" w:cs="Arial"/>
          <w:i/>
          <w:iCs/>
          <w:sz w:val="24"/>
          <w:szCs w:val="24"/>
        </w:rPr>
        <w:t xml:space="preserve">Settlement Agreements (under section 111A of the Employment Rights Act 1996). </w:t>
      </w:r>
      <w:r>
        <w:rPr>
          <w:rFonts w:ascii="Arial" w:hAnsi="Arial" w:cs="Arial"/>
          <w:sz w:val="24"/>
          <w:szCs w:val="24"/>
        </w:rPr>
        <w:t xml:space="preserve">Available at: </w:t>
      </w:r>
      <w:r w:rsidRPr="001A3AE4">
        <w:rPr>
          <w:rFonts w:ascii="Arial" w:hAnsi="Arial" w:cs="Arial"/>
          <w:sz w:val="24"/>
          <w:szCs w:val="24"/>
        </w:rPr>
        <w:t>https://www.acas.org.uk/code-of-practice-settlement-agreements/html</w:t>
      </w:r>
      <w:r>
        <w:rPr>
          <w:rFonts w:ascii="Arial" w:hAnsi="Arial" w:cs="Arial"/>
          <w:sz w:val="24"/>
          <w:szCs w:val="24"/>
        </w:rPr>
        <w:t xml:space="preserve"> (Accessed: 2 May 2023). </w:t>
      </w:r>
    </w:p>
    <w:p w14:paraId="756BAA8B"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Acas (2015) </w:t>
      </w:r>
      <w:r>
        <w:rPr>
          <w:rFonts w:ascii="Arial" w:hAnsi="Arial" w:cs="Arial"/>
          <w:i/>
          <w:iCs/>
          <w:sz w:val="24"/>
          <w:szCs w:val="24"/>
        </w:rPr>
        <w:t xml:space="preserve">Code of Practice on disciplinary and grievance procedures. </w:t>
      </w:r>
      <w:r>
        <w:rPr>
          <w:rFonts w:ascii="Arial" w:hAnsi="Arial" w:cs="Arial"/>
          <w:sz w:val="24"/>
          <w:szCs w:val="24"/>
        </w:rPr>
        <w:t xml:space="preserve">Available at: </w:t>
      </w:r>
      <w:r w:rsidRPr="001A3AE4">
        <w:rPr>
          <w:rFonts w:ascii="Arial" w:hAnsi="Arial" w:cs="Arial"/>
          <w:sz w:val="24"/>
          <w:szCs w:val="24"/>
        </w:rPr>
        <w:t>https://www.acas.org.uk/acas-code-of-practice-for-disciplinary-and-grievance-procedures/html#the-code-of-practice</w:t>
      </w:r>
      <w:r>
        <w:rPr>
          <w:rFonts w:ascii="Arial" w:hAnsi="Arial" w:cs="Arial"/>
          <w:sz w:val="24"/>
          <w:szCs w:val="24"/>
        </w:rPr>
        <w:t xml:space="preserve"> (Accessed: 16 April 2023).</w:t>
      </w:r>
    </w:p>
    <w:p w14:paraId="3E7A9769"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Acas (2021a) </w:t>
      </w:r>
      <w:r>
        <w:rPr>
          <w:rFonts w:ascii="Arial" w:hAnsi="Arial" w:cs="Arial"/>
          <w:i/>
          <w:iCs/>
          <w:sz w:val="24"/>
          <w:szCs w:val="24"/>
        </w:rPr>
        <w:t xml:space="preserve">Sexual Harassment. </w:t>
      </w:r>
      <w:r>
        <w:rPr>
          <w:rFonts w:ascii="Arial" w:hAnsi="Arial" w:cs="Arial"/>
          <w:sz w:val="24"/>
          <w:szCs w:val="24"/>
        </w:rPr>
        <w:t xml:space="preserve">Available at: </w:t>
      </w:r>
      <w:r w:rsidRPr="001A3AE4">
        <w:rPr>
          <w:rFonts w:ascii="Arial" w:hAnsi="Arial" w:cs="Arial"/>
          <w:sz w:val="24"/>
          <w:szCs w:val="24"/>
        </w:rPr>
        <w:t>https://www.acas.org.uk/sexual-harassment</w:t>
      </w:r>
      <w:r>
        <w:rPr>
          <w:rFonts w:ascii="Arial" w:hAnsi="Arial" w:cs="Arial"/>
          <w:sz w:val="24"/>
          <w:szCs w:val="24"/>
        </w:rPr>
        <w:t xml:space="preserve"> (Accessed: 6 April 2023). </w:t>
      </w:r>
    </w:p>
    <w:p w14:paraId="000F7196" w14:textId="77777777" w:rsidR="00954CD4" w:rsidRPr="00723D78" w:rsidRDefault="00954CD4" w:rsidP="0099359D">
      <w:pPr>
        <w:spacing w:line="276" w:lineRule="auto"/>
        <w:rPr>
          <w:rFonts w:ascii="Arial" w:hAnsi="Arial" w:cs="Arial"/>
          <w:sz w:val="24"/>
          <w:szCs w:val="24"/>
        </w:rPr>
      </w:pPr>
      <w:r>
        <w:rPr>
          <w:rFonts w:ascii="Arial" w:hAnsi="Arial" w:cs="Arial"/>
          <w:sz w:val="24"/>
          <w:szCs w:val="24"/>
        </w:rPr>
        <w:t xml:space="preserve">Acas (2021b) </w:t>
      </w:r>
      <w:r w:rsidRPr="00723D78">
        <w:rPr>
          <w:rFonts w:ascii="Arial" w:hAnsi="Arial" w:cs="Arial"/>
          <w:i/>
          <w:iCs/>
          <w:sz w:val="24"/>
          <w:szCs w:val="24"/>
        </w:rPr>
        <w:t>Handling a TUPE transfer: step by step for employers</w:t>
      </w:r>
      <w:r>
        <w:rPr>
          <w:rFonts w:ascii="Arial" w:hAnsi="Arial" w:cs="Arial"/>
          <w:i/>
          <w:iCs/>
          <w:sz w:val="24"/>
          <w:szCs w:val="24"/>
        </w:rPr>
        <w:t xml:space="preserve">. </w:t>
      </w:r>
      <w:r>
        <w:rPr>
          <w:rFonts w:ascii="Arial" w:hAnsi="Arial" w:cs="Arial"/>
          <w:sz w:val="24"/>
          <w:szCs w:val="24"/>
        </w:rPr>
        <w:t xml:space="preserve">Available at: </w:t>
      </w:r>
      <w:r w:rsidRPr="001A3AE4">
        <w:rPr>
          <w:rFonts w:ascii="Arial" w:hAnsi="Arial" w:cs="Arial"/>
          <w:sz w:val="24"/>
          <w:szCs w:val="24"/>
        </w:rPr>
        <w:t>https://www.acas.org.uk/handling-a-tupe-transfer-step-by-step</w:t>
      </w:r>
      <w:r>
        <w:rPr>
          <w:rFonts w:ascii="Arial" w:hAnsi="Arial" w:cs="Arial"/>
          <w:sz w:val="24"/>
          <w:szCs w:val="24"/>
        </w:rPr>
        <w:t xml:space="preserve"> (Accessed: 5 May 2023). </w:t>
      </w:r>
    </w:p>
    <w:p w14:paraId="6B85442F"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Acas (2022) </w:t>
      </w:r>
      <w:r>
        <w:rPr>
          <w:rFonts w:ascii="Arial" w:hAnsi="Arial" w:cs="Arial"/>
          <w:i/>
          <w:iCs/>
          <w:sz w:val="24"/>
          <w:szCs w:val="24"/>
        </w:rPr>
        <w:t xml:space="preserve">Inform and consult staff in a TUPE transfer. </w:t>
      </w:r>
      <w:r>
        <w:rPr>
          <w:rFonts w:ascii="Arial" w:hAnsi="Arial" w:cs="Arial"/>
          <w:sz w:val="24"/>
          <w:szCs w:val="24"/>
        </w:rPr>
        <w:t xml:space="preserve">Available at: </w:t>
      </w:r>
      <w:r w:rsidRPr="001A3AE4">
        <w:rPr>
          <w:rFonts w:ascii="Arial" w:hAnsi="Arial" w:cs="Arial"/>
          <w:sz w:val="24"/>
          <w:szCs w:val="24"/>
        </w:rPr>
        <w:t>https://www.acas.org.uk/inform-and-consult-staff-in-a-tupe-transfer</w:t>
      </w:r>
      <w:r>
        <w:rPr>
          <w:rFonts w:ascii="Arial" w:hAnsi="Arial" w:cs="Arial"/>
          <w:sz w:val="24"/>
          <w:szCs w:val="24"/>
        </w:rPr>
        <w:t xml:space="preserve"> (accessed 2 May 2023). </w:t>
      </w:r>
    </w:p>
    <w:p w14:paraId="72959DDB" w14:textId="77777777" w:rsidR="00954CD4" w:rsidRDefault="00954CD4" w:rsidP="0099359D">
      <w:pPr>
        <w:spacing w:line="276" w:lineRule="auto"/>
        <w:rPr>
          <w:rFonts w:ascii="Arial" w:hAnsi="Arial" w:cs="Arial"/>
          <w:color w:val="000000"/>
          <w:sz w:val="24"/>
          <w:szCs w:val="24"/>
        </w:rPr>
      </w:pPr>
      <w:r w:rsidRPr="003E7256">
        <w:rPr>
          <w:rFonts w:ascii="Arial" w:hAnsi="Arial" w:cs="Arial"/>
          <w:color w:val="000000"/>
          <w:sz w:val="24"/>
          <w:szCs w:val="24"/>
        </w:rPr>
        <w:t>‘Chell v. Tarmac Cement and Lime Limited’ (2020) High Court of Justice, case D28YM173/BM90198A.</w:t>
      </w:r>
      <w:r>
        <w:rPr>
          <w:rFonts w:ascii="Arial" w:hAnsi="Arial" w:cs="Arial"/>
          <w:color w:val="000000"/>
          <w:sz w:val="24"/>
          <w:szCs w:val="24"/>
        </w:rPr>
        <w:t xml:space="preserve"> </w:t>
      </w:r>
      <w:r>
        <w:rPr>
          <w:rFonts w:ascii="Arial" w:hAnsi="Arial" w:cs="Arial"/>
          <w:i/>
          <w:iCs/>
          <w:color w:val="000000"/>
          <w:sz w:val="24"/>
          <w:szCs w:val="24"/>
        </w:rPr>
        <w:t>BAILII.</w:t>
      </w:r>
      <w:r w:rsidRPr="003E7256">
        <w:rPr>
          <w:rFonts w:ascii="Arial" w:hAnsi="Arial" w:cs="Arial"/>
          <w:color w:val="000000"/>
          <w:sz w:val="24"/>
          <w:szCs w:val="24"/>
        </w:rPr>
        <w:t xml:space="preserve"> Available at: </w:t>
      </w:r>
      <w:r w:rsidRPr="001A3AE4">
        <w:rPr>
          <w:rFonts w:ascii="Arial" w:hAnsi="Arial" w:cs="Arial"/>
          <w:sz w:val="24"/>
          <w:szCs w:val="24"/>
        </w:rPr>
        <w:t>https://www.bailii.org/ew/cases/EWHC/QB/2020/2613.html</w:t>
      </w:r>
      <w:r w:rsidRPr="003E7256">
        <w:rPr>
          <w:rFonts w:ascii="Arial" w:hAnsi="Arial" w:cs="Arial"/>
          <w:color w:val="000000"/>
          <w:sz w:val="24"/>
          <w:szCs w:val="24"/>
        </w:rPr>
        <w:t xml:space="preserve"> (Accessed: 20 April 2023).</w:t>
      </w:r>
    </w:p>
    <w:p w14:paraId="70D5DFDA"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CIPD (2020) </w:t>
      </w:r>
      <w:r>
        <w:rPr>
          <w:rFonts w:ascii="Arial" w:hAnsi="Arial" w:cs="Arial"/>
          <w:i/>
          <w:iCs/>
          <w:sz w:val="24"/>
          <w:szCs w:val="24"/>
        </w:rPr>
        <w:t xml:space="preserve">Unfair dismissal Q&amp;As. </w:t>
      </w:r>
      <w:r>
        <w:rPr>
          <w:rFonts w:ascii="Arial" w:hAnsi="Arial" w:cs="Arial"/>
          <w:sz w:val="24"/>
          <w:szCs w:val="24"/>
        </w:rPr>
        <w:t xml:space="preserve">Available at: </w:t>
      </w:r>
      <w:r w:rsidRPr="001A3AE4">
        <w:rPr>
          <w:rFonts w:ascii="Arial" w:hAnsi="Arial" w:cs="Arial"/>
          <w:sz w:val="24"/>
          <w:szCs w:val="24"/>
        </w:rPr>
        <w:t>https://www.cipd.co.uk/knowledge/fundamentals/emp-law/dismissal/unfair-dismissal-questions</w:t>
      </w:r>
      <w:r>
        <w:rPr>
          <w:rFonts w:ascii="Arial" w:hAnsi="Arial" w:cs="Arial"/>
          <w:sz w:val="24"/>
          <w:szCs w:val="24"/>
        </w:rPr>
        <w:t xml:space="preserve"> (Accessed: 6 April 2023). </w:t>
      </w:r>
    </w:p>
    <w:p w14:paraId="57F9B3CB"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CIPD (2022a) </w:t>
      </w:r>
      <w:r>
        <w:rPr>
          <w:rFonts w:ascii="Arial" w:hAnsi="Arial" w:cs="Arial"/>
          <w:i/>
          <w:iCs/>
          <w:sz w:val="24"/>
          <w:szCs w:val="24"/>
        </w:rPr>
        <w:t xml:space="preserve">Statutory rates and compensation limits: UK employment law. </w:t>
      </w:r>
      <w:r>
        <w:rPr>
          <w:rFonts w:ascii="Arial" w:hAnsi="Arial" w:cs="Arial"/>
          <w:sz w:val="24"/>
          <w:szCs w:val="24"/>
        </w:rPr>
        <w:t xml:space="preserve">Available at: </w:t>
      </w:r>
      <w:r w:rsidRPr="001A3AE4">
        <w:rPr>
          <w:rFonts w:ascii="Arial" w:hAnsi="Arial" w:cs="Arial"/>
          <w:sz w:val="24"/>
          <w:szCs w:val="24"/>
        </w:rPr>
        <w:t>https://www.cipd.org/uk/knowledge/employment-law/statutory-rates/</w:t>
      </w:r>
      <w:r>
        <w:rPr>
          <w:rFonts w:ascii="Arial" w:hAnsi="Arial" w:cs="Arial"/>
          <w:sz w:val="24"/>
          <w:szCs w:val="24"/>
        </w:rPr>
        <w:t xml:space="preserve"> (Accessed: 25 April 2023).</w:t>
      </w:r>
    </w:p>
    <w:p w14:paraId="2173477E" w14:textId="77777777" w:rsidR="00954CD4" w:rsidRPr="003835D1" w:rsidRDefault="00954CD4" w:rsidP="0099359D">
      <w:pPr>
        <w:spacing w:line="276" w:lineRule="auto"/>
        <w:rPr>
          <w:rFonts w:ascii="Arial" w:hAnsi="Arial" w:cs="Arial"/>
          <w:sz w:val="24"/>
          <w:szCs w:val="24"/>
        </w:rPr>
      </w:pPr>
      <w:r>
        <w:rPr>
          <w:rFonts w:ascii="Arial" w:hAnsi="Arial" w:cs="Arial"/>
          <w:sz w:val="24"/>
          <w:szCs w:val="24"/>
        </w:rPr>
        <w:t xml:space="preserve">CIPD (2022b) </w:t>
      </w:r>
      <w:r>
        <w:rPr>
          <w:rFonts w:ascii="Arial" w:hAnsi="Arial" w:cs="Arial"/>
          <w:i/>
          <w:iCs/>
          <w:sz w:val="24"/>
          <w:szCs w:val="24"/>
        </w:rPr>
        <w:t xml:space="preserve">A guide to TUPE transfers. </w:t>
      </w:r>
      <w:r>
        <w:rPr>
          <w:rFonts w:ascii="Arial" w:hAnsi="Arial" w:cs="Arial"/>
          <w:sz w:val="24"/>
          <w:szCs w:val="24"/>
        </w:rPr>
        <w:t xml:space="preserve">Available at: </w:t>
      </w:r>
      <w:r w:rsidRPr="001A3AE4">
        <w:rPr>
          <w:rFonts w:ascii="Arial" w:hAnsi="Arial" w:cs="Arial"/>
          <w:sz w:val="24"/>
          <w:szCs w:val="24"/>
        </w:rPr>
        <w:t>https://www.cipd.org/uk/knowledge/guides/tupe-guide/#Identifying-tupe</w:t>
      </w:r>
      <w:r>
        <w:rPr>
          <w:rFonts w:ascii="Arial" w:hAnsi="Arial" w:cs="Arial"/>
          <w:sz w:val="24"/>
          <w:szCs w:val="24"/>
        </w:rPr>
        <w:t xml:space="preserve"> (Accessed: 2 May 2023). </w:t>
      </w:r>
    </w:p>
    <w:p w14:paraId="5E8A70F5" w14:textId="77777777" w:rsidR="00954CD4" w:rsidRPr="0009600D" w:rsidRDefault="00954CD4" w:rsidP="0099359D">
      <w:pPr>
        <w:spacing w:line="276" w:lineRule="auto"/>
        <w:rPr>
          <w:rFonts w:ascii="Arial" w:hAnsi="Arial" w:cs="Arial"/>
          <w:sz w:val="24"/>
          <w:szCs w:val="24"/>
        </w:rPr>
      </w:pPr>
      <w:r>
        <w:rPr>
          <w:rFonts w:ascii="Arial" w:hAnsi="Arial" w:cs="Arial"/>
          <w:sz w:val="24"/>
          <w:szCs w:val="24"/>
        </w:rPr>
        <w:t xml:space="preserve">Citizens Advice (2019) </w:t>
      </w:r>
      <w:r>
        <w:rPr>
          <w:rFonts w:ascii="Arial" w:hAnsi="Arial" w:cs="Arial"/>
          <w:i/>
          <w:iCs/>
          <w:sz w:val="24"/>
          <w:szCs w:val="24"/>
        </w:rPr>
        <w:t xml:space="preserve">Work out how much compensation you could get for discrimination. </w:t>
      </w:r>
      <w:r>
        <w:rPr>
          <w:rFonts w:ascii="Arial" w:hAnsi="Arial" w:cs="Arial"/>
          <w:sz w:val="24"/>
          <w:szCs w:val="24"/>
        </w:rPr>
        <w:t xml:space="preserve">Available at: </w:t>
      </w:r>
      <w:r w:rsidRPr="001A3AE4">
        <w:rPr>
          <w:rFonts w:ascii="Arial" w:hAnsi="Arial" w:cs="Arial"/>
          <w:sz w:val="24"/>
          <w:szCs w:val="24"/>
        </w:rPr>
        <w:t>https://www.citizensadvice.org.uk/work/discrimination-at-work/discrimination-at-work/taking-action/work-out-how-much-compensation-you-could-get-for-discrimination-work/</w:t>
      </w:r>
      <w:r>
        <w:rPr>
          <w:rFonts w:ascii="Arial" w:hAnsi="Arial" w:cs="Arial"/>
          <w:sz w:val="24"/>
          <w:szCs w:val="24"/>
        </w:rPr>
        <w:t xml:space="preserve"> (Accessed: 27 April 2023). </w:t>
      </w:r>
    </w:p>
    <w:p w14:paraId="001C4C16" w14:textId="77777777" w:rsidR="00954CD4" w:rsidRDefault="00954CD4" w:rsidP="0099359D">
      <w:pPr>
        <w:spacing w:line="276" w:lineRule="auto"/>
        <w:rPr>
          <w:rFonts w:ascii="Arial" w:hAnsi="Arial" w:cs="Arial"/>
          <w:sz w:val="24"/>
          <w:szCs w:val="24"/>
        </w:rPr>
      </w:pPr>
      <w:r>
        <w:rPr>
          <w:rFonts w:ascii="Arial" w:hAnsi="Arial" w:cs="Arial"/>
          <w:sz w:val="24"/>
          <w:szCs w:val="24"/>
        </w:rPr>
        <w:lastRenderedPageBreak/>
        <w:t xml:space="preserve">Citizens Advice (2021a) </w:t>
      </w:r>
      <w:r>
        <w:rPr>
          <w:rFonts w:ascii="Arial" w:hAnsi="Arial" w:cs="Arial"/>
          <w:i/>
          <w:iCs/>
          <w:sz w:val="24"/>
          <w:szCs w:val="24"/>
        </w:rPr>
        <w:t xml:space="preserve">Preparing an employment tribunal case. </w:t>
      </w:r>
      <w:r>
        <w:rPr>
          <w:rFonts w:ascii="Arial" w:hAnsi="Arial" w:cs="Arial"/>
          <w:sz w:val="24"/>
          <w:szCs w:val="24"/>
        </w:rPr>
        <w:t xml:space="preserve">Available at: </w:t>
      </w:r>
      <w:r w:rsidRPr="001A3AE4">
        <w:rPr>
          <w:rFonts w:ascii="Arial" w:hAnsi="Arial" w:cs="Arial"/>
          <w:sz w:val="24"/>
          <w:szCs w:val="24"/>
        </w:rPr>
        <w:t>https://www.citizensadvice.org.uk/work/employment-tribunals/employment-tribunals/making-a-tribunal-claim/preparing-an-employment-tribunal-case/#:~:text=The%20ET3%20is%20a%20summary,them%20on%20a%20separate%20sheet</w:t>
      </w:r>
      <w:r w:rsidRPr="003805BE">
        <w:rPr>
          <w:rFonts w:ascii="Arial" w:hAnsi="Arial" w:cs="Arial"/>
          <w:sz w:val="24"/>
          <w:szCs w:val="24"/>
        </w:rPr>
        <w:t>.</w:t>
      </w:r>
      <w:r>
        <w:rPr>
          <w:rFonts w:ascii="Arial" w:hAnsi="Arial" w:cs="Arial"/>
          <w:sz w:val="24"/>
          <w:szCs w:val="24"/>
        </w:rPr>
        <w:t xml:space="preserve"> (Accessed: 6 April 2023). </w:t>
      </w:r>
    </w:p>
    <w:p w14:paraId="589F9CBE"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Citizens Advice (2021b) </w:t>
      </w:r>
      <w:r>
        <w:rPr>
          <w:rFonts w:ascii="Arial" w:hAnsi="Arial" w:cs="Arial"/>
          <w:i/>
          <w:iCs/>
          <w:sz w:val="24"/>
          <w:szCs w:val="24"/>
        </w:rPr>
        <w:t xml:space="preserve">Check what compensation you can get for unfair dismissal. </w:t>
      </w:r>
      <w:r>
        <w:rPr>
          <w:rFonts w:ascii="Arial" w:hAnsi="Arial" w:cs="Arial"/>
          <w:sz w:val="24"/>
          <w:szCs w:val="24"/>
        </w:rPr>
        <w:t xml:space="preserve">Available at: </w:t>
      </w:r>
      <w:r w:rsidRPr="001A3AE4">
        <w:rPr>
          <w:rFonts w:ascii="Arial" w:hAnsi="Arial" w:cs="Arial"/>
          <w:sz w:val="24"/>
          <w:szCs w:val="24"/>
        </w:rPr>
        <w:t>https://www.citizensadvice.org.uk/work/employment-tribunals/employment-tribunals/before-you-go-to-the-tribunal/check-what-compensation-you-can-get-for-unfair-dismissal/</w:t>
      </w:r>
      <w:r>
        <w:rPr>
          <w:rFonts w:ascii="Arial" w:hAnsi="Arial" w:cs="Arial"/>
          <w:sz w:val="24"/>
          <w:szCs w:val="24"/>
        </w:rPr>
        <w:t xml:space="preserve"> (Accessed: 25 April 2023).</w:t>
      </w:r>
    </w:p>
    <w:p w14:paraId="7E4CFA11" w14:textId="77777777" w:rsidR="00954CD4" w:rsidRPr="008A314B" w:rsidRDefault="00954CD4" w:rsidP="0099359D">
      <w:pPr>
        <w:spacing w:line="276" w:lineRule="auto"/>
        <w:rPr>
          <w:rFonts w:ascii="Arial" w:hAnsi="Arial" w:cs="Arial"/>
          <w:sz w:val="24"/>
          <w:szCs w:val="24"/>
        </w:rPr>
      </w:pPr>
      <w:r>
        <w:rPr>
          <w:rFonts w:ascii="Arial" w:hAnsi="Arial" w:cs="Arial"/>
          <w:i/>
          <w:iCs/>
          <w:sz w:val="24"/>
          <w:szCs w:val="24"/>
        </w:rPr>
        <w:t xml:space="preserve">Employment Rights Act 1996, c. 2. </w:t>
      </w:r>
      <w:r>
        <w:rPr>
          <w:rFonts w:ascii="Arial" w:hAnsi="Arial" w:cs="Arial"/>
          <w:sz w:val="24"/>
          <w:szCs w:val="24"/>
        </w:rPr>
        <w:t xml:space="preserve">Available at: </w:t>
      </w:r>
      <w:r w:rsidRPr="001A3AE4">
        <w:rPr>
          <w:rFonts w:ascii="Arial" w:hAnsi="Arial" w:cs="Arial"/>
          <w:sz w:val="24"/>
          <w:szCs w:val="24"/>
        </w:rPr>
        <w:t>https://www.legislation.gov.uk/ukpga/1996/18/section/123</w:t>
      </w:r>
      <w:r>
        <w:rPr>
          <w:rFonts w:ascii="Arial" w:hAnsi="Arial" w:cs="Arial"/>
          <w:sz w:val="24"/>
          <w:szCs w:val="24"/>
        </w:rPr>
        <w:t xml:space="preserve"> (Accessed: 26 April 2023). </w:t>
      </w:r>
    </w:p>
    <w:p w14:paraId="6A224C9E" w14:textId="77777777" w:rsidR="00954CD4" w:rsidRDefault="00954CD4" w:rsidP="0099359D">
      <w:pPr>
        <w:spacing w:line="276" w:lineRule="auto"/>
        <w:rPr>
          <w:rFonts w:ascii="Arial" w:hAnsi="Arial" w:cs="Arial"/>
          <w:sz w:val="24"/>
          <w:szCs w:val="24"/>
        </w:rPr>
      </w:pPr>
      <w:r>
        <w:rPr>
          <w:rFonts w:ascii="Arial" w:hAnsi="Arial" w:cs="Arial"/>
          <w:i/>
          <w:iCs/>
          <w:sz w:val="24"/>
          <w:szCs w:val="24"/>
        </w:rPr>
        <w:t xml:space="preserve">Equality Act 2010, c. 15. </w:t>
      </w:r>
      <w:r>
        <w:rPr>
          <w:rFonts w:ascii="Arial" w:hAnsi="Arial" w:cs="Arial"/>
          <w:sz w:val="24"/>
          <w:szCs w:val="24"/>
        </w:rPr>
        <w:t xml:space="preserve">Available at: </w:t>
      </w:r>
      <w:r w:rsidRPr="001A3AE4">
        <w:rPr>
          <w:rFonts w:ascii="Arial" w:hAnsi="Arial" w:cs="Arial"/>
          <w:sz w:val="24"/>
          <w:szCs w:val="24"/>
        </w:rPr>
        <w:t>https://www.legislation.gov.uk/ukpga/2010/15/section/109</w:t>
      </w:r>
      <w:r>
        <w:rPr>
          <w:rFonts w:ascii="Arial" w:hAnsi="Arial" w:cs="Arial"/>
          <w:sz w:val="24"/>
          <w:szCs w:val="24"/>
        </w:rPr>
        <w:t xml:space="preserve"> (Accessed: 17 April 2023).</w:t>
      </w:r>
    </w:p>
    <w:p w14:paraId="40E23FB6"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Equality and Human Rights Commission (2018) </w:t>
      </w:r>
      <w:r>
        <w:rPr>
          <w:rFonts w:ascii="Arial" w:hAnsi="Arial" w:cs="Arial"/>
          <w:i/>
          <w:iCs/>
          <w:sz w:val="24"/>
          <w:szCs w:val="24"/>
        </w:rPr>
        <w:t xml:space="preserve">How to work out the value of a discrimination claim. </w:t>
      </w:r>
      <w:r>
        <w:rPr>
          <w:rFonts w:ascii="Arial" w:hAnsi="Arial" w:cs="Arial"/>
          <w:sz w:val="24"/>
          <w:szCs w:val="24"/>
        </w:rPr>
        <w:t xml:space="preserve">Available at: </w:t>
      </w:r>
      <w:r w:rsidRPr="001A3AE4">
        <w:rPr>
          <w:rFonts w:ascii="Arial" w:hAnsi="Arial" w:cs="Arial"/>
          <w:sz w:val="24"/>
          <w:szCs w:val="24"/>
        </w:rPr>
        <w:t>https://www.equalityhumanrights.com/sites/default/files/quantification-of-claims-guidance.pdf</w:t>
      </w:r>
      <w:r>
        <w:rPr>
          <w:rFonts w:ascii="Arial" w:hAnsi="Arial" w:cs="Arial"/>
          <w:sz w:val="24"/>
          <w:szCs w:val="24"/>
        </w:rPr>
        <w:t xml:space="preserve"> (Accessed: 27 April 2023). </w:t>
      </w:r>
    </w:p>
    <w:p w14:paraId="42B2FBB0"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Equality and Human Rights Commission (2020) </w:t>
      </w:r>
      <w:r>
        <w:rPr>
          <w:rFonts w:ascii="Arial" w:hAnsi="Arial" w:cs="Arial"/>
          <w:i/>
          <w:iCs/>
          <w:sz w:val="24"/>
          <w:szCs w:val="24"/>
        </w:rPr>
        <w:t xml:space="preserve">Sexual harassment and harassment at work. </w:t>
      </w:r>
      <w:r>
        <w:rPr>
          <w:rFonts w:ascii="Arial" w:hAnsi="Arial" w:cs="Arial"/>
          <w:sz w:val="24"/>
          <w:szCs w:val="24"/>
        </w:rPr>
        <w:t xml:space="preserve">Available at: </w:t>
      </w:r>
      <w:r w:rsidRPr="001A3AE4">
        <w:rPr>
          <w:rFonts w:ascii="Arial" w:hAnsi="Arial" w:cs="Arial"/>
          <w:sz w:val="24"/>
          <w:szCs w:val="24"/>
        </w:rPr>
        <w:t>https://www.equalityhumanrights.com/sites/default/files/sexual_harassment_and_harassment_at_work.pdf</w:t>
      </w:r>
      <w:r>
        <w:rPr>
          <w:rFonts w:ascii="Arial" w:hAnsi="Arial" w:cs="Arial"/>
          <w:sz w:val="24"/>
          <w:szCs w:val="24"/>
        </w:rPr>
        <w:t xml:space="preserve"> (Accessed: 17 April 2023). </w:t>
      </w:r>
    </w:p>
    <w:p w14:paraId="676E6F38" w14:textId="77777777" w:rsidR="00954CD4" w:rsidRDefault="00954CD4" w:rsidP="0099359D">
      <w:pPr>
        <w:spacing w:line="276" w:lineRule="auto"/>
        <w:rPr>
          <w:rFonts w:ascii="Arial" w:hAnsi="Arial" w:cs="Arial"/>
          <w:sz w:val="24"/>
          <w:szCs w:val="24"/>
        </w:rPr>
      </w:pPr>
      <w:r>
        <w:rPr>
          <w:rFonts w:ascii="Arial" w:hAnsi="Arial" w:cs="Arial"/>
          <w:sz w:val="24"/>
          <w:szCs w:val="24"/>
        </w:rPr>
        <w:t>‘</w:t>
      </w:r>
      <w:r w:rsidRPr="00C617F9">
        <w:rPr>
          <w:rFonts w:ascii="Arial" w:hAnsi="Arial" w:cs="Arial"/>
          <w:sz w:val="24"/>
          <w:szCs w:val="24"/>
        </w:rPr>
        <w:t xml:space="preserve">Evans v. Xactly Corporations Ltd’ (2018) Employment Appeal Tribunal, case UKEATPA/0128/18/LA. </w:t>
      </w:r>
      <w:r>
        <w:rPr>
          <w:rFonts w:ascii="Arial" w:hAnsi="Arial" w:cs="Arial"/>
          <w:i/>
          <w:iCs/>
          <w:sz w:val="24"/>
          <w:szCs w:val="24"/>
        </w:rPr>
        <w:t xml:space="preserve">Gov.uk. </w:t>
      </w:r>
      <w:r w:rsidRPr="00C617F9">
        <w:rPr>
          <w:rFonts w:ascii="Arial" w:hAnsi="Arial" w:cs="Arial"/>
          <w:sz w:val="24"/>
          <w:szCs w:val="24"/>
        </w:rPr>
        <w:t xml:space="preserve">Available at: https://assets.publishing.service.gov.uk/media/5bcf210fed915d78aaef7e00/Mr_D_P_Evans_v_Xactly_Corporation_Ltd_UKEATPA_0128_18_LA.pdf </w:t>
      </w:r>
      <w:r>
        <w:rPr>
          <w:rFonts w:ascii="Arial" w:hAnsi="Arial" w:cs="Arial"/>
          <w:sz w:val="24"/>
          <w:szCs w:val="24"/>
        </w:rPr>
        <w:t>(Accessed: 17 April 2023).</w:t>
      </w:r>
    </w:p>
    <w:p w14:paraId="12ADA0D9"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Fahy, G. (2022) </w:t>
      </w:r>
      <w:r>
        <w:rPr>
          <w:rFonts w:ascii="Arial" w:hAnsi="Arial" w:cs="Arial"/>
          <w:i/>
          <w:iCs/>
          <w:sz w:val="24"/>
          <w:szCs w:val="24"/>
        </w:rPr>
        <w:t xml:space="preserve">Harassment: a subjective test? </w:t>
      </w:r>
      <w:r>
        <w:rPr>
          <w:rFonts w:ascii="Arial" w:hAnsi="Arial" w:cs="Arial"/>
          <w:sz w:val="24"/>
          <w:szCs w:val="24"/>
        </w:rPr>
        <w:t xml:space="preserve">Available at: </w:t>
      </w:r>
      <w:r w:rsidRPr="001A3AE4">
        <w:rPr>
          <w:rFonts w:ascii="Arial" w:hAnsi="Arial" w:cs="Arial"/>
          <w:sz w:val="24"/>
          <w:szCs w:val="24"/>
        </w:rPr>
        <w:t>https://www.peoplemanagement.co.uk/article/1792085/harassment-subjective-test</w:t>
      </w:r>
      <w:r>
        <w:rPr>
          <w:rFonts w:ascii="Arial" w:hAnsi="Arial" w:cs="Arial"/>
          <w:sz w:val="24"/>
          <w:szCs w:val="24"/>
        </w:rPr>
        <w:t xml:space="preserve"> (Accessed: 15 April 2023). </w:t>
      </w:r>
    </w:p>
    <w:p w14:paraId="2A004EB8"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‘Groman (Nee Woolf) v. Universal Science (UK) Limited and Stratford’ (2019) Employment Tribunals, case 3302883/2018. </w:t>
      </w:r>
      <w:r>
        <w:rPr>
          <w:rFonts w:ascii="Arial" w:hAnsi="Arial" w:cs="Arial"/>
          <w:i/>
          <w:iCs/>
          <w:sz w:val="24"/>
          <w:szCs w:val="24"/>
        </w:rPr>
        <w:t xml:space="preserve">Gov.uk. </w:t>
      </w:r>
      <w:r>
        <w:rPr>
          <w:rFonts w:ascii="Arial" w:hAnsi="Arial" w:cs="Arial"/>
          <w:sz w:val="24"/>
          <w:szCs w:val="24"/>
        </w:rPr>
        <w:t xml:space="preserve">Available at: </w:t>
      </w:r>
      <w:r w:rsidRPr="001A3AE4">
        <w:rPr>
          <w:rFonts w:ascii="Arial" w:hAnsi="Arial" w:cs="Arial"/>
          <w:sz w:val="24"/>
          <w:szCs w:val="24"/>
        </w:rPr>
        <w:t>https://assets.publishing.service.gov.uk/media/5d839223e5274a27cfe72a01/Ms_E_Groman__Nee_Woolf__v_Universal_Science__UK__Limited___Others-3302883-2018-Remedy_Judgment.pdf</w:t>
      </w:r>
      <w:r>
        <w:rPr>
          <w:rFonts w:ascii="Arial" w:hAnsi="Arial" w:cs="Arial"/>
          <w:sz w:val="24"/>
          <w:szCs w:val="24"/>
        </w:rPr>
        <w:t xml:space="preserve"> (Accessed: 27 April 2023). </w:t>
      </w:r>
    </w:p>
    <w:p w14:paraId="68D8B0EC" w14:textId="77777777" w:rsidR="00954CD4" w:rsidRDefault="00954CD4" w:rsidP="0099359D">
      <w:pPr>
        <w:spacing w:line="276" w:lineRule="auto"/>
        <w:rPr>
          <w:rFonts w:ascii="Arial" w:hAnsi="Arial" w:cs="Arial"/>
          <w:sz w:val="24"/>
          <w:szCs w:val="24"/>
        </w:rPr>
      </w:pPr>
      <w:r>
        <w:rPr>
          <w:rFonts w:ascii="Arial" w:hAnsi="Arial" w:cs="Arial"/>
          <w:sz w:val="24"/>
          <w:szCs w:val="24"/>
        </w:rPr>
        <w:lastRenderedPageBreak/>
        <w:t xml:space="preserve">Hall, L. (2022) </w:t>
      </w:r>
      <w:r>
        <w:rPr>
          <w:rFonts w:ascii="Arial" w:hAnsi="Arial" w:cs="Arial"/>
          <w:i/>
          <w:iCs/>
          <w:sz w:val="24"/>
          <w:szCs w:val="24"/>
        </w:rPr>
        <w:t xml:space="preserve">Vicarious Liability. </w:t>
      </w:r>
      <w:r>
        <w:rPr>
          <w:rFonts w:ascii="Arial" w:hAnsi="Arial" w:cs="Arial"/>
          <w:sz w:val="24"/>
          <w:szCs w:val="24"/>
        </w:rPr>
        <w:t xml:space="preserve">Available at: </w:t>
      </w:r>
      <w:r w:rsidRPr="001A3AE4">
        <w:rPr>
          <w:rFonts w:ascii="Arial" w:hAnsi="Arial" w:cs="Arial"/>
          <w:sz w:val="24"/>
          <w:szCs w:val="24"/>
        </w:rPr>
        <w:t>https://croner.co.uk/resources/employment-law/vicarious-liability/</w:t>
      </w:r>
      <w:r>
        <w:rPr>
          <w:rFonts w:ascii="Arial" w:hAnsi="Arial" w:cs="Arial"/>
          <w:sz w:val="24"/>
          <w:szCs w:val="24"/>
        </w:rPr>
        <w:t xml:space="preserve"> (Accessed: 17 April 2023). </w:t>
      </w:r>
    </w:p>
    <w:p w14:paraId="5C0843E5"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HM Courts &amp; Tribunal Service (2021) </w:t>
      </w:r>
      <w:r>
        <w:rPr>
          <w:rFonts w:ascii="Arial" w:hAnsi="Arial" w:cs="Arial"/>
          <w:i/>
          <w:iCs/>
          <w:sz w:val="24"/>
          <w:szCs w:val="24"/>
        </w:rPr>
        <w:t xml:space="preserve">Responding to a claim to an Employment Tribunal. </w:t>
      </w:r>
      <w:r>
        <w:rPr>
          <w:rFonts w:ascii="Arial" w:hAnsi="Arial" w:cs="Arial"/>
          <w:sz w:val="24"/>
          <w:szCs w:val="24"/>
        </w:rPr>
        <w:t xml:space="preserve">Available at: </w:t>
      </w:r>
      <w:r w:rsidRPr="001A3AE4">
        <w:rPr>
          <w:rFonts w:ascii="Arial" w:hAnsi="Arial" w:cs="Arial"/>
          <w:sz w:val="24"/>
          <w:szCs w:val="24"/>
        </w:rPr>
        <w:t>https://assets.publishing.service.gov.uk/government/uploads/system/uploads/attachment_data/file/950243/t422-eng.pdf</w:t>
      </w:r>
      <w:r>
        <w:rPr>
          <w:rFonts w:ascii="Arial" w:hAnsi="Arial" w:cs="Arial"/>
          <w:sz w:val="24"/>
          <w:szCs w:val="24"/>
        </w:rPr>
        <w:t xml:space="preserve"> (Accessed: 6 April 2023). </w:t>
      </w:r>
    </w:p>
    <w:p w14:paraId="44219330"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‘Joyce v. England’ (2021) Employment Tribunals, case </w:t>
      </w:r>
      <w:r w:rsidRPr="00541A8D">
        <w:rPr>
          <w:rFonts w:ascii="Arial" w:hAnsi="Arial" w:cs="Arial"/>
          <w:sz w:val="24"/>
          <w:szCs w:val="24"/>
        </w:rPr>
        <w:t>1601693/2019</w:t>
      </w:r>
      <w:r>
        <w:rPr>
          <w:rFonts w:ascii="Arial" w:hAnsi="Arial" w:cs="Arial"/>
          <w:sz w:val="24"/>
          <w:szCs w:val="24"/>
        </w:rPr>
        <w:t xml:space="preserve">. </w:t>
      </w:r>
      <w:r>
        <w:rPr>
          <w:rFonts w:ascii="Arial" w:hAnsi="Arial" w:cs="Arial"/>
          <w:i/>
          <w:iCs/>
          <w:sz w:val="24"/>
          <w:szCs w:val="24"/>
        </w:rPr>
        <w:t xml:space="preserve">Gov.uk. </w:t>
      </w:r>
      <w:r>
        <w:rPr>
          <w:rFonts w:ascii="Arial" w:hAnsi="Arial" w:cs="Arial"/>
          <w:sz w:val="24"/>
          <w:szCs w:val="24"/>
        </w:rPr>
        <w:t xml:space="preserve">Available at: </w:t>
      </w:r>
      <w:r w:rsidRPr="001A3AE4">
        <w:rPr>
          <w:rFonts w:ascii="Arial" w:hAnsi="Arial" w:cs="Arial"/>
          <w:sz w:val="24"/>
          <w:szCs w:val="24"/>
        </w:rPr>
        <w:t>https://assets.publishing.service.gov.uk/media/600fd7dad3bf7f05bf0bebc9/Miss_S_Joyce_-v-_Michael_England___Others_1601693.2019__.Judgment_with_reasons_18.01.21.pdf</w:t>
      </w:r>
      <w:r>
        <w:rPr>
          <w:rFonts w:ascii="Arial" w:hAnsi="Arial" w:cs="Arial"/>
          <w:sz w:val="24"/>
          <w:szCs w:val="24"/>
        </w:rPr>
        <w:t xml:space="preserve"> (Accessed: 17 April 2023). </w:t>
      </w:r>
    </w:p>
    <w:p w14:paraId="571880F6"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‘Jurkowlaniec v. Aykut Gul’ (2019) Employment Tribunals (Scotland), case 4107131/2019. </w:t>
      </w:r>
      <w:r>
        <w:rPr>
          <w:rFonts w:ascii="Arial" w:hAnsi="Arial" w:cs="Arial"/>
          <w:i/>
          <w:iCs/>
          <w:sz w:val="24"/>
          <w:szCs w:val="24"/>
        </w:rPr>
        <w:t xml:space="preserve">Gov.uk. </w:t>
      </w:r>
      <w:r>
        <w:rPr>
          <w:rFonts w:ascii="Arial" w:hAnsi="Arial" w:cs="Arial"/>
          <w:sz w:val="24"/>
          <w:szCs w:val="24"/>
        </w:rPr>
        <w:t xml:space="preserve">Available at: </w:t>
      </w:r>
      <w:r w:rsidRPr="001A3AE4">
        <w:rPr>
          <w:rFonts w:ascii="Arial" w:hAnsi="Arial" w:cs="Arial"/>
          <w:sz w:val="24"/>
          <w:szCs w:val="24"/>
        </w:rPr>
        <w:t>https://assets.publishing.service.gov.uk/media/5d8396cce5274a2012249dce/Miss_ME_Jurkowlaniec_v_Aykut_Gul_-_4107131-2019_-_Judgment.pdf</w:t>
      </w:r>
      <w:r>
        <w:rPr>
          <w:rFonts w:ascii="Arial" w:hAnsi="Arial" w:cs="Arial"/>
          <w:sz w:val="24"/>
          <w:szCs w:val="24"/>
        </w:rPr>
        <w:t xml:space="preserve"> (Accessed: 17 April 2023). </w:t>
      </w:r>
    </w:p>
    <w:p w14:paraId="6218461D" w14:textId="77777777" w:rsidR="00954CD4" w:rsidRPr="00A32062" w:rsidRDefault="00954CD4" w:rsidP="0099359D">
      <w:pPr>
        <w:spacing w:line="276" w:lineRule="auto"/>
        <w:rPr>
          <w:rFonts w:ascii="Arial" w:hAnsi="Arial" w:cs="Arial"/>
          <w:sz w:val="24"/>
          <w:szCs w:val="24"/>
        </w:rPr>
      </w:pPr>
      <w:r w:rsidRPr="00A32062">
        <w:rPr>
          <w:rFonts w:ascii="Arial" w:hAnsi="Arial" w:cs="Arial"/>
          <w:sz w:val="24"/>
          <w:szCs w:val="24"/>
        </w:rPr>
        <w:t>‘Kaur v. Leeds Teaching Hospitals NHS Trust’ (2018) Court of Appeal (Civil Division), case</w:t>
      </w:r>
      <w:r w:rsidRPr="00A32062">
        <w:rPr>
          <w:rFonts w:ascii="Arial" w:hAnsi="Arial" w:cs="Arial"/>
          <w:color w:val="000000"/>
          <w:sz w:val="24"/>
          <w:szCs w:val="24"/>
        </w:rPr>
        <w:t> A2/2016/2944.</w:t>
      </w:r>
      <w:r>
        <w:rPr>
          <w:rFonts w:ascii="Arial" w:hAnsi="Arial" w:cs="Arial"/>
          <w:color w:val="000000"/>
          <w:sz w:val="24"/>
          <w:szCs w:val="24"/>
        </w:rPr>
        <w:t xml:space="preserve"> </w:t>
      </w:r>
      <w:r>
        <w:rPr>
          <w:rFonts w:ascii="Arial" w:hAnsi="Arial" w:cs="Arial"/>
          <w:i/>
          <w:iCs/>
          <w:color w:val="000000"/>
          <w:sz w:val="24"/>
          <w:szCs w:val="24"/>
        </w:rPr>
        <w:t>BAILII.</w:t>
      </w:r>
      <w:r w:rsidRPr="00A32062">
        <w:rPr>
          <w:rFonts w:ascii="Arial" w:hAnsi="Arial" w:cs="Arial"/>
          <w:color w:val="000000"/>
          <w:sz w:val="24"/>
          <w:szCs w:val="24"/>
        </w:rPr>
        <w:t xml:space="preserve"> Available at: </w:t>
      </w:r>
      <w:r w:rsidRPr="001A3AE4">
        <w:rPr>
          <w:rFonts w:ascii="Arial" w:hAnsi="Arial" w:cs="Arial"/>
          <w:sz w:val="24"/>
          <w:szCs w:val="24"/>
        </w:rPr>
        <w:t>https://www.bailii.org/cgi-bin/format.cgi?doc=/ew/cases/EWCA/Civ/2018/978.html&amp;query=(title:(+Kaur+))+AND+(title:(+v+))+AND+(title:(+Leeds+))+AND+(title:(+Teaching+))+AND+(title:(+Hospitals+))+AND+(title:(+NHS+))+AND+(title:(+Trust+))</w:t>
      </w:r>
      <w:r w:rsidRPr="00A32062">
        <w:rPr>
          <w:rFonts w:ascii="Arial" w:hAnsi="Arial" w:cs="Arial"/>
          <w:color w:val="000000"/>
          <w:sz w:val="24"/>
          <w:szCs w:val="24"/>
        </w:rPr>
        <w:t xml:space="preserve"> (Accessed: 20 April 2023). </w:t>
      </w:r>
    </w:p>
    <w:p w14:paraId="5846C430" w14:textId="77777777" w:rsidR="00954CD4" w:rsidRPr="002814AE" w:rsidRDefault="00954CD4" w:rsidP="0099359D">
      <w:pPr>
        <w:spacing w:line="276" w:lineRule="auto"/>
        <w:rPr>
          <w:rFonts w:ascii="Arial" w:hAnsi="Arial" w:cs="Arial"/>
          <w:sz w:val="24"/>
          <w:szCs w:val="24"/>
        </w:rPr>
      </w:pPr>
      <w:r>
        <w:rPr>
          <w:rFonts w:ascii="Arial" w:hAnsi="Arial" w:cs="Arial"/>
          <w:sz w:val="24"/>
          <w:szCs w:val="24"/>
        </w:rPr>
        <w:t xml:space="preserve">Lewis, D., Sargeant, M. and Schwab, B. (2023) </w:t>
      </w:r>
      <w:r>
        <w:rPr>
          <w:rFonts w:ascii="Arial" w:hAnsi="Arial" w:cs="Arial"/>
          <w:i/>
          <w:iCs/>
          <w:sz w:val="24"/>
          <w:szCs w:val="24"/>
        </w:rPr>
        <w:t xml:space="preserve">Employment Law – The Essentials. </w:t>
      </w:r>
      <w:r>
        <w:rPr>
          <w:rFonts w:ascii="Arial" w:hAnsi="Arial" w:cs="Arial"/>
          <w:sz w:val="24"/>
          <w:szCs w:val="24"/>
        </w:rPr>
        <w:t>16</w:t>
      </w:r>
      <w:r w:rsidRPr="002814AE">
        <w:rPr>
          <w:rFonts w:ascii="Arial" w:hAnsi="Arial" w:cs="Arial"/>
          <w:sz w:val="24"/>
          <w:szCs w:val="24"/>
          <w:vertAlign w:val="superscript"/>
        </w:rPr>
        <w:t>th</w:t>
      </w:r>
      <w:r>
        <w:rPr>
          <w:rFonts w:ascii="Arial" w:hAnsi="Arial" w:cs="Arial"/>
          <w:sz w:val="24"/>
          <w:szCs w:val="24"/>
        </w:rPr>
        <w:t xml:space="preserve"> edn. London: Kogan Page. </w:t>
      </w:r>
    </w:p>
    <w:p w14:paraId="2DE156BB" w14:textId="77777777" w:rsidR="00954CD4" w:rsidRPr="003B7D4C" w:rsidRDefault="00954CD4" w:rsidP="0099359D">
      <w:pPr>
        <w:spacing w:line="276" w:lineRule="auto"/>
        <w:rPr>
          <w:rFonts w:ascii="Arial" w:hAnsi="Arial" w:cs="Arial"/>
          <w:sz w:val="24"/>
          <w:szCs w:val="24"/>
        </w:rPr>
      </w:pPr>
      <w:r>
        <w:rPr>
          <w:rFonts w:ascii="Arial" w:hAnsi="Arial" w:cs="Arial"/>
          <w:sz w:val="24"/>
          <w:szCs w:val="24"/>
        </w:rPr>
        <w:t xml:space="preserve">Maples, C. (2022) Remedies for unfair dismissal – reinstatement for the big win? Available at: </w:t>
      </w:r>
      <w:r w:rsidRPr="001A3AE4">
        <w:rPr>
          <w:rFonts w:ascii="Arial" w:hAnsi="Arial" w:cs="Arial"/>
          <w:sz w:val="24"/>
          <w:szCs w:val="24"/>
        </w:rPr>
        <w:t>https://www.footanstey.com/our-insights/articles-news/remedies-for-unfair-dismissal-reinstatement-for-the-big-win/</w:t>
      </w:r>
      <w:r>
        <w:rPr>
          <w:rFonts w:ascii="Arial" w:hAnsi="Arial" w:cs="Arial"/>
          <w:sz w:val="24"/>
          <w:szCs w:val="24"/>
        </w:rPr>
        <w:t xml:space="preserve"> (Accessed: 25 April 2023). </w:t>
      </w:r>
    </w:p>
    <w:p w14:paraId="38C90FFD"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Merrit, C. and Chandler, F. (2022) </w:t>
      </w:r>
      <w:r>
        <w:rPr>
          <w:rFonts w:ascii="Arial" w:hAnsi="Arial" w:cs="Arial"/>
          <w:i/>
          <w:iCs/>
          <w:sz w:val="24"/>
          <w:szCs w:val="24"/>
        </w:rPr>
        <w:t xml:space="preserve">Can a failure to return to work constitute resignation in a constructive dismissal claim? </w:t>
      </w:r>
      <w:r>
        <w:rPr>
          <w:rFonts w:ascii="Arial" w:hAnsi="Arial" w:cs="Arial"/>
          <w:sz w:val="24"/>
          <w:szCs w:val="24"/>
        </w:rPr>
        <w:t xml:space="preserve">Available at: </w:t>
      </w:r>
      <w:r w:rsidRPr="001A3AE4">
        <w:rPr>
          <w:rFonts w:ascii="Arial" w:hAnsi="Arial" w:cs="Arial"/>
          <w:sz w:val="24"/>
          <w:szCs w:val="24"/>
        </w:rPr>
        <w:t>https://parissmith.co.uk/blog/constructive-dismissal/#:~:text=The%20general%20principle%20is%20that,which%20case%20the%20contract%20ends</w:t>
      </w:r>
      <w:r w:rsidRPr="00982CF9">
        <w:rPr>
          <w:rFonts w:ascii="Arial" w:hAnsi="Arial" w:cs="Arial"/>
          <w:sz w:val="24"/>
          <w:szCs w:val="24"/>
        </w:rPr>
        <w:t>.</w:t>
      </w:r>
      <w:r>
        <w:rPr>
          <w:rFonts w:ascii="Arial" w:hAnsi="Arial" w:cs="Arial"/>
          <w:sz w:val="24"/>
          <w:szCs w:val="24"/>
        </w:rPr>
        <w:t xml:space="preserve"> (Accessed: 17 April 2023). </w:t>
      </w:r>
    </w:p>
    <w:p w14:paraId="14771E67" w14:textId="77777777" w:rsidR="00954CD4" w:rsidRDefault="00954CD4" w:rsidP="0099359D">
      <w:pPr>
        <w:spacing w:line="276" w:lineRule="auto"/>
        <w:rPr>
          <w:rFonts w:ascii="Arial" w:hAnsi="Arial" w:cs="Arial"/>
          <w:color w:val="000000"/>
          <w:sz w:val="24"/>
          <w:szCs w:val="24"/>
        </w:rPr>
      </w:pPr>
      <w:r>
        <w:rPr>
          <w:rFonts w:ascii="Arial" w:hAnsi="Arial" w:cs="Arial"/>
          <w:sz w:val="24"/>
          <w:szCs w:val="24"/>
        </w:rPr>
        <w:lastRenderedPageBreak/>
        <w:t xml:space="preserve">‘Mohamud v. WM Morrison Supermarkets plc’ (2016) The Supreme Court, case UKSC2014/0087. </w:t>
      </w:r>
      <w:r>
        <w:rPr>
          <w:rFonts w:ascii="Arial" w:hAnsi="Arial" w:cs="Arial"/>
          <w:i/>
          <w:iCs/>
          <w:sz w:val="24"/>
          <w:szCs w:val="24"/>
        </w:rPr>
        <w:t xml:space="preserve">The Supreme Court. </w:t>
      </w:r>
      <w:r>
        <w:rPr>
          <w:rFonts w:ascii="Arial" w:hAnsi="Arial" w:cs="Arial"/>
          <w:sz w:val="24"/>
          <w:szCs w:val="24"/>
        </w:rPr>
        <w:t xml:space="preserve">Available at: </w:t>
      </w:r>
      <w:r w:rsidRPr="001A3AE4">
        <w:rPr>
          <w:rFonts w:ascii="Arial" w:hAnsi="Arial" w:cs="Arial"/>
          <w:sz w:val="24"/>
          <w:szCs w:val="24"/>
        </w:rPr>
        <w:t>https</w:t>
      </w:r>
      <w:r w:rsidRPr="001A3AE4">
        <w:rPr>
          <w:rFonts w:ascii="Arial" w:hAnsi="Arial" w:cs="Arial"/>
          <w:sz w:val="24"/>
          <w:szCs w:val="24"/>
        </w:rPr>
        <w:t>:</w:t>
      </w:r>
      <w:r w:rsidRPr="001A3AE4">
        <w:rPr>
          <w:rFonts w:ascii="Arial" w:hAnsi="Arial" w:cs="Arial"/>
          <w:sz w:val="24"/>
          <w:szCs w:val="24"/>
        </w:rPr>
        <w:t>//www.supremecourt.uk/cases/uksc-2014-0087.html</w:t>
      </w:r>
      <w:r>
        <w:rPr>
          <w:rFonts w:ascii="Arial" w:hAnsi="Arial" w:cs="Arial"/>
          <w:sz w:val="24"/>
          <w:szCs w:val="24"/>
        </w:rPr>
        <w:t xml:space="preserve"> </w:t>
      </w:r>
      <w:r w:rsidRPr="00A32062">
        <w:rPr>
          <w:rFonts w:ascii="Arial" w:hAnsi="Arial" w:cs="Arial"/>
          <w:color w:val="000000"/>
          <w:sz w:val="24"/>
          <w:szCs w:val="24"/>
        </w:rPr>
        <w:t>(Accessed: 20 April 2023).</w:t>
      </w:r>
    </w:p>
    <w:p w14:paraId="38D5FF74" w14:textId="77777777" w:rsidR="00954CD4" w:rsidRPr="00E80A2B" w:rsidRDefault="00954CD4" w:rsidP="0099359D">
      <w:pPr>
        <w:spacing w:line="276" w:lineRule="auto"/>
        <w:rPr>
          <w:rFonts w:ascii="Arial" w:hAnsi="Arial" w:cs="Arial"/>
          <w:sz w:val="24"/>
          <w:szCs w:val="24"/>
        </w:rPr>
      </w:pPr>
      <w:r>
        <w:rPr>
          <w:rFonts w:ascii="Arial" w:hAnsi="Arial" w:cs="Arial"/>
          <w:sz w:val="24"/>
          <w:szCs w:val="24"/>
        </w:rPr>
        <w:t xml:space="preserve">Morris, A. (2022) </w:t>
      </w:r>
      <w:r>
        <w:rPr>
          <w:rFonts w:ascii="Arial" w:hAnsi="Arial" w:cs="Arial"/>
          <w:i/>
          <w:iCs/>
          <w:sz w:val="24"/>
          <w:szCs w:val="24"/>
        </w:rPr>
        <w:t xml:space="preserve">When is an employer liable for its employees’ actions? </w:t>
      </w:r>
      <w:r>
        <w:rPr>
          <w:rFonts w:ascii="Arial" w:hAnsi="Arial" w:cs="Arial"/>
          <w:sz w:val="24"/>
          <w:szCs w:val="24"/>
        </w:rPr>
        <w:t xml:space="preserve">Available at: </w:t>
      </w:r>
      <w:r w:rsidRPr="001A3AE4">
        <w:rPr>
          <w:rFonts w:ascii="Arial" w:hAnsi="Arial" w:cs="Arial"/>
          <w:sz w:val="24"/>
          <w:szCs w:val="24"/>
        </w:rPr>
        <w:t>https://www.peoplemanagement.co.uk/article/1753884/when-employer-liable-its-employees-actions</w:t>
      </w:r>
      <w:r>
        <w:rPr>
          <w:rFonts w:ascii="Arial" w:hAnsi="Arial" w:cs="Arial"/>
          <w:sz w:val="24"/>
          <w:szCs w:val="24"/>
        </w:rPr>
        <w:t xml:space="preserve"> (Accessed: 17 April 2023).</w:t>
      </w:r>
    </w:p>
    <w:p w14:paraId="04B5DB2A"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Pearson Solicitors (no date) </w:t>
      </w:r>
      <w:r>
        <w:rPr>
          <w:rFonts w:ascii="Arial" w:hAnsi="Arial" w:cs="Arial"/>
          <w:i/>
          <w:iCs/>
          <w:sz w:val="24"/>
          <w:szCs w:val="24"/>
        </w:rPr>
        <w:t xml:space="preserve">Vicarious Liability. </w:t>
      </w:r>
      <w:r>
        <w:rPr>
          <w:rFonts w:ascii="Arial" w:hAnsi="Arial" w:cs="Arial"/>
          <w:sz w:val="24"/>
          <w:szCs w:val="24"/>
        </w:rPr>
        <w:t xml:space="preserve">Available at: </w:t>
      </w:r>
      <w:r w:rsidRPr="001A3AE4">
        <w:rPr>
          <w:rFonts w:ascii="Arial" w:hAnsi="Arial" w:cs="Arial"/>
          <w:sz w:val="24"/>
          <w:szCs w:val="24"/>
        </w:rPr>
        <w:t>https://www.pearsonlegal.co.uk/business/employment-law-business/defending-employment-claims/vicarious-liability/</w:t>
      </w:r>
      <w:r>
        <w:rPr>
          <w:rFonts w:ascii="Arial" w:hAnsi="Arial" w:cs="Arial"/>
          <w:sz w:val="24"/>
          <w:szCs w:val="24"/>
        </w:rPr>
        <w:t xml:space="preserve"> (Accessed: 17 April 2023).</w:t>
      </w:r>
    </w:p>
    <w:p w14:paraId="4FA57B73" w14:textId="77777777" w:rsidR="00954CD4" w:rsidRPr="00E87C6C" w:rsidRDefault="00954CD4" w:rsidP="0099359D">
      <w:pPr>
        <w:spacing w:line="276" w:lineRule="auto"/>
        <w:rPr>
          <w:rFonts w:ascii="Arial" w:hAnsi="Arial" w:cs="Arial"/>
          <w:sz w:val="24"/>
          <w:szCs w:val="24"/>
        </w:rPr>
      </w:pPr>
      <w:r>
        <w:rPr>
          <w:rFonts w:ascii="Arial" w:hAnsi="Arial" w:cs="Arial"/>
          <w:sz w:val="24"/>
          <w:szCs w:val="24"/>
        </w:rPr>
        <w:t xml:space="preserve">Practical Law Employment (2023) </w:t>
      </w:r>
      <w:r>
        <w:rPr>
          <w:rFonts w:ascii="Arial" w:hAnsi="Arial" w:cs="Arial"/>
          <w:i/>
          <w:iCs/>
          <w:sz w:val="24"/>
          <w:szCs w:val="24"/>
        </w:rPr>
        <w:t xml:space="preserve">Current rates and limits for employment lawyers. </w:t>
      </w:r>
      <w:r>
        <w:rPr>
          <w:rFonts w:ascii="Arial" w:hAnsi="Arial" w:cs="Arial"/>
          <w:sz w:val="24"/>
          <w:szCs w:val="24"/>
        </w:rPr>
        <w:t xml:space="preserve">Available at: </w:t>
      </w:r>
      <w:r w:rsidRPr="001A3AE4">
        <w:rPr>
          <w:rFonts w:ascii="Arial" w:hAnsi="Arial" w:cs="Arial"/>
          <w:sz w:val="24"/>
          <w:szCs w:val="24"/>
        </w:rPr>
        <w:t>https://uk.practicallaw.thomsonreuters.com/4-200-2038?transitionType=Default&amp;contextData=(sc.Default)&amp;firstPage=true#co_anchor_a395813</w:t>
      </w:r>
      <w:r>
        <w:rPr>
          <w:rFonts w:ascii="Arial" w:hAnsi="Arial" w:cs="Arial"/>
          <w:sz w:val="24"/>
          <w:szCs w:val="24"/>
        </w:rPr>
        <w:t xml:space="preserve"> (Accessed 26 April 2023). </w:t>
      </w:r>
    </w:p>
    <w:p w14:paraId="1A7DD687" w14:textId="77777777" w:rsidR="00954CD4" w:rsidRPr="00EA5C43" w:rsidRDefault="00954CD4" w:rsidP="0099359D">
      <w:pPr>
        <w:spacing w:line="276" w:lineRule="auto"/>
        <w:rPr>
          <w:rFonts w:ascii="Arial" w:hAnsi="Arial" w:cs="Arial"/>
          <w:sz w:val="24"/>
          <w:szCs w:val="24"/>
        </w:rPr>
      </w:pPr>
      <w:r>
        <w:rPr>
          <w:rFonts w:ascii="Arial" w:hAnsi="Arial" w:cs="Arial"/>
          <w:sz w:val="24"/>
          <w:szCs w:val="24"/>
        </w:rPr>
        <w:t xml:space="preserve">Redmans Solicitors (no date) </w:t>
      </w:r>
      <w:r>
        <w:rPr>
          <w:rFonts w:ascii="Arial" w:hAnsi="Arial" w:cs="Arial"/>
          <w:i/>
          <w:iCs/>
          <w:sz w:val="24"/>
          <w:szCs w:val="24"/>
        </w:rPr>
        <w:t xml:space="preserve">Settlement agreements: how much should you receive for your settlement agreement? </w:t>
      </w:r>
      <w:r>
        <w:rPr>
          <w:rFonts w:ascii="Arial" w:hAnsi="Arial" w:cs="Arial"/>
          <w:sz w:val="24"/>
          <w:szCs w:val="24"/>
        </w:rPr>
        <w:t xml:space="preserve">Available at: </w:t>
      </w:r>
      <w:r w:rsidRPr="001A3AE4">
        <w:rPr>
          <w:rFonts w:ascii="Arial" w:hAnsi="Arial" w:cs="Arial"/>
          <w:sz w:val="24"/>
          <w:szCs w:val="24"/>
        </w:rPr>
        <w:t>https://redmans.co.uk/insights/settlement-agreements-how-much-should-you-receive-for-your-settlement-agreement/#:~:text=The%20rough%20'rule%20of%20thumb,.%2C%20as%20outlined%20above</w:t>
      </w:r>
      <w:r w:rsidRPr="00EA5C43">
        <w:rPr>
          <w:rFonts w:ascii="Arial" w:hAnsi="Arial" w:cs="Arial"/>
          <w:sz w:val="24"/>
          <w:szCs w:val="24"/>
        </w:rPr>
        <w:t>)</w:t>
      </w:r>
      <w:r>
        <w:rPr>
          <w:rFonts w:ascii="Arial" w:hAnsi="Arial" w:cs="Arial"/>
          <w:sz w:val="24"/>
          <w:szCs w:val="24"/>
        </w:rPr>
        <w:t xml:space="preserve"> (Accessed: 2 May 2023).</w:t>
      </w:r>
    </w:p>
    <w:p w14:paraId="689BB429" w14:textId="77777777" w:rsidR="00954CD4" w:rsidRPr="00CB5CF5" w:rsidRDefault="00954CD4" w:rsidP="0099359D">
      <w:pPr>
        <w:spacing w:line="276" w:lineRule="auto"/>
        <w:rPr>
          <w:rFonts w:ascii="Arial" w:hAnsi="Arial" w:cs="Arial"/>
          <w:sz w:val="24"/>
          <w:szCs w:val="24"/>
        </w:rPr>
      </w:pPr>
      <w:r>
        <w:rPr>
          <w:rFonts w:ascii="Arial" w:hAnsi="Arial" w:cs="Arial"/>
          <w:sz w:val="24"/>
          <w:szCs w:val="24"/>
        </w:rPr>
        <w:t xml:space="preserve">Sheppard, D. (2023) ‘Employer Law – TUPE’ [Recorded Lecture]. </w:t>
      </w:r>
      <w:r w:rsidRPr="00CB5CF5">
        <w:rPr>
          <w:rFonts w:ascii="Arial" w:hAnsi="Arial" w:cs="Arial"/>
          <w:i/>
          <w:iCs/>
          <w:sz w:val="24"/>
          <w:szCs w:val="24"/>
        </w:rPr>
        <w:t>BMHR7019: Advanced Application of Employment Law.</w:t>
      </w:r>
      <w:r>
        <w:rPr>
          <w:rFonts w:ascii="Arial" w:hAnsi="Arial" w:cs="Arial"/>
          <w:i/>
          <w:iCs/>
          <w:sz w:val="24"/>
          <w:szCs w:val="24"/>
        </w:rPr>
        <w:t xml:space="preserve"> </w:t>
      </w:r>
      <w:r>
        <w:rPr>
          <w:rFonts w:ascii="Arial" w:hAnsi="Arial" w:cs="Arial"/>
          <w:sz w:val="24"/>
          <w:szCs w:val="24"/>
        </w:rPr>
        <w:t xml:space="preserve">University of Wales Trinity Saint David. 21 March. Available at: </w:t>
      </w:r>
      <w:r w:rsidRPr="001A3AE4">
        <w:rPr>
          <w:rFonts w:ascii="Arial" w:hAnsi="Arial" w:cs="Arial"/>
          <w:sz w:val="24"/>
          <w:szCs w:val="24"/>
        </w:rPr>
        <w:t>https://uowtsd.sharepoint.com/teams/2022-2023AdvancedApplicationofEmploymentLaw_GRP/_layouts/15/stream.aspx?id=/teams/2022-2023AdvancedApplicationofEmploymentLaw_GRP/Shared+Documents/General/Recordings/Employment+Law+online+class-20230321_172951-Meeting+Recording.mp4&amp;sw=auth</w:t>
      </w:r>
      <w:r>
        <w:rPr>
          <w:rFonts w:ascii="Arial" w:hAnsi="Arial" w:cs="Arial"/>
          <w:sz w:val="24"/>
          <w:szCs w:val="24"/>
        </w:rPr>
        <w:t xml:space="preserve"> (Accessed: 2 May 2023). </w:t>
      </w:r>
    </w:p>
    <w:p w14:paraId="385B6ECC" w14:textId="01420456" w:rsidR="00954CD4" w:rsidRDefault="00954CD4" w:rsidP="0099359D">
      <w:pPr>
        <w:spacing w:line="276" w:lineRule="auto"/>
        <w:rPr>
          <w:rFonts w:ascii="Arial" w:hAnsi="Arial" w:cs="Arial"/>
          <w:sz w:val="24"/>
          <w:szCs w:val="24"/>
        </w:rPr>
      </w:pPr>
      <w:r>
        <w:rPr>
          <w:rFonts w:ascii="Arial" w:hAnsi="Arial" w:cs="Arial"/>
          <w:sz w:val="24"/>
          <w:szCs w:val="24"/>
        </w:rPr>
        <w:t>Suff, R. (2022</w:t>
      </w:r>
      <w:r w:rsidR="0099359D">
        <w:rPr>
          <w:rFonts w:ascii="Arial" w:hAnsi="Arial" w:cs="Arial"/>
          <w:sz w:val="24"/>
          <w:szCs w:val="24"/>
        </w:rPr>
        <w:t>a</w:t>
      </w:r>
      <w:r>
        <w:rPr>
          <w:rFonts w:ascii="Arial" w:hAnsi="Arial" w:cs="Arial"/>
          <w:sz w:val="24"/>
          <w:szCs w:val="24"/>
        </w:rPr>
        <w:t xml:space="preserve">) </w:t>
      </w:r>
      <w:r>
        <w:rPr>
          <w:rFonts w:ascii="Arial" w:hAnsi="Arial" w:cs="Arial"/>
          <w:i/>
          <w:iCs/>
          <w:sz w:val="24"/>
          <w:szCs w:val="24"/>
        </w:rPr>
        <w:t xml:space="preserve">Dismissal procedures. </w:t>
      </w:r>
      <w:r>
        <w:rPr>
          <w:rFonts w:ascii="Arial" w:hAnsi="Arial" w:cs="Arial"/>
          <w:sz w:val="24"/>
          <w:szCs w:val="24"/>
        </w:rPr>
        <w:t xml:space="preserve">Available at: </w:t>
      </w:r>
      <w:r w:rsidRPr="001A3AE4">
        <w:rPr>
          <w:rFonts w:ascii="Arial" w:hAnsi="Arial" w:cs="Arial"/>
          <w:sz w:val="24"/>
          <w:szCs w:val="24"/>
        </w:rPr>
        <w:t>https://www.cipd.co.uk/knowledge/fundamentals/emp-law/dismissal/factsheet#7015</w:t>
      </w:r>
      <w:r>
        <w:rPr>
          <w:rFonts w:ascii="Arial" w:hAnsi="Arial" w:cs="Arial"/>
          <w:sz w:val="24"/>
          <w:szCs w:val="24"/>
        </w:rPr>
        <w:t xml:space="preserve"> (Accessed: 6 April 2023). </w:t>
      </w:r>
    </w:p>
    <w:p w14:paraId="26B66326" w14:textId="5CACF703" w:rsidR="00954CD4" w:rsidRDefault="00954CD4" w:rsidP="0099359D">
      <w:pPr>
        <w:spacing w:line="276" w:lineRule="auto"/>
        <w:rPr>
          <w:rFonts w:ascii="Arial" w:hAnsi="Arial" w:cs="Arial"/>
          <w:sz w:val="24"/>
          <w:szCs w:val="24"/>
        </w:rPr>
      </w:pPr>
      <w:r>
        <w:rPr>
          <w:rFonts w:ascii="Arial" w:hAnsi="Arial" w:cs="Arial"/>
          <w:sz w:val="24"/>
          <w:szCs w:val="24"/>
        </w:rPr>
        <w:t>Suff, R. (2022</w:t>
      </w:r>
      <w:r w:rsidR="0099359D">
        <w:rPr>
          <w:rFonts w:ascii="Arial" w:hAnsi="Arial" w:cs="Arial"/>
          <w:sz w:val="24"/>
          <w:szCs w:val="24"/>
        </w:rPr>
        <w:t>b</w:t>
      </w:r>
      <w:r>
        <w:rPr>
          <w:rFonts w:ascii="Arial" w:hAnsi="Arial" w:cs="Arial"/>
          <w:sz w:val="24"/>
          <w:szCs w:val="24"/>
        </w:rPr>
        <w:t xml:space="preserve">) </w:t>
      </w:r>
      <w:r>
        <w:rPr>
          <w:rFonts w:ascii="Arial" w:hAnsi="Arial" w:cs="Arial"/>
          <w:i/>
          <w:iCs/>
          <w:sz w:val="24"/>
          <w:szCs w:val="24"/>
        </w:rPr>
        <w:t xml:space="preserve">The role of employment tribunals. </w:t>
      </w:r>
      <w:r>
        <w:rPr>
          <w:rFonts w:ascii="Arial" w:hAnsi="Arial" w:cs="Arial"/>
          <w:sz w:val="24"/>
          <w:szCs w:val="24"/>
        </w:rPr>
        <w:t xml:space="preserve">Available at: </w:t>
      </w:r>
      <w:r w:rsidRPr="001A3AE4">
        <w:rPr>
          <w:rFonts w:ascii="Arial" w:hAnsi="Arial" w:cs="Arial"/>
          <w:sz w:val="24"/>
          <w:szCs w:val="24"/>
        </w:rPr>
        <w:t>https://www.cipd.org/uk/knowledge/factsheets/tribunals-factsheet/#Settlement</w:t>
      </w:r>
      <w:r>
        <w:rPr>
          <w:rFonts w:ascii="Arial" w:hAnsi="Arial" w:cs="Arial"/>
          <w:sz w:val="24"/>
          <w:szCs w:val="24"/>
        </w:rPr>
        <w:t xml:space="preserve"> (Accessed: 2 May 2023). </w:t>
      </w:r>
    </w:p>
    <w:p w14:paraId="3E0676E1"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The Judiciary (2023) </w:t>
      </w:r>
      <w:r w:rsidRPr="001D54B6">
        <w:rPr>
          <w:rFonts w:ascii="Arial" w:hAnsi="Arial" w:cs="Arial"/>
          <w:i/>
          <w:iCs/>
          <w:sz w:val="24"/>
          <w:szCs w:val="24"/>
        </w:rPr>
        <w:t xml:space="preserve">Presential Guidance: Employment Tribunal awards for injury to feelings and psychiatric injury following De Souza v Vinci Construction (UK) Ltd </w:t>
      </w:r>
      <w:r w:rsidRPr="001D54B6">
        <w:rPr>
          <w:rFonts w:ascii="Arial" w:hAnsi="Arial" w:cs="Arial"/>
          <w:i/>
          <w:iCs/>
          <w:sz w:val="24"/>
          <w:szCs w:val="24"/>
        </w:rPr>
        <w:lastRenderedPageBreak/>
        <w:t>[2017] EWCA Civ 879</w:t>
      </w:r>
      <w:r>
        <w:rPr>
          <w:rFonts w:ascii="Arial" w:hAnsi="Arial" w:cs="Arial"/>
          <w:i/>
          <w:iCs/>
          <w:sz w:val="24"/>
          <w:szCs w:val="24"/>
        </w:rPr>
        <w:t xml:space="preserve">. </w:t>
      </w:r>
      <w:r>
        <w:rPr>
          <w:rFonts w:ascii="Arial" w:hAnsi="Arial" w:cs="Arial"/>
          <w:sz w:val="24"/>
          <w:szCs w:val="24"/>
        </w:rPr>
        <w:t xml:space="preserve">Available at: </w:t>
      </w:r>
      <w:r w:rsidRPr="001A3AE4">
        <w:rPr>
          <w:rFonts w:ascii="Arial" w:hAnsi="Arial" w:cs="Arial"/>
          <w:sz w:val="24"/>
          <w:szCs w:val="24"/>
        </w:rPr>
        <w:t>https://www.judiciary.uk/wp-content/uploads/2023/03/Vento-bands-presidential-guidance-April-2023-addendum.pdf</w:t>
      </w:r>
      <w:r>
        <w:rPr>
          <w:rFonts w:ascii="Arial" w:hAnsi="Arial" w:cs="Arial"/>
          <w:sz w:val="24"/>
          <w:szCs w:val="24"/>
        </w:rPr>
        <w:t xml:space="preserve"> (Accessed: 27 April 2023).</w:t>
      </w:r>
    </w:p>
    <w:p w14:paraId="190B79EC" w14:textId="77777777" w:rsidR="00954CD4" w:rsidRDefault="00954CD4" w:rsidP="0099359D">
      <w:pPr>
        <w:spacing w:line="276" w:lineRule="auto"/>
        <w:rPr>
          <w:rFonts w:ascii="Arial" w:hAnsi="Arial" w:cs="Arial"/>
          <w:sz w:val="24"/>
          <w:szCs w:val="24"/>
        </w:rPr>
      </w:pPr>
      <w:r>
        <w:rPr>
          <w:rFonts w:ascii="Arial" w:hAnsi="Arial" w:cs="Arial"/>
          <w:sz w:val="24"/>
          <w:szCs w:val="24"/>
        </w:rPr>
        <w:t xml:space="preserve">Valla (2023) </w:t>
      </w:r>
      <w:r>
        <w:rPr>
          <w:rFonts w:ascii="Arial" w:hAnsi="Arial" w:cs="Arial"/>
          <w:i/>
          <w:iCs/>
          <w:sz w:val="24"/>
          <w:szCs w:val="24"/>
        </w:rPr>
        <w:t xml:space="preserve">Make a tribunal claim for sexual harassment. </w:t>
      </w:r>
      <w:r>
        <w:rPr>
          <w:rFonts w:ascii="Arial" w:hAnsi="Arial" w:cs="Arial"/>
          <w:sz w:val="24"/>
          <w:szCs w:val="24"/>
        </w:rPr>
        <w:t xml:space="preserve">Available at: </w:t>
      </w:r>
      <w:r w:rsidRPr="001A3AE4">
        <w:rPr>
          <w:rFonts w:ascii="Arial" w:hAnsi="Arial" w:cs="Arial"/>
          <w:sz w:val="24"/>
          <w:szCs w:val="24"/>
        </w:rPr>
        <w:t>https://valla.uk/tribunal-claim/et1-sexual-harassment</w:t>
      </w:r>
      <w:r>
        <w:rPr>
          <w:rFonts w:ascii="Arial" w:hAnsi="Arial" w:cs="Arial"/>
          <w:sz w:val="24"/>
          <w:szCs w:val="24"/>
        </w:rPr>
        <w:t xml:space="preserve"> (Accessed: 27 April 2023). </w:t>
      </w:r>
    </w:p>
    <w:p w14:paraId="68510097" w14:textId="77777777" w:rsidR="00954CD4" w:rsidRPr="00F175BF" w:rsidRDefault="00954CD4" w:rsidP="0099359D">
      <w:pPr>
        <w:spacing w:line="276" w:lineRule="auto"/>
        <w:rPr>
          <w:rFonts w:ascii="Arial" w:hAnsi="Arial" w:cs="Arial"/>
          <w:sz w:val="24"/>
          <w:szCs w:val="24"/>
        </w:rPr>
      </w:pPr>
      <w:r>
        <w:rPr>
          <w:rFonts w:ascii="Arial" w:hAnsi="Arial" w:cs="Arial"/>
          <w:sz w:val="24"/>
          <w:szCs w:val="24"/>
        </w:rPr>
        <w:t xml:space="preserve">Winston Solicitors (no date) </w:t>
      </w:r>
      <w:r>
        <w:rPr>
          <w:rFonts w:ascii="Arial" w:hAnsi="Arial" w:cs="Arial"/>
          <w:i/>
          <w:iCs/>
          <w:sz w:val="24"/>
          <w:szCs w:val="24"/>
        </w:rPr>
        <w:t xml:space="preserve">Settlement agreement negotiation process. </w:t>
      </w:r>
      <w:r>
        <w:rPr>
          <w:rFonts w:ascii="Arial" w:hAnsi="Arial" w:cs="Arial"/>
          <w:sz w:val="24"/>
          <w:szCs w:val="24"/>
        </w:rPr>
        <w:t xml:space="preserve">Available at: </w:t>
      </w:r>
      <w:r w:rsidRPr="001A3AE4">
        <w:rPr>
          <w:rFonts w:ascii="Arial" w:hAnsi="Arial" w:cs="Arial"/>
          <w:sz w:val="24"/>
          <w:szCs w:val="24"/>
        </w:rPr>
        <w:t>https://www.winstonsolicitors.co.uk/settlement-agreements-guide-to-process-negotiation.html</w:t>
      </w:r>
      <w:r>
        <w:rPr>
          <w:rFonts w:ascii="Arial" w:hAnsi="Arial" w:cs="Arial"/>
          <w:sz w:val="24"/>
          <w:szCs w:val="24"/>
        </w:rPr>
        <w:t xml:space="preserve"> (Accessed: 2 May 2023).</w:t>
      </w:r>
    </w:p>
    <w:p w14:paraId="069080FE" w14:textId="77777777" w:rsidR="00954CD4" w:rsidRPr="007179C7" w:rsidRDefault="00954CD4" w:rsidP="0099359D">
      <w:pPr>
        <w:spacing w:line="276" w:lineRule="auto"/>
        <w:rPr>
          <w:rFonts w:ascii="Arial" w:hAnsi="Arial" w:cs="Arial"/>
          <w:sz w:val="24"/>
          <w:szCs w:val="24"/>
        </w:rPr>
      </w:pPr>
      <w:r>
        <w:rPr>
          <w:rFonts w:ascii="Arial" w:hAnsi="Arial" w:cs="Arial"/>
          <w:sz w:val="24"/>
          <w:szCs w:val="24"/>
        </w:rPr>
        <w:t xml:space="preserve">Working Families (2023) </w:t>
      </w:r>
      <w:r>
        <w:rPr>
          <w:rFonts w:ascii="Arial" w:hAnsi="Arial" w:cs="Arial"/>
          <w:i/>
          <w:iCs/>
          <w:sz w:val="24"/>
          <w:szCs w:val="24"/>
        </w:rPr>
        <w:t xml:space="preserve">Calculating Damages/Compensation in the Employment Tribunal. </w:t>
      </w:r>
      <w:r>
        <w:rPr>
          <w:rFonts w:ascii="Arial" w:hAnsi="Arial" w:cs="Arial"/>
          <w:sz w:val="24"/>
          <w:szCs w:val="24"/>
        </w:rPr>
        <w:t xml:space="preserve">Available at: </w:t>
      </w:r>
      <w:r w:rsidRPr="001A3AE4">
        <w:rPr>
          <w:rFonts w:ascii="Arial" w:hAnsi="Arial" w:cs="Arial"/>
          <w:sz w:val="24"/>
          <w:szCs w:val="24"/>
        </w:rPr>
        <w:t>https://workingfamilies.org.uk/articles/calculating-damages-and-compensation/</w:t>
      </w:r>
      <w:r>
        <w:rPr>
          <w:rFonts w:ascii="Arial" w:hAnsi="Arial" w:cs="Arial"/>
          <w:sz w:val="24"/>
          <w:szCs w:val="24"/>
        </w:rPr>
        <w:t xml:space="preserve"> (Accessed: 27 April 2023).</w:t>
      </w:r>
    </w:p>
    <w:p w14:paraId="7AEA1B10" w14:textId="77777777" w:rsidR="00954CD4" w:rsidRDefault="00954CD4" w:rsidP="0099359D">
      <w:pPr>
        <w:spacing w:line="276" w:lineRule="auto"/>
        <w:rPr>
          <w:rFonts w:ascii="Arial" w:hAnsi="Arial" w:cs="Arial"/>
          <w:b/>
          <w:bCs/>
          <w:sz w:val="24"/>
          <w:szCs w:val="24"/>
        </w:rPr>
      </w:pPr>
    </w:p>
    <w:p w14:paraId="03903945" w14:textId="77777777" w:rsidR="00954CD4" w:rsidRDefault="00954CD4" w:rsidP="0099359D">
      <w:pPr>
        <w:spacing w:line="276" w:lineRule="auto"/>
        <w:rPr>
          <w:rFonts w:ascii="Arial" w:hAnsi="Arial" w:cs="Arial"/>
          <w:b/>
          <w:bCs/>
          <w:sz w:val="24"/>
          <w:szCs w:val="24"/>
        </w:rPr>
      </w:pPr>
    </w:p>
    <w:p w14:paraId="2D4DB226" w14:textId="77777777" w:rsidR="00954CD4" w:rsidRDefault="00954CD4" w:rsidP="0099359D">
      <w:pPr>
        <w:spacing w:line="276" w:lineRule="auto"/>
        <w:rPr>
          <w:rFonts w:ascii="Arial" w:hAnsi="Arial" w:cs="Arial"/>
          <w:b/>
          <w:bCs/>
          <w:sz w:val="24"/>
          <w:szCs w:val="24"/>
        </w:rPr>
      </w:pPr>
    </w:p>
    <w:p w14:paraId="6D2B5568" w14:textId="77777777" w:rsidR="00954CD4" w:rsidRDefault="00954CD4" w:rsidP="0099359D">
      <w:pPr>
        <w:spacing w:line="276" w:lineRule="auto"/>
        <w:rPr>
          <w:rFonts w:ascii="Arial" w:hAnsi="Arial" w:cs="Arial"/>
          <w:b/>
          <w:bCs/>
          <w:sz w:val="24"/>
          <w:szCs w:val="24"/>
        </w:rPr>
      </w:pPr>
    </w:p>
    <w:p w14:paraId="4E68E21C" w14:textId="77777777" w:rsidR="00954CD4" w:rsidRPr="00954CD4" w:rsidRDefault="00954CD4" w:rsidP="0099359D">
      <w:pPr>
        <w:spacing w:line="276" w:lineRule="auto"/>
        <w:rPr>
          <w:rFonts w:ascii="Arial" w:hAnsi="Arial" w:cs="Arial"/>
          <w:b/>
          <w:bCs/>
          <w:sz w:val="24"/>
          <w:szCs w:val="24"/>
        </w:rPr>
      </w:pPr>
    </w:p>
    <w:sectPr w:rsidR="00954CD4" w:rsidRPr="00954CD4" w:rsidSect="00954CD4">
      <w:footerReference w:type="even" r:id="rId8"/>
      <w:footerReference w:type="default" r:id="rId9"/>
      <w:pgSz w:w="11906" w:h="16838" w:code="9"/>
      <w:pgMar w:top="180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12081" w14:textId="77777777" w:rsidR="00EF61F0" w:rsidRDefault="00EF61F0" w:rsidP="00785540">
      <w:pPr>
        <w:spacing w:before="0"/>
      </w:pPr>
      <w:r>
        <w:separator/>
      </w:r>
    </w:p>
  </w:endnote>
  <w:endnote w:type="continuationSeparator" w:id="0">
    <w:p w14:paraId="5153C268" w14:textId="77777777" w:rsidR="00EF61F0" w:rsidRDefault="00EF61F0" w:rsidP="0078554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9BD72" w14:textId="77777777" w:rsidR="00B336C5" w:rsidRDefault="00E05653">
    <w:pPr>
      <w:pStyle w:val="Footer"/>
      <w:framePr w:wrap="around" w:vAnchor="text" w:hAnchor="margin" w:xAlign="center" w:y="1"/>
    </w:pPr>
    <w:r>
      <w:rPr>
        <w:lang w:bidi="en-GB"/>
      </w:rPr>
      <w:fldChar w:fldCharType="begin"/>
    </w:r>
    <w:r>
      <w:rPr>
        <w:lang w:bidi="en-GB"/>
      </w:rPr>
      <w:instrText xml:space="preserve">PAGE  </w:instrText>
    </w:r>
    <w:r>
      <w:rPr>
        <w:lang w:bidi="en-GB"/>
      </w:rPr>
      <w:fldChar w:fldCharType="separate"/>
    </w:r>
    <w:r>
      <w:rPr>
        <w:noProof/>
        <w:lang w:bidi="en-GB"/>
      </w:rPr>
      <w:t>1</w:t>
    </w:r>
    <w:r>
      <w:rPr>
        <w:lang w:bidi="en-GB"/>
      </w:rPr>
      <w:fldChar w:fldCharType="end"/>
    </w:r>
  </w:p>
  <w:p w14:paraId="19F58FCA" w14:textId="77777777" w:rsidR="00B336C5" w:rsidRDefault="00643B42">
    <w:pPr>
      <w:pStyle w:val="Footer"/>
    </w:pPr>
  </w:p>
  <w:p w14:paraId="7C99F5E5" w14:textId="77777777" w:rsidR="00B336C5" w:rsidRDefault="00643B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95F5" w14:textId="77777777" w:rsidR="00B336C5" w:rsidRDefault="00E05653">
    <w:pPr>
      <w:pStyle w:val="Footer"/>
    </w:pPr>
    <w:r>
      <w:rPr>
        <w:lang w:bidi="en-GB"/>
      </w:rPr>
      <w:fldChar w:fldCharType="begin"/>
    </w:r>
    <w:r>
      <w:rPr>
        <w:lang w:bidi="en-GB"/>
      </w:rPr>
      <w:instrText xml:space="preserve"> PAGE </w:instrText>
    </w:r>
    <w:r>
      <w:rPr>
        <w:lang w:bidi="en-GB"/>
      </w:rPr>
      <w:fldChar w:fldCharType="separate"/>
    </w:r>
    <w:r w:rsidR="00933B8F">
      <w:rPr>
        <w:noProof/>
        <w:lang w:bidi="en-GB"/>
      </w:rPr>
      <w:t>2</w:t>
    </w:r>
    <w:r>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47BEA" w14:textId="77777777" w:rsidR="00EF61F0" w:rsidRDefault="00EF61F0" w:rsidP="00785540">
      <w:pPr>
        <w:spacing w:before="0"/>
      </w:pPr>
      <w:r>
        <w:separator/>
      </w:r>
    </w:p>
  </w:footnote>
  <w:footnote w:type="continuationSeparator" w:id="0">
    <w:p w14:paraId="010B46D6" w14:textId="77777777" w:rsidR="00EF61F0" w:rsidRDefault="00EF61F0" w:rsidP="00785540">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400BE4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82C914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0803D0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E600CF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CDE3A1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92650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762AFB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4B25D6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DF68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2FC46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9B389F"/>
    <w:multiLevelType w:val="hybridMultilevel"/>
    <w:tmpl w:val="DC08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6E3C4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EC40C35"/>
    <w:multiLevelType w:val="hybridMultilevel"/>
    <w:tmpl w:val="FB6289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6531FB"/>
    <w:multiLevelType w:val="hybridMultilevel"/>
    <w:tmpl w:val="C3FA033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7E39A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C053E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8720A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6063368"/>
    <w:multiLevelType w:val="hybridMultilevel"/>
    <w:tmpl w:val="09E846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A47D23"/>
    <w:multiLevelType w:val="hybridMultilevel"/>
    <w:tmpl w:val="521C7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363099"/>
    <w:multiLevelType w:val="hybridMultilevel"/>
    <w:tmpl w:val="399C6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01005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9BC7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3AC2A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BE76D6E"/>
    <w:multiLevelType w:val="multilevel"/>
    <w:tmpl w:val="9DD0DD5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F730CB5"/>
    <w:multiLevelType w:val="multilevel"/>
    <w:tmpl w:val="5F58368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097455D"/>
    <w:multiLevelType w:val="hybridMultilevel"/>
    <w:tmpl w:val="940E6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837D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F1C4B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30550FB"/>
    <w:multiLevelType w:val="multilevel"/>
    <w:tmpl w:val="4E46251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9" w15:restartNumberingAfterBreak="0">
    <w:nsid w:val="798F3528"/>
    <w:multiLevelType w:val="multilevel"/>
    <w:tmpl w:val="ACF4B7D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7F104EA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408570002">
    <w:abstractNumId w:val="27"/>
  </w:num>
  <w:num w:numId="2" w16cid:durableId="1921451125">
    <w:abstractNumId w:val="26"/>
  </w:num>
  <w:num w:numId="3" w16cid:durableId="1771506208">
    <w:abstractNumId w:val="23"/>
  </w:num>
  <w:num w:numId="4" w16cid:durableId="1110662285">
    <w:abstractNumId w:val="9"/>
  </w:num>
  <w:num w:numId="5" w16cid:durableId="2017926355">
    <w:abstractNumId w:val="7"/>
  </w:num>
  <w:num w:numId="6" w16cid:durableId="1555238027">
    <w:abstractNumId w:val="6"/>
  </w:num>
  <w:num w:numId="7" w16cid:durableId="785270457">
    <w:abstractNumId w:val="5"/>
  </w:num>
  <w:num w:numId="8" w16cid:durableId="1339698651">
    <w:abstractNumId w:val="4"/>
  </w:num>
  <w:num w:numId="9" w16cid:durableId="1392650994">
    <w:abstractNumId w:val="8"/>
  </w:num>
  <w:num w:numId="10" w16cid:durableId="747921697">
    <w:abstractNumId w:val="3"/>
  </w:num>
  <w:num w:numId="11" w16cid:durableId="1522237289">
    <w:abstractNumId w:val="2"/>
  </w:num>
  <w:num w:numId="12" w16cid:durableId="1377781569">
    <w:abstractNumId w:val="1"/>
  </w:num>
  <w:num w:numId="13" w16cid:durableId="462582455">
    <w:abstractNumId w:val="0"/>
  </w:num>
  <w:num w:numId="14" w16cid:durableId="1345941746">
    <w:abstractNumId w:val="21"/>
  </w:num>
  <w:num w:numId="15" w16cid:durableId="1207372397">
    <w:abstractNumId w:val="20"/>
  </w:num>
  <w:num w:numId="16" w16cid:durableId="1940138502">
    <w:abstractNumId w:val="29"/>
  </w:num>
  <w:num w:numId="17" w16cid:durableId="525406125">
    <w:abstractNumId w:val="28"/>
  </w:num>
  <w:num w:numId="18" w16cid:durableId="1037123668">
    <w:abstractNumId w:val="22"/>
  </w:num>
  <w:num w:numId="19" w16cid:durableId="1795949860">
    <w:abstractNumId w:val="24"/>
  </w:num>
  <w:num w:numId="20" w16cid:durableId="590047495">
    <w:abstractNumId w:val="11"/>
  </w:num>
  <w:num w:numId="21" w16cid:durableId="846479015">
    <w:abstractNumId w:val="15"/>
  </w:num>
  <w:num w:numId="22" w16cid:durableId="616839141">
    <w:abstractNumId w:val="14"/>
  </w:num>
  <w:num w:numId="23" w16cid:durableId="1378701555">
    <w:abstractNumId w:val="16"/>
  </w:num>
  <w:num w:numId="24" w16cid:durableId="104229545">
    <w:abstractNumId w:val="30"/>
  </w:num>
  <w:num w:numId="25" w16cid:durableId="1666660973">
    <w:abstractNumId w:val="18"/>
  </w:num>
  <w:num w:numId="26" w16cid:durableId="1275941201">
    <w:abstractNumId w:val="13"/>
  </w:num>
  <w:num w:numId="27" w16cid:durableId="685908604">
    <w:abstractNumId w:val="25"/>
  </w:num>
  <w:num w:numId="28" w16cid:durableId="1189490930">
    <w:abstractNumId w:val="12"/>
  </w:num>
  <w:num w:numId="29" w16cid:durableId="1647510032">
    <w:abstractNumId w:val="10"/>
  </w:num>
  <w:num w:numId="30" w16cid:durableId="1002975061">
    <w:abstractNumId w:val="17"/>
  </w:num>
  <w:num w:numId="31" w16cid:durableId="13745986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1F0"/>
    <w:rsid w:val="00212D66"/>
    <w:rsid w:val="00293B83"/>
    <w:rsid w:val="00380A52"/>
    <w:rsid w:val="00493BBE"/>
    <w:rsid w:val="00543787"/>
    <w:rsid w:val="00643B42"/>
    <w:rsid w:val="00697389"/>
    <w:rsid w:val="006A3CE7"/>
    <w:rsid w:val="006E4F91"/>
    <w:rsid w:val="007559FD"/>
    <w:rsid w:val="00785540"/>
    <w:rsid w:val="007F47C8"/>
    <w:rsid w:val="008E1F1F"/>
    <w:rsid w:val="00933B8F"/>
    <w:rsid w:val="00954CD4"/>
    <w:rsid w:val="0099359D"/>
    <w:rsid w:val="00DD21A0"/>
    <w:rsid w:val="00DE56BA"/>
    <w:rsid w:val="00DF1164"/>
    <w:rsid w:val="00E05653"/>
    <w:rsid w:val="00E87284"/>
    <w:rsid w:val="00EB38E6"/>
    <w:rsid w:val="00EF61F0"/>
    <w:rsid w:val="00FF1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9454D"/>
  <w15:chartTrackingRefBased/>
  <w15:docId w15:val="{4B388B55-F931-416A-80DD-E7D6E5CDA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2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38E6"/>
    <w:rPr>
      <w:rFonts w:eastAsiaTheme="minorEastAsia" w:cs="Times New Roman"/>
      <w:lang w:val="en-GB"/>
    </w:rPr>
  </w:style>
  <w:style w:type="paragraph" w:styleId="Heading1">
    <w:name w:val="heading 1"/>
    <w:basedOn w:val="Normal"/>
    <w:link w:val="Heading1Char"/>
    <w:uiPriority w:val="9"/>
    <w:qFormat/>
    <w:rsid w:val="00697389"/>
    <w:pPr>
      <w:keepNext/>
      <w:keepLines/>
      <w:outlineLvl w:val="0"/>
    </w:pPr>
    <w:rPr>
      <w:rFonts w:asciiTheme="majorHAnsi" w:hAnsiTheme="majorHAnsi"/>
      <w:b/>
    </w:rPr>
  </w:style>
  <w:style w:type="paragraph" w:styleId="Heading2">
    <w:name w:val="heading 2"/>
    <w:basedOn w:val="Normal"/>
    <w:next w:val="Normal"/>
    <w:link w:val="Heading2Char"/>
    <w:uiPriority w:val="9"/>
    <w:semiHidden/>
    <w:unhideWhenUsed/>
    <w:qFormat/>
    <w:rsid w:val="0069738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9738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97389"/>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9738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697389"/>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697389"/>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697389"/>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697389"/>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540"/>
    <w:rPr>
      <w:rFonts w:asciiTheme="majorHAnsi" w:eastAsiaTheme="minorEastAsia" w:hAnsiTheme="majorHAnsi" w:cs="Times New Roman"/>
      <w:b/>
    </w:rPr>
  </w:style>
  <w:style w:type="table" w:customStyle="1" w:styleId="Memotable">
    <w:name w:val="Memo table"/>
    <w:basedOn w:val="TableNormal"/>
    <w:uiPriority w:val="99"/>
    <w:rsid w:val="00785540"/>
    <w:pPr>
      <w:spacing w:before="240"/>
      <w:contextualSpacing/>
    </w:pPr>
    <w:rPr>
      <w:rFonts w:eastAsiaTheme="minorEastAsia" w:cs="Times New Roman"/>
    </w:rPr>
    <w:tblPr>
      <w:tblBorders>
        <w:bottom w:val="single" w:sz="2" w:space="0" w:color="auto"/>
      </w:tblBorders>
    </w:tblPr>
    <w:tblStylePr w:type="firstCol">
      <w:pPr>
        <w:wordWrap/>
        <w:spacing w:beforeLines="0" w:before="240" w:beforeAutospacing="0"/>
        <w:contextualSpacing/>
      </w:pPr>
      <w:rPr>
        <w:rFonts w:asciiTheme="majorHAnsi" w:hAnsiTheme="majorHAnsi"/>
      </w:rPr>
    </w:tblStylePr>
  </w:style>
  <w:style w:type="paragraph" w:customStyle="1" w:styleId="CompanyName">
    <w:name w:val="Company Name"/>
    <w:basedOn w:val="Normal"/>
    <w:uiPriority w:val="1"/>
    <w:qFormat/>
    <w:rsid w:val="00785540"/>
    <w:pPr>
      <w:keepLines/>
      <w:pBdr>
        <w:top w:val="single" w:sz="48" w:space="8" w:color="404040" w:themeColor="text1" w:themeTint="BF"/>
        <w:left w:val="single" w:sz="48" w:space="4" w:color="404040" w:themeColor="text1" w:themeTint="BF"/>
        <w:bottom w:val="single" w:sz="48" w:space="8" w:color="404040" w:themeColor="text1" w:themeTint="BF"/>
        <w:right w:val="single" w:sz="48" w:space="4" w:color="404040" w:themeColor="text1" w:themeTint="BF"/>
      </w:pBdr>
      <w:shd w:val="clear" w:color="auto" w:fill="404040" w:themeFill="text1" w:themeFillTint="BF"/>
      <w:spacing w:before="0"/>
      <w:ind w:left="5040" w:right="288"/>
      <w:jc w:val="center"/>
    </w:pPr>
    <w:rPr>
      <w:rFonts w:asciiTheme="majorHAnsi" w:hAnsiTheme="majorHAnsi"/>
      <w:color w:val="FFFFFF" w:themeColor="background1"/>
      <w:spacing w:val="-15"/>
      <w:sz w:val="32"/>
    </w:rPr>
  </w:style>
  <w:style w:type="paragraph" w:styleId="Footer">
    <w:name w:val="footer"/>
    <w:basedOn w:val="Normal"/>
    <w:link w:val="FooterChar"/>
    <w:uiPriority w:val="99"/>
    <w:unhideWhenUsed/>
    <w:qFormat/>
    <w:rsid w:val="00E05653"/>
    <w:pPr>
      <w:jc w:val="center"/>
    </w:pPr>
  </w:style>
  <w:style w:type="character" w:customStyle="1" w:styleId="FooterChar">
    <w:name w:val="Footer Char"/>
    <w:basedOn w:val="DefaultParagraphFont"/>
    <w:link w:val="Footer"/>
    <w:uiPriority w:val="99"/>
    <w:rsid w:val="00E05653"/>
    <w:rPr>
      <w:rFonts w:eastAsiaTheme="minorEastAsia" w:cs="Times New Roman"/>
    </w:rPr>
  </w:style>
  <w:style w:type="paragraph" w:styleId="Title">
    <w:name w:val="Title"/>
    <w:basedOn w:val="Normal"/>
    <w:link w:val="TitleChar"/>
    <w:uiPriority w:val="2"/>
    <w:qFormat/>
    <w:rsid w:val="00785540"/>
    <w:pPr>
      <w:keepNext/>
      <w:keepLines/>
      <w:spacing w:before="0" w:after="120"/>
      <w:ind w:left="-720"/>
    </w:pPr>
    <w:rPr>
      <w:rFonts w:asciiTheme="majorHAnsi" w:hAnsiTheme="majorHAnsi"/>
      <w:b/>
      <w:kern w:val="28"/>
      <w:sz w:val="108"/>
    </w:rPr>
  </w:style>
  <w:style w:type="character" w:customStyle="1" w:styleId="TitleChar">
    <w:name w:val="Title Char"/>
    <w:basedOn w:val="DefaultParagraphFont"/>
    <w:link w:val="Title"/>
    <w:uiPriority w:val="2"/>
    <w:rsid w:val="00785540"/>
    <w:rPr>
      <w:rFonts w:asciiTheme="majorHAnsi" w:eastAsiaTheme="minorEastAsia" w:hAnsiTheme="majorHAnsi" w:cs="Times New Roman"/>
      <w:b/>
      <w:kern w:val="28"/>
      <w:sz w:val="108"/>
    </w:rPr>
  </w:style>
  <w:style w:type="paragraph" w:styleId="Header">
    <w:name w:val="header"/>
    <w:basedOn w:val="Normal"/>
    <w:link w:val="HeaderChar"/>
    <w:uiPriority w:val="99"/>
    <w:unhideWhenUsed/>
    <w:rsid w:val="00E05653"/>
  </w:style>
  <w:style w:type="character" w:customStyle="1" w:styleId="HeaderChar">
    <w:name w:val="Header Char"/>
    <w:basedOn w:val="DefaultParagraphFont"/>
    <w:link w:val="Header"/>
    <w:uiPriority w:val="99"/>
    <w:rsid w:val="00E05653"/>
    <w:rPr>
      <w:rFonts w:eastAsiaTheme="minorEastAsia" w:cs="Times New Roman"/>
    </w:rPr>
  </w:style>
  <w:style w:type="paragraph" w:styleId="Subtitle">
    <w:name w:val="Subtitle"/>
    <w:basedOn w:val="Normal"/>
    <w:next w:val="Normal"/>
    <w:link w:val="SubtitleChar"/>
    <w:uiPriority w:val="11"/>
    <w:semiHidden/>
    <w:unhideWhenUsed/>
    <w:qFormat/>
    <w:rsid w:val="00E87284"/>
    <w:pPr>
      <w:numPr>
        <w:ilvl w:val="1"/>
      </w:numPr>
      <w:spacing w:after="160"/>
    </w:pPr>
    <w:rPr>
      <w:rFonts w:cstheme="minorBidi"/>
      <w:color w:val="5A5A5A" w:themeColor="text1" w:themeTint="A5"/>
    </w:rPr>
  </w:style>
  <w:style w:type="character" w:customStyle="1" w:styleId="SubtitleChar">
    <w:name w:val="Subtitle Char"/>
    <w:basedOn w:val="DefaultParagraphFont"/>
    <w:link w:val="Subtitle"/>
    <w:uiPriority w:val="11"/>
    <w:semiHidden/>
    <w:rsid w:val="00E87284"/>
    <w:rPr>
      <w:rFonts w:eastAsiaTheme="minorEastAsia"/>
      <w:color w:val="5A5A5A" w:themeColor="text1" w:themeTint="A5"/>
    </w:rPr>
  </w:style>
  <w:style w:type="character" w:styleId="IntenseEmphasis">
    <w:name w:val="Intense Emphasis"/>
    <w:basedOn w:val="DefaultParagraphFont"/>
    <w:uiPriority w:val="21"/>
    <w:semiHidden/>
    <w:unhideWhenUsed/>
    <w:qFormat/>
    <w:rsid w:val="00E87284"/>
    <w:rPr>
      <w:i/>
      <w:iCs/>
      <w:color w:val="244061" w:themeColor="accent1" w:themeShade="80"/>
    </w:rPr>
  </w:style>
  <w:style w:type="paragraph" w:styleId="IntenseQuote">
    <w:name w:val="Intense Quote"/>
    <w:basedOn w:val="Normal"/>
    <w:next w:val="Normal"/>
    <w:link w:val="IntenseQuoteChar"/>
    <w:uiPriority w:val="30"/>
    <w:semiHidden/>
    <w:unhideWhenUsed/>
    <w:qFormat/>
    <w:rsid w:val="00E87284"/>
    <w:pPr>
      <w:pBdr>
        <w:top w:val="single" w:sz="4" w:space="10" w:color="244061" w:themeColor="accent1" w:themeShade="80"/>
        <w:bottom w:val="single" w:sz="4" w:space="10" w:color="244061" w:themeColor="accent1" w:themeShade="80"/>
      </w:pBdr>
      <w:spacing w:before="360" w:after="360"/>
      <w:ind w:left="864" w:right="864"/>
      <w:jc w:val="center"/>
    </w:pPr>
    <w:rPr>
      <w:i/>
      <w:iCs/>
      <w:color w:val="244061" w:themeColor="accent1" w:themeShade="80"/>
    </w:rPr>
  </w:style>
  <w:style w:type="character" w:customStyle="1" w:styleId="IntenseQuoteChar">
    <w:name w:val="Intense Quote Char"/>
    <w:basedOn w:val="DefaultParagraphFont"/>
    <w:link w:val="IntenseQuote"/>
    <w:uiPriority w:val="30"/>
    <w:semiHidden/>
    <w:rsid w:val="00E87284"/>
    <w:rPr>
      <w:rFonts w:eastAsiaTheme="minorEastAsia" w:cs="Times New Roman"/>
      <w:i/>
      <w:iCs/>
      <w:color w:val="244061" w:themeColor="accent1" w:themeShade="80"/>
    </w:rPr>
  </w:style>
  <w:style w:type="character" w:styleId="IntenseReference">
    <w:name w:val="Intense Reference"/>
    <w:basedOn w:val="DefaultParagraphFont"/>
    <w:uiPriority w:val="32"/>
    <w:semiHidden/>
    <w:unhideWhenUsed/>
    <w:qFormat/>
    <w:rsid w:val="00E87284"/>
    <w:rPr>
      <w:b/>
      <w:bCs/>
      <w:caps w:val="0"/>
      <w:smallCaps/>
      <w:color w:val="244061" w:themeColor="accent1" w:themeShade="80"/>
      <w:spacing w:val="5"/>
    </w:rPr>
  </w:style>
  <w:style w:type="paragraph" w:styleId="BlockText">
    <w:name w:val="Block Text"/>
    <w:basedOn w:val="Normal"/>
    <w:uiPriority w:val="99"/>
    <w:semiHidden/>
    <w:unhideWhenUsed/>
    <w:rsid w:val="00E87284"/>
    <w:pPr>
      <w:pBdr>
        <w:top w:val="single" w:sz="2" w:space="10" w:color="244061" w:themeColor="accent1" w:themeShade="80" w:shadow="1"/>
        <w:left w:val="single" w:sz="2" w:space="10" w:color="244061" w:themeColor="accent1" w:themeShade="80" w:shadow="1"/>
        <w:bottom w:val="single" w:sz="2" w:space="10" w:color="244061" w:themeColor="accent1" w:themeShade="80" w:shadow="1"/>
        <w:right w:val="single" w:sz="2" w:space="10" w:color="244061" w:themeColor="accent1" w:themeShade="80" w:shadow="1"/>
      </w:pBdr>
      <w:ind w:left="1152" w:right="1152"/>
    </w:pPr>
    <w:rPr>
      <w:rFonts w:cstheme="minorBidi"/>
      <w:i/>
      <w:iCs/>
      <w:color w:val="244061" w:themeColor="accent1" w:themeShade="80"/>
    </w:rPr>
  </w:style>
  <w:style w:type="character" w:styleId="FollowedHyperlink">
    <w:name w:val="FollowedHyperlink"/>
    <w:basedOn w:val="DefaultParagraphFont"/>
    <w:uiPriority w:val="99"/>
    <w:semiHidden/>
    <w:unhideWhenUsed/>
    <w:rsid w:val="00E87284"/>
    <w:rPr>
      <w:color w:val="403152" w:themeColor="accent4" w:themeShade="80"/>
      <w:u w:val="single"/>
    </w:rPr>
  </w:style>
  <w:style w:type="character" w:styleId="Hyperlink">
    <w:name w:val="Hyperlink"/>
    <w:basedOn w:val="DefaultParagraphFont"/>
    <w:uiPriority w:val="99"/>
    <w:semiHidden/>
    <w:unhideWhenUsed/>
    <w:rsid w:val="00E87284"/>
    <w:rPr>
      <w:color w:val="1F497D" w:themeColor="text2"/>
      <w:u w:val="single"/>
    </w:rPr>
  </w:style>
  <w:style w:type="character" w:customStyle="1" w:styleId="Mention1">
    <w:name w:val="Mention1"/>
    <w:basedOn w:val="DefaultParagraphFont"/>
    <w:uiPriority w:val="99"/>
    <w:semiHidden/>
    <w:unhideWhenUsed/>
    <w:rsid w:val="00E87284"/>
    <w:rPr>
      <w:color w:val="244061" w:themeColor="accent1" w:themeShade="80"/>
      <w:shd w:val="clear" w:color="auto" w:fill="E6E6E6"/>
    </w:rPr>
  </w:style>
  <w:style w:type="character" w:styleId="PlaceholderText">
    <w:name w:val="Placeholder Text"/>
    <w:basedOn w:val="DefaultParagraphFont"/>
    <w:uiPriority w:val="99"/>
    <w:semiHidden/>
    <w:rsid w:val="00E87284"/>
    <w:rPr>
      <w:color w:val="595959" w:themeColor="text1" w:themeTint="A6"/>
    </w:rPr>
  </w:style>
  <w:style w:type="character" w:customStyle="1" w:styleId="Heading8Char">
    <w:name w:val="Heading 8 Char"/>
    <w:basedOn w:val="DefaultParagraphFont"/>
    <w:link w:val="Heading8"/>
    <w:uiPriority w:val="9"/>
    <w:semiHidden/>
    <w:rsid w:val="00697389"/>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697389"/>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697389"/>
    <w:pPr>
      <w:spacing w:before="0" w:after="200"/>
    </w:pPr>
    <w:rPr>
      <w:i/>
      <w:iCs/>
      <w:color w:val="1F497D" w:themeColor="text2"/>
      <w:szCs w:val="18"/>
    </w:rPr>
  </w:style>
  <w:style w:type="paragraph" w:styleId="BalloonText">
    <w:name w:val="Balloon Text"/>
    <w:basedOn w:val="Normal"/>
    <w:link w:val="BalloonTextChar"/>
    <w:uiPriority w:val="99"/>
    <w:semiHidden/>
    <w:unhideWhenUsed/>
    <w:rsid w:val="00697389"/>
    <w:pPr>
      <w:spacing w:before="0"/>
    </w:pPr>
    <w:rPr>
      <w:rFonts w:ascii="Segoe UI" w:hAnsi="Segoe UI" w:cs="Segoe UI"/>
      <w:szCs w:val="18"/>
    </w:rPr>
  </w:style>
  <w:style w:type="character" w:customStyle="1" w:styleId="BalloonTextChar">
    <w:name w:val="Balloon Text Char"/>
    <w:basedOn w:val="DefaultParagraphFont"/>
    <w:link w:val="BalloonText"/>
    <w:uiPriority w:val="99"/>
    <w:semiHidden/>
    <w:rsid w:val="00697389"/>
    <w:rPr>
      <w:rFonts w:ascii="Segoe UI" w:eastAsiaTheme="minorEastAsia" w:hAnsi="Segoe UI" w:cs="Segoe UI"/>
      <w:szCs w:val="18"/>
    </w:rPr>
  </w:style>
  <w:style w:type="paragraph" w:styleId="BodyText3">
    <w:name w:val="Body Text 3"/>
    <w:basedOn w:val="Normal"/>
    <w:link w:val="BodyText3Char"/>
    <w:uiPriority w:val="99"/>
    <w:semiHidden/>
    <w:unhideWhenUsed/>
    <w:rsid w:val="00697389"/>
    <w:pPr>
      <w:spacing w:after="120"/>
    </w:pPr>
    <w:rPr>
      <w:szCs w:val="16"/>
    </w:rPr>
  </w:style>
  <w:style w:type="character" w:customStyle="1" w:styleId="BodyText3Char">
    <w:name w:val="Body Text 3 Char"/>
    <w:basedOn w:val="DefaultParagraphFont"/>
    <w:link w:val="BodyText3"/>
    <w:uiPriority w:val="99"/>
    <w:semiHidden/>
    <w:rsid w:val="00697389"/>
    <w:rPr>
      <w:rFonts w:eastAsiaTheme="minorEastAsia" w:cs="Times New Roman"/>
      <w:szCs w:val="16"/>
    </w:rPr>
  </w:style>
  <w:style w:type="paragraph" w:styleId="BodyTextIndent3">
    <w:name w:val="Body Text Indent 3"/>
    <w:basedOn w:val="Normal"/>
    <w:link w:val="BodyTextIndent3Char"/>
    <w:uiPriority w:val="99"/>
    <w:semiHidden/>
    <w:unhideWhenUsed/>
    <w:rsid w:val="00697389"/>
    <w:pPr>
      <w:spacing w:after="120"/>
      <w:ind w:left="360"/>
    </w:pPr>
    <w:rPr>
      <w:szCs w:val="16"/>
    </w:rPr>
  </w:style>
  <w:style w:type="character" w:customStyle="1" w:styleId="BodyTextIndent3Char">
    <w:name w:val="Body Text Indent 3 Char"/>
    <w:basedOn w:val="DefaultParagraphFont"/>
    <w:link w:val="BodyTextIndent3"/>
    <w:uiPriority w:val="99"/>
    <w:semiHidden/>
    <w:rsid w:val="00697389"/>
    <w:rPr>
      <w:rFonts w:eastAsiaTheme="minorEastAsia" w:cs="Times New Roman"/>
      <w:szCs w:val="16"/>
    </w:rPr>
  </w:style>
  <w:style w:type="character" w:styleId="CommentReference">
    <w:name w:val="annotation reference"/>
    <w:basedOn w:val="DefaultParagraphFont"/>
    <w:uiPriority w:val="99"/>
    <w:semiHidden/>
    <w:unhideWhenUsed/>
    <w:rsid w:val="00697389"/>
    <w:rPr>
      <w:sz w:val="22"/>
      <w:szCs w:val="16"/>
    </w:rPr>
  </w:style>
  <w:style w:type="paragraph" w:styleId="CommentText">
    <w:name w:val="annotation text"/>
    <w:basedOn w:val="Normal"/>
    <w:link w:val="CommentTextChar"/>
    <w:uiPriority w:val="99"/>
    <w:semiHidden/>
    <w:unhideWhenUsed/>
    <w:rsid w:val="00697389"/>
    <w:rPr>
      <w:szCs w:val="20"/>
    </w:rPr>
  </w:style>
  <w:style w:type="character" w:customStyle="1" w:styleId="CommentTextChar">
    <w:name w:val="Comment Text Char"/>
    <w:basedOn w:val="DefaultParagraphFont"/>
    <w:link w:val="CommentText"/>
    <w:uiPriority w:val="99"/>
    <w:semiHidden/>
    <w:rsid w:val="00697389"/>
    <w:rPr>
      <w:rFonts w:eastAsiaTheme="minorEastAsia" w:cs="Times New Roman"/>
      <w:szCs w:val="20"/>
    </w:rPr>
  </w:style>
  <w:style w:type="paragraph" w:styleId="CommentSubject">
    <w:name w:val="annotation subject"/>
    <w:basedOn w:val="CommentText"/>
    <w:next w:val="CommentText"/>
    <w:link w:val="CommentSubjectChar"/>
    <w:uiPriority w:val="99"/>
    <w:semiHidden/>
    <w:unhideWhenUsed/>
    <w:rsid w:val="00697389"/>
    <w:rPr>
      <w:b/>
      <w:bCs/>
    </w:rPr>
  </w:style>
  <w:style w:type="character" w:customStyle="1" w:styleId="CommentSubjectChar">
    <w:name w:val="Comment Subject Char"/>
    <w:basedOn w:val="CommentTextChar"/>
    <w:link w:val="CommentSubject"/>
    <w:uiPriority w:val="99"/>
    <w:semiHidden/>
    <w:rsid w:val="00697389"/>
    <w:rPr>
      <w:rFonts w:eastAsiaTheme="minorEastAsia" w:cs="Times New Roman"/>
      <w:b/>
      <w:bCs/>
      <w:szCs w:val="20"/>
    </w:rPr>
  </w:style>
  <w:style w:type="paragraph" w:styleId="DocumentMap">
    <w:name w:val="Document Map"/>
    <w:basedOn w:val="Normal"/>
    <w:link w:val="DocumentMapChar"/>
    <w:uiPriority w:val="99"/>
    <w:semiHidden/>
    <w:unhideWhenUsed/>
    <w:rsid w:val="00697389"/>
    <w:pPr>
      <w:spacing w:before="0"/>
    </w:pPr>
    <w:rPr>
      <w:rFonts w:ascii="Segoe UI" w:hAnsi="Segoe UI" w:cs="Segoe UI"/>
      <w:szCs w:val="16"/>
    </w:rPr>
  </w:style>
  <w:style w:type="character" w:customStyle="1" w:styleId="DocumentMapChar">
    <w:name w:val="Document Map Char"/>
    <w:basedOn w:val="DefaultParagraphFont"/>
    <w:link w:val="DocumentMap"/>
    <w:uiPriority w:val="99"/>
    <w:semiHidden/>
    <w:rsid w:val="00697389"/>
    <w:rPr>
      <w:rFonts w:ascii="Segoe UI" w:eastAsiaTheme="minorEastAsia" w:hAnsi="Segoe UI" w:cs="Segoe UI"/>
      <w:szCs w:val="16"/>
    </w:rPr>
  </w:style>
  <w:style w:type="paragraph" w:styleId="EndnoteText">
    <w:name w:val="endnote text"/>
    <w:basedOn w:val="Normal"/>
    <w:link w:val="EndnoteTextChar"/>
    <w:uiPriority w:val="99"/>
    <w:semiHidden/>
    <w:unhideWhenUsed/>
    <w:rsid w:val="00697389"/>
    <w:pPr>
      <w:spacing w:before="0"/>
    </w:pPr>
    <w:rPr>
      <w:szCs w:val="20"/>
    </w:rPr>
  </w:style>
  <w:style w:type="character" w:customStyle="1" w:styleId="EndnoteTextChar">
    <w:name w:val="Endnote Text Char"/>
    <w:basedOn w:val="DefaultParagraphFont"/>
    <w:link w:val="EndnoteText"/>
    <w:uiPriority w:val="99"/>
    <w:semiHidden/>
    <w:rsid w:val="00697389"/>
    <w:rPr>
      <w:rFonts w:eastAsiaTheme="minorEastAsia" w:cs="Times New Roman"/>
      <w:szCs w:val="20"/>
    </w:rPr>
  </w:style>
  <w:style w:type="paragraph" w:styleId="EnvelopeReturn">
    <w:name w:val="envelope return"/>
    <w:basedOn w:val="Normal"/>
    <w:uiPriority w:val="99"/>
    <w:semiHidden/>
    <w:unhideWhenUsed/>
    <w:rsid w:val="00697389"/>
    <w:pPr>
      <w:spacing w:before="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97389"/>
    <w:pPr>
      <w:spacing w:before="0"/>
    </w:pPr>
    <w:rPr>
      <w:szCs w:val="20"/>
    </w:rPr>
  </w:style>
  <w:style w:type="character" w:customStyle="1" w:styleId="FootnoteTextChar">
    <w:name w:val="Footnote Text Char"/>
    <w:basedOn w:val="DefaultParagraphFont"/>
    <w:link w:val="FootnoteText"/>
    <w:uiPriority w:val="99"/>
    <w:semiHidden/>
    <w:rsid w:val="00697389"/>
    <w:rPr>
      <w:rFonts w:eastAsiaTheme="minorEastAsia" w:cs="Times New Roman"/>
      <w:szCs w:val="20"/>
    </w:rPr>
  </w:style>
  <w:style w:type="character" w:styleId="HTMLCode">
    <w:name w:val="HTML Code"/>
    <w:basedOn w:val="DefaultParagraphFont"/>
    <w:uiPriority w:val="99"/>
    <w:semiHidden/>
    <w:unhideWhenUsed/>
    <w:rsid w:val="00697389"/>
    <w:rPr>
      <w:rFonts w:ascii="Consolas" w:hAnsi="Consolas"/>
      <w:sz w:val="22"/>
      <w:szCs w:val="20"/>
    </w:rPr>
  </w:style>
  <w:style w:type="character" w:styleId="HTMLKeyboard">
    <w:name w:val="HTML Keyboard"/>
    <w:basedOn w:val="DefaultParagraphFont"/>
    <w:uiPriority w:val="99"/>
    <w:semiHidden/>
    <w:unhideWhenUsed/>
    <w:rsid w:val="00697389"/>
    <w:rPr>
      <w:rFonts w:ascii="Consolas" w:hAnsi="Consolas"/>
      <w:sz w:val="22"/>
      <w:szCs w:val="20"/>
    </w:rPr>
  </w:style>
  <w:style w:type="paragraph" w:styleId="HTMLPreformatted">
    <w:name w:val="HTML Preformatted"/>
    <w:basedOn w:val="Normal"/>
    <w:link w:val="HTMLPreformattedChar"/>
    <w:uiPriority w:val="99"/>
    <w:semiHidden/>
    <w:unhideWhenUsed/>
    <w:rsid w:val="00697389"/>
    <w:pPr>
      <w:spacing w:before="0"/>
    </w:pPr>
    <w:rPr>
      <w:rFonts w:ascii="Consolas" w:hAnsi="Consolas"/>
      <w:szCs w:val="20"/>
    </w:rPr>
  </w:style>
  <w:style w:type="character" w:customStyle="1" w:styleId="HTMLPreformattedChar">
    <w:name w:val="HTML Preformatted Char"/>
    <w:basedOn w:val="DefaultParagraphFont"/>
    <w:link w:val="HTMLPreformatted"/>
    <w:uiPriority w:val="99"/>
    <w:semiHidden/>
    <w:rsid w:val="00697389"/>
    <w:rPr>
      <w:rFonts w:ascii="Consolas" w:eastAsiaTheme="minorEastAsia" w:hAnsi="Consolas" w:cs="Times New Roman"/>
      <w:szCs w:val="20"/>
    </w:rPr>
  </w:style>
  <w:style w:type="character" w:styleId="HTMLTypewriter">
    <w:name w:val="HTML Typewriter"/>
    <w:basedOn w:val="DefaultParagraphFont"/>
    <w:uiPriority w:val="99"/>
    <w:semiHidden/>
    <w:unhideWhenUsed/>
    <w:rsid w:val="00697389"/>
    <w:rPr>
      <w:rFonts w:ascii="Consolas" w:hAnsi="Consolas"/>
      <w:sz w:val="22"/>
      <w:szCs w:val="20"/>
    </w:rPr>
  </w:style>
  <w:style w:type="paragraph" w:styleId="MacroText">
    <w:name w:val="macro"/>
    <w:link w:val="MacroTextChar"/>
    <w:uiPriority w:val="99"/>
    <w:semiHidden/>
    <w:unhideWhenUsed/>
    <w:rsid w:val="00697389"/>
    <w:pPr>
      <w:tabs>
        <w:tab w:val="left" w:pos="480"/>
        <w:tab w:val="left" w:pos="960"/>
        <w:tab w:val="left" w:pos="1440"/>
        <w:tab w:val="left" w:pos="1920"/>
        <w:tab w:val="left" w:pos="2400"/>
        <w:tab w:val="left" w:pos="2880"/>
        <w:tab w:val="left" w:pos="3360"/>
        <w:tab w:val="left" w:pos="3840"/>
        <w:tab w:val="left" w:pos="4320"/>
      </w:tabs>
    </w:pPr>
    <w:rPr>
      <w:rFonts w:ascii="Consolas" w:eastAsiaTheme="minorEastAsia" w:hAnsi="Consolas" w:cs="Times New Roman"/>
      <w:szCs w:val="20"/>
    </w:rPr>
  </w:style>
  <w:style w:type="character" w:customStyle="1" w:styleId="MacroTextChar">
    <w:name w:val="Macro Text Char"/>
    <w:basedOn w:val="DefaultParagraphFont"/>
    <w:link w:val="MacroText"/>
    <w:uiPriority w:val="99"/>
    <w:semiHidden/>
    <w:rsid w:val="00697389"/>
    <w:rPr>
      <w:rFonts w:ascii="Consolas" w:eastAsiaTheme="minorEastAsia" w:hAnsi="Consolas" w:cs="Times New Roman"/>
      <w:szCs w:val="20"/>
    </w:rPr>
  </w:style>
  <w:style w:type="paragraph" w:styleId="PlainText">
    <w:name w:val="Plain Text"/>
    <w:basedOn w:val="Normal"/>
    <w:link w:val="PlainTextChar"/>
    <w:uiPriority w:val="99"/>
    <w:semiHidden/>
    <w:unhideWhenUsed/>
    <w:rsid w:val="00697389"/>
    <w:pPr>
      <w:spacing w:before="0"/>
    </w:pPr>
    <w:rPr>
      <w:rFonts w:ascii="Consolas" w:hAnsi="Consolas"/>
      <w:szCs w:val="21"/>
    </w:rPr>
  </w:style>
  <w:style w:type="character" w:customStyle="1" w:styleId="PlainTextChar">
    <w:name w:val="Plain Text Char"/>
    <w:basedOn w:val="DefaultParagraphFont"/>
    <w:link w:val="PlainText"/>
    <w:uiPriority w:val="99"/>
    <w:semiHidden/>
    <w:rsid w:val="00697389"/>
    <w:rPr>
      <w:rFonts w:ascii="Consolas" w:eastAsiaTheme="minorEastAsia" w:hAnsi="Consolas" w:cs="Times New Roman"/>
      <w:szCs w:val="21"/>
    </w:rPr>
  </w:style>
  <w:style w:type="character" w:customStyle="1" w:styleId="Heading7Char">
    <w:name w:val="Heading 7 Char"/>
    <w:basedOn w:val="DefaultParagraphFont"/>
    <w:link w:val="Heading7"/>
    <w:uiPriority w:val="9"/>
    <w:semiHidden/>
    <w:rsid w:val="00697389"/>
    <w:rPr>
      <w:rFonts w:asciiTheme="majorHAnsi" w:eastAsiaTheme="majorEastAsia" w:hAnsiTheme="majorHAnsi" w:cstheme="majorBidi"/>
      <w:i/>
      <w:iCs/>
      <w:color w:val="243F60" w:themeColor="accent1" w:themeShade="7F"/>
    </w:rPr>
  </w:style>
  <w:style w:type="character" w:customStyle="1" w:styleId="Heading6Char">
    <w:name w:val="Heading 6 Char"/>
    <w:basedOn w:val="DefaultParagraphFont"/>
    <w:link w:val="Heading6"/>
    <w:uiPriority w:val="9"/>
    <w:semiHidden/>
    <w:rsid w:val="00697389"/>
    <w:rPr>
      <w:rFonts w:asciiTheme="majorHAnsi" w:eastAsiaTheme="majorEastAsia" w:hAnsiTheme="majorHAnsi" w:cstheme="majorBidi"/>
      <w:color w:val="243F60" w:themeColor="accent1" w:themeShade="7F"/>
    </w:rPr>
  </w:style>
  <w:style w:type="character" w:customStyle="1" w:styleId="Heading5Char">
    <w:name w:val="Heading 5 Char"/>
    <w:basedOn w:val="DefaultParagraphFont"/>
    <w:link w:val="Heading5"/>
    <w:uiPriority w:val="9"/>
    <w:semiHidden/>
    <w:rsid w:val="00697389"/>
    <w:rPr>
      <w:rFonts w:asciiTheme="majorHAnsi" w:eastAsiaTheme="majorEastAsia" w:hAnsiTheme="majorHAnsi" w:cstheme="majorBidi"/>
      <w:color w:val="365F91" w:themeColor="accent1" w:themeShade="BF"/>
    </w:rPr>
  </w:style>
  <w:style w:type="character" w:customStyle="1" w:styleId="Heading4Char">
    <w:name w:val="Heading 4 Char"/>
    <w:basedOn w:val="DefaultParagraphFont"/>
    <w:link w:val="Heading4"/>
    <w:uiPriority w:val="9"/>
    <w:semiHidden/>
    <w:rsid w:val="00697389"/>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sid w:val="00697389"/>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semiHidden/>
    <w:rsid w:val="0069738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unhideWhenUsed/>
    <w:qFormat/>
    <w:rsid w:val="00EF61F0"/>
    <w:pPr>
      <w:ind w:left="720"/>
      <w:contextualSpacing/>
    </w:pPr>
  </w:style>
  <w:style w:type="table" w:styleId="GridTable5Dark-Accent3">
    <w:name w:val="Grid Table 5 Dark Accent 3"/>
    <w:basedOn w:val="TableNormal"/>
    <w:uiPriority w:val="50"/>
    <w:rsid w:val="006E4F91"/>
    <w:pPr>
      <w:spacing w:before="0"/>
    </w:pPr>
    <w:rPr>
      <w:kern w:val="2"/>
      <w:lang w:val="en-GB"/>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tyle1">
    <w:name w:val="Style1"/>
    <w:basedOn w:val="Title"/>
    <w:link w:val="Style1Char"/>
    <w:qFormat/>
    <w:rsid w:val="006E4F91"/>
    <w:pPr>
      <w:jc w:val="right"/>
    </w:pPr>
    <w:rPr>
      <w:rFonts w:ascii="Arial" w:hAnsi="Arial"/>
      <w:bCs/>
    </w:rPr>
  </w:style>
  <w:style w:type="paragraph" w:styleId="NoSpacing">
    <w:name w:val="No Spacing"/>
    <w:link w:val="NoSpacingChar"/>
    <w:uiPriority w:val="1"/>
    <w:qFormat/>
    <w:rsid w:val="00954CD4"/>
    <w:pPr>
      <w:spacing w:before="0"/>
    </w:pPr>
    <w:rPr>
      <w:rFonts w:eastAsiaTheme="minorEastAsia"/>
    </w:rPr>
  </w:style>
  <w:style w:type="character" w:customStyle="1" w:styleId="Style1Char">
    <w:name w:val="Style1 Char"/>
    <w:basedOn w:val="TitleChar"/>
    <w:link w:val="Style1"/>
    <w:rsid w:val="006E4F91"/>
    <w:rPr>
      <w:rFonts w:ascii="Arial" w:eastAsiaTheme="minorEastAsia" w:hAnsi="Arial" w:cs="Times New Roman"/>
      <w:b/>
      <w:bCs/>
      <w:kern w:val="28"/>
      <w:sz w:val="108"/>
    </w:rPr>
  </w:style>
  <w:style w:type="character" w:customStyle="1" w:styleId="NoSpacingChar">
    <w:name w:val="No Spacing Char"/>
    <w:basedOn w:val="DefaultParagraphFont"/>
    <w:link w:val="NoSpacing"/>
    <w:uiPriority w:val="1"/>
    <w:rsid w:val="00954CD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e.thomas.PEMBS-HA\AppData\Roaming\Microsoft\Templates\Interoffice%20Memo%20(Professional%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D73DF4C749424E8D025135B6451691"/>
        <w:category>
          <w:name w:val="General"/>
          <w:gallery w:val="placeholder"/>
        </w:category>
        <w:types>
          <w:type w:val="bbPlcHdr"/>
        </w:types>
        <w:behaviors>
          <w:behavior w:val="content"/>
        </w:behaviors>
        <w:guid w:val="{74F4544E-6FAD-4D68-9F29-2E6B639CFDF4}"/>
      </w:docPartPr>
      <w:docPartBody>
        <w:p w:rsidR="00000000" w:rsidRDefault="007D195C">
          <w:pPr>
            <w:pStyle w:val="01D73DF4C749424E8D025135B6451691"/>
          </w:pPr>
          <w:r>
            <w:rPr>
              <w:lang w:bidi="en-GB"/>
            </w:rPr>
            <w:t>Memo</w:t>
          </w:r>
        </w:p>
      </w:docPartBody>
    </w:docPart>
    <w:docPart>
      <w:docPartPr>
        <w:name w:val="2E9DACA60FDD4A3C9FB8BF40B24AC67E"/>
        <w:category>
          <w:name w:val="General"/>
          <w:gallery w:val="placeholder"/>
        </w:category>
        <w:types>
          <w:type w:val="bbPlcHdr"/>
        </w:types>
        <w:behaviors>
          <w:behavior w:val="content"/>
        </w:behaviors>
        <w:guid w:val="{481487C3-75B1-42EA-AF3C-C92A2BFCE246}"/>
      </w:docPartPr>
      <w:docPartBody>
        <w:p w:rsidR="00000000" w:rsidRDefault="007D195C">
          <w:pPr>
            <w:pStyle w:val="2E9DACA60FDD4A3C9FB8BF40B24AC67E"/>
          </w:pPr>
          <w:r w:rsidRPr="006F57FD">
            <w:rPr>
              <w:lang w:bidi="en-GB"/>
            </w:rPr>
            <w:t>To:</w:t>
          </w:r>
        </w:p>
      </w:docPartBody>
    </w:docPart>
    <w:docPart>
      <w:docPartPr>
        <w:name w:val="7079629CA77D421DAE5FC3BC55D3B951"/>
        <w:category>
          <w:name w:val="General"/>
          <w:gallery w:val="placeholder"/>
        </w:category>
        <w:types>
          <w:type w:val="bbPlcHdr"/>
        </w:types>
        <w:behaviors>
          <w:behavior w:val="content"/>
        </w:behaviors>
        <w:guid w:val="{D55E14A2-AED7-4D92-B20B-F014346CB9BA}"/>
      </w:docPartPr>
      <w:docPartBody>
        <w:p w:rsidR="00000000" w:rsidRDefault="007D195C">
          <w:pPr>
            <w:pStyle w:val="7079629CA77D421DAE5FC3BC55D3B951"/>
          </w:pPr>
          <w:r w:rsidRPr="006F57FD">
            <w:rPr>
              <w:lang w:bidi="en-GB"/>
            </w:rPr>
            <w:t>From:</w:t>
          </w:r>
        </w:p>
      </w:docPartBody>
    </w:docPart>
    <w:docPart>
      <w:docPartPr>
        <w:name w:val="56B50AE96A8A4FB89ABE9F604809B1F4"/>
        <w:category>
          <w:name w:val="General"/>
          <w:gallery w:val="placeholder"/>
        </w:category>
        <w:types>
          <w:type w:val="bbPlcHdr"/>
        </w:types>
        <w:behaviors>
          <w:behavior w:val="content"/>
        </w:behaviors>
        <w:guid w:val="{3BFAC557-8084-44FF-B59D-244E8FF3E627}"/>
      </w:docPartPr>
      <w:docPartBody>
        <w:p w:rsidR="00000000" w:rsidRDefault="007D195C">
          <w:pPr>
            <w:pStyle w:val="56B50AE96A8A4FB89ABE9F604809B1F4"/>
          </w:pPr>
          <w:r w:rsidRPr="006F57FD">
            <w:rPr>
              <w:lang w:bidi="en-GB"/>
            </w:rPr>
            <w:t>Date:</w:t>
          </w:r>
        </w:p>
      </w:docPartBody>
    </w:docPart>
    <w:docPart>
      <w:docPartPr>
        <w:name w:val="3C1A13D8B25948ABA8559AFB0EFBC101"/>
        <w:category>
          <w:name w:val="General"/>
          <w:gallery w:val="placeholder"/>
        </w:category>
        <w:types>
          <w:type w:val="bbPlcHdr"/>
        </w:types>
        <w:behaviors>
          <w:behavior w:val="content"/>
        </w:behaviors>
        <w:guid w:val="{3B645D75-7441-48B1-B748-8F4B9D51ED51}"/>
      </w:docPartPr>
      <w:docPartBody>
        <w:p w:rsidR="00000000" w:rsidRDefault="007D195C">
          <w:pPr>
            <w:pStyle w:val="3C1A13D8B25948ABA8559AFB0EFBC101"/>
          </w:pPr>
          <w:r w:rsidRPr="006F57FD">
            <w:rPr>
              <w:lang w:bidi="en-GB"/>
            </w:rPr>
            <w:t>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FAF09AAA1CC4980A24B399A1563BDA6">
    <w:name w:val="FFAF09AAA1CC4980A24B399A1563BDA6"/>
  </w:style>
  <w:style w:type="paragraph" w:customStyle="1" w:styleId="01D73DF4C749424E8D025135B6451691">
    <w:name w:val="01D73DF4C749424E8D025135B6451691"/>
  </w:style>
  <w:style w:type="paragraph" w:customStyle="1" w:styleId="2E9DACA60FDD4A3C9FB8BF40B24AC67E">
    <w:name w:val="2E9DACA60FDD4A3C9FB8BF40B24AC67E"/>
  </w:style>
  <w:style w:type="paragraph" w:customStyle="1" w:styleId="44CA1CBB9E884CE3BF33627C9148DBB4">
    <w:name w:val="44CA1CBB9E884CE3BF33627C9148DBB4"/>
  </w:style>
  <w:style w:type="paragraph" w:customStyle="1" w:styleId="7079629CA77D421DAE5FC3BC55D3B951">
    <w:name w:val="7079629CA77D421DAE5FC3BC55D3B951"/>
  </w:style>
  <w:style w:type="paragraph" w:customStyle="1" w:styleId="EFDCB8E6CBD848BD8AB07095131CB3EF">
    <w:name w:val="EFDCB8E6CBD848BD8AB07095131CB3EF"/>
  </w:style>
  <w:style w:type="paragraph" w:customStyle="1" w:styleId="58EDA881302B4D04B953669E25A3730F">
    <w:name w:val="58EDA881302B4D04B953669E25A3730F"/>
  </w:style>
  <w:style w:type="paragraph" w:customStyle="1" w:styleId="C44834FEF4A34AB7B57191D4D197B5E7">
    <w:name w:val="C44834FEF4A34AB7B57191D4D197B5E7"/>
  </w:style>
  <w:style w:type="paragraph" w:customStyle="1" w:styleId="56B50AE96A8A4FB89ABE9F604809B1F4">
    <w:name w:val="56B50AE96A8A4FB89ABE9F604809B1F4"/>
  </w:style>
  <w:style w:type="paragraph" w:customStyle="1" w:styleId="B151024C78F9448BB80FFF5E177CE43A">
    <w:name w:val="B151024C78F9448BB80FFF5E177CE43A"/>
  </w:style>
  <w:style w:type="paragraph" w:customStyle="1" w:styleId="3C1A13D8B25948ABA8559AFB0EFBC101">
    <w:name w:val="3C1A13D8B25948ABA8559AFB0EFBC101"/>
  </w:style>
  <w:style w:type="paragraph" w:customStyle="1" w:styleId="BD8E167DDE664DE7B9109BE9D3184EB0">
    <w:name w:val="BD8E167DDE664DE7B9109BE9D3184EB0"/>
  </w:style>
  <w:style w:type="paragraph" w:customStyle="1" w:styleId="30BCDD3BAB094EB5B9D2498601D1DCE7">
    <w:name w:val="30BCDD3BAB094EB5B9D2498601D1DC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1">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nvitation">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Interoffice Memo (Professional design)</Template>
  <TotalTime>73</TotalTime>
  <Pages>18</Pages>
  <Words>4458</Words>
  <Characters>25417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Thomas</dc:creator>
  <cp:keywords/>
  <dc:description/>
  <cp:lastModifiedBy>Joanne Thomas</cp:lastModifiedBy>
  <cp:revision>7</cp:revision>
  <dcterms:created xsi:type="dcterms:W3CDTF">2023-05-14T14:10:00Z</dcterms:created>
  <dcterms:modified xsi:type="dcterms:W3CDTF">2023-05-14T15:27:00Z</dcterms:modified>
</cp:coreProperties>
</file>