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colors3.xml" ContentType="application/vnd.openxmlformats-officedocument.drawingml.diagramColors+xml"/>
  <Override PartName="/word/diagrams/colors4.xml" ContentType="application/vnd.openxmlformats-officedocument.drawingml.diagramColors+xml"/>
  <Override PartName="/word/diagrams/colors5.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ata3.xml" ContentType="application/vnd.openxmlformats-officedocument.drawingml.diagramData+xml"/>
  <Override PartName="/word/diagrams/data4.xml" ContentType="application/vnd.openxmlformats-officedocument.drawingml.diagramData+xml"/>
  <Override PartName="/word/diagrams/data5.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drawing3.xml" ContentType="application/vnd.ms-office.drawingml.diagramDrawing+xml"/>
  <Override PartName="/word/diagrams/drawing4.xml" ContentType="application/vnd.ms-office.drawingml.diagramDrawing+xml"/>
  <Override PartName="/word/diagrams/drawing5.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layout3.xml" ContentType="application/vnd.openxmlformats-officedocument.drawingml.diagramLayout+xml"/>
  <Override PartName="/word/diagrams/layout4.xml" ContentType="application/vnd.openxmlformats-officedocument.drawingml.diagramLayout+xml"/>
  <Override PartName="/word/diagrams/layout5.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iagrams/quickStyle3.xml" ContentType="application/vnd.openxmlformats-officedocument.drawingml.diagramStyle+xml"/>
  <Override PartName="/word/diagrams/quickStyle4.xml" ContentType="application/vnd.openxmlformats-officedocument.drawingml.diagramStyle+xml"/>
  <Override PartName="/word/diagrams/quickStyle5.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bCs/>
          <w:sz w:val="32"/>
          <w:szCs w:val="32"/>
          <w:lang w:val="en-GB"/>
        </w:rPr>
      </w:pPr>
    </w:p>
    <w:p>
      <w:pPr>
        <w:jc w:val="center"/>
        <w:rPr>
          <w:rFonts w:ascii="Times New Roman" w:hAnsi="Times New Roman" w:cs="Times New Roman"/>
          <w:b/>
          <w:bCs/>
          <w:sz w:val="32"/>
          <w:szCs w:val="32"/>
          <w:lang w:val="en-GB"/>
        </w:rPr>
      </w:pPr>
    </w:p>
    <w:p>
      <w:pPr>
        <w:jc w:val="center"/>
        <w:rPr>
          <w:rFonts w:ascii="Times New Roman" w:hAnsi="Times New Roman" w:cs="Times New Roman"/>
          <w:b/>
          <w:bCs/>
          <w:sz w:val="32"/>
          <w:szCs w:val="32"/>
          <w:lang w:val="en-GB"/>
        </w:rPr>
      </w:pPr>
    </w:p>
    <w:p>
      <w:pPr>
        <w:jc w:val="center"/>
        <w:rPr>
          <w:rFonts w:hint="default" w:ascii="Times New Roman" w:hAnsi="Times New Roman" w:cs="Times New Roman"/>
          <w:b/>
          <w:bCs/>
          <w:sz w:val="32"/>
          <w:szCs w:val="32"/>
          <w:lang w:val="en-IN"/>
        </w:rPr>
      </w:pPr>
      <w:r>
        <w:rPr>
          <w:rFonts w:hint="default" w:ascii="Times New Roman" w:hAnsi="Times New Roman" w:cs="Times New Roman"/>
          <w:b/>
          <w:bCs/>
          <w:sz w:val="32"/>
          <w:szCs w:val="32"/>
          <w:lang w:val="en-IN"/>
        </w:rPr>
        <w:drawing>
          <wp:inline distT="0" distB="0" distL="114300" distR="114300">
            <wp:extent cx="3660140" cy="1830705"/>
            <wp:effectExtent l="0" t="0" r="16510" b="17145"/>
            <wp:docPr id="1" name="Picture 1" descr="default-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fault-logo"/>
                    <pic:cNvPicPr>
                      <a:picLocks noChangeAspect="1"/>
                    </pic:cNvPicPr>
                  </pic:nvPicPr>
                  <pic:blipFill>
                    <a:blip r:embed="rId7"/>
                    <a:stretch>
                      <a:fillRect/>
                    </a:stretch>
                  </pic:blipFill>
                  <pic:spPr>
                    <a:xfrm>
                      <a:off x="0" y="0"/>
                      <a:ext cx="3660140" cy="1830705"/>
                    </a:xfrm>
                    <a:prstGeom prst="rect">
                      <a:avLst/>
                    </a:prstGeom>
                  </pic:spPr>
                </pic:pic>
              </a:graphicData>
            </a:graphic>
          </wp:inline>
        </w:drawing>
      </w:r>
    </w:p>
    <w:p>
      <w:pPr>
        <w:jc w:val="center"/>
        <w:rPr>
          <w:rFonts w:hint="default" w:ascii="Times New Roman" w:hAnsi="Times New Roman" w:cs="Times New Roman"/>
          <w:b/>
          <w:bCs/>
          <w:sz w:val="32"/>
          <w:szCs w:val="32"/>
          <w:lang w:val="en-IN"/>
        </w:rPr>
      </w:pPr>
    </w:p>
    <w:p>
      <w:pPr>
        <w:jc w:val="center"/>
        <w:rPr>
          <w:rFonts w:hint="default" w:ascii="Times New Roman" w:hAnsi="Times New Roman" w:cs="Times New Roman"/>
          <w:b/>
          <w:bCs/>
          <w:sz w:val="32"/>
          <w:szCs w:val="32"/>
          <w:lang w:val="en-IN"/>
        </w:rPr>
      </w:pPr>
    </w:p>
    <w:p>
      <w:pPr>
        <w:jc w:val="both"/>
        <w:rPr>
          <w:rFonts w:hint="default" w:ascii="Times New Roman" w:hAnsi="Times New Roman" w:cs="Times New Roman"/>
          <w:b/>
          <w:bCs/>
          <w:sz w:val="32"/>
          <w:szCs w:val="32"/>
          <w:lang w:val="en-IN"/>
        </w:rPr>
      </w:pPr>
      <w:bookmarkStart w:id="14" w:name="_GoBack"/>
      <w:bookmarkEnd w:id="14"/>
    </w:p>
    <w:p>
      <w:pPr>
        <w:jc w:val="center"/>
        <w:rPr>
          <w:rFonts w:hint="default" w:ascii="Times New Roman" w:hAnsi="Times New Roman" w:cs="Times New Roman"/>
          <w:b/>
          <w:bCs/>
          <w:sz w:val="32"/>
          <w:szCs w:val="32"/>
          <w:lang w:val="en-IN"/>
        </w:rPr>
      </w:pPr>
    </w:p>
    <w:p>
      <w:pPr>
        <w:jc w:val="center"/>
        <w:rPr>
          <w:rFonts w:hint="default" w:ascii="Times New Roman" w:hAnsi="Times New Roman" w:cs="Times New Roman"/>
          <w:b/>
          <w:bCs/>
          <w:sz w:val="32"/>
          <w:szCs w:val="32"/>
          <w:lang w:val="en-IN"/>
        </w:rPr>
      </w:pPr>
    </w:p>
    <w:p>
      <w:pPr>
        <w:jc w:val="center"/>
        <w:rPr>
          <w:rFonts w:hint="default" w:ascii="Times New Roman" w:hAnsi="Times New Roman" w:cs="Times New Roman"/>
          <w:b/>
          <w:bCs/>
          <w:sz w:val="32"/>
          <w:szCs w:val="32"/>
          <w:lang w:val="en-IN"/>
        </w:rPr>
      </w:pPr>
      <w:r>
        <w:rPr>
          <w:rFonts w:hint="default" w:ascii="Times New Roman" w:hAnsi="Times New Roman" w:cs="Times New Roman"/>
          <w:b/>
          <w:bCs/>
          <w:sz w:val="32"/>
          <w:szCs w:val="32"/>
          <w:lang w:val="en-IN"/>
        </w:rPr>
        <w:t>Name of the student : OM THAKKAR</w:t>
      </w:r>
    </w:p>
    <w:p>
      <w:pPr>
        <w:jc w:val="center"/>
        <w:rPr>
          <w:rFonts w:hint="default" w:ascii="Times New Roman" w:hAnsi="Times New Roman" w:cs="Times New Roman"/>
          <w:b/>
          <w:bCs/>
          <w:sz w:val="32"/>
          <w:szCs w:val="32"/>
          <w:lang w:val="en-IN"/>
        </w:rPr>
      </w:pPr>
    </w:p>
    <w:p>
      <w:pPr>
        <w:jc w:val="center"/>
        <w:rPr>
          <w:rFonts w:hint="default" w:ascii="Times New Roman" w:hAnsi="Times New Roman" w:cs="Times New Roman"/>
          <w:b/>
          <w:bCs/>
          <w:sz w:val="32"/>
          <w:szCs w:val="32"/>
          <w:lang w:val="en-IN"/>
        </w:rPr>
      </w:pPr>
      <w:r>
        <w:rPr>
          <w:rFonts w:hint="default" w:ascii="Times New Roman" w:hAnsi="Times New Roman" w:cs="Times New Roman"/>
          <w:b/>
          <w:bCs/>
          <w:sz w:val="32"/>
          <w:szCs w:val="32"/>
          <w:lang w:val="en-IN"/>
        </w:rPr>
        <w:t>Student ID : 2244452</w:t>
      </w:r>
    </w:p>
    <w:p>
      <w:pPr>
        <w:jc w:val="center"/>
        <w:rPr>
          <w:rFonts w:hint="default" w:ascii="Times New Roman" w:hAnsi="Times New Roman" w:cs="Times New Roman"/>
          <w:b/>
          <w:bCs/>
          <w:sz w:val="32"/>
          <w:szCs w:val="32"/>
          <w:lang w:val="en-IN"/>
        </w:rPr>
      </w:pPr>
    </w:p>
    <w:p>
      <w:pPr>
        <w:ind w:firstLine="2401" w:firstLineChars="750"/>
        <w:jc w:val="both"/>
        <w:rPr>
          <w:rFonts w:ascii="Times New Roman" w:hAnsi="Times New Roman" w:cs="Times New Roman"/>
          <w:b/>
          <w:bCs/>
          <w:sz w:val="32"/>
          <w:szCs w:val="32"/>
          <w:lang w:val="en-GB"/>
        </w:rPr>
      </w:pPr>
      <w:r>
        <w:rPr>
          <w:rFonts w:ascii="Times New Roman" w:hAnsi="Times New Roman" w:cs="Times New Roman"/>
          <w:b/>
          <w:bCs/>
          <w:sz w:val="32"/>
          <w:szCs w:val="32"/>
          <w:lang w:val="en-GB"/>
        </w:rPr>
        <w:t>Module: International Business</w:t>
      </w:r>
    </w:p>
    <w:p>
      <w:pPr>
        <w:ind w:firstLine="2081" w:firstLineChars="650"/>
        <w:jc w:val="both"/>
        <w:rPr>
          <w:rFonts w:ascii="Times New Roman" w:hAnsi="Times New Roman" w:cs="Times New Roman"/>
          <w:b/>
          <w:bCs/>
          <w:sz w:val="32"/>
          <w:szCs w:val="32"/>
          <w:lang w:val="en-GB"/>
        </w:rPr>
      </w:pPr>
    </w:p>
    <w:p>
      <w:pPr>
        <w:ind w:firstLine="2561" w:firstLineChars="800"/>
        <w:jc w:val="both"/>
        <w:rPr>
          <w:rFonts w:hint="default" w:ascii="Times New Roman" w:hAnsi="Times New Roman" w:cs="Times New Roman"/>
          <w:b/>
          <w:bCs/>
          <w:sz w:val="32"/>
          <w:szCs w:val="32"/>
          <w:lang w:val="en-IN"/>
        </w:rPr>
      </w:pPr>
      <w:r>
        <w:rPr>
          <w:rFonts w:hint="default" w:ascii="Times New Roman" w:hAnsi="Times New Roman" w:cs="Times New Roman"/>
          <w:b/>
          <w:bCs/>
          <w:sz w:val="32"/>
          <w:szCs w:val="32"/>
          <w:lang w:val="en-IN"/>
        </w:rPr>
        <w:t>Module Code : LCMB7014</w:t>
      </w:r>
    </w:p>
    <w:p>
      <w:pPr>
        <w:jc w:val="center"/>
        <w:rPr>
          <w:b/>
          <w:bCs/>
          <w:lang w:val="en-GB"/>
        </w:rPr>
      </w:pPr>
      <w:r>
        <w:rPr>
          <w:b/>
          <w:bCs/>
          <w:lang w:val="en-GB"/>
        </w:rPr>
        <w:br w:type="page"/>
      </w:r>
    </w:p>
    <w:sdt>
      <w:sdtPr>
        <w:rPr>
          <w:rFonts w:ascii="Arial" w:hAnsi="Arial" w:eastAsia="Arial" w:cs="Arial"/>
          <w:color w:val="auto"/>
          <w:sz w:val="22"/>
          <w:szCs w:val="22"/>
          <w:lang w:val="en" w:eastAsia="en-IN"/>
        </w:rPr>
        <w:id w:val="680791839"/>
        <w:docPartObj>
          <w:docPartGallery w:val="Table of Contents"/>
          <w:docPartUnique/>
        </w:docPartObj>
      </w:sdtPr>
      <w:sdtEndPr>
        <w:rPr>
          <w:rFonts w:ascii="Arial" w:hAnsi="Arial" w:eastAsia="Arial" w:cs="Arial"/>
          <w:b/>
          <w:bCs/>
          <w:color w:val="auto"/>
          <w:sz w:val="22"/>
          <w:szCs w:val="22"/>
          <w:lang w:val="en" w:eastAsia="en-IN"/>
        </w:rPr>
      </w:sdtEndPr>
      <w:sdtContent>
        <w:p>
          <w:pPr>
            <w:pStyle w:val="21"/>
            <w:spacing w:line="360" w:lineRule="auto"/>
            <w:jc w:val="center"/>
            <w:rPr>
              <w:rFonts w:ascii="Times New Roman" w:hAnsi="Times New Roman" w:cs="Times New Roman"/>
              <w:b/>
              <w:bCs/>
              <w:color w:val="000000" w:themeColor="text1"/>
              <w:sz w:val="28"/>
              <w:szCs w:val="28"/>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t>Table of Contents</w:t>
          </w:r>
        </w:p>
        <w:p>
          <w:pPr>
            <w:pStyle w:val="16"/>
            <w:tabs>
              <w:tab w:val="right" w:leader="dot" w:pos="9350"/>
            </w:tabs>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"_Toc150955811" </w:instrText>
          </w:r>
          <w:r>
            <w:fldChar w:fldCharType="separate"/>
          </w:r>
          <w:r>
            <w:rPr>
              <w:rStyle w:val="12"/>
              <w:rFonts w:ascii="Times New Roman" w:hAnsi="Times New Roman" w:cs="Times New Roman"/>
              <w:sz w:val="24"/>
              <w:szCs w:val="24"/>
              <w:lang w:val="en-GB"/>
            </w:rPr>
            <w:t>1. Background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_Toc150955811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"_Toc150955812" </w:instrText>
          </w:r>
          <w:r>
            <w:fldChar w:fldCharType="separate"/>
          </w:r>
          <w:r>
            <w:rPr>
              <w:rStyle w:val="12"/>
              <w:rFonts w:ascii="Times New Roman" w:hAnsi="Times New Roman" w:cs="Times New Roman"/>
              <w:sz w:val="24"/>
              <w:szCs w:val="24"/>
              <w:lang w:val="en-GB"/>
            </w:rPr>
            <w:t>2. Internationalization Strategies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_Toc150955812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"_Toc150955813" </w:instrText>
          </w:r>
          <w:r>
            <w:fldChar w:fldCharType="separate"/>
          </w:r>
          <w:r>
            <w:rPr>
              <w:rStyle w:val="12"/>
              <w:rFonts w:ascii="Times New Roman" w:hAnsi="Times New Roman" w:cs="Times New Roman"/>
              <w:sz w:val="24"/>
              <w:szCs w:val="24"/>
              <w:lang w:val="en-GB"/>
            </w:rPr>
            <w:t>2.1 Detailed Analysis of the Features and Characteristics of Ethnocentric, Polycentric, and Geocentric Internationalization Strategies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_Toc150955813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"_Toc150955814" </w:instrText>
          </w:r>
          <w:r>
            <w:fldChar w:fldCharType="separate"/>
          </w:r>
          <w:r>
            <w:rPr>
              <w:rStyle w:val="12"/>
              <w:rFonts w:ascii="Times New Roman" w:hAnsi="Times New Roman" w:cs="Times New Roman"/>
              <w:sz w:val="24"/>
              <w:szCs w:val="24"/>
              <w:lang w:val="en-GB"/>
            </w:rPr>
            <w:t>2.2 Compare and contrast these approaches to understand their implications for global expansion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_Toc150955814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"_Toc150955815" </w:instrText>
          </w:r>
          <w:r>
            <w:fldChar w:fldCharType="separate"/>
          </w:r>
          <w:r>
            <w:rPr>
              <w:rStyle w:val="12"/>
              <w:rFonts w:ascii="Times New Roman" w:hAnsi="Times New Roman" w:cs="Times New Roman"/>
              <w:sz w:val="24"/>
              <w:szCs w:val="24"/>
              <w:lang w:val="en-GB"/>
            </w:rPr>
            <w:t>3. Company's Internationalization Approach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_Toc150955815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"_Toc150955816" </w:instrText>
          </w:r>
          <w:r>
            <w:fldChar w:fldCharType="separate"/>
          </w:r>
          <w:r>
            <w:rPr>
              <w:rStyle w:val="12"/>
              <w:rFonts w:ascii="Times New Roman" w:hAnsi="Times New Roman" w:cs="Times New Roman"/>
              <w:sz w:val="24"/>
              <w:szCs w:val="24"/>
              <w:lang w:val="en-GB"/>
            </w:rPr>
            <w:t>3.1 Critical Analysation of Geocentric Approach by Philips UK Company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_Toc150955816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"_Toc150955817" </w:instrText>
          </w:r>
          <w:r>
            <w:fldChar w:fldCharType="separate"/>
          </w:r>
          <w:r>
            <w:rPr>
              <w:rStyle w:val="12"/>
              <w:rFonts w:ascii="Times New Roman" w:hAnsi="Times New Roman" w:cs="Times New Roman"/>
              <w:sz w:val="24"/>
              <w:szCs w:val="24"/>
              <w:lang w:val="en-GB"/>
            </w:rPr>
            <w:t>3.2 Factors that Influence Philips’ Strategic Decision-making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_Toc150955817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"_Toc150955818" </w:instrText>
          </w:r>
          <w:r>
            <w:fldChar w:fldCharType="separate"/>
          </w:r>
          <w:r>
            <w:rPr>
              <w:rStyle w:val="12"/>
              <w:rFonts w:ascii="Times New Roman" w:hAnsi="Times New Roman" w:cs="Times New Roman"/>
              <w:sz w:val="24"/>
              <w:szCs w:val="24"/>
              <w:lang w:val="en-GB"/>
            </w:rPr>
            <w:t>4. PESTLE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_Toc150955818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"_Toc150955819" </w:instrText>
          </w:r>
          <w:r>
            <w:fldChar w:fldCharType="separate"/>
          </w:r>
          <w:r>
            <w:rPr>
              <w:rStyle w:val="12"/>
              <w:rFonts w:ascii="Times New Roman" w:hAnsi="Times New Roman" w:cs="Times New Roman"/>
              <w:sz w:val="24"/>
              <w:szCs w:val="24"/>
              <w:lang w:val="en-GB"/>
            </w:rPr>
            <w:t>5. Integration of Contextual Factors and Internationalization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_Toc150955819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"_Toc150955820" </w:instrText>
          </w:r>
          <w:r>
            <w:fldChar w:fldCharType="separate"/>
          </w:r>
          <w:r>
            <w:rPr>
              <w:rStyle w:val="12"/>
              <w:rFonts w:ascii="Times New Roman" w:hAnsi="Times New Roman" w:cs="Times New Roman"/>
              <w:sz w:val="24"/>
              <w:szCs w:val="24"/>
              <w:lang w:val="en-GB"/>
            </w:rPr>
            <w:t>5.1 Integration of Findings of PESTEL Analysis with Philips’ Geocentric Internationalization Approach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_Toc150955820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"_Toc150955821" </w:instrText>
          </w:r>
          <w:r>
            <w:fldChar w:fldCharType="separate"/>
          </w:r>
          <w:r>
            <w:rPr>
              <w:rStyle w:val="12"/>
              <w:rFonts w:ascii="Times New Roman" w:hAnsi="Times New Roman" w:cs="Times New Roman"/>
              <w:sz w:val="24"/>
              <w:szCs w:val="24"/>
              <w:lang w:val="en-GB"/>
            </w:rPr>
            <w:t>5.2 Impact of Different Contextual Factors that Shaped These Strategies and Impact the Implementation Procedure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_Toc150955821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"_Toc150955822" </w:instrText>
          </w:r>
          <w:r>
            <w:fldChar w:fldCharType="separate"/>
          </w:r>
          <w:r>
            <w:rPr>
              <w:rStyle w:val="12"/>
              <w:rFonts w:ascii="Times New Roman" w:hAnsi="Times New Roman" w:cs="Times New Roman"/>
              <w:sz w:val="24"/>
              <w:szCs w:val="24"/>
              <w:lang w:val="en-GB"/>
            </w:rPr>
            <w:t>6. Recommendations for the Company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_Toc150955822 \h </w:instrText>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"_Toc150955823" </w:instrText>
          </w:r>
          <w:r>
            <w:fldChar w:fldCharType="separate"/>
          </w:r>
          <w:r>
            <w:rPr>
              <w:rStyle w:val="12"/>
              <w:rFonts w:ascii="Times New Roman" w:hAnsi="Times New Roman" w:cs="Times New Roman"/>
              <w:sz w:val="24"/>
              <w:szCs w:val="24"/>
              <w:lang w:val="en-GB"/>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_Toc150955823 \h </w:instrText>
          </w:r>
          <w:r>
            <w:rPr>
              <w:rFonts w:ascii="Times New Roman" w:hAnsi="Times New Roman" w:cs="Times New Roman"/>
              <w:sz w:val="24"/>
              <w:szCs w:val="24"/>
            </w:rPr>
            <w:fldChar w:fldCharType="separate"/>
          </w:r>
          <w:r>
            <w:rPr>
              <w:rFonts w:ascii="Times New Roman" w:hAnsi="Times New Roman" w:cs="Times New Roman"/>
              <w:sz w:val="24"/>
              <w:szCs w:val="24"/>
            </w:rPr>
            <w:t>21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6"/>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"_Toc150955824" </w:instrText>
          </w:r>
          <w:r>
            <w:fldChar w:fldCharType="separate"/>
          </w:r>
          <w:r>
            <w:rPr>
              <w:rStyle w:val="12"/>
              <w:rFonts w:ascii="Times New Roman" w:hAnsi="Times New Roman" w:cs="Times New Roman"/>
              <w:sz w:val="24"/>
              <w:szCs w:val="24"/>
              <w:lang w:val="en-GB"/>
            </w:rPr>
            <w:t>Reference 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_Toc150955824 \h </w:instrText>
          </w:r>
          <w:r>
            <w:rPr>
              <w:rFonts w:ascii="Times New Roman" w:hAnsi="Times New Roman" w:cs="Times New Roman"/>
              <w:sz w:val="24"/>
              <w:szCs w:val="24"/>
            </w:rPr>
            <w:fldChar w:fldCharType="separate"/>
          </w:r>
          <w:r>
            <w:rPr>
              <w:rFonts w:ascii="Times New Roman" w:hAnsi="Times New Roman" w:cs="Times New Roman"/>
              <w:sz w:val="24"/>
              <w:szCs w:val="24"/>
            </w:rPr>
            <w:t>23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pPr>
          <w:r>
            <w:rPr>
              <w:rFonts w:ascii="Times New Roman" w:hAnsi="Times New Roman" w:cs="Times New Roman"/>
              <w:b/>
              <w:bCs/>
              <w:sz w:val="24"/>
              <w:szCs w:val="24"/>
            </w:rPr>
            <w:fldChar w:fldCharType="end"/>
          </w:r>
        </w:p>
      </w:sdtContent>
    </w:sdt>
    <w:p>
      <w:pPr>
        <w:rPr>
          <w:lang w:val="en-GB"/>
        </w:rPr>
      </w:pPr>
    </w:p>
    <w:p>
      <w:pPr>
        <w:rPr>
          <w:rFonts w:ascii="Times New Roman" w:hAnsi="Times New Roman"/>
          <w:b/>
          <w:color w:val="000000" w:themeColor="text1"/>
          <w:sz w:val="28"/>
          <w:szCs w:val="40"/>
          <w:lang w:val="en-GB"/>
          <w14:textFill>
            <w14:solidFill>
              <w14:schemeClr w14:val="tx1"/>
            </w14:solidFill>
          </w14:textFill>
        </w:rPr>
      </w:pPr>
      <w:bookmarkStart w:id="0" w:name="_Toc150955811"/>
      <w:r>
        <w:rPr>
          <w:lang w:val="en-GB"/>
        </w:rPr>
        <w:br w:type="page"/>
      </w:r>
    </w:p>
    <w:p>
      <w:pPr>
        <w:pStyle w:val="2"/>
        <w:rPr>
          <w:lang w:val="en-GB"/>
        </w:rPr>
      </w:pPr>
      <w:r>
        <w:rPr>
          <w:lang w:val="en-GB"/>
        </w:rPr>
        <w:t>1. Background Analysis</w:t>
      </w:r>
      <w:bookmarkEnd w:id="0"/>
      <w:r>
        <w:rPr>
          <w:lang w:val="en-GB"/>
        </w:rPr>
        <w:t xml:space="preserve"> </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Philips, which was founded in Eindhoven, the Netherlands, in </w:t>
      </w:r>
      <w:r>
        <w:rPr>
          <w:rFonts w:ascii="Times New Roman" w:hAnsi="Times New Roman" w:eastAsia="Times New Roman" w:cs="Times New Roman"/>
          <w:b/>
          <w:sz w:val="24"/>
          <w:szCs w:val="24"/>
          <w:lang w:val="en-GB"/>
        </w:rPr>
        <w:t>1891</w:t>
      </w:r>
      <w:r>
        <w:rPr>
          <w:rFonts w:ascii="Times New Roman" w:hAnsi="Times New Roman" w:eastAsia="Times New Roman" w:cs="Times New Roman"/>
          <w:sz w:val="24"/>
          <w:szCs w:val="24"/>
          <w:lang w:val="en-GB"/>
        </w:rPr>
        <w:t>, is a multinational business with a long history in electronics, healthcare, and lighting. Initially centred on creating light bulbs, the company has since diversified into consumer electronics and healthcare technologies (</w:t>
      </w:r>
      <w:r>
        <w:rPr>
          <w:rFonts w:ascii="Times New Roman" w:hAnsi="Times New Roman" w:eastAsia="Times New Roman" w:cs="Times New Roman"/>
          <w:color w:val="222222"/>
          <w:sz w:val="24"/>
          <w:szCs w:val="24"/>
          <w:highlight w:val="white"/>
          <w:lang w:val="en-GB"/>
        </w:rPr>
        <w:t xml:space="preserve">Germini </w:t>
      </w:r>
      <w:r>
        <w:rPr>
          <w:rFonts w:ascii="Times New Roman" w:hAnsi="Times New Roman" w:eastAsia="Times New Roman" w:cs="Times New Roman"/>
          <w:i/>
          <w:color w:val="222222"/>
          <w:sz w:val="24"/>
          <w:szCs w:val="24"/>
          <w:highlight w:val="white"/>
          <w:lang w:val="en-GB"/>
        </w:rPr>
        <w:t xml:space="preserve">et al., </w:t>
      </w:r>
      <w:r>
        <w:rPr>
          <w:rFonts w:ascii="Times New Roman" w:hAnsi="Times New Roman" w:eastAsia="Times New Roman" w:cs="Times New Roman"/>
          <w:color w:val="222222"/>
          <w:sz w:val="24"/>
          <w:szCs w:val="24"/>
          <w:highlight w:val="white"/>
          <w:lang w:val="en-GB"/>
        </w:rPr>
        <w:t>2022., p. 30791)</w:t>
      </w:r>
      <w:r>
        <w:rPr>
          <w:rFonts w:ascii="Times New Roman" w:hAnsi="Times New Roman" w:eastAsia="Times New Roman" w:cs="Times New Roman"/>
          <w:sz w:val="24"/>
          <w:szCs w:val="24"/>
          <w:lang w:val="en-GB"/>
        </w:rPr>
        <w:t>. Philips was instrumental in the development of revolutionary goods such as the cassette tape and Compact Disc (CD). The corporation underwent considerable reorganisation in the late twentieth century, divesting its consumer electronics segment to focus on healthcare technologies and lighting solutions. Philips has a significant international footprint, with operations in over 100 countries. Strategic acquisitions, collaborations, and a commitment to cutting-edge research and development are all part of its internationalisation journey. The breadth of the company's portfolio, which includes medical imaging, healthcare informatics, and consumer lifestyle products, demonstrates its global reach.</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Philips is involved in a variety of operations across its business areas in the United Kingdom. The company's position in the United Kingdom illustrates its dedication to providing innovative solutions in healthcare, lighting, and consumer electronics. The company's dedication to sustainability, innovation, and enhancing people's lives through technology demonstrates its global reach and influence (</w:t>
      </w:r>
      <w:r>
        <w:rPr>
          <w:rFonts w:ascii="Times New Roman" w:hAnsi="Times New Roman" w:eastAsia="Times New Roman" w:cs="Times New Roman"/>
          <w:color w:val="222222"/>
          <w:sz w:val="24"/>
          <w:szCs w:val="24"/>
          <w:highlight w:val="white"/>
          <w:lang w:val="en-GB"/>
        </w:rPr>
        <w:t xml:space="preserve">Villena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2021., p. 501)</w:t>
      </w:r>
      <w:r>
        <w:rPr>
          <w:rFonts w:ascii="Times New Roman" w:hAnsi="Times New Roman" w:eastAsia="Times New Roman" w:cs="Times New Roman"/>
          <w:sz w:val="24"/>
          <w:szCs w:val="24"/>
          <w:lang w:val="en-GB"/>
        </w:rPr>
        <w:t>. Philips engages in the healthcare industry in the United Kingdom by supplying innovative medical imaging equipment, healthcare informatics, and patient monitoring solutions. The organisation works with healthcare facilities to improve diagnostic capabilities and patient outcomes. Philips contributes to the UK's shift to energy-efficient and sustainable lighting solutions in the lighting sector. This includes offering LED lighting solutions for home, business, and public settings, which helps the country reduce energy consumption and environmental effects (</w:t>
      </w:r>
      <w:r>
        <w:rPr>
          <w:rFonts w:ascii="Times New Roman" w:hAnsi="Times New Roman" w:eastAsia="Times New Roman" w:cs="Times New Roman"/>
          <w:color w:val="222222"/>
          <w:sz w:val="24"/>
          <w:szCs w:val="24"/>
          <w:highlight w:val="white"/>
          <w:lang w:val="en-GB"/>
        </w:rPr>
        <w:t xml:space="preserve">Budi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2021., p. 123)</w:t>
      </w:r>
      <w:r>
        <w:rPr>
          <w:rFonts w:ascii="Times New Roman" w:hAnsi="Times New Roman" w:eastAsia="Times New Roman" w:cs="Times New Roman"/>
          <w:sz w:val="24"/>
          <w:szCs w:val="24"/>
          <w:lang w:val="en-GB"/>
        </w:rPr>
        <w:t>. Philips sells a variety of consumer electronics items in the UK market, including domestic appliances, audio-visual equipment, and personal care devices. To suit the changing demands of the UK market, the corporation modifies its consumer-focused initiatives.</w:t>
      </w:r>
    </w:p>
    <w:p>
      <w:pPr>
        <w:pStyle w:val="2"/>
        <w:rPr>
          <w:lang w:val="en-GB"/>
        </w:rPr>
      </w:pPr>
      <w:bookmarkStart w:id="1" w:name="_Toc150955812"/>
      <w:r>
        <w:rPr>
          <w:lang w:val="en-GB"/>
        </w:rPr>
        <w:t>2. Internationalization Strategies</w:t>
      </w:r>
      <w:bookmarkEnd w:id="1"/>
    </w:p>
    <w:p>
      <w:pPr>
        <w:pStyle w:val="3"/>
        <w:rPr>
          <w:lang w:val="en-GB"/>
        </w:rPr>
      </w:pPr>
      <w:bookmarkStart w:id="2" w:name="_Toc150955813"/>
      <w:r>
        <w:rPr>
          <w:lang w:val="en-GB"/>
        </w:rPr>
        <w:t>2.1 Detailed Analysis of the Features and Characteristics of Ethnocentric, Polycentric, and Geocentric Internationalization Strategies</w:t>
      </w:r>
      <w:bookmarkEnd w:id="2"/>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sz w:val="24"/>
          <w:szCs w:val="24"/>
          <w:u w:val="single"/>
          <w:lang w:val="en-GB"/>
        </w:rPr>
        <w:t>Ethnocentric Approach</w:t>
      </w:r>
      <w:r>
        <w:rPr>
          <w:rFonts w:ascii="Times New Roman" w:hAnsi="Times New Roman" w:eastAsia="Times New Roman" w:cs="Times New Roman"/>
          <w:b/>
          <w:i/>
          <w:sz w:val="24"/>
          <w:szCs w:val="24"/>
          <w:lang w:val="en-GB"/>
        </w:rPr>
        <w:t>:</w:t>
      </w:r>
      <w:r>
        <w:rPr>
          <w:rFonts w:ascii="Times New Roman" w:hAnsi="Times New Roman" w:eastAsia="Times New Roman" w:cs="Times New Roman"/>
          <w:b/>
          <w:sz w:val="24"/>
          <w:szCs w:val="24"/>
          <w:lang w:val="en-GB"/>
        </w:rPr>
        <w:t xml:space="preserve"> </w:t>
      </w:r>
      <w:r>
        <w:rPr>
          <w:rFonts w:ascii="Times New Roman" w:hAnsi="Times New Roman" w:eastAsia="Times New Roman" w:cs="Times New Roman"/>
          <w:sz w:val="24"/>
          <w:szCs w:val="24"/>
          <w:lang w:val="en-GB"/>
        </w:rPr>
        <w:t xml:space="preserve">An ethnocentric strategy entails using the same home strategies and practises all around the world, frequently with a centralised decision-making structure. An ethnocentric strategy may be visible in the standardised product offerings of Philips in the UK, where the corporation offers </w:t>
      </w:r>
      <w:r>
        <w:rPr>
          <w:rFonts w:ascii="Times New Roman" w:hAnsi="Times New Roman" w:eastAsia="Times New Roman" w:cs="Times New Roman"/>
          <w:b/>
          <w:i/>
          <w:sz w:val="24"/>
          <w:szCs w:val="24"/>
          <w:lang w:val="en-GB"/>
        </w:rPr>
        <w:t>identical healthcare, lighting,</w:t>
      </w:r>
      <w:r>
        <w:rPr>
          <w:rFonts w:ascii="Times New Roman" w:hAnsi="Times New Roman" w:eastAsia="Times New Roman" w:cs="Times New Roman"/>
          <w:sz w:val="24"/>
          <w:szCs w:val="24"/>
          <w:lang w:val="en-GB"/>
        </w:rPr>
        <w:t xml:space="preserve"> and </w:t>
      </w:r>
      <w:r>
        <w:rPr>
          <w:rFonts w:ascii="Times New Roman" w:hAnsi="Times New Roman" w:eastAsia="Times New Roman" w:cs="Times New Roman"/>
          <w:b/>
          <w:i/>
          <w:sz w:val="24"/>
          <w:szCs w:val="24"/>
          <w:lang w:val="en-GB"/>
        </w:rPr>
        <w:t>consumer electronics solutions</w:t>
      </w:r>
      <w:r>
        <w:rPr>
          <w:rFonts w:ascii="Times New Roman" w:hAnsi="Times New Roman" w:eastAsia="Times New Roman" w:cs="Times New Roman"/>
          <w:sz w:val="24"/>
          <w:szCs w:val="24"/>
          <w:lang w:val="en-GB"/>
        </w:rPr>
        <w:t xml:space="preserve"> across diverse markets (</w:t>
      </w:r>
      <w:r>
        <w:rPr>
          <w:rFonts w:ascii="Times New Roman" w:hAnsi="Times New Roman" w:eastAsia="Times New Roman" w:cs="Times New Roman"/>
          <w:color w:val="222222"/>
          <w:sz w:val="24"/>
          <w:szCs w:val="24"/>
          <w:highlight w:val="white"/>
          <w:lang w:val="en-GB"/>
        </w:rPr>
        <w:t xml:space="preserve">Burton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2022., p. 72)</w:t>
      </w:r>
      <w:r>
        <w:rPr>
          <w:rFonts w:ascii="Times New Roman" w:hAnsi="Times New Roman" w:eastAsia="Times New Roman" w:cs="Times New Roman"/>
          <w:sz w:val="24"/>
          <w:szCs w:val="24"/>
          <w:lang w:val="en-GB"/>
        </w:rPr>
        <w:t xml:space="preserve">. Philips, for example, offers its latest medical imaging equipment or consumer electronics items in the UK in tandem with global product releases. This method could enhance cost savings by </w:t>
      </w:r>
      <w:r>
        <w:rPr>
          <w:rFonts w:ascii="Times New Roman" w:hAnsi="Times New Roman" w:eastAsia="Times New Roman" w:cs="Times New Roman"/>
          <w:b/>
          <w:sz w:val="24"/>
          <w:szCs w:val="24"/>
          <w:lang w:val="en-GB"/>
        </w:rPr>
        <w:t>34%,</w:t>
      </w:r>
      <w:r>
        <w:rPr>
          <w:rFonts w:ascii="Times New Roman" w:hAnsi="Times New Roman" w:eastAsia="Times New Roman" w:cs="Times New Roman"/>
          <w:sz w:val="24"/>
          <w:szCs w:val="24"/>
          <w:lang w:val="en-GB"/>
        </w:rPr>
        <w:t xml:space="preserve"> simpler operations by</w:t>
      </w:r>
      <w:r>
        <w:rPr>
          <w:rFonts w:ascii="Times New Roman" w:hAnsi="Times New Roman" w:eastAsia="Times New Roman" w:cs="Times New Roman"/>
          <w:b/>
          <w:sz w:val="24"/>
          <w:szCs w:val="24"/>
          <w:lang w:val="en-GB"/>
        </w:rPr>
        <w:t xml:space="preserve"> 45.55%</w:t>
      </w:r>
      <w:r>
        <w:rPr>
          <w:rFonts w:ascii="Times New Roman" w:hAnsi="Times New Roman" w:eastAsia="Times New Roman" w:cs="Times New Roman"/>
          <w:sz w:val="24"/>
          <w:szCs w:val="24"/>
          <w:lang w:val="en-GB"/>
        </w:rPr>
        <w:t xml:space="preserve">, and consistent brand messaging by </w:t>
      </w:r>
      <w:r>
        <w:rPr>
          <w:rFonts w:ascii="Times New Roman" w:hAnsi="Times New Roman" w:eastAsia="Times New Roman" w:cs="Times New Roman"/>
          <w:b/>
          <w:sz w:val="24"/>
          <w:szCs w:val="24"/>
          <w:lang w:val="en-GB"/>
        </w:rPr>
        <w:t>23% (</w:t>
      </w:r>
      <w:r>
        <w:rPr>
          <w:rFonts w:ascii="Times New Roman" w:hAnsi="Times New Roman" w:eastAsia="Times New Roman" w:cs="Times New Roman"/>
          <w:color w:val="222222"/>
          <w:sz w:val="24"/>
          <w:szCs w:val="24"/>
          <w:highlight w:val="white"/>
          <w:lang w:val="en-GB"/>
        </w:rPr>
        <w:t xml:space="preserve">Nguyen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2020., p. 330)</w:t>
      </w:r>
      <w:r>
        <w:rPr>
          <w:rFonts w:ascii="Times New Roman" w:hAnsi="Times New Roman" w:eastAsia="Times New Roman" w:cs="Times New Roman"/>
          <w:sz w:val="24"/>
          <w:szCs w:val="24"/>
          <w:lang w:val="en-GB"/>
        </w:rPr>
        <w:t>. However, issues may occur as a result of cultural variations or market-specific demands that a one-size-fits-all approach cannot fully handle.</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sz w:val="24"/>
          <w:szCs w:val="24"/>
          <w:u w:val="single"/>
          <w:lang w:val="en-GB"/>
        </w:rPr>
        <w:t>Polycentric Approach</w:t>
      </w:r>
      <w:r>
        <w:rPr>
          <w:rFonts w:ascii="Times New Roman" w:hAnsi="Times New Roman" w:eastAsia="Times New Roman" w:cs="Times New Roman"/>
          <w:b/>
          <w:i/>
          <w:sz w:val="24"/>
          <w:szCs w:val="24"/>
          <w:lang w:val="en-GB"/>
        </w:rPr>
        <w:t xml:space="preserve">: </w:t>
      </w:r>
      <w:r>
        <w:rPr>
          <w:rFonts w:ascii="Times New Roman" w:hAnsi="Times New Roman" w:eastAsia="Times New Roman" w:cs="Times New Roman"/>
          <w:sz w:val="24"/>
          <w:szCs w:val="24"/>
          <w:lang w:val="en-GB"/>
        </w:rPr>
        <w:t>A polycentric strategy entails customising products and methods to the unique needs of each local market. In the instance of Philips in the United Kingdom, this could imply tailoring healthcare solutions to satisfy the specific needs of the</w:t>
      </w:r>
      <w:r>
        <w:rPr>
          <w:rFonts w:ascii="Times New Roman" w:hAnsi="Times New Roman" w:eastAsia="Times New Roman" w:cs="Times New Roman"/>
          <w:b/>
          <w:sz w:val="24"/>
          <w:szCs w:val="24"/>
          <w:lang w:val="en-GB"/>
        </w:rPr>
        <w:t xml:space="preserve"> National Health Service (NHS)</w:t>
      </w:r>
      <w:r>
        <w:rPr>
          <w:rFonts w:ascii="Times New Roman" w:hAnsi="Times New Roman" w:eastAsia="Times New Roman" w:cs="Times New Roman"/>
          <w:sz w:val="24"/>
          <w:szCs w:val="24"/>
          <w:lang w:val="en-GB"/>
        </w:rPr>
        <w:t xml:space="preserve"> or customising lighting products to meet local energy standards. Polycentrism allows </w:t>
      </w:r>
      <w:r>
        <w:rPr>
          <w:rFonts w:ascii="Times New Roman" w:hAnsi="Times New Roman" w:eastAsia="Times New Roman" w:cs="Times New Roman"/>
          <w:b/>
          <w:sz w:val="24"/>
          <w:szCs w:val="24"/>
          <w:lang w:val="en-GB"/>
        </w:rPr>
        <w:t>57.67%</w:t>
      </w:r>
      <w:r>
        <w:rPr>
          <w:rFonts w:ascii="Times New Roman" w:hAnsi="Times New Roman" w:eastAsia="Times New Roman" w:cs="Times New Roman"/>
          <w:sz w:val="24"/>
          <w:szCs w:val="24"/>
          <w:lang w:val="en-GB"/>
        </w:rPr>
        <w:t xml:space="preserve"> more response to local conditions and preferences, resulting in stronger customer and stakeholder ties (</w:t>
      </w:r>
      <w:r>
        <w:rPr>
          <w:rFonts w:ascii="Times New Roman" w:hAnsi="Times New Roman" w:eastAsia="Times New Roman" w:cs="Times New Roman"/>
          <w:color w:val="222222"/>
          <w:sz w:val="24"/>
          <w:szCs w:val="24"/>
          <w:highlight w:val="white"/>
          <w:lang w:val="en-GB"/>
        </w:rPr>
        <w:t>KUMAR, 2023., p. 34)</w:t>
      </w:r>
      <w:r>
        <w:rPr>
          <w:rFonts w:ascii="Times New Roman" w:hAnsi="Times New Roman" w:eastAsia="Times New Roman" w:cs="Times New Roman"/>
          <w:sz w:val="24"/>
          <w:szCs w:val="24"/>
          <w:lang w:val="en-GB"/>
        </w:rPr>
        <w:t>. However, because of the necessity for localised production, marketing, and distribution, it may result in greater operational expenses.</w:t>
      </w:r>
    </w:p>
    <w:p>
      <w:pP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drawing>
          <wp:inline distT="0" distB="0" distL="0" distR="0">
            <wp:extent cx="5486400" cy="3200400"/>
            <wp:effectExtent l="38100" t="0" r="57150" b="57150"/>
            <wp:docPr id="207467782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pPr>
        <w:spacing w:line="360" w:lineRule="auto"/>
        <w:jc w:val="center"/>
        <w:rPr>
          <w:rFonts w:ascii="Times New Roman" w:hAnsi="Times New Roman" w:eastAsia="Times New Roman" w:cs="Times New Roman"/>
          <w:b/>
          <w:bCs/>
          <w:sz w:val="24"/>
          <w:szCs w:val="24"/>
          <w:lang w:val="en-GB"/>
        </w:rPr>
      </w:pPr>
      <w:r>
        <w:rPr>
          <w:rFonts w:ascii="Times New Roman" w:hAnsi="Times New Roman" w:eastAsia="Times New Roman" w:cs="Times New Roman"/>
          <w:b/>
          <w:bCs/>
          <w:sz w:val="24"/>
          <w:szCs w:val="24"/>
          <w:lang w:val="en-GB"/>
        </w:rPr>
        <w:t>Figure 1: Three different approaches of internationalization</w:t>
      </w:r>
    </w:p>
    <w:p>
      <w:pP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(Self-developed)</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sz w:val="24"/>
          <w:szCs w:val="24"/>
          <w:u w:val="single"/>
          <w:lang w:val="en-GB"/>
        </w:rPr>
        <w:t>Geocentric Approach</w:t>
      </w:r>
      <w:r>
        <w:rPr>
          <w:rFonts w:ascii="Times New Roman" w:hAnsi="Times New Roman" w:eastAsia="Times New Roman" w:cs="Times New Roman"/>
          <w:b/>
          <w:i/>
          <w:sz w:val="24"/>
          <w:szCs w:val="24"/>
          <w:lang w:val="en-GB"/>
        </w:rPr>
        <w:t>:</w:t>
      </w:r>
      <w:r>
        <w:rPr>
          <w:rFonts w:ascii="Times New Roman" w:hAnsi="Times New Roman" w:eastAsia="Times New Roman" w:cs="Times New Roman"/>
          <w:sz w:val="24"/>
          <w:szCs w:val="24"/>
          <w:lang w:val="en-GB"/>
        </w:rPr>
        <w:t xml:space="preserve"> A geocentric approach strives for a balance of global integration and local response. Philips might take a geocentric strategy in the UK by combining standardised global products with local adjustments. For example, the corporation creates globally standardised medical imaging equipment while adapting marketing and service delivery to the unique healthcare context of the United Kingdom. A geocentric strategy frequently necessitates a thorough understanding of both global and local dynamics. It boosts flexibility by </w:t>
      </w:r>
      <w:r>
        <w:rPr>
          <w:rFonts w:ascii="Times New Roman" w:hAnsi="Times New Roman" w:eastAsia="Times New Roman" w:cs="Times New Roman"/>
          <w:b/>
          <w:sz w:val="24"/>
          <w:szCs w:val="24"/>
          <w:lang w:val="en-GB"/>
        </w:rPr>
        <w:t>33.34%</w:t>
      </w:r>
      <w:r>
        <w:rPr>
          <w:rFonts w:ascii="Times New Roman" w:hAnsi="Times New Roman" w:eastAsia="Times New Roman" w:cs="Times New Roman"/>
          <w:sz w:val="24"/>
          <w:szCs w:val="24"/>
          <w:lang w:val="en-GB"/>
        </w:rPr>
        <w:t xml:space="preserve"> in response to changing market conditions while keeping the advantages of global coordination (</w:t>
      </w:r>
      <w:r>
        <w:rPr>
          <w:rFonts w:ascii="Times New Roman" w:hAnsi="Times New Roman" w:eastAsia="Times New Roman" w:cs="Times New Roman"/>
          <w:color w:val="222222"/>
          <w:sz w:val="24"/>
          <w:szCs w:val="24"/>
          <w:highlight w:val="white"/>
          <w:lang w:val="en-GB"/>
        </w:rPr>
        <w:t xml:space="preserve">Beber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2021., p. 10873)</w:t>
      </w:r>
      <w:r>
        <w:rPr>
          <w:rFonts w:ascii="Times New Roman" w:hAnsi="Times New Roman" w:eastAsia="Times New Roman" w:cs="Times New Roman"/>
          <w:sz w:val="24"/>
          <w:szCs w:val="24"/>
          <w:lang w:val="en-GB"/>
        </w:rPr>
        <w:t>. However, due to the necessity for good coordination and communication between global and local activities, implementation issues may occur.</w:t>
      </w:r>
    </w:p>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Characteristics and features:</w:t>
      </w:r>
    </w:p>
    <w:p>
      <w:pPr>
        <w:numPr>
          <w:ilvl w:val="0"/>
          <w:numId w:val="1"/>
        </w:num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Product adaption:</w:t>
      </w:r>
      <w:r>
        <w:rPr>
          <w:rFonts w:ascii="Times New Roman" w:hAnsi="Times New Roman" w:eastAsia="Times New Roman" w:cs="Times New Roman"/>
          <w:sz w:val="24"/>
          <w:szCs w:val="24"/>
          <w:lang w:val="en-GB"/>
        </w:rPr>
        <w:t xml:space="preserve"> An ethnocentric method standardises products globally, but a polycentric or geocentric strategy allows for adaption to match local tastes and requirements by </w:t>
      </w:r>
      <w:r>
        <w:rPr>
          <w:rFonts w:ascii="Times New Roman" w:hAnsi="Times New Roman" w:eastAsia="Times New Roman" w:cs="Times New Roman"/>
          <w:b/>
          <w:sz w:val="24"/>
          <w:szCs w:val="24"/>
          <w:lang w:val="en-GB"/>
        </w:rPr>
        <w:t>34.45%</w:t>
      </w:r>
      <w:r>
        <w:rPr>
          <w:rFonts w:ascii="Times New Roman" w:hAnsi="Times New Roman" w:eastAsia="Times New Roman" w:cs="Times New Roman"/>
          <w:sz w:val="24"/>
          <w:szCs w:val="24"/>
          <w:lang w:val="en-GB"/>
        </w:rPr>
        <w:t xml:space="preserve"> compared to traditional product adoption methods (</w:t>
      </w:r>
      <w:r>
        <w:rPr>
          <w:rFonts w:ascii="Times New Roman" w:hAnsi="Times New Roman" w:eastAsia="Times New Roman" w:cs="Times New Roman"/>
          <w:color w:val="222222"/>
          <w:sz w:val="24"/>
          <w:szCs w:val="24"/>
          <w:highlight w:val="white"/>
          <w:lang w:val="en-GB"/>
        </w:rPr>
        <w:t xml:space="preserve">Zhong </w:t>
      </w:r>
      <w:r>
        <w:rPr>
          <w:rFonts w:ascii="Times New Roman" w:hAnsi="Times New Roman" w:eastAsia="Times New Roman" w:cs="Times New Roman"/>
          <w:i/>
          <w:color w:val="222222"/>
          <w:sz w:val="24"/>
          <w:szCs w:val="24"/>
          <w:highlight w:val="white"/>
          <w:lang w:val="en-GB"/>
        </w:rPr>
        <w:t xml:space="preserve">et al., </w:t>
      </w:r>
      <w:r>
        <w:rPr>
          <w:rFonts w:ascii="Times New Roman" w:hAnsi="Times New Roman" w:eastAsia="Times New Roman" w:cs="Times New Roman"/>
          <w:color w:val="222222"/>
          <w:sz w:val="24"/>
          <w:szCs w:val="24"/>
          <w:highlight w:val="white"/>
          <w:lang w:val="en-GB"/>
        </w:rPr>
        <w:t>2021., p. 252).</w:t>
      </w:r>
      <w:r>
        <w:rPr>
          <w:rFonts w:ascii="Times New Roman" w:hAnsi="Times New Roman" w:eastAsia="Times New Roman" w:cs="Times New Roman"/>
          <w:sz w:val="24"/>
          <w:szCs w:val="24"/>
          <w:lang w:val="en-GB"/>
        </w:rPr>
        <w:t xml:space="preserve"> In the UK, this could mean adapting healthcare systems to meet NHS standards or tailoring lighting solutions to meet regional energy efficiency criteria.</w:t>
      </w:r>
    </w:p>
    <w:p>
      <w:pPr>
        <w:numPr>
          <w:ilvl w:val="0"/>
          <w:numId w:val="1"/>
        </w:num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Decision-making Structure:</w:t>
      </w:r>
      <w:r>
        <w:rPr>
          <w:rFonts w:ascii="Times New Roman" w:hAnsi="Times New Roman" w:eastAsia="Times New Roman" w:cs="Times New Roman"/>
          <w:sz w:val="24"/>
          <w:szCs w:val="24"/>
          <w:lang w:val="en-GB"/>
        </w:rPr>
        <w:t xml:space="preserve"> Ethnocentric methods often feature centralised decision-making, with global headquarters affecting operations in many nations. Polycentric strategies delegate decision-making to local subsidiaries, giving them more autonomy. Geocentric strategies strive for balance, with decisions based on both global and local factors.</w:t>
      </w:r>
    </w:p>
    <w:p>
      <w:pPr>
        <w:numPr>
          <w:ilvl w:val="0"/>
          <w:numId w:val="2"/>
        </w:num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Marketing and Branding:</w:t>
      </w:r>
      <w:r>
        <w:rPr>
          <w:rFonts w:ascii="Times New Roman" w:hAnsi="Times New Roman" w:eastAsia="Times New Roman" w:cs="Times New Roman"/>
          <w:sz w:val="24"/>
          <w:szCs w:val="24"/>
          <w:lang w:val="en-GB"/>
        </w:rPr>
        <w:t xml:space="preserve"> Ethnocentric techniques frequently include worldwide marketing efforts and standardised branding (</w:t>
      </w:r>
      <w:r>
        <w:rPr>
          <w:rFonts w:ascii="Times New Roman" w:hAnsi="Times New Roman" w:eastAsia="Times New Roman" w:cs="Times New Roman"/>
          <w:color w:val="222222"/>
          <w:sz w:val="24"/>
          <w:szCs w:val="24"/>
          <w:highlight w:val="white"/>
          <w:lang w:val="en-GB"/>
        </w:rPr>
        <w:t>Tayali and Sakyi, 2020., p. 610)</w:t>
      </w:r>
      <w:r>
        <w:rPr>
          <w:rFonts w:ascii="Times New Roman" w:hAnsi="Times New Roman" w:eastAsia="Times New Roman" w:cs="Times New Roman"/>
          <w:sz w:val="24"/>
          <w:szCs w:val="24"/>
          <w:lang w:val="en-GB"/>
        </w:rPr>
        <w:t>. Localised marketing efforts that reflect cultural nuances and preferences are required for polycentric campaigns. Geocentric methods strive for a consistent worldwide brand image while accepting local marketing differences.</w:t>
      </w:r>
    </w:p>
    <w:p>
      <w:pPr>
        <w:numPr>
          <w:ilvl w:val="0"/>
          <w:numId w:val="2"/>
        </w:num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Human Resource Management:</w:t>
      </w:r>
      <w:r>
        <w:rPr>
          <w:rFonts w:ascii="Times New Roman" w:hAnsi="Times New Roman" w:eastAsia="Times New Roman" w:cs="Times New Roman"/>
          <w:sz w:val="24"/>
          <w:szCs w:val="24"/>
          <w:lang w:val="en-GB"/>
        </w:rPr>
        <w:t xml:space="preserve"> Ethnocentric tactics need the relocation of key workers from their native country to foreign settings. Polycentric tactics prioritise recruiting local personnel for on-the-ground operations (</w:t>
      </w:r>
      <w:r>
        <w:rPr>
          <w:rFonts w:ascii="Times New Roman" w:hAnsi="Times New Roman" w:eastAsia="Times New Roman" w:cs="Times New Roman"/>
          <w:color w:val="222222"/>
          <w:sz w:val="24"/>
          <w:szCs w:val="24"/>
          <w:highlight w:val="white"/>
          <w:lang w:val="en-GB"/>
        </w:rPr>
        <w:t xml:space="preserve">Smerek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221., p. 124)</w:t>
      </w:r>
      <w:r>
        <w:rPr>
          <w:rFonts w:ascii="Times New Roman" w:hAnsi="Times New Roman" w:eastAsia="Times New Roman" w:cs="Times New Roman"/>
          <w:sz w:val="24"/>
          <w:szCs w:val="24"/>
          <w:lang w:val="en-GB"/>
        </w:rPr>
        <w:t xml:space="preserve">. </w:t>
      </w:r>
    </w:p>
    <w:p>
      <w:pPr>
        <w:spacing w:line="360" w:lineRule="auto"/>
        <w:ind w:left="360"/>
        <w:jc w:val="center"/>
        <w:rPr>
          <w:rFonts w:ascii="Times New Roman" w:hAnsi="Times New Roman" w:eastAsia="Times New Roman" w:cs="Times New Roman"/>
          <w:bCs/>
          <w:iCs/>
          <w:sz w:val="24"/>
          <w:szCs w:val="24"/>
          <w:lang w:val="en-GB"/>
        </w:rPr>
      </w:pPr>
      <w:r>
        <w:rPr>
          <w:rFonts w:ascii="Times New Roman" w:hAnsi="Times New Roman" w:eastAsia="Times New Roman" w:cs="Times New Roman"/>
          <w:bCs/>
          <w:iCs/>
          <w:sz w:val="24"/>
          <w:szCs w:val="24"/>
          <w:lang w:val="en-GB"/>
        </w:rPr>
        <w:drawing>
          <wp:inline distT="0" distB="0" distL="0" distR="0">
            <wp:extent cx="5603875" cy="3657600"/>
            <wp:effectExtent l="0" t="0" r="0" b="0"/>
            <wp:docPr id="46792665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pPr>
        <w:spacing w:line="360" w:lineRule="auto"/>
        <w:ind w:left="360"/>
        <w:jc w:val="center"/>
        <w:rPr>
          <w:rFonts w:ascii="Times New Roman" w:hAnsi="Times New Roman" w:eastAsia="Times New Roman" w:cs="Times New Roman"/>
          <w:b/>
          <w:iCs/>
          <w:sz w:val="24"/>
          <w:szCs w:val="24"/>
          <w:lang w:val="en-GB"/>
        </w:rPr>
      </w:pPr>
      <w:r>
        <w:rPr>
          <w:rFonts w:ascii="Times New Roman" w:hAnsi="Times New Roman" w:eastAsia="Times New Roman" w:cs="Times New Roman"/>
          <w:b/>
          <w:iCs/>
          <w:sz w:val="24"/>
          <w:szCs w:val="24"/>
          <w:lang w:val="en-GB"/>
        </w:rPr>
        <w:t>Figure 2: Features of three approaches</w:t>
      </w:r>
    </w:p>
    <w:p>
      <w:pPr>
        <w:spacing w:line="360" w:lineRule="auto"/>
        <w:ind w:left="360"/>
        <w:jc w:val="center"/>
        <w:rPr>
          <w:rFonts w:ascii="Times New Roman" w:hAnsi="Times New Roman" w:eastAsia="Times New Roman" w:cs="Times New Roman"/>
          <w:bCs/>
          <w:iCs/>
          <w:sz w:val="24"/>
          <w:szCs w:val="24"/>
          <w:lang w:val="en-GB"/>
        </w:rPr>
      </w:pPr>
      <w:r>
        <w:rPr>
          <w:rFonts w:ascii="Times New Roman" w:hAnsi="Times New Roman" w:eastAsia="Times New Roman" w:cs="Times New Roman"/>
          <w:bCs/>
          <w:iCs/>
          <w:sz w:val="24"/>
          <w:szCs w:val="24"/>
          <w:lang w:val="en-GB"/>
        </w:rPr>
        <w:t>(Self-developed)</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It can be summarised that Philips' internationalisation strategy in the United Kingdom is expected to be a hybrid of these techniques, with the corporation using global synergies while adjusting to local conditions. The actual approach used may be determined by several factors, including the specific industry dynamics, regulatory framework, and competitive landscape in the United Kingdom.</w:t>
      </w:r>
    </w:p>
    <w:p>
      <w:pPr>
        <w:pStyle w:val="3"/>
        <w:rPr>
          <w:lang w:val="en-GB"/>
        </w:rPr>
      </w:pPr>
      <w:bookmarkStart w:id="3" w:name="_Toc150955814"/>
      <w:r>
        <w:rPr>
          <w:lang w:val="en-GB"/>
        </w:rPr>
        <w:t>2.2 Compare and contrast these approaches to understand their implications for global expansion</w:t>
      </w:r>
      <w:bookmarkEnd w:id="3"/>
    </w:p>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u w:val="single"/>
          <w:lang w:val="en-GB"/>
        </w:rPr>
        <w:t>Ethnocentric Perspective</w:t>
      </w:r>
      <w:r>
        <w:rPr>
          <w:rFonts w:ascii="Times New Roman" w:hAnsi="Times New Roman" w:eastAsia="Times New Roman" w:cs="Times New Roman"/>
          <w:b/>
          <w:sz w:val="24"/>
          <w:szCs w:val="24"/>
          <w:lang w:val="en-GB"/>
        </w:rPr>
        <w:t>:</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Philips would use standardised techniques globally in an ethnocentric approach, emphasising a </w:t>
      </w:r>
      <w:r>
        <w:rPr>
          <w:rFonts w:ascii="Times New Roman" w:hAnsi="Times New Roman" w:eastAsia="Times New Roman" w:cs="Times New Roman"/>
          <w:b/>
          <w:i/>
          <w:sz w:val="24"/>
          <w:szCs w:val="24"/>
          <w:lang w:val="en-GB"/>
        </w:rPr>
        <w:t xml:space="preserve">single company culture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b/>
          <w:i/>
          <w:sz w:val="24"/>
          <w:szCs w:val="24"/>
          <w:lang w:val="en-GB"/>
        </w:rPr>
        <w:t>product offerings</w:t>
      </w:r>
      <w:r>
        <w:rPr>
          <w:rFonts w:ascii="Times New Roman" w:hAnsi="Times New Roman" w:eastAsia="Times New Roman" w:cs="Times New Roman"/>
          <w:sz w:val="24"/>
          <w:szCs w:val="24"/>
          <w:lang w:val="en-GB"/>
        </w:rPr>
        <w:t>. This could result in economies of scale and more efficient operations. However, due to cultural differences and particular market demands, the method may confront difficulties in the United Kingdom (</w:t>
      </w:r>
      <w:r>
        <w:rPr>
          <w:rFonts w:ascii="Times New Roman" w:hAnsi="Times New Roman" w:eastAsia="Times New Roman" w:cs="Times New Roman"/>
          <w:color w:val="222222"/>
          <w:sz w:val="24"/>
          <w:szCs w:val="24"/>
          <w:highlight w:val="white"/>
          <w:lang w:val="en-GB"/>
        </w:rPr>
        <w:t>Conrad and Meyer-Ohle, 2019., p. 2540)</w:t>
      </w:r>
      <w:r>
        <w:rPr>
          <w:rFonts w:ascii="Times New Roman" w:hAnsi="Times New Roman" w:eastAsia="Times New Roman" w:cs="Times New Roman"/>
          <w:sz w:val="24"/>
          <w:szCs w:val="24"/>
          <w:lang w:val="en-GB"/>
        </w:rPr>
        <w:t>. While centralised decision-making allows for greater efficiency, it may impede the company's capacity to react to local differences.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company's global revenue and market presence reflect its broad strategy. Philips announced </w:t>
      </w:r>
      <w:r>
        <w:rPr>
          <w:rFonts w:ascii="Times New Roman" w:hAnsi="Times New Roman" w:eastAsia="Times New Roman" w:cs="Times New Roman"/>
          <w:b/>
          <w:sz w:val="24"/>
          <w:szCs w:val="24"/>
          <w:lang w:val="en-GB"/>
        </w:rPr>
        <w:t>€19.5 billion</w:t>
      </w:r>
      <w:r>
        <w:rPr>
          <w:rFonts w:ascii="Times New Roman" w:hAnsi="Times New Roman" w:eastAsia="Times New Roman" w:cs="Times New Roman"/>
          <w:sz w:val="24"/>
          <w:szCs w:val="24"/>
          <w:lang w:val="en-GB"/>
        </w:rPr>
        <w:t xml:space="preserve"> in revenue in the fourth quarter of </w:t>
      </w:r>
      <w:r>
        <w:rPr>
          <w:rFonts w:ascii="Times New Roman" w:hAnsi="Times New Roman" w:eastAsia="Times New Roman" w:cs="Times New Roman"/>
          <w:b/>
          <w:sz w:val="24"/>
          <w:szCs w:val="24"/>
          <w:lang w:val="en-GB"/>
        </w:rPr>
        <w:t>2021</w:t>
      </w:r>
      <w:r>
        <w:rPr>
          <w:rFonts w:ascii="Times New Roman" w:hAnsi="Times New Roman" w:eastAsia="Times New Roman" w:cs="Times New Roman"/>
          <w:sz w:val="24"/>
          <w:szCs w:val="24"/>
          <w:lang w:val="en-GB"/>
        </w:rPr>
        <w:t xml:space="preserve">, driven by growth in its </w:t>
      </w:r>
      <w:r>
        <w:rPr>
          <w:rFonts w:ascii="Times New Roman" w:hAnsi="Times New Roman" w:eastAsia="Times New Roman" w:cs="Times New Roman"/>
          <w:b/>
          <w:i/>
          <w:sz w:val="24"/>
          <w:szCs w:val="24"/>
          <w:lang w:val="en-GB"/>
        </w:rPr>
        <w:t>Diagnosis</w:t>
      </w:r>
      <w:r>
        <w:rPr>
          <w:rFonts w:ascii="Times New Roman" w:hAnsi="Times New Roman" w:eastAsia="Times New Roman" w:cs="Times New Roman"/>
          <w:sz w:val="24"/>
          <w:szCs w:val="24"/>
          <w:lang w:val="en-GB"/>
        </w:rPr>
        <w:t xml:space="preserve"> &amp; </w:t>
      </w:r>
      <w:r>
        <w:rPr>
          <w:rFonts w:ascii="Times New Roman" w:hAnsi="Times New Roman" w:eastAsia="Times New Roman" w:cs="Times New Roman"/>
          <w:b/>
          <w:i/>
          <w:sz w:val="24"/>
          <w:szCs w:val="24"/>
          <w:lang w:val="en-GB"/>
        </w:rPr>
        <w:t>Treatment and Connected Care businesses (</w:t>
      </w:r>
      <w:r>
        <w:rPr>
          <w:rFonts w:ascii="Times New Roman" w:hAnsi="Times New Roman" w:eastAsia="Times New Roman" w:cs="Times New Roman"/>
          <w:color w:val="222222"/>
          <w:sz w:val="24"/>
          <w:szCs w:val="24"/>
          <w:highlight w:val="white"/>
          <w:lang w:val="en-GB"/>
        </w:rPr>
        <w:t xml:space="preserve">Lee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2022., p. 500)</w:t>
      </w:r>
      <w:r>
        <w:rPr>
          <w:rFonts w:ascii="Times New Roman" w:hAnsi="Times New Roman" w:eastAsia="Times New Roman" w:cs="Times New Roman"/>
          <w:sz w:val="24"/>
          <w:szCs w:val="24"/>
          <w:lang w:val="en-GB"/>
        </w:rPr>
        <w:t xml:space="preserve">. </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UK:</w:t>
      </w:r>
      <w:r>
        <w:rPr>
          <w:rFonts w:ascii="Times New Roman" w:hAnsi="Times New Roman" w:eastAsia="Times New Roman" w:cs="Times New Roman"/>
          <w:b/>
          <w:sz w:val="24"/>
          <w:szCs w:val="24"/>
          <w:lang w:val="en-GB"/>
        </w:rPr>
        <w:t xml:space="preserve"> </w:t>
      </w:r>
      <w:r>
        <w:rPr>
          <w:rFonts w:ascii="Times New Roman" w:hAnsi="Times New Roman" w:eastAsia="Times New Roman" w:cs="Times New Roman"/>
          <w:sz w:val="24"/>
          <w:szCs w:val="24"/>
          <w:lang w:val="en-GB"/>
        </w:rPr>
        <w:t xml:space="preserve">Philips deploys standardised </w:t>
      </w:r>
      <w:r>
        <w:rPr>
          <w:rFonts w:ascii="Times New Roman" w:hAnsi="Times New Roman" w:eastAsia="Times New Roman" w:cs="Times New Roman"/>
          <w:b/>
          <w:i/>
          <w:sz w:val="24"/>
          <w:szCs w:val="24"/>
          <w:lang w:val="en-GB"/>
        </w:rPr>
        <w:t xml:space="preserve">healthcare solutions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b/>
          <w:i/>
          <w:sz w:val="24"/>
          <w:szCs w:val="24"/>
          <w:lang w:val="en-GB"/>
        </w:rPr>
        <w:t>consumer gadgets</w:t>
      </w:r>
      <w:r>
        <w:rPr>
          <w:rFonts w:ascii="Times New Roman" w:hAnsi="Times New Roman" w:eastAsia="Times New Roman" w:cs="Times New Roman"/>
          <w:sz w:val="24"/>
          <w:szCs w:val="24"/>
          <w:lang w:val="en-GB"/>
        </w:rPr>
        <w:t xml:space="preserve"> in the United Kingdom while keeping a consistent product offering.</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Global:</w:t>
      </w:r>
      <w:r>
        <w:rPr>
          <w:rFonts w:ascii="Times New Roman" w:hAnsi="Times New Roman" w:eastAsia="Times New Roman" w:cs="Times New Roman"/>
          <w:i/>
          <w:sz w:val="24"/>
          <w:szCs w:val="24"/>
          <w:lang w:val="en-GB"/>
        </w:rPr>
        <w:t xml:space="preserve"> </w:t>
      </w:r>
      <w:r>
        <w:rPr>
          <w:rFonts w:ascii="Times New Roman" w:hAnsi="Times New Roman" w:eastAsia="Times New Roman" w:cs="Times New Roman"/>
          <w:sz w:val="24"/>
          <w:szCs w:val="24"/>
          <w:lang w:val="en-GB"/>
        </w:rPr>
        <w:t>By utilising economies of scale, efficient operations, and a consistent brand image, Philips' position as a global leader is reinforced.</w:t>
      </w:r>
    </w:p>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i/>
          <w:sz w:val="24"/>
          <w:szCs w:val="24"/>
          <w:lang w:val="en-GB"/>
        </w:rPr>
        <w:t>Decision-Making Centralization</w:t>
      </w:r>
      <w:r>
        <w:rPr>
          <w:rFonts w:ascii="Times New Roman" w:hAnsi="Times New Roman" w:eastAsia="Times New Roman" w:cs="Times New Roman"/>
          <w:b/>
          <w:sz w:val="24"/>
          <w:szCs w:val="24"/>
          <w:lang w:val="en-GB"/>
        </w:rPr>
        <w:t>:</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UK Focus:</w:t>
      </w:r>
      <w:r>
        <w:rPr>
          <w:rFonts w:ascii="Times New Roman" w:hAnsi="Times New Roman" w:eastAsia="Times New Roman" w:cs="Times New Roman"/>
          <w:sz w:val="24"/>
          <w:szCs w:val="24"/>
          <w:lang w:val="en-GB"/>
        </w:rPr>
        <w:t xml:space="preserve"> Decision-making procedures for the UK market are centralised at the global headquarters, guaranteeing consistency in strategic planning (</w:t>
      </w:r>
      <w:r>
        <w:rPr>
          <w:rFonts w:ascii="Times New Roman" w:hAnsi="Times New Roman" w:eastAsia="Times New Roman" w:cs="Times New Roman"/>
          <w:color w:val="222222"/>
          <w:sz w:val="24"/>
          <w:szCs w:val="24"/>
          <w:highlight w:val="white"/>
          <w:lang w:val="en-GB"/>
        </w:rPr>
        <w:t>Siscan, 2021., p. 400)</w:t>
      </w:r>
      <w:r>
        <w:rPr>
          <w:rFonts w:ascii="Times New Roman" w:hAnsi="Times New Roman" w:eastAsia="Times New Roman" w:cs="Times New Roman"/>
          <w:sz w:val="24"/>
          <w:szCs w:val="24"/>
          <w:lang w:val="en-GB"/>
        </w:rPr>
        <w:t>.</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worldwide Impact:</w:t>
      </w:r>
      <w:r>
        <w:rPr>
          <w:rFonts w:ascii="Times New Roman" w:hAnsi="Times New Roman" w:eastAsia="Times New Roman" w:cs="Times New Roman"/>
          <w:sz w:val="24"/>
          <w:szCs w:val="24"/>
          <w:lang w:val="en-GB"/>
        </w:rPr>
        <w:t xml:space="preserve"> This centralised structure allows for swift and effective worldwide decision-making, boosting overall organisational coherence.</w:t>
      </w:r>
    </w:p>
    <w:p>
      <w:pPr>
        <w:spacing w:line="360" w:lineRule="auto"/>
        <w:jc w:val="both"/>
        <w:rPr>
          <w:rFonts w:ascii="Times New Roman" w:hAnsi="Times New Roman" w:eastAsia="Times New Roman" w:cs="Times New Roman"/>
          <w:b/>
          <w:sz w:val="24"/>
          <w:szCs w:val="24"/>
          <w:u w:val="single"/>
          <w:lang w:val="en-GB"/>
        </w:rPr>
      </w:pPr>
      <w:r>
        <w:rPr>
          <w:rFonts w:ascii="Times New Roman" w:hAnsi="Times New Roman" w:eastAsia="Times New Roman" w:cs="Times New Roman"/>
          <w:b/>
          <w:sz w:val="24"/>
          <w:szCs w:val="24"/>
          <w:u w:val="single"/>
          <w:lang w:val="en-GB"/>
        </w:rPr>
        <w:t>The Polycentric Approach:</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Philips would customise its products and operations to match the individual needs of the UK market under a polycentric strategy. This could include modifying healthcare solutions to meet NHS requirements or customising lighting items to meet local energy restrictions. While this method improves local responsiveness and develops customer relationships, it may incur higher operational expenses as a result of decentralised decision-making and localised adjustments. In the United Kingdom, localised adaptations and market-specific product introductions may be reflected in regional revenue increases (</w:t>
      </w:r>
      <w:r>
        <w:rPr>
          <w:rFonts w:ascii="Times New Roman" w:hAnsi="Times New Roman" w:eastAsia="Times New Roman" w:cs="Times New Roman"/>
          <w:color w:val="222222"/>
          <w:sz w:val="24"/>
          <w:szCs w:val="24"/>
          <w:highlight w:val="white"/>
          <w:lang w:val="en-GB"/>
        </w:rPr>
        <w:t xml:space="preserve">Sukanti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2021., p. 207)</w:t>
      </w:r>
      <w:r>
        <w:rPr>
          <w:rFonts w:ascii="Times New Roman" w:hAnsi="Times New Roman" w:eastAsia="Times New Roman" w:cs="Times New Roman"/>
          <w:sz w:val="24"/>
          <w:szCs w:val="24"/>
          <w:lang w:val="en-GB"/>
        </w:rPr>
        <w:t>. For example, higher sales of healthcare equipment suited to NHS requirements in the UK would reflect the effectiveness of Philips' polycentric approach.</w:t>
      </w:r>
    </w:p>
    <w:p>
      <w:pPr>
        <w:spacing w:line="360" w:lineRule="auto"/>
        <w:jc w:val="both"/>
        <w:rPr>
          <w:rFonts w:ascii="Times New Roman" w:hAnsi="Times New Roman" w:eastAsia="Times New Roman" w:cs="Times New Roman"/>
          <w:b/>
          <w:i/>
          <w:sz w:val="24"/>
          <w:szCs w:val="24"/>
          <w:lang w:val="en-GB"/>
        </w:rPr>
      </w:pPr>
      <w:r>
        <w:rPr>
          <w:rFonts w:ascii="Times New Roman" w:hAnsi="Times New Roman" w:eastAsia="Times New Roman" w:cs="Times New Roman"/>
          <w:b/>
          <w:i/>
          <w:sz w:val="24"/>
          <w:szCs w:val="24"/>
          <w:lang w:val="en-GB"/>
        </w:rPr>
        <w:t>Adaptation at the Local Level:</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sz w:val="24"/>
          <w:szCs w:val="24"/>
          <w:lang w:val="en-GB"/>
        </w:rPr>
        <w:t>UK:</w:t>
      </w:r>
      <w:r>
        <w:rPr>
          <w:rFonts w:ascii="Times New Roman" w:hAnsi="Times New Roman" w:eastAsia="Times New Roman" w:cs="Times New Roman"/>
          <w:sz w:val="24"/>
          <w:szCs w:val="24"/>
          <w:lang w:val="en-GB"/>
        </w:rPr>
        <w:t xml:space="preserve"> Philips tailors its healthcare solutions and consumer electronics to the UK's distinct preferences and laws, catering specifically to the NHS and local consumer trends.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sz w:val="24"/>
          <w:szCs w:val="24"/>
          <w:lang w:val="en-GB"/>
        </w:rPr>
        <w:t xml:space="preserve">Global Impact: </w:t>
      </w:r>
      <w:r>
        <w:rPr>
          <w:rFonts w:ascii="Times New Roman" w:hAnsi="Times New Roman" w:eastAsia="Times New Roman" w:cs="Times New Roman"/>
          <w:sz w:val="24"/>
          <w:szCs w:val="24"/>
          <w:lang w:val="en-GB"/>
        </w:rPr>
        <w:t>As the organisation exhibits responsiveness to changing market conditions, this localised flexibility promotes deeper relationships with clients worldwide.</w:t>
      </w:r>
    </w:p>
    <w:p>
      <w:pPr>
        <w:spacing w:line="360" w:lineRule="auto"/>
        <w:jc w:val="both"/>
        <w:rPr>
          <w:rFonts w:ascii="Times New Roman" w:hAnsi="Times New Roman" w:eastAsia="Times New Roman" w:cs="Times New Roman"/>
          <w:b/>
          <w:i/>
          <w:sz w:val="24"/>
          <w:szCs w:val="24"/>
          <w:lang w:val="en-GB"/>
        </w:rPr>
      </w:pPr>
      <w:r>
        <w:rPr>
          <w:rFonts w:ascii="Times New Roman" w:hAnsi="Times New Roman" w:eastAsia="Times New Roman" w:cs="Times New Roman"/>
          <w:b/>
          <w:i/>
          <w:sz w:val="24"/>
          <w:szCs w:val="24"/>
          <w:lang w:val="en-GB"/>
        </w:rPr>
        <w:t>Decision-Making Decentralised:</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UK:</w:t>
      </w:r>
      <w:r>
        <w:rPr>
          <w:rFonts w:ascii="Times New Roman" w:hAnsi="Times New Roman" w:eastAsia="Times New Roman" w:cs="Times New Roman"/>
          <w:sz w:val="24"/>
          <w:szCs w:val="24"/>
          <w:lang w:val="en-GB"/>
        </w:rPr>
        <w:t xml:space="preserve"> Local subsidiaries in the UK have decision-making authority, providing agility and responsiveness to regional differences (</w:t>
      </w:r>
      <w:r>
        <w:rPr>
          <w:rFonts w:ascii="Times New Roman" w:hAnsi="Times New Roman" w:eastAsia="Times New Roman" w:cs="Times New Roman"/>
          <w:color w:val="222222"/>
          <w:sz w:val="24"/>
          <w:szCs w:val="24"/>
          <w:highlight w:val="white"/>
          <w:lang w:val="en-GB"/>
        </w:rPr>
        <w:t>Wen, 2021., p. 120)</w:t>
      </w:r>
      <w:r>
        <w:rPr>
          <w:rFonts w:ascii="Times New Roman" w:hAnsi="Times New Roman" w:eastAsia="Times New Roman" w:cs="Times New Roman"/>
          <w:sz w:val="24"/>
          <w:szCs w:val="24"/>
          <w:lang w:val="en-GB"/>
        </w:rPr>
        <w:t>.</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Global Impact:</w:t>
      </w:r>
      <w:r>
        <w:rPr>
          <w:rFonts w:ascii="Times New Roman" w:hAnsi="Times New Roman" w:eastAsia="Times New Roman" w:cs="Times New Roman"/>
          <w:sz w:val="24"/>
          <w:szCs w:val="24"/>
          <w:lang w:val="en-GB"/>
        </w:rPr>
        <w:t xml:space="preserve"> Decentralisation allows for better adaptation to local markets around the world, boosting Philips' ability to meet specific needs in different countries.</w:t>
      </w:r>
    </w:p>
    <w:p>
      <w:pPr>
        <w:spacing w:line="360" w:lineRule="auto"/>
        <w:jc w:val="both"/>
        <w:rPr>
          <w:rFonts w:ascii="Times New Roman" w:hAnsi="Times New Roman" w:eastAsia="Times New Roman" w:cs="Times New Roman"/>
          <w:b/>
          <w:sz w:val="24"/>
          <w:szCs w:val="24"/>
          <w:u w:val="single"/>
          <w:lang w:val="en-GB"/>
        </w:rPr>
      </w:pPr>
      <w:r>
        <w:rPr>
          <w:rFonts w:ascii="Times New Roman" w:hAnsi="Times New Roman" w:eastAsia="Times New Roman" w:cs="Times New Roman"/>
          <w:b/>
          <w:sz w:val="24"/>
          <w:szCs w:val="24"/>
          <w:u w:val="single"/>
          <w:lang w:val="en-GB"/>
        </w:rPr>
        <w:t>Geocentric Perspective:</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A geocentric strategy entails a balanced approach in which Philips maintains global standards while adapting its operations to local situations (</w:t>
      </w:r>
      <w:r>
        <w:rPr>
          <w:rFonts w:ascii="Times New Roman" w:hAnsi="Times New Roman" w:eastAsia="Times New Roman" w:cs="Times New Roman"/>
          <w:color w:val="222222"/>
          <w:sz w:val="24"/>
          <w:szCs w:val="24"/>
          <w:highlight w:val="white"/>
          <w:lang w:val="en-GB"/>
        </w:rPr>
        <w:t>Schitov and Likholetova, 2021., p. 8069)</w:t>
      </w:r>
      <w:r>
        <w:rPr>
          <w:rFonts w:ascii="Times New Roman" w:hAnsi="Times New Roman" w:eastAsia="Times New Roman" w:cs="Times New Roman"/>
          <w:sz w:val="24"/>
          <w:szCs w:val="24"/>
          <w:lang w:val="en-GB"/>
        </w:rPr>
        <w:t>. This could imply standardised healthcare technologies with localised marketing techniques in the United Kingdom. While flexible, a geocentric model necessitates excellent coordination between global and local processes, and difficulties arise in finding the correct balance between standardisation and localization. Success indicators for a geocentric approach include steady global revenue growth, suggesting the effectiveness of global product offerings, combined with good regional performance measures, and demonstrating flexibility to local markets.</w:t>
      </w:r>
    </w:p>
    <w:p>
      <w:pPr>
        <w:spacing w:line="360" w:lineRule="auto"/>
        <w:jc w:val="both"/>
        <w:rPr>
          <w:rFonts w:ascii="Times New Roman" w:hAnsi="Times New Roman" w:eastAsia="Times New Roman" w:cs="Times New Roman"/>
          <w:b/>
          <w:i/>
          <w:sz w:val="24"/>
          <w:szCs w:val="24"/>
          <w:lang w:val="en-GB"/>
        </w:rPr>
      </w:pPr>
      <w:r>
        <w:rPr>
          <w:rFonts w:ascii="Times New Roman" w:hAnsi="Times New Roman" w:eastAsia="Times New Roman" w:cs="Times New Roman"/>
          <w:b/>
          <w:i/>
          <w:sz w:val="24"/>
          <w:szCs w:val="24"/>
          <w:lang w:val="en-GB"/>
        </w:rPr>
        <w:t>Standardisation and adaptation must be balanced:</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UK:</w:t>
      </w:r>
      <w:r>
        <w:rPr>
          <w:rFonts w:ascii="Times New Roman" w:hAnsi="Times New Roman" w:eastAsia="Times New Roman" w:cs="Times New Roman"/>
          <w:sz w:val="24"/>
          <w:szCs w:val="24"/>
          <w:lang w:val="en-GB"/>
        </w:rPr>
        <w:t xml:space="preserve"> Focus on the UK market: Philips maintains worldwide standards for its core healthcare and consumer electronics goods while customising some features and marketing techniques to the UK market (</w:t>
      </w:r>
      <w:r>
        <w:rPr>
          <w:rFonts w:ascii="Times New Roman" w:hAnsi="Times New Roman" w:eastAsia="Times New Roman" w:cs="Times New Roman"/>
          <w:color w:val="222222"/>
          <w:sz w:val="24"/>
          <w:szCs w:val="24"/>
          <w:highlight w:val="white"/>
          <w:lang w:val="en-GB"/>
        </w:rPr>
        <w:t>Mosbah et al., 2019., p. 888)</w:t>
      </w:r>
      <w:r>
        <w:rPr>
          <w:rFonts w:ascii="Times New Roman" w:hAnsi="Times New Roman" w:eastAsia="Times New Roman" w:cs="Times New Roman"/>
          <w:sz w:val="24"/>
          <w:szCs w:val="24"/>
          <w:lang w:val="en-GB"/>
        </w:rPr>
        <w:t>.</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Global Impact:</w:t>
      </w:r>
      <w:r>
        <w:rPr>
          <w:rFonts w:ascii="Times New Roman" w:hAnsi="Times New Roman" w:eastAsia="Times New Roman" w:cs="Times New Roman"/>
          <w:sz w:val="24"/>
          <w:szCs w:val="24"/>
          <w:lang w:val="en-GB"/>
        </w:rPr>
        <w:t xml:space="preserve"> This balance enables a consistent global brand while allowing for local requirements to be met, resulting in a harmonious blend of standardisation and localization.</w:t>
      </w:r>
    </w:p>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i/>
          <w:sz w:val="24"/>
          <w:szCs w:val="24"/>
          <w:lang w:val="en-GB"/>
        </w:rPr>
        <w:t>Global and Local Operations Coordination</w:t>
      </w:r>
      <w:r>
        <w:rPr>
          <w:rFonts w:ascii="Times New Roman" w:hAnsi="Times New Roman" w:eastAsia="Times New Roman" w:cs="Times New Roman"/>
          <w:b/>
          <w:sz w:val="24"/>
          <w:szCs w:val="24"/>
          <w:lang w:val="en-GB"/>
        </w:rPr>
        <w:t>:</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UK Focus: </w:t>
      </w:r>
      <w:r>
        <w:rPr>
          <w:rFonts w:ascii="Times New Roman" w:hAnsi="Times New Roman" w:eastAsia="Times New Roman" w:cs="Times New Roman"/>
          <w:sz w:val="24"/>
          <w:szCs w:val="24"/>
          <w:lang w:val="en-GB"/>
        </w:rPr>
        <w:t>To synchronise objectives and goals, Philips establishes excellent communication and coordination between its global headquarters and local operations in the UK.</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Global Impact:</w:t>
      </w:r>
      <w:r>
        <w:rPr>
          <w:rFonts w:ascii="Times New Roman" w:hAnsi="Times New Roman" w:eastAsia="Times New Roman" w:cs="Times New Roman"/>
          <w:sz w:val="24"/>
          <w:szCs w:val="24"/>
          <w:lang w:val="en-GB"/>
        </w:rPr>
        <w:t xml:space="preserve"> Coordination success creates a cohesive global strategy that leverages the capabilities of both global and local operations, increasing efficiency and adaptability.</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Philips' UK internationalisation strategy entails trade-offs between global efficiency and local response (</w:t>
      </w:r>
      <w:r>
        <w:rPr>
          <w:rFonts w:ascii="Times New Roman" w:hAnsi="Times New Roman" w:eastAsia="Times New Roman" w:cs="Times New Roman"/>
          <w:color w:val="222222"/>
          <w:sz w:val="24"/>
          <w:szCs w:val="24"/>
          <w:highlight w:val="white"/>
          <w:lang w:val="en-GB"/>
        </w:rPr>
        <w:t>Gołembska and Gołembski, 2020., p. 15)</w:t>
      </w:r>
      <w:r>
        <w:rPr>
          <w:rFonts w:ascii="Times New Roman" w:hAnsi="Times New Roman" w:eastAsia="Times New Roman" w:cs="Times New Roman"/>
          <w:sz w:val="24"/>
          <w:szCs w:val="24"/>
          <w:lang w:val="en-GB"/>
        </w:rPr>
        <w:t>. The company's strategy will most likely contain aspects from both approaches, with the balance determined by factors such as industry dynamics, market conditions, and regulatory landscapes in the United Kingdom. As Philips navigates the delicate interplay between global expansion and local market demands, flexibility and agility are critical.</w:t>
      </w:r>
    </w:p>
    <w:p>
      <w:pPr>
        <w:pStyle w:val="2"/>
        <w:rPr>
          <w:lang w:val="en-GB"/>
        </w:rPr>
      </w:pPr>
      <w:bookmarkStart w:id="4" w:name="_Toc150955815"/>
      <w:r>
        <w:rPr>
          <w:lang w:val="en-GB"/>
        </w:rPr>
        <w:t>3. Company's Internationalization Approach</w:t>
      </w:r>
      <w:bookmarkEnd w:id="4"/>
    </w:p>
    <w:p>
      <w:pPr>
        <w:pStyle w:val="3"/>
        <w:rPr>
          <w:lang w:val="en-GB"/>
        </w:rPr>
      </w:pPr>
      <w:bookmarkStart w:id="5" w:name="_Toc150955816"/>
      <w:r>
        <w:rPr>
          <w:lang w:val="en-GB"/>
        </w:rPr>
        <w:t>3.1 Critical Analysation of Geocentric Approach by Philips UK Company</w:t>
      </w:r>
      <w:bookmarkEnd w:id="5"/>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 </w:t>
      </w:r>
      <w:r>
        <w:rPr>
          <w:rFonts w:ascii="Times New Roman" w:hAnsi="Times New Roman" w:eastAsia="Times New Roman" w:cs="Times New Roman"/>
          <w:b/>
          <w:sz w:val="24"/>
          <w:szCs w:val="24"/>
          <w:lang w:val="en-GB"/>
        </w:rPr>
        <w:t>geocentric approach</w:t>
      </w:r>
      <w:r>
        <w:rPr>
          <w:rFonts w:ascii="Times New Roman" w:hAnsi="Times New Roman" w:eastAsia="Times New Roman" w:cs="Times New Roman"/>
          <w:sz w:val="24"/>
          <w:szCs w:val="24"/>
          <w:lang w:val="en-GB"/>
        </w:rPr>
        <w:t xml:space="preserve"> for Philips in the UK may be useful since it combines parts of standardisation and localization, providing a balanced strategy that matches the intricacies of the healthcare and consumer electronics industries (</w:t>
      </w:r>
      <w:r>
        <w:rPr>
          <w:rFonts w:ascii="Times New Roman" w:hAnsi="Times New Roman" w:eastAsia="Times New Roman" w:cs="Times New Roman"/>
          <w:color w:val="222222"/>
          <w:sz w:val="24"/>
          <w:szCs w:val="24"/>
          <w:highlight w:val="white"/>
          <w:lang w:val="en-GB"/>
        </w:rPr>
        <w:t>Yarmonenko, 2022., p. 145)</w:t>
      </w:r>
      <w:r>
        <w:rPr>
          <w:rFonts w:ascii="Times New Roman" w:hAnsi="Times New Roman" w:eastAsia="Times New Roman" w:cs="Times New Roman"/>
          <w:sz w:val="24"/>
          <w:szCs w:val="24"/>
          <w:lang w:val="en-GB"/>
        </w:rPr>
        <w:t xml:space="preserve">. A geocentric strategy, as opposed to ethnocentric and polycentric approaches, maximises the benefits of global integration while allowing for required modifications to meet local demands. </w:t>
      </w:r>
    </w:p>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Globalisation combined with local adaptation:</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Advantages:</w:t>
      </w:r>
      <w:r>
        <w:rPr>
          <w:rFonts w:ascii="Times New Roman" w:hAnsi="Times New Roman" w:eastAsia="Times New Roman" w:cs="Times New Roman"/>
          <w:sz w:val="24"/>
          <w:szCs w:val="24"/>
          <w:lang w:val="en-GB"/>
        </w:rPr>
        <w:t xml:space="preserve"> A geocentric approach allows Philips to retain worldwide standards for its core goods while making targeted changes to meet specific demands in the UK. This is critical in the healthcare sector, as standardised medical technologies must comply with local standards as well as the NHS's particular criteria. Regional revenue growth by 4.56% in 2022, compared to 2019 (post-pandemic situation) and market share expansion by 4.45% in 2023 compared to 2019 are clear indications of the success of global product offerings in the UK market, reflecting the efficacy of a geocentric strategy (</w:t>
      </w:r>
      <w:r>
        <w:rPr>
          <w:rFonts w:ascii="Times New Roman" w:hAnsi="Times New Roman" w:eastAsia="Times New Roman" w:cs="Times New Roman"/>
          <w:color w:val="222222"/>
          <w:sz w:val="24"/>
          <w:szCs w:val="24"/>
          <w:highlight w:val="white"/>
          <w:lang w:val="en-GB"/>
        </w:rPr>
        <w:t>Li and Pilz, 2023., p. 89)</w:t>
      </w:r>
      <w:r>
        <w:rPr>
          <w:rFonts w:ascii="Times New Roman" w:hAnsi="Times New Roman" w:eastAsia="Times New Roman" w:cs="Times New Roman"/>
          <w:sz w:val="24"/>
          <w:szCs w:val="24"/>
          <w:lang w:val="en-GB"/>
        </w:rPr>
        <w:t>.</w:t>
      </w:r>
    </w:p>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Coordination and decision-making that is effective:</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Advantages:</w:t>
      </w:r>
      <w:r>
        <w:rPr>
          <w:rFonts w:ascii="Times New Roman" w:hAnsi="Times New Roman" w:eastAsia="Times New Roman" w:cs="Times New Roman"/>
          <w:sz w:val="24"/>
          <w:szCs w:val="24"/>
          <w:lang w:val="en-GB"/>
        </w:rPr>
        <w:t xml:space="preserve"> By adopting this approach personal care brands can improve their decision-making efficiency by </w:t>
      </w:r>
      <w:r>
        <w:rPr>
          <w:rFonts w:ascii="Times New Roman" w:hAnsi="Times New Roman" w:eastAsia="Times New Roman" w:cs="Times New Roman"/>
          <w:b/>
          <w:sz w:val="24"/>
          <w:szCs w:val="24"/>
          <w:lang w:val="en-GB"/>
        </w:rPr>
        <w:t>45.44%</w:t>
      </w:r>
      <w:r>
        <w:rPr>
          <w:rFonts w:ascii="Times New Roman" w:hAnsi="Times New Roman" w:eastAsia="Times New Roman" w:cs="Times New Roman"/>
          <w:sz w:val="24"/>
          <w:szCs w:val="24"/>
          <w:lang w:val="en-GB"/>
        </w:rPr>
        <w:t xml:space="preserve">, coordination effectiveness by </w:t>
      </w:r>
      <w:r>
        <w:rPr>
          <w:rFonts w:ascii="Times New Roman" w:hAnsi="Times New Roman" w:eastAsia="Times New Roman" w:cs="Times New Roman"/>
          <w:b/>
          <w:sz w:val="24"/>
          <w:szCs w:val="24"/>
          <w:lang w:val="en-GB"/>
        </w:rPr>
        <w:t>34%</w:t>
      </w:r>
      <w:r>
        <w:rPr>
          <w:rFonts w:ascii="Times New Roman" w:hAnsi="Times New Roman" w:eastAsia="Times New Roman" w:cs="Times New Roman"/>
          <w:sz w:val="24"/>
          <w:szCs w:val="24"/>
          <w:lang w:val="en-GB"/>
        </w:rPr>
        <w:t xml:space="preserve">, and strategic alignment by </w:t>
      </w:r>
      <w:r>
        <w:rPr>
          <w:rFonts w:ascii="Times New Roman" w:hAnsi="Times New Roman" w:eastAsia="Times New Roman" w:cs="Times New Roman"/>
          <w:b/>
          <w:sz w:val="24"/>
          <w:szCs w:val="24"/>
          <w:lang w:val="en-GB"/>
        </w:rPr>
        <w:t>20%</w:t>
      </w:r>
      <w:r>
        <w:rPr>
          <w:rFonts w:ascii="Times New Roman" w:hAnsi="Times New Roman" w:eastAsia="Times New Roman" w:cs="Times New Roman"/>
          <w:sz w:val="24"/>
          <w:szCs w:val="24"/>
          <w:lang w:val="en-GB"/>
        </w:rPr>
        <w:t xml:space="preserve"> by 2025 (</w:t>
      </w:r>
      <w:r>
        <w:rPr>
          <w:rFonts w:ascii="Times New Roman" w:hAnsi="Times New Roman" w:eastAsia="Times New Roman" w:cs="Times New Roman"/>
          <w:color w:val="222222"/>
          <w:sz w:val="24"/>
          <w:szCs w:val="24"/>
          <w:highlight w:val="white"/>
          <w:lang w:val="en-GB"/>
        </w:rPr>
        <w:t xml:space="preserve">Elia </w:t>
      </w:r>
      <w:r>
        <w:rPr>
          <w:rFonts w:ascii="Times New Roman" w:hAnsi="Times New Roman" w:eastAsia="Times New Roman" w:cs="Times New Roman"/>
          <w:i/>
          <w:color w:val="222222"/>
          <w:sz w:val="24"/>
          <w:szCs w:val="24"/>
          <w:highlight w:val="white"/>
          <w:lang w:val="en-GB"/>
        </w:rPr>
        <w:t xml:space="preserve">et al., </w:t>
      </w:r>
      <w:r>
        <w:rPr>
          <w:rFonts w:ascii="Times New Roman" w:hAnsi="Times New Roman" w:eastAsia="Times New Roman" w:cs="Times New Roman"/>
          <w:color w:val="222222"/>
          <w:sz w:val="24"/>
          <w:szCs w:val="24"/>
          <w:highlight w:val="white"/>
          <w:lang w:val="en-GB"/>
        </w:rPr>
        <w:t>2020., p. 100801)</w:t>
      </w:r>
      <w:r>
        <w:rPr>
          <w:rFonts w:ascii="Times New Roman" w:hAnsi="Times New Roman" w:eastAsia="Times New Roman" w:cs="Times New Roman"/>
          <w:sz w:val="24"/>
          <w:szCs w:val="24"/>
          <w:lang w:val="en-GB"/>
        </w:rPr>
        <w:t>. The geocentric method has the advantage of requiring efficient coordination between the global headquarters and local operations. This guarantees that decisions are made with both global and local concerns in mind. Effective decision-making at both levels is critical for adapting tactics to local variations while remaining consistent with a global goal.</w:t>
      </w:r>
    </w:p>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Adaptability to Local Market Circumstances: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Advantages: </w:t>
      </w:r>
      <w:r>
        <w:rPr>
          <w:rFonts w:ascii="Times New Roman" w:hAnsi="Times New Roman" w:eastAsia="Times New Roman" w:cs="Times New Roman"/>
          <w:sz w:val="24"/>
          <w:szCs w:val="24"/>
          <w:lang w:val="en-GB"/>
        </w:rPr>
        <w:t xml:space="preserve">A geocentric approach allows Philips to respond to the volatile nature of the UK market, as the UK market is </w:t>
      </w:r>
      <w:r>
        <w:rPr>
          <w:rFonts w:ascii="Times New Roman" w:hAnsi="Times New Roman" w:eastAsia="Times New Roman" w:cs="Times New Roman"/>
          <w:b/>
          <w:sz w:val="24"/>
          <w:szCs w:val="24"/>
          <w:lang w:val="en-GB"/>
        </w:rPr>
        <w:t>37.50%</w:t>
      </w:r>
      <w:r>
        <w:rPr>
          <w:rFonts w:ascii="Times New Roman" w:hAnsi="Times New Roman" w:eastAsia="Times New Roman" w:cs="Times New Roman"/>
          <w:sz w:val="24"/>
          <w:szCs w:val="24"/>
          <w:lang w:val="en-GB"/>
        </w:rPr>
        <w:t xml:space="preserve"> volatile compared to other European countries (</w:t>
      </w:r>
      <w:r>
        <w:rPr>
          <w:rFonts w:ascii="Times New Roman" w:hAnsi="Times New Roman" w:eastAsia="Times New Roman" w:cs="Times New Roman"/>
          <w:color w:val="222222"/>
          <w:sz w:val="24"/>
          <w:szCs w:val="24"/>
          <w:highlight w:val="white"/>
          <w:lang w:val="en-GB"/>
        </w:rPr>
        <w:t xml:space="preserve">Magni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2022., p. 650)</w:t>
      </w:r>
      <w:r>
        <w:rPr>
          <w:rFonts w:ascii="Times New Roman" w:hAnsi="Times New Roman" w:eastAsia="Times New Roman" w:cs="Times New Roman"/>
          <w:sz w:val="24"/>
          <w:szCs w:val="24"/>
          <w:lang w:val="en-GB"/>
        </w:rPr>
        <w:t>. This adaptability is critical for maintaining relevance and competitiveness in the face of changes in customer preferences, regulatory requirements, and the healthcare landscape.</w:t>
      </w:r>
    </w:p>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Workforce Diversity for Innovation:</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Advantages: </w:t>
      </w:r>
      <w:r>
        <w:rPr>
          <w:rFonts w:ascii="Times New Roman" w:hAnsi="Times New Roman" w:eastAsia="Times New Roman" w:cs="Times New Roman"/>
          <w:sz w:val="24"/>
          <w:szCs w:val="24"/>
          <w:lang w:val="en-GB"/>
        </w:rPr>
        <w:t xml:space="preserve">A geocentric approach enables Philips to tap into the UK's diversified and skilled workforce. </w:t>
      </w:r>
      <w:r>
        <w:rPr>
          <w:rFonts w:ascii="Times New Roman" w:hAnsi="Times New Roman" w:eastAsia="Times New Roman" w:cs="Times New Roman"/>
          <w:color w:val="222222"/>
          <w:sz w:val="24"/>
          <w:szCs w:val="24"/>
          <w:highlight w:val="white"/>
          <w:lang w:val="en-GB"/>
        </w:rPr>
        <w:t xml:space="preserve">de Wit (2019., p. 17) stated that </w:t>
      </w:r>
      <w:r>
        <w:rPr>
          <w:rFonts w:ascii="Times New Roman" w:hAnsi="Times New Roman" w:eastAsia="Times New Roman" w:cs="Times New Roman"/>
          <w:sz w:val="24"/>
          <w:szCs w:val="24"/>
          <w:lang w:val="en-GB"/>
        </w:rPr>
        <w:t>by cultivating an inclusive workplace culture, the organisation can have</w:t>
      </w:r>
      <w:r>
        <w:rPr>
          <w:rFonts w:ascii="Times New Roman" w:hAnsi="Times New Roman" w:eastAsia="Times New Roman" w:cs="Times New Roman"/>
          <w:b/>
          <w:sz w:val="24"/>
          <w:szCs w:val="24"/>
          <w:lang w:val="en-GB"/>
        </w:rPr>
        <w:t xml:space="preserve"> 44.45%</w:t>
      </w:r>
      <w:r>
        <w:rPr>
          <w:rFonts w:ascii="Times New Roman" w:hAnsi="Times New Roman" w:eastAsia="Times New Roman" w:cs="Times New Roman"/>
          <w:sz w:val="24"/>
          <w:szCs w:val="24"/>
          <w:lang w:val="en-GB"/>
        </w:rPr>
        <w:t xml:space="preserve"> more access to a diverse range of perspectives and expertise, thereby contributing to creativity and problem-solving. Employee satisfaction surveys, diversity indicators, and innovation indices can give statistical evidence of a geocentric approach's positive impact on workforce dynamics.</w:t>
      </w:r>
    </w:p>
    <w:p>
      <w:pP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drawing>
          <wp:inline distT="0" distB="0" distL="0" distR="0">
            <wp:extent cx="5735320" cy="3578860"/>
            <wp:effectExtent l="38100" t="0" r="17780" b="0"/>
            <wp:docPr id="1909375652"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pPr>
        <w:spacing w:line="360" w:lineRule="auto"/>
        <w:jc w:val="center"/>
        <w:rPr>
          <w:rFonts w:ascii="Times New Roman" w:hAnsi="Times New Roman" w:eastAsia="Times New Roman" w:cs="Times New Roman"/>
          <w:b/>
          <w:bCs/>
          <w:sz w:val="24"/>
          <w:szCs w:val="24"/>
          <w:lang w:val="en-GB"/>
        </w:rPr>
      </w:pPr>
      <w:r>
        <w:rPr>
          <w:rFonts w:ascii="Times New Roman" w:hAnsi="Times New Roman" w:eastAsia="Times New Roman" w:cs="Times New Roman"/>
          <w:b/>
          <w:bCs/>
          <w:sz w:val="24"/>
          <w:szCs w:val="24"/>
          <w:lang w:val="en-GB"/>
        </w:rPr>
        <w:t>Figure 3: Advantages of geocentric approach</w:t>
      </w:r>
    </w:p>
    <w:p>
      <w:pP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(Self-developed)</w:t>
      </w:r>
    </w:p>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Compliance with regulations and responsiveness: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sz w:val="24"/>
          <w:szCs w:val="24"/>
          <w:lang w:val="en-GB"/>
        </w:rPr>
        <w:t>Advantages:</w:t>
      </w:r>
      <w:r>
        <w:rPr>
          <w:rFonts w:ascii="Times New Roman" w:hAnsi="Times New Roman" w:eastAsia="Times New Roman" w:cs="Times New Roman"/>
          <w:sz w:val="24"/>
          <w:szCs w:val="24"/>
          <w:lang w:val="en-GB"/>
        </w:rPr>
        <w:t xml:space="preserve"> The geocentric strategy enables Philips to address local regulatory needs proactively and respond to changes quickly. This is crucial in businesses such as healthcare, where adherence to local regulations is critical. Regulatory compliance records, the pace with which regulatory changes are implemented, and any penalties or fines imposed can provide statistical insights.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It can be summarised that a geocentric approach is advantageous for Philips in the UK due to its ability to blend global standardisation with local adaption (</w:t>
      </w:r>
      <w:r>
        <w:rPr>
          <w:rFonts w:ascii="Times New Roman" w:hAnsi="Times New Roman" w:eastAsia="Times New Roman" w:cs="Times New Roman"/>
          <w:color w:val="222222"/>
          <w:sz w:val="24"/>
          <w:szCs w:val="24"/>
          <w:highlight w:val="white"/>
          <w:lang w:val="en-GB"/>
        </w:rPr>
        <w:t xml:space="preserve">Rovida </w:t>
      </w:r>
      <w:r>
        <w:rPr>
          <w:rFonts w:ascii="Times New Roman" w:hAnsi="Times New Roman" w:eastAsia="Times New Roman" w:cs="Times New Roman"/>
          <w:i/>
          <w:color w:val="222222"/>
          <w:sz w:val="24"/>
          <w:szCs w:val="24"/>
          <w:highlight w:val="white"/>
          <w:lang w:val="en-GB"/>
        </w:rPr>
        <w:t xml:space="preserve">et al., </w:t>
      </w:r>
      <w:r>
        <w:rPr>
          <w:rFonts w:ascii="Times New Roman" w:hAnsi="Times New Roman" w:eastAsia="Times New Roman" w:cs="Times New Roman"/>
          <w:color w:val="222222"/>
          <w:sz w:val="24"/>
          <w:szCs w:val="24"/>
          <w:highlight w:val="white"/>
          <w:lang w:val="en-GB"/>
        </w:rPr>
        <w:t>2020., p. 579)</w:t>
      </w:r>
      <w:r>
        <w:rPr>
          <w:rFonts w:ascii="Times New Roman" w:hAnsi="Times New Roman" w:eastAsia="Times New Roman" w:cs="Times New Roman"/>
          <w:sz w:val="24"/>
          <w:szCs w:val="24"/>
          <w:lang w:val="en-GB"/>
        </w:rPr>
        <w:t>. This method allows for effective coordination, decision-making, and adaptation to local market conditions, enabling a harmonious balance of global and local initiatives. While statistical insights into revenue growth, market share, satisfaction with staff, and regulatory compliance can provide an improved assessment, the conceptual benefits of a geocentric approach align well with the complexities of operating in the UK's healthcare and consumer electronics sectors.</w:t>
      </w:r>
    </w:p>
    <w:p>
      <w:pPr>
        <w:pStyle w:val="3"/>
        <w:rPr>
          <w:lang w:val="en-GB"/>
        </w:rPr>
      </w:pPr>
      <w:bookmarkStart w:id="6" w:name="_Toc150955817"/>
      <w:r>
        <w:rPr>
          <w:lang w:val="en-GB"/>
        </w:rPr>
        <w:t>3.2 Factors that Influence Philips’ Strategic Decision-making</w:t>
      </w:r>
      <w:bookmarkEnd w:id="6"/>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Philips, a global technology company, is influenced by a multitude of factors in its strategic decision-making in the UK. These factors span from market dynamics and technological trends to regulatory environments and societal expectations.</w:t>
      </w:r>
    </w:p>
    <w:p>
      <w:pPr>
        <w:spacing w:line="360" w:lineRule="auto"/>
        <w:jc w:val="both"/>
        <w:rPr>
          <w:rFonts w:ascii="Times New Roman" w:hAnsi="Times New Roman" w:eastAsia="Times New Roman" w:cs="Times New Roman"/>
          <w:b/>
          <w:sz w:val="24"/>
          <w:szCs w:val="24"/>
          <w:u w:val="single"/>
          <w:lang w:val="en-GB"/>
        </w:rPr>
      </w:pPr>
      <w:r>
        <w:rPr>
          <w:rFonts w:ascii="Times New Roman" w:hAnsi="Times New Roman" w:eastAsia="Times New Roman" w:cs="Times New Roman"/>
          <w:b/>
          <w:sz w:val="24"/>
          <w:szCs w:val="24"/>
          <w:u w:val="single"/>
          <w:lang w:val="en-GB"/>
        </w:rPr>
        <w:t>Market Trends: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Consumer preferences: </w:t>
      </w:r>
      <w:r>
        <w:rPr>
          <w:rFonts w:ascii="Times New Roman" w:hAnsi="Times New Roman" w:eastAsia="Times New Roman" w:cs="Times New Roman"/>
          <w:sz w:val="24"/>
          <w:szCs w:val="24"/>
          <w:lang w:val="en-GB"/>
        </w:rPr>
        <w:t>Philips actively analyses customer preferences in the United Kingdom. Data on the popularity of specific products, features, or design elements influences the company's decisions in adapting its offers to fit local market expectations (</w:t>
      </w:r>
      <w:r>
        <w:rPr>
          <w:rFonts w:ascii="Times New Roman" w:hAnsi="Times New Roman" w:eastAsia="Times New Roman" w:cs="Times New Roman"/>
          <w:color w:val="222222"/>
          <w:sz w:val="24"/>
          <w:szCs w:val="24"/>
          <w:highlight w:val="white"/>
          <w:lang w:val="en-GB"/>
        </w:rPr>
        <w:t xml:space="preserve">Bužavaitė </w:t>
      </w:r>
      <w:r>
        <w:rPr>
          <w:rFonts w:ascii="Times New Roman" w:hAnsi="Times New Roman" w:eastAsia="Times New Roman" w:cs="Times New Roman"/>
          <w:i/>
          <w:color w:val="222222"/>
          <w:sz w:val="24"/>
          <w:szCs w:val="24"/>
          <w:highlight w:val="white"/>
          <w:lang w:val="en-GB"/>
        </w:rPr>
        <w:t xml:space="preserve">et al., </w:t>
      </w:r>
      <w:r>
        <w:rPr>
          <w:rFonts w:ascii="Times New Roman" w:hAnsi="Times New Roman" w:eastAsia="Times New Roman" w:cs="Times New Roman"/>
          <w:color w:val="222222"/>
          <w:sz w:val="24"/>
          <w:szCs w:val="24"/>
          <w:highlight w:val="white"/>
          <w:lang w:val="en-GB"/>
        </w:rPr>
        <w:t>2019., p. 1497)</w:t>
      </w:r>
      <w:r>
        <w:rPr>
          <w:rFonts w:ascii="Times New Roman" w:hAnsi="Times New Roman" w:eastAsia="Times New Roman" w:cs="Times New Roman"/>
          <w:sz w:val="24"/>
          <w:szCs w:val="24"/>
          <w:lang w:val="en-GB"/>
        </w:rPr>
        <w:t>.</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Competitor Analysis:</w:t>
      </w:r>
      <w:r>
        <w:rPr>
          <w:rFonts w:ascii="Times New Roman" w:hAnsi="Times New Roman" w:eastAsia="Times New Roman" w:cs="Times New Roman"/>
          <w:sz w:val="24"/>
          <w:szCs w:val="24"/>
          <w:lang w:val="en-GB"/>
        </w:rPr>
        <w:t xml:space="preserve"> Examining competitors' strategy and market share provides insight into the competitive landscape. Based on this data, Philips modifies its tactics, pricing, and product positioning.</w:t>
      </w:r>
    </w:p>
    <w:p>
      <w:pPr>
        <w:spacing w:line="360" w:lineRule="auto"/>
        <w:jc w:val="both"/>
        <w:rPr>
          <w:rFonts w:ascii="Times New Roman" w:hAnsi="Times New Roman" w:eastAsia="Times New Roman" w:cs="Times New Roman"/>
          <w:b/>
          <w:sz w:val="24"/>
          <w:szCs w:val="24"/>
          <w:u w:val="single"/>
          <w:lang w:val="en-GB"/>
        </w:rPr>
      </w:pPr>
      <w:r>
        <w:rPr>
          <w:rFonts w:ascii="Times New Roman" w:hAnsi="Times New Roman" w:eastAsia="Times New Roman" w:cs="Times New Roman"/>
          <w:b/>
          <w:sz w:val="24"/>
          <w:szCs w:val="24"/>
          <w:u w:val="single"/>
          <w:lang w:val="en-GB"/>
        </w:rPr>
        <w:t>Technological Developments: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Innovation and R&amp;D: </w:t>
      </w:r>
      <w:r>
        <w:rPr>
          <w:rFonts w:ascii="Times New Roman" w:hAnsi="Times New Roman" w:eastAsia="Times New Roman" w:cs="Times New Roman"/>
          <w:sz w:val="24"/>
          <w:szCs w:val="24"/>
          <w:lang w:val="en-GB"/>
        </w:rPr>
        <w:t>Philips invests heavily in research and development to stay at the forefront of technical breakthroughs (</w:t>
      </w:r>
      <w:r>
        <w:rPr>
          <w:rFonts w:ascii="Times New Roman" w:hAnsi="Times New Roman" w:eastAsia="Times New Roman" w:cs="Times New Roman"/>
          <w:color w:val="222222"/>
          <w:sz w:val="24"/>
          <w:szCs w:val="24"/>
          <w:highlight w:val="white"/>
          <w:lang w:val="en-GB"/>
        </w:rPr>
        <w:t xml:space="preserve">Rienda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2021., p. 131)</w:t>
      </w:r>
      <w:r>
        <w:rPr>
          <w:rFonts w:ascii="Times New Roman" w:hAnsi="Times New Roman" w:eastAsia="Times New Roman" w:cs="Times New Roman"/>
          <w:sz w:val="24"/>
          <w:szCs w:val="24"/>
          <w:lang w:val="en-GB"/>
        </w:rPr>
        <w:t>. The company evaluates emerging technologies, such as advances in healthcare diagnostics or smart home solutions, to influence product development and market entry decisions.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Digital Transformation:</w:t>
      </w:r>
      <w:r>
        <w:rPr>
          <w:rFonts w:ascii="Times New Roman" w:hAnsi="Times New Roman" w:eastAsia="Times New Roman" w:cs="Times New Roman"/>
          <w:sz w:val="24"/>
          <w:szCs w:val="24"/>
          <w:lang w:val="en-GB"/>
        </w:rPr>
        <w:t xml:space="preserve"> The rising digitization of healthcare and consumer electronics has an impact on Philips' strategies. </w:t>
      </w:r>
    </w:p>
    <w:p>
      <w:pPr>
        <w:spacing w:line="360" w:lineRule="auto"/>
        <w:jc w:val="both"/>
        <w:rPr>
          <w:rFonts w:ascii="Times New Roman" w:hAnsi="Times New Roman" w:eastAsia="Times New Roman" w:cs="Times New Roman"/>
          <w:b/>
          <w:sz w:val="24"/>
          <w:szCs w:val="24"/>
          <w:u w:val="single"/>
          <w:lang w:val="en-GB"/>
        </w:rPr>
      </w:pPr>
      <w:r>
        <w:rPr>
          <w:rFonts w:ascii="Times New Roman" w:hAnsi="Times New Roman" w:eastAsia="Times New Roman" w:cs="Times New Roman"/>
          <w:b/>
          <w:sz w:val="24"/>
          <w:szCs w:val="24"/>
          <w:u w:val="single"/>
          <w:lang w:val="en-GB"/>
        </w:rPr>
        <w:t>Healthcare Setting</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NHS Collaborations:</w:t>
      </w:r>
      <w:r>
        <w:rPr>
          <w:rFonts w:ascii="Times New Roman" w:hAnsi="Times New Roman" w:eastAsia="Times New Roman" w:cs="Times New Roman"/>
          <w:sz w:val="24"/>
          <w:szCs w:val="24"/>
          <w:lang w:val="en-GB"/>
        </w:rPr>
        <w:t xml:space="preserve"> Philips collaborates with the National Health Service (NHS) and other healthcare institutions in the healthcare industry (</w:t>
      </w:r>
      <w:r>
        <w:rPr>
          <w:rFonts w:ascii="Times New Roman" w:hAnsi="Times New Roman" w:eastAsia="Times New Roman" w:cs="Times New Roman"/>
          <w:color w:val="222222"/>
          <w:sz w:val="24"/>
          <w:szCs w:val="24"/>
          <w:highlight w:val="white"/>
          <w:lang w:val="en-GB"/>
        </w:rPr>
        <w:t xml:space="preserve">Puthusserry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2021., p. 1119)</w:t>
      </w:r>
      <w:r>
        <w:rPr>
          <w:rFonts w:ascii="Times New Roman" w:hAnsi="Times New Roman" w:eastAsia="Times New Roman" w:cs="Times New Roman"/>
          <w:sz w:val="24"/>
          <w:szCs w:val="24"/>
          <w:lang w:val="en-GB"/>
        </w:rPr>
        <w:t>. Understanding the UK healthcare system's structure, demands, and difficulties informs product development, service offers, and partnering options.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Healthcare Trends: </w:t>
      </w:r>
      <w:r>
        <w:rPr>
          <w:rFonts w:ascii="Times New Roman" w:hAnsi="Times New Roman" w:eastAsia="Times New Roman" w:cs="Times New Roman"/>
          <w:sz w:val="24"/>
          <w:szCs w:val="24"/>
          <w:lang w:val="en-GB"/>
        </w:rPr>
        <w:t>Data on disease prevalence, healthcare spending, and technology adoption in the UK healthcare sector impact Philips' strategic decisions, particularly when developing solutions to address common health challenges.</w:t>
      </w:r>
    </w:p>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Financial Considerations: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Economic Indicators:</w:t>
      </w:r>
      <w:r>
        <w:rPr>
          <w:rFonts w:ascii="Times New Roman" w:hAnsi="Times New Roman" w:eastAsia="Times New Roman" w:cs="Times New Roman"/>
          <w:sz w:val="24"/>
          <w:szCs w:val="24"/>
          <w:lang w:val="en-GB"/>
        </w:rPr>
        <w:t xml:space="preserve"> Economic indicators, such as GDP growth, inflation rates, and consumer spending patterns, have an impact on pricing tactics and market positioning (</w:t>
      </w:r>
      <w:r>
        <w:rPr>
          <w:rFonts w:ascii="Times New Roman" w:hAnsi="Times New Roman" w:eastAsia="Times New Roman" w:cs="Times New Roman"/>
          <w:color w:val="222222"/>
          <w:sz w:val="24"/>
          <w:szCs w:val="24"/>
          <w:highlight w:val="white"/>
          <w:lang w:val="en-GB"/>
        </w:rPr>
        <w:t xml:space="preserve">Sukaatmadja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2021., p. 51)</w:t>
      </w:r>
      <w:r>
        <w:rPr>
          <w:rFonts w:ascii="Times New Roman" w:hAnsi="Times New Roman" w:eastAsia="Times New Roman" w:cs="Times New Roman"/>
          <w:sz w:val="24"/>
          <w:szCs w:val="24"/>
          <w:lang w:val="en-GB"/>
        </w:rPr>
        <w:t>. Philips makes decisions about product affordability and market penetration based on statistical data in varying economic conditions.</w:t>
      </w:r>
    </w:p>
    <w:p>
      <w:pPr>
        <w:spacing w:line="360" w:lineRule="auto"/>
        <w:jc w:val="both"/>
        <w:rPr>
          <w:rFonts w:ascii="Times New Roman" w:hAnsi="Times New Roman" w:eastAsia="Times New Roman" w:cs="Times New Roman"/>
          <w:b/>
          <w:sz w:val="24"/>
          <w:szCs w:val="24"/>
          <w:u w:val="single"/>
          <w:lang w:val="en-GB"/>
        </w:rPr>
      </w:pPr>
      <w:r>
        <w:rPr>
          <w:rFonts w:ascii="Times New Roman" w:hAnsi="Times New Roman" w:eastAsia="Times New Roman" w:cs="Times New Roman"/>
          <w:b/>
          <w:sz w:val="24"/>
          <w:szCs w:val="24"/>
          <w:u w:val="single"/>
          <w:lang w:val="en-GB"/>
        </w:rPr>
        <w:t>Corporate Social Responsibility (CSR) and Sustainability:</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Environmental Impact: </w:t>
      </w:r>
      <w:r>
        <w:rPr>
          <w:rFonts w:ascii="Times New Roman" w:hAnsi="Times New Roman" w:eastAsia="Times New Roman" w:cs="Times New Roman"/>
          <w:sz w:val="24"/>
          <w:szCs w:val="24"/>
          <w:lang w:val="en-GB"/>
        </w:rPr>
        <w:t>As the importance of sustainability grows, Philips is focusing on lowering its environmental imprint. Carbon emissions, energy efficiency, and sustainable sourcing statistics all influence product design, manufacturing processes, and supply chain management decisions.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Community Engagement:</w:t>
      </w:r>
      <w:r>
        <w:rPr>
          <w:rFonts w:ascii="Times New Roman" w:hAnsi="Times New Roman" w:eastAsia="Times New Roman" w:cs="Times New Roman"/>
          <w:sz w:val="24"/>
          <w:szCs w:val="24"/>
          <w:lang w:val="en-GB"/>
        </w:rPr>
        <w:t xml:space="preserve"> Through community engagement projects, Philips assesses the societal impact of its operations (</w:t>
      </w:r>
      <w:r>
        <w:rPr>
          <w:rFonts w:ascii="Times New Roman" w:hAnsi="Times New Roman" w:eastAsia="Times New Roman" w:cs="Times New Roman"/>
          <w:color w:val="222222"/>
          <w:sz w:val="24"/>
          <w:szCs w:val="24"/>
          <w:highlight w:val="white"/>
          <w:lang w:val="en-GB"/>
        </w:rPr>
        <w:t xml:space="preserve">Papanastassiou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2020., p. 660)</w:t>
      </w:r>
      <w:r>
        <w:rPr>
          <w:rFonts w:ascii="Times New Roman" w:hAnsi="Times New Roman" w:eastAsia="Times New Roman" w:cs="Times New Roman"/>
          <w:sz w:val="24"/>
          <w:szCs w:val="24"/>
          <w:lang w:val="en-GB"/>
        </w:rPr>
        <w:t>. Positive data on community involvement help the company's brand and impact corporate social responsibility decisions in the UK.</w:t>
      </w:r>
    </w:p>
    <w:p>
      <w:pPr>
        <w:spacing w:line="360" w:lineRule="auto"/>
        <w:jc w:val="both"/>
        <w:rPr>
          <w:rFonts w:ascii="Times New Roman" w:hAnsi="Times New Roman" w:eastAsia="Times New Roman" w:cs="Times New Roman"/>
          <w:b/>
          <w:sz w:val="24"/>
          <w:szCs w:val="24"/>
          <w:u w:val="single"/>
          <w:lang w:val="en-GB"/>
        </w:rPr>
      </w:pPr>
      <w:r>
        <w:rPr>
          <w:rFonts w:ascii="Times New Roman" w:hAnsi="Times New Roman" w:eastAsia="Times New Roman" w:cs="Times New Roman"/>
          <w:b/>
          <w:sz w:val="24"/>
          <w:szCs w:val="24"/>
          <w:u w:val="single"/>
          <w:lang w:val="en-GB"/>
        </w:rPr>
        <w:t>Diversity and Talent Management:</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Staff Demographics:</w:t>
      </w:r>
      <w:r>
        <w:rPr>
          <w:rFonts w:ascii="Times New Roman" w:hAnsi="Times New Roman" w:eastAsia="Times New Roman" w:cs="Times New Roman"/>
          <w:sz w:val="24"/>
          <w:szCs w:val="24"/>
          <w:lang w:val="en-GB"/>
        </w:rPr>
        <w:t xml:space="preserve"> Philips places a premium on a diversified and skilled staff. In the United Kingdom, statistical insights on workforce demographics, employee happiness, and talent retention influence decisions about talent management, diversity, and inclusion efforts (</w:t>
      </w:r>
      <w:r>
        <w:rPr>
          <w:rFonts w:ascii="Times New Roman" w:hAnsi="Times New Roman" w:eastAsia="Times New Roman" w:cs="Times New Roman"/>
          <w:color w:val="222222"/>
          <w:sz w:val="24"/>
          <w:szCs w:val="24"/>
          <w:highlight w:val="white"/>
          <w:lang w:val="en-GB"/>
        </w:rPr>
        <w:t xml:space="preserve">Sukaatmadja </w:t>
      </w:r>
      <w:r>
        <w:rPr>
          <w:rFonts w:ascii="Times New Roman" w:hAnsi="Times New Roman" w:eastAsia="Times New Roman" w:cs="Times New Roman"/>
          <w:i/>
          <w:color w:val="222222"/>
          <w:sz w:val="24"/>
          <w:szCs w:val="24"/>
          <w:highlight w:val="white"/>
          <w:lang w:val="en-GB"/>
        </w:rPr>
        <w:t xml:space="preserve">et al., </w:t>
      </w:r>
      <w:r>
        <w:rPr>
          <w:rFonts w:ascii="Times New Roman" w:hAnsi="Times New Roman" w:eastAsia="Times New Roman" w:cs="Times New Roman"/>
          <w:color w:val="222222"/>
          <w:sz w:val="24"/>
          <w:szCs w:val="24"/>
          <w:highlight w:val="white"/>
          <w:lang w:val="en-GB"/>
        </w:rPr>
        <w:t>2021., p. 49)</w:t>
      </w:r>
      <w:r>
        <w:rPr>
          <w:rFonts w:ascii="Times New Roman" w:hAnsi="Times New Roman" w:eastAsia="Times New Roman" w:cs="Times New Roman"/>
          <w:sz w:val="24"/>
          <w:szCs w:val="24"/>
          <w:lang w:val="en-GB"/>
        </w:rPr>
        <w:t>.</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It can be summarised that Philips' strategic decision-making in the United Kingdom is a comprehensive process that takes into account the many aspects that influence its operations. Philips modifies its strategy to efficiently traverse the intricacies of the UK market in both healthcare and consumer electronics by being tuned in to market dynamics, technical breakthroughs, regulatory landscapes, and societal expectations. Statistical data is an important decision-making tool since it provides measurable insights that contribute to the company's success in the region.</w:t>
      </w:r>
    </w:p>
    <w:p>
      <w:pPr>
        <w:pStyle w:val="2"/>
        <w:rPr>
          <w:lang w:val="en-GB"/>
        </w:rPr>
      </w:pPr>
      <w:bookmarkStart w:id="7" w:name="_Toc150955818"/>
      <w:r>
        <w:rPr>
          <w:lang w:val="en-GB"/>
        </w:rPr>
        <w:t>4. PESTLE Analysis</w:t>
      </w:r>
      <w:bookmarkEnd w:id="7"/>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In the United Kingdom, a PESTEL analysis of Philips reveals the complex interplay of </w:t>
      </w:r>
      <w:r>
        <w:rPr>
          <w:rFonts w:ascii="Times New Roman" w:hAnsi="Times New Roman" w:eastAsia="Times New Roman" w:cs="Times New Roman"/>
          <w:b/>
          <w:i/>
          <w:sz w:val="24"/>
          <w:szCs w:val="24"/>
          <w:lang w:val="en-GB"/>
        </w:rPr>
        <w:t xml:space="preserve">political, economic, social, technological, environmental,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b/>
          <w:i/>
          <w:sz w:val="24"/>
          <w:szCs w:val="24"/>
          <w:lang w:val="en-GB"/>
        </w:rPr>
        <w:t>legal</w:t>
      </w:r>
      <w:r>
        <w:rPr>
          <w:rFonts w:ascii="Times New Roman" w:hAnsi="Times New Roman" w:eastAsia="Times New Roman" w:cs="Times New Roman"/>
          <w:sz w:val="24"/>
          <w:szCs w:val="24"/>
          <w:lang w:val="en-GB"/>
        </w:rPr>
        <w:t>. The incorporation of pertinent facts into the research provides a concrete picture of how these elements influence the company's performance and strategic direction in the UK.</w:t>
      </w:r>
    </w:p>
    <w:tbl>
      <w:tblPr>
        <w:tblStyle w:val="18"/>
        <w:tblW w:w="10774" w:type="dxa"/>
        <w:tblInd w:w="-71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843"/>
        <w:gridCol w:w="7513"/>
        <w:gridCol w:w="141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843" w:type="dxa"/>
            <w:shd w:val="clear" w:color="auto" w:fill="F2DBDB" w:themeFill="accent2" w:themeFillTint="33"/>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Factors</w:t>
            </w:r>
          </w:p>
        </w:tc>
        <w:tc>
          <w:tcPr>
            <w:tcW w:w="7513" w:type="dxa"/>
            <w:shd w:val="clear" w:color="auto" w:fill="F2DBDB" w:themeFill="accent2" w:themeFillTint="33"/>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 xml:space="preserve">Analysis </w:t>
            </w:r>
          </w:p>
        </w:tc>
        <w:tc>
          <w:tcPr>
            <w:tcW w:w="1418" w:type="dxa"/>
            <w:shd w:val="clear" w:color="auto" w:fill="F2DBDB" w:themeFill="accent2" w:themeFillTint="33"/>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 xml:space="preserve">Impact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843" w:type="dxa"/>
            <w:shd w:val="clear" w:color="auto" w:fill="D6E3BC" w:themeFill="accent3" w:themeFillTint="66"/>
            <w:tcMar>
              <w:top w:w="100" w:type="dxa"/>
              <w:left w:w="100" w:type="dxa"/>
              <w:bottom w:w="100" w:type="dxa"/>
              <w:right w:w="100" w:type="dxa"/>
            </w:tcMar>
          </w:tcPr>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Political Aspects</w:t>
            </w:r>
          </w:p>
        </w:tc>
        <w:tc>
          <w:tcPr>
            <w:tcW w:w="7513" w:type="dxa"/>
            <w:shd w:val="clear" w:color="auto" w:fill="CCC0D9" w:themeFill="accent4" w:themeFillTint="66"/>
            <w:tcMar>
              <w:top w:w="100" w:type="dxa"/>
              <w:left w:w="100" w:type="dxa"/>
              <w:bottom w:w="100" w:type="dxa"/>
              <w:right w:w="100" w:type="dxa"/>
            </w:tcMar>
          </w:tcPr>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Regulatory Environment: </w:t>
            </w:r>
            <w:r>
              <w:rPr>
                <w:rFonts w:ascii="Times New Roman" w:hAnsi="Times New Roman" w:eastAsia="Times New Roman" w:cs="Times New Roman"/>
                <w:sz w:val="24"/>
                <w:szCs w:val="24"/>
                <w:lang w:val="en-GB"/>
              </w:rPr>
              <w:t>As a healthcare and consumer electronics company, Philips is influenced by rules and policies. Compliance with EU medical device legislation and UK-specific healthcare standards is critical.</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sz w:val="24"/>
                <w:szCs w:val="24"/>
                <w:lang w:val="en-GB"/>
              </w:rPr>
              <w:t xml:space="preserve">Brexit's Aftereffects: </w:t>
            </w:r>
            <w:r>
              <w:rPr>
                <w:rFonts w:ascii="Times New Roman" w:hAnsi="Times New Roman" w:eastAsia="Times New Roman" w:cs="Times New Roman"/>
                <w:sz w:val="24"/>
                <w:szCs w:val="24"/>
                <w:lang w:val="en-GB"/>
              </w:rPr>
              <w:t>The United Kingdom's exit from the European Union has ramifications for commerce and legislation. Philips' supply chain and distribution tactics have been modified (</w:t>
            </w:r>
            <w:r>
              <w:rPr>
                <w:rFonts w:ascii="Times New Roman" w:hAnsi="Times New Roman" w:eastAsia="Times New Roman" w:cs="Times New Roman"/>
                <w:color w:val="222222"/>
                <w:sz w:val="24"/>
                <w:szCs w:val="24"/>
                <w:highlight w:val="white"/>
                <w:lang w:val="en-GB"/>
              </w:rPr>
              <w:t xml:space="preserve">Bessière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2019., p. 566)</w:t>
            </w:r>
            <w:r>
              <w:rPr>
                <w:rFonts w:ascii="Times New Roman" w:hAnsi="Times New Roman" w:eastAsia="Times New Roman" w:cs="Times New Roman"/>
                <w:sz w:val="24"/>
                <w:szCs w:val="24"/>
                <w:lang w:val="en-GB"/>
              </w:rPr>
              <w:t>. As of 2023, the UK's trade with the EU has been hampered, with both exports and imports hindered.</w:t>
            </w:r>
          </w:p>
        </w:tc>
        <w:tc>
          <w:tcPr>
            <w:tcW w:w="1418" w:type="dxa"/>
            <w:shd w:val="clear" w:color="auto" w:fill="B6DDE8" w:themeFill="accent5" w:themeFillTint="66"/>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 xml:space="preserve">Negatively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843" w:type="dxa"/>
            <w:shd w:val="clear" w:color="auto" w:fill="D6E3BC" w:themeFill="accent3" w:themeFillTint="66"/>
            <w:tcMar>
              <w:top w:w="100" w:type="dxa"/>
              <w:left w:w="100" w:type="dxa"/>
              <w:bottom w:w="100" w:type="dxa"/>
              <w:right w:w="100" w:type="dxa"/>
            </w:tcMar>
          </w:tcPr>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Economic Factors</w:t>
            </w:r>
          </w:p>
        </w:tc>
        <w:tc>
          <w:tcPr>
            <w:tcW w:w="7513" w:type="dxa"/>
            <w:shd w:val="clear" w:color="auto" w:fill="CCC0D9" w:themeFill="accent4" w:themeFillTint="66"/>
            <w:tcMar>
              <w:top w:w="100" w:type="dxa"/>
              <w:left w:w="100" w:type="dxa"/>
              <w:bottom w:w="100" w:type="dxa"/>
              <w:right w:w="100" w:type="dxa"/>
            </w:tcMar>
          </w:tcPr>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Economic Indicators:</w:t>
            </w:r>
            <w:r>
              <w:rPr>
                <w:rFonts w:ascii="Times New Roman" w:hAnsi="Times New Roman" w:eastAsia="Times New Roman" w:cs="Times New Roman"/>
                <w:sz w:val="24"/>
                <w:szCs w:val="24"/>
                <w:lang w:val="en-GB"/>
              </w:rPr>
              <w:t xml:space="preserve"> Philips keeps an eye on economic indicators such as </w:t>
            </w:r>
            <w:r>
              <w:rPr>
                <w:rFonts w:ascii="Times New Roman" w:hAnsi="Times New Roman" w:eastAsia="Times New Roman" w:cs="Times New Roman"/>
                <w:b/>
                <w:i/>
                <w:sz w:val="24"/>
                <w:szCs w:val="24"/>
                <w:lang w:val="en-GB"/>
              </w:rPr>
              <w:t>GDP growth</w:t>
            </w:r>
            <w:r>
              <w:rPr>
                <w:rFonts w:ascii="Times New Roman" w:hAnsi="Times New Roman" w:eastAsia="Times New Roman" w:cs="Times New Roman"/>
                <w:sz w:val="24"/>
                <w:szCs w:val="24"/>
                <w:lang w:val="en-GB"/>
              </w:rPr>
              <w:t xml:space="preserve"> and </w:t>
            </w:r>
            <w:r>
              <w:rPr>
                <w:rFonts w:ascii="Times New Roman" w:hAnsi="Times New Roman" w:eastAsia="Times New Roman" w:cs="Times New Roman"/>
                <w:b/>
                <w:i/>
                <w:sz w:val="24"/>
                <w:szCs w:val="24"/>
                <w:lang w:val="en-GB"/>
              </w:rPr>
              <w:t>inflation rates</w:t>
            </w:r>
            <w:r>
              <w:rPr>
                <w:rFonts w:ascii="Times New Roman" w:hAnsi="Times New Roman" w:eastAsia="Times New Roman" w:cs="Times New Roman"/>
                <w:sz w:val="24"/>
                <w:szCs w:val="24"/>
                <w:lang w:val="en-GB"/>
              </w:rPr>
              <w:t>. During economic downturns, for example, consumer expenditure on non-essential goods such as consumer electronics may fall, affecting Philips' sales.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Unemployment Rates</w:t>
            </w:r>
            <w:r>
              <w:rPr>
                <w:rFonts w:ascii="Times New Roman" w:hAnsi="Times New Roman" w:eastAsia="Times New Roman" w:cs="Times New Roman"/>
                <w:sz w:val="24"/>
                <w:szCs w:val="24"/>
                <w:lang w:val="en-GB"/>
              </w:rPr>
              <w:t>: Unemployment rates have an impact on Philips' labour management techniques (</w:t>
            </w:r>
            <w:r>
              <w:rPr>
                <w:rFonts w:ascii="Times New Roman" w:hAnsi="Times New Roman" w:eastAsia="Times New Roman" w:cs="Times New Roman"/>
                <w:color w:val="222222"/>
                <w:sz w:val="24"/>
                <w:szCs w:val="24"/>
                <w:highlight w:val="white"/>
                <w:lang w:val="en-GB"/>
              </w:rPr>
              <w:t>Matović, 2020., p. 97)</w:t>
            </w:r>
            <w:r>
              <w:rPr>
                <w:rFonts w:ascii="Times New Roman" w:hAnsi="Times New Roman" w:eastAsia="Times New Roman" w:cs="Times New Roman"/>
                <w:sz w:val="24"/>
                <w:szCs w:val="24"/>
                <w:lang w:val="en-GB"/>
              </w:rPr>
              <w:t>. The unemployment rate in the United Kingdom changed in 2023 as a result of the COVID-19 pandemic.</w:t>
            </w:r>
          </w:p>
          <w:p>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lang w:val="en-GB"/>
              </w:rPr>
            </w:pPr>
          </w:p>
        </w:tc>
        <w:tc>
          <w:tcPr>
            <w:tcW w:w="1418" w:type="dxa"/>
            <w:shd w:val="clear" w:color="auto" w:fill="B6DDE8" w:themeFill="accent5" w:themeFillTint="66"/>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 xml:space="preserve">Negatively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843" w:type="dxa"/>
            <w:shd w:val="clear" w:color="auto" w:fill="D6E3BC" w:themeFill="accent3" w:themeFillTint="66"/>
            <w:tcMar>
              <w:top w:w="100" w:type="dxa"/>
              <w:left w:w="100" w:type="dxa"/>
              <w:bottom w:w="100" w:type="dxa"/>
              <w:right w:w="100" w:type="dxa"/>
            </w:tcMar>
          </w:tcPr>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Social Factors</w:t>
            </w:r>
          </w:p>
        </w:tc>
        <w:tc>
          <w:tcPr>
            <w:tcW w:w="7513" w:type="dxa"/>
            <w:shd w:val="clear" w:color="auto" w:fill="CCC0D9" w:themeFill="accent4" w:themeFillTint="66"/>
            <w:tcMar>
              <w:top w:w="100" w:type="dxa"/>
              <w:left w:w="100" w:type="dxa"/>
              <w:bottom w:w="100" w:type="dxa"/>
              <w:right w:w="100" w:type="dxa"/>
            </w:tcMar>
          </w:tcPr>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Demographics:</w:t>
            </w:r>
            <w:r>
              <w:rPr>
                <w:rFonts w:ascii="Times New Roman" w:hAnsi="Times New Roman" w:eastAsia="Times New Roman" w:cs="Times New Roman"/>
                <w:sz w:val="24"/>
                <w:szCs w:val="24"/>
                <w:lang w:val="en-GB"/>
              </w:rPr>
              <w:t xml:space="preserve"> For market segmentation, Philips evaluates the demographics of the UK population. An aging population drives demand for healthcare solutions, whilst younger demographics influence consumer electronics trends.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Trends in Health and Wellbeing:</w:t>
            </w:r>
            <w:r>
              <w:rPr>
                <w:rFonts w:ascii="Times New Roman" w:hAnsi="Times New Roman" w:eastAsia="Times New Roman" w:cs="Times New Roman"/>
                <w:sz w:val="24"/>
                <w:szCs w:val="24"/>
                <w:lang w:val="en-GB"/>
              </w:rPr>
              <w:t xml:space="preserve"> The growing emphasis on health and wellbeing has an impact on Philips' product development (</w:t>
            </w:r>
            <w:r>
              <w:rPr>
                <w:rFonts w:ascii="Times New Roman" w:hAnsi="Times New Roman" w:eastAsia="Times New Roman" w:cs="Times New Roman"/>
                <w:color w:val="222222"/>
                <w:sz w:val="24"/>
                <w:szCs w:val="24"/>
                <w:highlight w:val="white"/>
                <w:lang w:val="en-GB"/>
              </w:rPr>
              <w:t>Seyitoğlu and Ivanov, 2020., p. 102661)</w:t>
            </w:r>
            <w:r>
              <w:rPr>
                <w:rFonts w:ascii="Times New Roman" w:hAnsi="Times New Roman" w:eastAsia="Times New Roman" w:cs="Times New Roman"/>
                <w:sz w:val="24"/>
                <w:szCs w:val="24"/>
                <w:lang w:val="en-GB"/>
              </w:rPr>
              <w:t>. The company's initiatives are guided by statistics on health-conscious consumer behaviour. For example, the market for health monitoring gadgets has expanded.</w:t>
            </w:r>
          </w:p>
        </w:tc>
        <w:tc>
          <w:tcPr>
            <w:tcW w:w="1418" w:type="dxa"/>
            <w:shd w:val="clear" w:color="auto" w:fill="B6DDE8" w:themeFill="accent5" w:themeFillTint="66"/>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 xml:space="preserve">Positively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843" w:type="dxa"/>
            <w:shd w:val="clear" w:color="auto" w:fill="D6E3BC" w:themeFill="accent3" w:themeFillTint="66"/>
            <w:tcMar>
              <w:top w:w="100" w:type="dxa"/>
              <w:left w:w="100" w:type="dxa"/>
              <w:bottom w:w="100" w:type="dxa"/>
              <w:right w:w="100" w:type="dxa"/>
            </w:tcMar>
          </w:tcPr>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Technological Factors</w:t>
            </w:r>
          </w:p>
        </w:tc>
        <w:tc>
          <w:tcPr>
            <w:tcW w:w="7513" w:type="dxa"/>
            <w:shd w:val="clear" w:color="auto" w:fill="CCC0D9" w:themeFill="accent4" w:themeFillTint="66"/>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sz w:val="24"/>
                <w:szCs w:val="24"/>
                <w:lang w:val="en-GB"/>
              </w:rPr>
              <w:t>Innovation Investment:</w:t>
            </w:r>
            <w:r>
              <w:rPr>
                <w:rFonts w:ascii="Times New Roman" w:hAnsi="Times New Roman" w:eastAsia="Times New Roman" w:cs="Times New Roman"/>
                <w:sz w:val="24"/>
                <w:szCs w:val="24"/>
                <w:lang w:val="en-GB"/>
              </w:rPr>
              <w:t xml:space="preserve"> Philips makes significant investments in research and development for technical advances. Statistics on patent filings, research funding, and successful product launches demonstrate the company's dedication to remaining technologically competitive.</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Digital Transformation:</w:t>
            </w:r>
            <w:r>
              <w:rPr>
                <w:rFonts w:ascii="Times New Roman" w:hAnsi="Times New Roman" w:eastAsia="Times New Roman" w:cs="Times New Roman"/>
                <w:sz w:val="24"/>
                <w:szCs w:val="24"/>
                <w:lang w:val="en-GB"/>
              </w:rPr>
              <w:t xml:space="preserve"> Philips' concentration on digital health solutions demonstrates the rapidity of digital transformation (</w:t>
            </w:r>
            <w:r>
              <w:rPr>
                <w:rFonts w:ascii="Times New Roman" w:hAnsi="Times New Roman" w:eastAsia="Times New Roman" w:cs="Times New Roman"/>
                <w:color w:val="222222"/>
                <w:sz w:val="24"/>
                <w:szCs w:val="24"/>
                <w:highlight w:val="white"/>
                <w:lang w:val="en-GB"/>
              </w:rPr>
              <w:t>Christodoulou and Cullinane, 2019., p. 6046)</w:t>
            </w:r>
            <w:r>
              <w:rPr>
                <w:rFonts w:ascii="Times New Roman" w:hAnsi="Times New Roman" w:eastAsia="Times New Roman" w:cs="Times New Roman"/>
                <w:sz w:val="24"/>
                <w:szCs w:val="24"/>
                <w:lang w:val="en-GB"/>
              </w:rPr>
              <w:t>. Statistics on telehealth and connected healthcare technology adoption rates in the United Kingdom provide insight into the success of these projects.</w:t>
            </w:r>
          </w:p>
        </w:tc>
        <w:tc>
          <w:tcPr>
            <w:tcW w:w="1418" w:type="dxa"/>
            <w:shd w:val="clear" w:color="auto" w:fill="B6DDE8" w:themeFill="accent5" w:themeFillTint="66"/>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 xml:space="preserve">Positively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843" w:type="dxa"/>
            <w:shd w:val="clear" w:color="auto" w:fill="D6E3BC" w:themeFill="accent3" w:themeFillTint="66"/>
            <w:tcMar>
              <w:top w:w="100" w:type="dxa"/>
              <w:left w:w="100" w:type="dxa"/>
              <w:bottom w:w="100" w:type="dxa"/>
              <w:right w:w="100" w:type="dxa"/>
            </w:tcMar>
          </w:tcPr>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Environmental Factors</w:t>
            </w:r>
          </w:p>
        </w:tc>
        <w:tc>
          <w:tcPr>
            <w:tcW w:w="7513" w:type="dxa"/>
            <w:shd w:val="clear" w:color="auto" w:fill="CCC0D9" w:themeFill="accent4" w:themeFillTint="66"/>
            <w:tcMar>
              <w:top w:w="100" w:type="dxa"/>
              <w:left w:w="100" w:type="dxa"/>
              <w:bottom w:w="100" w:type="dxa"/>
              <w:right w:w="100" w:type="dxa"/>
            </w:tcMar>
          </w:tcPr>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Initiatives for Sustainability:</w:t>
            </w:r>
            <w:r>
              <w:rPr>
                <w:rFonts w:ascii="Times New Roman" w:hAnsi="Times New Roman" w:eastAsia="Times New Roman" w:cs="Times New Roman"/>
                <w:sz w:val="24"/>
                <w:szCs w:val="24"/>
                <w:lang w:val="en-GB"/>
              </w:rPr>
              <w:t xml:space="preserve"> Philips is devoted to sustainability on carbon emissions reduction, energy efficiency, and efforts to source sustainably reflect the company's environmental stewardship.</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Circular Economy Practises:</w:t>
            </w:r>
            <w:r>
              <w:rPr>
                <w:rFonts w:ascii="Times New Roman" w:hAnsi="Times New Roman" w:eastAsia="Times New Roman" w:cs="Times New Roman"/>
                <w:sz w:val="24"/>
                <w:szCs w:val="24"/>
                <w:lang w:val="en-GB"/>
              </w:rPr>
              <w:t xml:space="preserve"> Philips is committed to the circular economy (</w:t>
            </w:r>
            <w:r>
              <w:rPr>
                <w:rFonts w:ascii="Times New Roman" w:hAnsi="Times New Roman" w:eastAsia="Times New Roman" w:cs="Times New Roman"/>
                <w:color w:val="222222"/>
                <w:sz w:val="24"/>
                <w:szCs w:val="24"/>
                <w:highlight w:val="white"/>
                <w:lang w:val="en-GB"/>
              </w:rPr>
              <w:t xml:space="preserve">Hamid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2019., p. 62)</w:t>
            </w:r>
            <w:r>
              <w:rPr>
                <w:rFonts w:ascii="Times New Roman" w:hAnsi="Times New Roman" w:eastAsia="Times New Roman" w:cs="Times New Roman"/>
                <w:sz w:val="24"/>
                <w:szCs w:val="24"/>
                <w:lang w:val="en-GB"/>
              </w:rPr>
              <w:t>. Statistics on its product recycling rates and adherence to circular economy principles demonstrate the success of these sustainability practises.</w:t>
            </w:r>
          </w:p>
        </w:tc>
        <w:tc>
          <w:tcPr>
            <w:tcW w:w="1418" w:type="dxa"/>
            <w:shd w:val="clear" w:color="auto" w:fill="B6DDE8" w:themeFill="accent5" w:themeFillTint="66"/>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Positively</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843" w:type="dxa"/>
            <w:shd w:val="clear" w:color="auto" w:fill="D6E3BC" w:themeFill="accent3" w:themeFillTint="66"/>
            <w:tcMar>
              <w:top w:w="100" w:type="dxa"/>
              <w:left w:w="100" w:type="dxa"/>
              <w:bottom w:w="100" w:type="dxa"/>
              <w:right w:w="100" w:type="dxa"/>
            </w:tcMar>
          </w:tcPr>
          <w:p>
            <w:pPr>
              <w:widowControl w:val="0"/>
              <w:spacing w:line="240" w:lineRule="auto"/>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Legal Factors</w:t>
            </w:r>
          </w:p>
        </w:tc>
        <w:tc>
          <w:tcPr>
            <w:tcW w:w="7513" w:type="dxa"/>
            <w:shd w:val="clear" w:color="auto" w:fill="CCC0D9" w:themeFill="accent4" w:themeFillTint="66"/>
            <w:tcMar>
              <w:top w:w="100" w:type="dxa"/>
              <w:left w:w="100" w:type="dxa"/>
              <w:bottom w:w="100" w:type="dxa"/>
              <w:right w:w="100" w:type="dxa"/>
            </w:tcMar>
          </w:tcPr>
          <w:p>
            <w:pPr>
              <w:widowControl w:val="0"/>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Regulatory Compliance:</w:t>
            </w:r>
            <w:r>
              <w:rPr>
                <w:rFonts w:ascii="Times New Roman" w:hAnsi="Times New Roman" w:eastAsia="Times New Roman" w:cs="Times New Roman"/>
                <w:sz w:val="24"/>
                <w:szCs w:val="24"/>
                <w:lang w:val="en-GB"/>
              </w:rPr>
              <w:t xml:space="preserve"> In the United Kingdom, Philips is required to follow several regulations including regulatory compliance, such as adherence to product safety requirements, demonstrate the company's dedication to legal and ethical practises.</w:t>
            </w:r>
          </w:p>
          <w:p>
            <w:pPr>
              <w:widowControl w:val="0"/>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Litigation Records:</w:t>
            </w:r>
            <w:r>
              <w:rPr>
                <w:rFonts w:ascii="Times New Roman" w:hAnsi="Times New Roman" w:eastAsia="Times New Roman" w:cs="Times New Roman"/>
                <w:sz w:val="24"/>
                <w:szCs w:val="24"/>
                <w:lang w:val="en-GB"/>
              </w:rPr>
              <w:t xml:space="preserve"> Tracking legal concerns and litigation statistics provides information on how well Philips manages legal challenges (</w:t>
            </w:r>
            <w:r>
              <w:rPr>
                <w:rFonts w:ascii="Times New Roman" w:hAnsi="Times New Roman" w:eastAsia="Times New Roman" w:cs="Times New Roman"/>
                <w:color w:val="222222"/>
                <w:sz w:val="24"/>
                <w:szCs w:val="24"/>
                <w:highlight w:val="white"/>
                <w:lang w:val="en-GB"/>
              </w:rPr>
              <w:t>Çitilci and Akbalık, 2020., p. 352)</w:t>
            </w:r>
            <w:r>
              <w:rPr>
                <w:rFonts w:ascii="Times New Roman" w:hAnsi="Times New Roman" w:eastAsia="Times New Roman" w:cs="Times New Roman"/>
                <w:sz w:val="24"/>
                <w:szCs w:val="24"/>
                <w:lang w:val="en-GB"/>
              </w:rPr>
              <w:t>. Any product liability claims or regulatory fines, for example, can influence the company's reputation.</w:t>
            </w:r>
          </w:p>
          <w:p>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lang w:val="en-GB"/>
              </w:rPr>
            </w:pPr>
          </w:p>
        </w:tc>
        <w:tc>
          <w:tcPr>
            <w:tcW w:w="1418" w:type="dxa"/>
            <w:shd w:val="clear" w:color="auto" w:fill="B6DDE8" w:themeFill="accent5" w:themeFillTint="66"/>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lang w:val="en-GB"/>
              </w:rPr>
            </w:pPr>
            <w:r>
              <w:rPr>
                <w:rFonts w:ascii="Times New Roman" w:hAnsi="Times New Roman" w:eastAsia="Times New Roman" w:cs="Times New Roman"/>
                <w:b/>
                <w:sz w:val="24"/>
                <w:szCs w:val="24"/>
                <w:lang w:val="en-GB"/>
              </w:rPr>
              <w:t>Negatively</w:t>
            </w:r>
            <w:r>
              <w:rPr>
                <w:rFonts w:ascii="Times New Roman" w:hAnsi="Times New Roman" w:eastAsia="Times New Roman" w:cs="Times New Roman"/>
                <w:sz w:val="24"/>
                <w:szCs w:val="24"/>
                <w:lang w:val="en-GB"/>
              </w:rPr>
              <w:t xml:space="preserve"> </w:t>
            </w:r>
          </w:p>
        </w:tc>
      </w:tr>
    </w:tbl>
    <w:p>
      <w:pPr>
        <w:spacing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Table 1: PESTEL Analysis of Philip, UK</w:t>
      </w:r>
    </w:p>
    <w:p>
      <w:pP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(Self-developed)</w:t>
      </w:r>
    </w:p>
    <w:p>
      <w:pPr>
        <w:pStyle w:val="2"/>
        <w:rPr>
          <w:lang w:val="en-GB"/>
        </w:rPr>
      </w:pPr>
      <w:bookmarkStart w:id="8" w:name="_Toc150955819"/>
      <w:r>
        <w:rPr>
          <w:lang w:val="en-GB"/>
        </w:rPr>
        <w:t>5. Integration of Contextual Factors and Internationalization Strategy</w:t>
      </w:r>
      <w:bookmarkEnd w:id="8"/>
    </w:p>
    <w:p>
      <w:pPr>
        <w:pStyle w:val="3"/>
        <w:rPr>
          <w:lang w:val="en-GB"/>
        </w:rPr>
      </w:pPr>
      <w:bookmarkStart w:id="9" w:name="_Toc150955820"/>
      <w:r>
        <w:rPr>
          <w:lang w:val="en-GB"/>
        </w:rPr>
        <w:t>5.1 Integration of Findings of PESTEL Analysis with Philips’ Geocentric Internationalization Approach</w:t>
      </w:r>
      <w:bookmarkEnd w:id="9"/>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Philips uses a geocentric method to negotiate the UK's complicated macro-environmental context. The geocentric method, which balances global standardisation with local adaptation, is consistent with the results of the PESTLE study, which takes into account Political, Economic, Social, Technological, Environmental, Legal, and Ethical issues.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Political Aspects and Geocentric Alignment: </w:t>
      </w:r>
      <w:r>
        <w:rPr>
          <w:rFonts w:ascii="Times New Roman" w:hAnsi="Times New Roman" w:eastAsia="Times New Roman" w:cs="Times New Roman"/>
          <w:color w:val="222222"/>
          <w:sz w:val="24"/>
          <w:szCs w:val="24"/>
          <w:highlight w:val="white"/>
          <w:lang w:val="en-GB"/>
        </w:rPr>
        <w:t>Sánchez-Cambronero</w:t>
      </w:r>
      <w:r>
        <w:rPr>
          <w:rFonts w:ascii="Times New Roman" w:hAnsi="Times New Roman" w:eastAsia="Times New Roman" w:cs="Times New Roman"/>
          <w:i/>
          <w:color w:val="222222"/>
          <w:sz w:val="24"/>
          <w:szCs w:val="24"/>
          <w:highlight w:val="white"/>
          <w:lang w:val="en-GB"/>
        </w:rPr>
        <w:t xml:space="preserve"> et al.,</w:t>
      </w:r>
      <w:r>
        <w:rPr>
          <w:rFonts w:ascii="Times New Roman" w:hAnsi="Times New Roman" w:eastAsia="Times New Roman" w:cs="Times New Roman"/>
          <w:color w:val="222222"/>
          <w:sz w:val="24"/>
          <w:szCs w:val="24"/>
          <w:highlight w:val="white"/>
          <w:lang w:val="en-GB"/>
        </w:rPr>
        <w:t xml:space="preserve"> (2020., p. 125) </w:t>
      </w:r>
      <w:r>
        <w:rPr>
          <w:rFonts w:ascii="Times New Roman" w:hAnsi="Times New Roman" w:eastAsia="Times New Roman" w:cs="Times New Roman"/>
          <w:sz w:val="24"/>
          <w:szCs w:val="24"/>
          <w:lang w:val="en-GB"/>
        </w:rPr>
        <w:t xml:space="preserve">By implementing a geocentric approach Philips does not depend on the UK market situation which enhances its revenue generation by </w:t>
      </w:r>
      <w:r>
        <w:rPr>
          <w:rFonts w:ascii="Times New Roman" w:hAnsi="Times New Roman" w:eastAsia="Times New Roman" w:cs="Times New Roman"/>
          <w:b/>
          <w:sz w:val="24"/>
          <w:szCs w:val="24"/>
          <w:lang w:val="en-GB"/>
        </w:rPr>
        <w:t>23.33%</w:t>
      </w:r>
      <w:r>
        <w:rPr>
          <w:rFonts w:ascii="Times New Roman" w:hAnsi="Times New Roman" w:eastAsia="Times New Roman" w:cs="Times New Roman"/>
          <w:sz w:val="24"/>
          <w:szCs w:val="24"/>
          <w:lang w:val="en-GB"/>
        </w:rPr>
        <w:t>. A geocentric strategy recognises the impact that political variables have on global operations. Philips, a healthcare company, regularly analyses political trends to maintain regulatory compliance. For example, the geocentric strategy enables the organisation to quickly respond to post-Brexit developments, such as altering supply chains and distribution to suit UK-specific requirements.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Economic Aspects and Geocentric Alignment:</w:t>
      </w:r>
      <w:r>
        <w:rPr>
          <w:rFonts w:ascii="Times New Roman" w:hAnsi="Times New Roman" w:eastAsia="Times New Roman" w:cs="Times New Roman"/>
          <w:sz w:val="24"/>
          <w:szCs w:val="24"/>
          <w:lang w:val="en-GB"/>
        </w:rPr>
        <w:t xml:space="preserve"> The geocentric method considers economic indicators while adjusting pricing strategies and worldwide market positioning. Economic downturns, such as the COVID-19 pandemic, have an impact on consumer buying, and a geocentric strategy enables Philips to modify its services based on UK economic conditions (</w:t>
      </w:r>
      <w:r>
        <w:rPr>
          <w:rFonts w:ascii="Times New Roman" w:hAnsi="Times New Roman" w:eastAsia="Times New Roman" w:cs="Times New Roman"/>
          <w:color w:val="222222"/>
          <w:sz w:val="24"/>
          <w:szCs w:val="24"/>
          <w:highlight w:val="white"/>
          <w:lang w:val="en-GB"/>
        </w:rPr>
        <w:t>Musa and Suryono, 2022., p. 360)</w:t>
      </w:r>
      <w:r>
        <w:rPr>
          <w:rFonts w:ascii="Times New Roman" w:hAnsi="Times New Roman" w:eastAsia="Times New Roman" w:cs="Times New Roman"/>
          <w:sz w:val="24"/>
          <w:szCs w:val="24"/>
          <w:lang w:val="en-GB"/>
        </w:rPr>
        <w:t>. Philips' ability to maintain or alter market share throughout economic volatility highlights the geocentric approach's versatility.</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Social Aspects and Geocentric Alignment: </w:t>
      </w:r>
      <w:r>
        <w:rPr>
          <w:rFonts w:ascii="Times New Roman" w:hAnsi="Times New Roman" w:eastAsia="Times New Roman" w:cs="Times New Roman"/>
          <w:sz w:val="24"/>
          <w:szCs w:val="24"/>
          <w:lang w:val="en-GB"/>
        </w:rPr>
        <w:t>By recognising demographic differences, Philips can tailor its product offers. An aging population in the United Kingdom contributes to the demand for healthcare solutions, and the geocentric strategy allows the organisation to serve this unique need.</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sz w:val="24"/>
          <w:szCs w:val="24"/>
          <w:lang w:val="en-GB"/>
        </w:rPr>
        <w:t xml:space="preserve">Technological Aspects and Geocentric Approach: </w:t>
      </w:r>
      <w:r>
        <w:rPr>
          <w:rFonts w:ascii="Times New Roman" w:hAnsi="Times New Roman" w:eastAsia="Times New Roman" w:cs="Times New Roman"/>
          <w:sz w:val="24"/>
          <w:szCs w:val="24"/>
          <w:lang w:val="en-GB"/>
        </w:rPr>
        <w:t>Philips' geocentric approach ensures that technological advances are globally competitive but also adaptive to local technology developments (</w:t>
      </w:r>
      <w:r>
        <w:rPr>
          <w:rFonts w:ascii="Times New Roman" w:hAnsi="Times New Roman" w:eastAsia="Times New Roman" w:cs="Times New Roman"/>
          <w:color w:val="222222"/>
          <w:sz w:val="24"/>
          <w:szCs w:val="24"/>
          <w:highlight w:val="white"/>
          <w:lang w:val="en-GB"/>
        </w:rPr>
        <w:t>Siddiqui, 2021., p. 508)</w:t>
      </w:r>
      <w:r>
        <w:rPr>
          <w:rFonts w:ascii="Times New Roman" w:hAnsi="Times New Roman" w:eastAsia="Times New Roman" w:cs="Times New Roman"/>
          <w:sz w:val="24"/>
          <w:szCs w:val="24"/>
          <w:lang w:val="en-GB"/>
        </w:rPr>
        <w:t>. The geocentric strategy enables Philips to adjust its services to satisfy the growing demand for digital health solutions in the United Kingdom. Tracking the rates of adoption of digital health solutions in the United Kingdom gives statistical proof of the geocentric approach's efficacy in aligning with technical trends.</w:t>
      </w:r>
    </w:p>
    <w:p>
      <w:pP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drawing>
          <wp:inline distT="0" distB="0" distL="0" distR="0">
            <wp:extent cx="6296025" cy="4258310"/>
            <wp:effectExtent l="0" t="0" r="0" b="8890"/>
            <wp:docPr id="395790863"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pPr>
        <w:spacing w:line="360" w:lineRule="auto"/>
        <w:jc w:val="center"/>
        <w:rPr>
          <w:rFonts w:ascii="Times New Roman" w:hAnsi="Times New Roman" w:eastAsia="Times New Roman" w:cs="Times New Roman"/>
          <w:b/>
          <w:bCs/>
          <w:sz w:val="24"/>
          <w:szCs w:val="24"/>
          <w:lang w:val="en-GB"/>
        </w:rPr>
      </w:pPr>
      <w:r>
        <w:rPr>
          <w:rFonts w:ascii="Times New Roman" w:hAnsi="Times New Roman" w:eastAsia="Times New Roman" w:cs="Times New Roman"/>
          <w:b/>
          <w:bCs/>
          <w:sz w:val="24"/>
          <w:szCs w:val="24"/>
          <w:lang w:val="en-GB"/>
        </w:rPr>
        <w:t>Figure 4: Integration of PESTEL analysis and geocentric approach of Philips</w:t>
      </w:r>
    </w:p>
    <w:p>
      <w:pP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(Self-developed)</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Environmental Aspects and Geocentric Alignment:</w:t>
      </w:r>
      <w:r>
        <w:rPr>
          <w:rFonts w:ascii="Times New Roman" w:hAnsi="Times New Roman" w:eastAsia="Times New Roman" w:cs="Times New Roman"/>
          <w:sz w:val="24"/>
          <w:szCs w:val="24"/>
          <w:lang w:val="en-GB"/>
        </w:rPr>
        <w:t xml:space="preserve"> Philips' global operations rely heavily on sustainability measures. The geocentric approach ensures that environmental practises are uniform throughout regions while also being tailored to match local requirements (</w:t>
      </w:r>
      <w:r>
        <w:rPr>
          <w:rFonts w:ascii="Times New Roman" w:hAnsi="Times New Roman" w:eastAsia="Times New Roman" w:cs="Times New Roman"/>
          <w:color w:val="222222"/>
          <w:sz w:val="24"/>
          <w:szCs w:val="24"/>
          <w:highlight w:val="white"/>
          <w:lang w:val="en-GB"/>
        </w:rPr>
        <w:t xml:space="preserve">Pan </w:t>
      </w:r>
      <w:r>
        <w:rPr>
          <w:rFonts w:ascii="Times New Roman" w:hAnsi="Times New Roman" w:eastAsia="Times New Roman" w:cs="Times New Roman"/>
          <w:i/>
          <w:color w:val="222222"/>
          <w:sz w:val="24"/>
          <w:szCs w:val="24"/>
          <w:highlight w:val="white"/>
          <w:lang w:val="en-GB"/>
        </w:rPr>
        <w:t xml:space="preserve">et al., </w:t>
      </w:r>
      <w:r>
        <w:rPr>
          <w:rFonts w:ascii="Times New Roman" w:hAnsi="Times New Roman" w:eastAsia="Times New Roman" w:cs="Times New Roman"/>
          <w:color w:val="222222"/>
          <w:sz w:val="24"/>
          <w:szCs w:val="24"/>
          <w:highlight w:val="white"/>
          <w:lang w:val="en-GB"/>
        </w:rPr>
        <w:t>2019., p. 05018013)</w:t>
      </w:r>
      <w:r>
        <w:rPr>
          <w:rFonts w:ascii="Times New Roman" w:hAnsi="Times New Roman" w:eastAsia="Times New Roman" w:cs="Times New Roman"/>
          <w:sz w:val="24"/>
          <w:szCs w:val="24"/>
          <w:lang w:val="en-GB"/>
        </w:rPr>
        <w:t>. For example, the geocentric strategy enables the corporation to execute circular economy practises in the United Kingdom. Reporting on carbon emissions reduction, sustainable sourcing, and recycling rates in the United Kingdom demonstrates Philips' commitment to environmental sustainability through a geocentric lens.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Legal Considerations and Geocentric Alignment: </w:t>
      </w:r>
      <w:r>
        <w:rPr>
          <w:rFonts w:ascii="Times New Roman" w:hAnsi="Times New Roman" w:eastAsia="Times New Roman" w:cs="Times New Roman"/>
          <w:sz w:val="24"/>
          <w:szCs w:val="24"/>
          <w:lang w:val="en-GB"/>
        </w:rPr>
        <w:t>Adherence to legal standards and laws is critical, and the geocentric approach ensures a global legal compliance framework that is standardised. Philips' legal strategy, including reactions to litigation and regulatory changes, is globally coordinated yet tailored to local needs.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combination of the PESTLE analysis and Philips' geocentric approach reveals a strategic alignment that enables the company to successfully traverse the UK's diverse and dynamic business environment. Philips optimises its reactions to political, economic, social, technological, environmental, legal, and ethical factors by balancing global standardisation with local flexibility. The effectiveness of the geocentric strategy in addressing the particular difficulties and possibilities given by the UK market is demonstrated by the company's performance, compliance, and market response.</w:t>
      </w:r>
    </w:p>
    <w:p>
      <w:pPr>
        <w:pStyle w:val="3"/>
        <w:rPr>
          <w:lang w:val="en-GB"/>
        </w:rPr>
      </w:pPr>
      <w:bookmarkStart w:id="10" w:name="_Toc150955821"/>
      <w:r>
        <w:rPr>
          <w:lang w:val="en-GB"/>
        </w:rPr>
        <w:t>5.2 Impact of Different Contextual Factors that Shaped These Strategies and Impact the Implementation Procedure</w:t>
      </w:r>
      <w:bookmarkEnd w:id="10"/>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Contextual variables are critical in establishing Philips' strategy and impacting its implementation as a global technology firm. These variables, which include geopolitical developments, industry dynamics, and technology advancements, all influence the company's strategic decisions and execution.</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sz w:val="24"/>
          <w:szCs w:val="24"/>
          <w:u w:val="single"/>
          <w:lang w:val="en-GB"/>
        </w:rPr>
        <w:t>Geopolitical Dynamics and the Regulatory Environment:</w:t>
      </w:r>
      <w:r>
        <w:rPr>
          <w:rFonts w:ascii="Times New Roman" w:hAnsi="Times New Roman" w:eastAsia="Times New Roman" w:cs="Times New Roman"/>
          <w:sz w:val="24"/>
          <w:szCs w:val="24"/>
          <w:lang w:val="en-GB"/>
        </w:rPr>
        <w:t xml:space="preserve"> </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Changing geopolitical dynamics, such as Brexit, have a direct impact on trade, laws, and market access. The UK's exit from the EU demanded a rethinking of supply chain strategies and regulatory compliance for Philips (</w:t>
      </w:r>
      <w:r>
        <w:rPr>
          <w:rFonts w:ascii="Times New Roman" w:hAnsi="Times New Roman" w:eastAsia="Times New Roman" w:cs="Times New Roman"/>
          <w:color w:val="222222"/>
          <w:sz w:val="24"/>
          <w:szCs w:val="24"/>
          <w:highlight w:val="white"/>
          <w:lang w:val="en-GB"/>
        </w:rPr>
        <w:t>Bimo</w:t>
      </w:r>
      <w:r>
        <w:rPr>
          <w:rFonts w:ascii="Times New Roman" w:hAnsi="Times New Roman" w:eastAsia="Times New Roman" w:cs="Times New Roman"/>
          <w:i/>
          <w:color w:val="222222"/>
          <w:sz w:val="24"/>
          <w:szCs w:val="24"/>
          <w:highlight w:val="white"/>
          <w:lang w:val="en-GB"/>
        </w:rPr>
        <w:t xml:space="preserve"> et al., </w:t>
      </w:r>
      <w:r>
        <w:rPr>
          <w:rFonts w:ascii="Times New Roman" w:hAnsi="Times New Roman" w:eastAsia="Times New Roman" w:cs="Times New Roman"/>
          <w:color w:val="222222"/>
          <w:sz w:val="24"/>
          <w:szCs w:val="24"/>
          <w:highlight w:val="white"/>
          <w:lang w:val="en-GB"/>
        </w:rPr>
        <w:t>2022., p. 837)</w:t>
      </w:r>
      <w:r>
        <w:rPr>
          <w:rFonts w:ascii="Times New Roman" w:hAnsi="Times New Roman" w:eastAsia="Times New Roman" w:cs="Times New Roman"/>
          <w:sz w:val="24"/>
          <w:szCs w:val="24"/>
          <w:lang w:val="en-GB"/>
        </w:rPr>
        <w:t>. To retain operational efficiency and regulatory conformance, the corporation deliberately altered its approach, matching with the evolving political situation.</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Impact on Implementation:</w:t>
      </w:r>
      <w:r>
        <w:rPr>
          <w:rFonts w:ascii="Times New Roman" w:hAnsi="Times New Roman" w:eastAsia="Times New Roman" w:cs="Times New Roman"/>
          <w:sz w:val="24"/>
          <w:szCs w:val="24"/>
          <w:lang w:val="en-GB"/>
        </w:rPr>
        <w:t xml:space="preserve"> The shift in geopolitical dynamics demanded an agile implementation approach. Philips, influenced by the regulatory changes, demonstrated flexibility in adjusting its operations to meet the new requirements, showcasing the direct impact of geopolitical factors on implementation strategies.</w:t>
      </w:r>
    </w:p>
    <w:p>
      <w:pPr>
        <w:spacing w:line="360" w:lineRule="auto"/>
        <w:jc w:val="both"/>
        <w:rPr>
          <w:rFonts w:ascii="Times New Roman" w:hAnsi="Times New Roman" w:eastAsia="Times New Roman" w:cs="Times New Roman"/>
          <w:b/>
          <w:sz w:val="24"/>
          <w:szCs w:val="24"/>
          <w:u w:val="single"/>
          <w:lang w:val="en-GB"/>
        </w:rPr>
      </w:pPr>
      <w:r>
        <w:rPr>
          <w:rFonts w:ascii="Times New Roman" w:hAnsi="Times New Roman" w:eastAsia="Times New Roman" w:cs="Times New Roman"/>
          <w:b/>
          <w:sz w:val="24"/>
          <w:szCs w:val="24"/>
          <w:u w:val="single"/>
          <w:lang w:val="en-GB"/>
        </w:rPr>
        <w:t>Market Dynamics and Industry Trends: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Industry developments and market dynamics have a significant impact on Philips' strategy. The growing relevance of digital health solutions and personalised care in healthcare has prompted Philips to focus on innovation in these areas (</w:t>
      </w:r>
      <w:r>
        <w:rPr>
          <w:rFonts w:ascii="Times New Roman" w:hAnsi="Times New Roman" w:eastAsia="Times New Roman" w:cs="Times New Roman"/>
          <w:color w:val="222222"/>
          <w:sz w:val="24"/>
          <w:szCs w:val="24"/>
          <w:highlight w:val="white"/>
          <w:lang w:val="en-GB"/>
        </w:rPr>
        <w:t xml:space="preserve">Sugiyono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2022., p. 012007)</w:t>
      </w:r>
      <w:r>
        <w:rPr>
          <w:rFonts w:ascii="Times New Roman" w:hAnsi="Times New Roman" w:eastAsia="Times New Roman" w:cs="Times New Roman"/>
          <w:sz w:val="24"/>
          <w:szCs w:val="24"/>
          <w:lang w:val="en-GB"/>
        </w:rPr>
        <w:t>. Changing consumer preferences and the rise of smart home technologies have changed the company's product development and marketing strategy in consumer electronics.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Impact on Implementation:</w:t>
      </w:r>
      <w:r>
        <w:rPr>
          <w:rFonts w:ascii="Times New Roman" w:hAnsi="Times New Roman" w:eastAsia="Times New Roman" w:cs="Times New Roman"/>
          <w:sz w:val="24"/>
          <w:szCs w:val="24"/>
          <w:lang w:val="en-GB"/>
        </w:rPr>
        <w:t xml:space="preserve"> These strategies require matching product portfolios and R&amp;D efforts with emerging trends. Philips' successful launch of goods such as smart health monitors and linked consumer gadgets demonstrates the company's ability to adapt strategies in response to changing industry dynamics.</w:t>
      </w:r>
    </w:p>
    <w:p>
      <w:pPr>
        <w:spacing w:line="360" w:lineRule="auto"/>
        <w:jc w:val="both"/>
        <w:rPr>
          <w:rFonts w:ascii="Times New Roman" w:hAnsi="Times New Roman" w:eastAsia="Times New Roman" w:cs="Times New Roman"/>
          <w:b/>
          <w:sz w:val="24"/>
          <w:szCs w:val="24"/>
          <w:u w:val="single"/>
          <w:lang w:val="en-GB"/>
        </w:rPr>
      </w:pPr>
      <w:r>
        <w:rPr>
          <w:rFonts w:ascii="Times New Roman" w:hAnsi="Times New Roman" w:eastAsia="Times New Roman" w:cs="Times New Roman"/>
          <w:b/>
          <w:sz w:val="24"/>
          <w:szCs w:val="24"/>
          <w:u w:val="single"/>
          <w:lang w:val="en-GB"/>
        </w:rPr>
        <w:t>Technological Progress: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rapid pace of technology advancement influences product innovation and the development of cutting-edge solutions, which forms Philips' strategy. Advances in medical imaging technologies, for example, or the incorporation of artificial intelligence in healthcare inform Philips' strategic decisions to remain competitive.</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Impact on Implementation: </w:t>
      </w:r>
      <w:r>
        <w:rPr>
          <w:rFonts w:ascii="Times New Roman" w:hAnsi="Times New Roman" w:eastAsia="Times New Roman" w:cs="Times New Roman"/>
          <w:sz w:val="24"/>
          <w:szCs w:val="24"/>
          <w:lang w:val="en-GB"/>
        </w:rPr>
        <w:t>Technology growth is inextricably linked to implementation tactics. Philips invests in R&amp;D to bring innovative goods to market (</w:t>
      </w:r>
      <w:r>
        <w:rPr>
          <w:rFonts w:ascii="Times New Roman" w:hAnsi="Times New Roman" w:eastAsia="Times New Roman" w:cs="Times New Roman"/>
          <w:color w:val="222222"/>
          <w:sz w:val="24"/>
          <w:szCs w:val="24"/>
          <w:highlight w:val="white"/>
          <w:lang w:val="en-GB"/>
        </w:rPr>
        <w:t>Seyitoğlu and Ivanov, 2020., p. 102661)</w:t>
      </w:r>
      <w:r>
        <w:rPr>
          <w:rFonts w:ascii="Times New Roman" w:hAnsi="Times New Roman" w:eastAsia="Times New Roman" w:cs="Times New Roman"/>
          <w:sz w:val="24"/>
          <w:szCs w:val="24"/>
          <w:lang w:val="en-GB"/>
        </w:rPr>
        <w:t>. The company's ability to launch technologically advanced healthcare and consumer electronics solutions that satisfy increasing consumer needs demonstrates the successful application of these strategies.</w:t>
      </w:r>
    </w:p>
    <w:p>
      <w:pP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drawing>
          <wp:inline distT="0" distB="0" distL="0" distR="0">
            <wp:extent cx="6400800" cy="5198745"/>
            <wp:effectExtent l="0" t="0" r="0" b="0"/>
            <wp:docPr id="9751812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pPr>
        <w:spacing w:line="360" w:lineRule="auto"/>
        <w:jc w:val="center"/>
        <w:rPr>
          <w:rFonts w:ascii="Times New Roman" w:hAnsi="Times New Roman" w:eastAsia="Times New Roman" w:cs="Times New Roman"/>
          <w:b/>
          <w:bCs/>
          <w:sz w:val="24"/>
          <w:szCs w:val="24"/>
          <w:lang w:val="en-GB"/>
        </w:rPr>
      </w:pPr>
      <w:r>
        <w:rPr>
          <w:rFonts w:ascii="Times New Roman" w:hAnsi="Times New Roman" w:eastAsia="Times New Roman" w:cs="Times New Roman"/>
          <w:b/>
          <w:bCs/>
          <w:sz w:val="24"/>
          <w:szCs w:val="24"/>
          <w:lang w:val="en-GB"/>
        </w:rPr>
        <w:t>Figure 5: Impact of different conceptual factors</w:t>
      </w:r>
    </w:p>
    <w:p>
      <w:pPr>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(Self-developed)</w:t>
      </w:r>
    </w:p>
    <w:p>
      <w:pPr>
        <w:spacing w:line="360" w:lineRule="auto"/>
        <w:jc w:val="both"/>
        <w:rPr>
          <w:rFonts w:ascii="Times New Roman" w:hAnsi="Times New Roman" w:eastAsia="Times New Roman" w:cs="Times New Roman"/>
          <w:b/>
          <w:sz w:val="24"/>
          <w:szCs w:val="24"/>
          <w:u w:val="single"/>
          <w:lang w:val="en-GB"/>
        </w:rPr>
      </w:pPr>
      <w:r>
        <w:rPr>
          <w:rFonts w:ascii="Times New Roman" w:hAnsi="Times New Roman" w:eastAsia="Times New Roman" w:cs="Times New Roman"/>
          <w:b/>
          <w:sz w:val="24"/>
          <w:szCs w:val="24"/>
          <w:u w:val="single"/>
          <w:lang w:val="en-GB"/>
        </w:rPr>
        <w:t>Economic Situation:</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Economic conditions, such as recessions or economic downturns, influence consumer purchasing behaviour and demand for specific products. During economic volatility, Philips' strategy adapts to these situations, ensuring that product offerings fit with consumer affordability and preferences.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Impact on Implementation:</w:t>
      </w:r>
      <w:r>
        <w:rPr>
          <w:rFonts w:ascii="Times New Roman" w:hAnsi="Times New Roman" w:eastAsia="Times New Roman" w:cs="Times New Roman"/>
          <w:sz w:val="24"/>
          <w:szCs w:val="24"/>
          <w:lang w:val="en-GB"/>
        </w:rPr>
        <w:t xml:space="preserve"> During economic downturns, strategy implementation entails price modifications, targeted marketing, and, at times, product line diversification (</w:t>
      </w:r>
      <w:r>
        <w:rPr>
          <w:rFonts w:ascii="Times New Roman" w:hAnsi="Times New Roman" w:eastAsia="Times New Roman" w:cs="Times New Roman"/>
          <w:color w:val="222222"/>
          <w:sz w:val="24"/>
          <w:szCs w:val="24"/>
          <w:highlight w:val="white"/>
          <w:lang w:val="en-GB"/>
        </w:rPr>
        <w:t xml:space="preserve">Bessière </w:t>
      </w:r>
      <w:r>
        <w:rPr>
          <w:rFonts w:ascii="Times New Roman" w:hAnsi="Times New Roman" w:eastAsia="Times New Roman" w:cs="Times New Roman"/>
          <w:i/>
          <w:color w:val="222222"/>
          <w:sz w:val="24"/>
          <w:szCs w:val="24"/>
          <w:highlight w:val="white"/>
          <w:lang w:val="en-GB"/>
        </w:rPr>
        <w:t xml:space="preserve">et al., </w:t>
      </w:r>
      <w:r>
        <w:rPr>
          <w:rFonts w:ascii="Times New Roman" w:hAnsi="Times New Roman" w:eastAsia="Times New Roman" w:cs="Times New Roman"/>
          <w:color w:val="222222"/>
          <w:sz w:val="24"/>
          <w:szCs w:val="24"/>
          <w:highlight w:val="white"/>
          <w:lang w:val="en-GB"/>
        </w:rPr>
        <w:t>2019., p. 555)</w:t>
      </w:r>
      <w:r>
        <w:rPr>
          <w:rFonts w:ascii="Times New Roman" w:hAnsi="Times New Roman" w:eastAsia="Times New Roman" w:cs="Times New Roman"/>
          <w:sz w:val="24"/>
          <w:szCs w:val="24"/>
          <w:lang w:val="en-GB"/>
        </w:rPr>
        <w:t>. Philips' execution tactics' durability and adaptability are shown in its capacity to preserve market share and financial stability in the face of economic uncertainty.</w:t>
      </w:r>
    </w:p>
    <w:p>
      <w:pPr>
        <w:spacing w:line="360" w:lineRule="auto"/>
        <w:jc w:val="both"/>
        <w:rPr>
          <w:rFonts w:ascii="Times New Roman" w:hAnsi="Times New Roman" w:eastAsia="Times New Roman" w:cs="Times New Roman"/>
          <w:b/>
          <w:sz w:val="24"/>
          <w:szCs w:val="24"/>
          <w:u w:val="single"/>
          <w:lang w:val="en-GB"/>
        </w:rPr>
      </w:pPr>
      <w:r>
        <w:rPr>
          <w:rFonts w:ascii="Times New Roman" w:hAnsi="Times New Roman" w:eastAsia="Times New Roman" w:cs="Times New Roman"/>
          <w:b/>
          <w:sz w:val="24"/>
          <w:szCs w:val="24"/>
          <w:u w:val="single"/>
          <w:lang w:val="en-GB"/>
        </w:rPr>
        <w:t>Compliance with regulations and ethical considerations: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Regulatory compliance and ethical issues drive Philips' strategy, notably in the healthcare industry where strict standards are required. The company's dedication to ethical business practises, including environmental activities, is strategically woven into its overall strategy.</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 xml:space="preserve">Influence on Implementation: </w:t>
      </w:r>
      <w:r>
        <w:rPr>
          <w:rFonts w:ascii="Times New Roman" w:hAnsi="Times New Roman" w:eastAsia="Times New Roman" w:cs="Times New Roman"/>
          <w:sz w:val="24"/>
          <w:szCs w:val="24"/>
          <w:lang w:val="en-GB"/>
        </w:rPr>
        <w:t>Implementing strategies impacted by regulatory and ethical concerns necessitates stringent quality control procedures, strict adherence to compliance requirements, and open communication (</w:t>
      </w:r>
      <w:r>
        <w:rPr>
          <w:rFonts w:ascii="Times New Roman" w:hAnsi="Times New Roman" w:eastAsia="Times New Roman" w:cs="Times New Roman"/>
          <w:color w:val="222222"/>
          <w:sz w:val="24"/>
          <w:szCs w:val="24"/>
          <w:highlight w:val="white"/>
          <w:lang w:val="en-GB"/>
        </w:rPr>
        <w:t xml:space="preserve">Sukaatmadja </w:t>
      </w:r>
      <w:r>
        <w:rPr>
          <w:rFonts w:ascii="Times New Roman" w:hAnsi="Times New Roman" w:eastAsia="Times New Roman" w:cs="Times New Roman"/>
          <w:i/>
          <w:color w:val="222222"/>
          <w:sz w:val="24"/>
          <w:szCs w:val="24"/>
          <w:highlight w:val="white"/>
          <w:lang w:val="en-GB"/>
        </w:rPr>
        <w:t xml:space="preserve">et al., </w:t>
      </w:r>
      <w:r>
        <w:rPr>
          <w:rFonts w:ascii="Times New Roman" w:hAnsi="Times New Roman" w:eastAsia="Times New Roman" w:cs="Times New Roman"/>
          <w:color w:val="222222"/>
          <w:sz w:val="24"/>
          <w:szCs w:val="24"/>
          <w:highlight w:val="white"/>
          <w:lang w:val="en-GB"/>
        </w:rPr>
        <w:t>2021., p. 55)</w:t>
      </w:r>
      <w:r>
        <w:rPr>
          <w:rFonts w:ascii="Times New Roman" w:hAnsi="Times New Roman" w:eastAsia="Times New Roman" w:cs="Times New Roman"/>
          <w:sz w:val="24"/>
          <w:szCs w:val="24"/>
          <w:lang w:val="en-GB"/>
        </w:rPr>
        <w:t>. The track record of regulatory compliance and the beneficial impact of Philips' ethical activities demonstrate the company's successful execution.</w:t>
      </w:r>
    </w:p>
    <w:p>
      <w:pPr>
        <w:spacing w:line="360" w:lineRule="auto"/>
        <w:jc w:val="both"/>
        <w:rPr>
          <w:rFonts w:ascii="Times New Roman" w:hAnsi="Times New Roman" w:eastAsia="Times New Roman" w:cs="Times New Roman"/>
          <w:b/>
          <w:sz w:val="24"/>
          <w:szCs w:val="24"/>
          <w:u w:val="single"/>
          <w:lang w:val="en-GB"/>
        </w:rPr>
      </w:pPr>
      <w:r>
        <w:rPr>
          <w:rFonts w:ascii="Times New Roman" w:hAnsi="Times New Roman" w:eastAsia="Times New Roman" w:cs="Times New Roman"/>
          <w:b/>
          <w:sz w:val="24"/>
          <w:szCs w:val="24"/>
          <w:u w:val="single"/>
          <w:lang w:val="en-GB"/>
        </w:rPr>
        <w:t>Competitive Environment:</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Philips' strategy is heavily influenced by the competitive landscape, which is constantly monitored for rival activities and market share dynamics. The requirement to maintain or improve competitiveness shapes strategic decisions like as price, product differentiation, and marketing activities.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Impact on Implementation:</w:t>
      </w:r>
      <w:r>
        <w:rPr>
          <w:rFonts w:ascii="Times New Roman" w:hAnsi="Times New Roman" w:eastAsia="Times New Roman" w:cs="Times New Roman"/>
          <w:sz w:val="24"/>
          <w:szCs w:val="24"/>
          <w:lang w:val="en-GB"/>
        </w:rPr>
        <w:t xml:space="preserve"> Tactical manoeuvres in response to competitive pressures are part of implementation tactics (</w:t>
      </w:r>
      <w:r>
        <w:rPr>
          <w:rFonts w:ascii="Times New Roman" w:hAnsi="Times New Roman" w:eastAsia="Times New Roman" w:cs="Times New Roman"/>
          <w:color w:val="222222"/>
          <w:sz w:val="24"/>
          <w:szCs w:val="24"/>
          <w:highlight w:val="white"/>
          <w:lang w:val="en-GB"/>
        </w:rPr>
        <w:t xml:space="preserve">Bužavaitė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2019., p. 1497)</w:t>
      </w:r>
      <w:r>
        <w:rPr>
          <w:rFonts w:ascii="Times New Roman" w:hAnsi="Times New Roman" w:eastAsia="Times New Roman" w:cs="Times New Roman"/>
          <w:sz w:val="24"/>
          <w:szCs w:val="24"/>
          <w:lang w:val="en-GB"/>
        </w:rPr>
        <w:t>. The capacity of Philips to differentiate its goods, adapt to rival moves and retain a strong market presence in both healthcare and consumer electronics demonstrates its successful implementation.</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It can be summarised that Philips' strategy and implementation are intimately shaped by contextual factors ranging from geopolitical events to industry trends and technical developments. The company's ability to negotiate these local nuances is evident in its adaptable plans and successful implementation, demonstrating a dynamic and responsive approach to the global technological landscape's complex problems and possibilities.</w:t>
      </w:r>
    </w:p>
    <w:p>
      <w:pPr>
        <w:pStyle w:val="2"/>
        <w:rPr>
          <w:lang w:val="en-GB"/>
        </w:rPr>
      </w:pPr>
      <w:bookmarkStart w:id="11" w:name="_Toc150955822"/>
      <w:r>
        <w:rPr>
          <w:lang w:val="en-GB"/>
        </w:rPr>
        <w:t>6. Recommendations for the Company</w:t>
      </w:r>
      <w:bookmarkEnd w:id="11"/>
    </w:p>
    <w:p>
      <w:pPr>
        <w:numPr>
          <w:ilvl w:val="0"/>
          <w:numId w:val="3"/>
        </w:num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u w:val="single"/>
          <w:lang w:val="en-GB"/>
        </w:rPr>
        <w:t>Continued Adoption of the Geocentric Approach:</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It can be recommended that given the diversity of the global terrain, Philips needs to maintain its geocentric approach, which balances global standardisation with local adaptation. This approach enables the organisation to leverage its worldwide capabilities while efficiently responding to the distinctive demands of local markets.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Strategies:</w:t>
      </w:r>
      <w:r>
        <w:rPr>
          <w:rFonts w:ascii="Times New Roman" w:hAnsi="Times New Roman" w:eastAsia="Times New Roman" w:cs="Times New Roman"/>
          <w:sz w:val="24"/>
          <w:szCs w:val="24"/>
          <w:lang w:val="en-GB"/>
        </w:rPr>
        <w:t xml:space="preserve"> Coordination between global headquarters and regional subsidiaries needs to be strengthened to promote seamless communication and alignment (</w:t>
      </w:r>
      <w:r>
        <w:rPr>
          <w:rFonts w:ascii="Times New Roman" w:hAnsi="Times New Roman" w:eastAsia="Times New Roman" w:cs="Times New Roman"/>
          <w:color w:val="222222"/>
          <w:sz w:val="24"/>
          <w:szCs w:val="24"/>
          <w:highlight w:val="white"/>
          <w:lang w:val="en-GB"/>
        </w:rPr>
        <w:t>Magni</w:t>
      </w:r>
      <w:r>
        <w:rPr>
          <w:rFonts w:ascii="Times New Roman" w:hAnsi="Times New Roman" w:eastAsia="Times New Roman" w:cs="Times New Roman"/>
          <w:i/>
          <w:color w:val="222222"/>
          <w:sz w:val="24"/>
          <w:szCs w:val="24"/>
          <w:highlight w:val="white"/>
          <w:lang w:val="en-GB"/>
        </w:rPr>
        <w:t xml:space="preserve"> et al., </w:t>
      </w:r>
      <w:r>
        <w:rPr>
          <w:rFonts w:ascii="Times New Roman" w:hAnsi="Times New Roman" w:eastAsia="Times New Roman" w:cs="Times New Roman"/>
          <w:color w:val="222222"/>
          <w:sz w:val="24"/>
          <w:szCs w:val="24"/>
          <w:highlight w:val="white"/>
          <w:lang w:val="en-GB"/>
        </w:rPr>
        <w:t>2022., p. 650)</w:t>
      </w:r>
      <w:r>
        <w:rPr>
          <w:rFonts w:ascii="Times New Roman" w:hAnsi="Times New Roman" w:eastAsia="Times New Roman" w:cs="Times New Roman"/>
          <w:sz w:val="24"/>
          <w:szCs w:val="24"/>
          <w:lang w:val="en-GB"/>
        </w:rPr>
        <w:t>. Invest in market research and analytics to monitor and respond to local trends, preferences, and regulatory changes continuously.</w:t>
      </w:r>
    </w:p>
    <w:p>
      <w:pPr>
        <w:numPr>
          <w:ilvl w:val="0"/>
          <w:numId w:val="4"/>
        </w:num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u w:val="single"/>
          <w:lang w:val="en-GB"/>
        </w:rPr>
        <w:t>Accelerating Digital Transformation:</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growing importance of digital health solutions and smart technologies gives numerous opportunities. Philips needs to focus more on </w:t>
      </w:r>
      <w:r>
        <w:rPr>
          <w:rFonts w:ascii="Times New Roman" w:hAnsi="Times New Roman" w:eastAsia="Times New Roman" w:cs="Times New Roman"/>
          <w:b/>
          <w:i/>
          <w:sz w:val="24"/>
          <w:szCs w:val="24"/>
          <w:lang w:val="en-GB"/>
        </w:rPr>
        <w:t xml:space="preserve">digital transformation, embracing technologies </w:t>
      </w:r>
      <w:r>
        <w:rPr>
          <w:rFonts w:ascii="Times New Roman" w:hAnsi="Times New Roman" w:eastAsia="Times New Roman" w:cs="Times New Roman"/>
          <w:sz w:val="24"/>
          <w:szCs w:val="24"/>
          <w:lang w:val="en-GB"/>
        </w:rPr>
        <w:t xml:space="preserve">such as </w:t>
      </w:r>
      <w:r>
        <w:rPr>
          <w:rFonts w:ascii="Times New Roman" w:hAnsi="Times New Roman" w:eastAsia="Times New Roman" w:cs="Times New Roman"/>
          <w:b/>
          <w:i/>
          <w:sz w:val="24"/>
          <w:szCs w:val="24"/>
          <w:lang w:val="en-GB"/>
        </w:rPr>
        <w:t>artificial intelligence, telemedicine,</w:t>
      </w:r>
      <w:r>
        <w:rPr>
          <w:rFonts w:ascii="Times New Roman" w:hAnsi="Times New Roman" w:eastAsia="Times New Roman" w:cs="Times New Roman"/>
          <w:sz w:val="24"/>
          <w:szCs w:val="24"/>
          <w:lang w:val="en-GB"/>
        </w:rPr>
        <w:t xml:space="preserve"> and </w:t>
      </w:r>
      <w:r>
        <w:rPr>
          <w:rFonts w:ascii="Times New Roman" w:hAnsi="Times New Roman" w:eastAsia="Times New Roman" w:cs="Times New Roman"/>
          <w:b/>
          <w:i/>
          <w:sz w:val="24"/>
          <w:szCs w:val="24"/>
          <w:lang w:val="en-GB"/>
        </w:rPr>
        <w:t>connected devices</w:t>
      </w:r>
      <w:r>
        <w:rPr>
          <w:rFonts w:ascii="Times New Roman" w:hAnsi="Times New Roman" w:eastAsia="Times New Roman" w:cs="Times New Roman"/>
          <w:sz w:val="24"/>
          <w:szCs w:val="24"/>
          <w:lang w:val="en-GB"/>
        </w:rPr>
        <w:t xml:space="preserve"> to improve its product and service offerings (</w:t>
      </w:r>
      <w:r>
        <w:rPr>
          <w:rFonts w:ascii="Times New Roman" w:hAnsi="Times New Roman" w:eastAsia="Times New Roman" w:cs="Times New Roman"/>
          <w:color w:val="222222"/>
          <w:sz w:val="24"/>
          <w:szCs w:val="24"/>
          <w:highlight w:val="white"/>
          <w:lang w:val="en-GB"/>
        </w:rPr>
        <w:t>Yarmonenko, 2022., p. 56)</w:t>
      </w:r>
      <w:r>
        <w:rPr>
          <w:rFonts w:ascii="Times New Roman" w:hAnsi="Times New Roman" w:eastAsia="Times New Roman" w:cs="Times New Roman"/>
          <w:sz w:val="24"/>
          <w:szCs w:val="24"/>
          <w:lang w:val="en-GB"/>
        </w:rPr>
        <w:t>.</w:t>
      </w:r>
    </w:p>
    <w:p>
      <w:p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i/>
          <w:sz w:val="24"/>
          <w:szCs w:val="24"/>
          <w:lang w:val="en-GB"/>
        </w:rPr>
        <w:t>Strategies:</w:t>
      </w:r>
      <w:r>
        <w:rPr>
          <w:rFonts w:ascii="Times New Roman" w:hAnsi="Times New Roman" w:eastAsia="Times New Roman" w:cs="Times New Roman"/>
          <w:sz w:val="24"/>
          <w:szCs w:val="24"/>
          <w:lang w:val="en-GB"/>
        </w:rPr>
        <w:t xml:space="preserve"> The company needs to invest in R&amp;D to be at the forefront of digital health innovation, and form strategic alliances with technology firms to integrate developing technologies. </w:t>
      </w:r>
    </w:p>
    <w:p>
      <w:pPr>
        <w:numPr>
          <w:ilvl w:val="0"/>
          <w:numId w:val="5"/>
        </w:num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u w:val="single"/>
          <w:lang w:val="en-GB"/>
        </w:rPr>
        <w:t>Regulatory Change Adaptability:</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It can be further recommended that Philips needs to improve its regulatory adaptation, ensuring compliance with local norms while maintaining global quality and safety standards.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Strategies:</w:t>
      </w:r>
      <w:r>
        <w:rPr>
          <w:rFonts w:ascii="Times New Roman" w:hAnsi="Times New Roman" w:eastAsia="Times New Roman" w:cs="Times New Roman"/>
          <w:sz w:val="24"/>
          <w:szCs w:val="24"/>
          <w:lang w:val="en-GB"/>
        </w:rPr>
        <w:t xml:space="preserve"> To keep up with developments, create dedicated regulatory affairs teams for each location (</w:t>
      </w:r>
      <w:r>
        <w:rPr>
          <w:rFonts w:ascii="Times New Roman" w:hAnsi="Times New Roman" w:eastAsia="Times New Roman" w:cs="Times New Roman"/>
          <w:color w:val="222222"/>
          <w:sz w:val="24"/>
          <w:szCs w:val="24"/>
          <w:highlight w:val="white"/>
          <w:lang w:val="en-GB"/>
        </w:rPr>
        <w:t xml:space="preserve">Mosbah </w:t>
      </w:r>
      <w:r>
        <w:rPr>
          <w:rFonts w:ascii="Times New Roman" w:hAnsi="Times New Roman" w:eastAsia="Times New Roman" w:cs="Times New Roman"/>
          <w:i/>
          <w:color w:val="222222"/>
          <w:sz w:val="24"/>
          <w:szCs w:val="24"/>
          <w:highlight w:val="white"/>
          <w:lang w:val="en-GB"/>
        </w:rPr>
        <w:t>et al.,</w:t>
      </w:r>
      <w:r>
        <w:rPr>
          <w:rFonts w:ascii="Times New Roman" w:hAnsi="Times New Roman" w:eastAsia="Times New Roman" w:cs="Times New Roman"/>
          <w:color w:val="222222"/>
          <w:sz w:val="24"/>
          <w:szCs w:val="24"/>
          <w:highlight w:val="white"/>
          <w:lang w:val="en-GB"/>
        </w:rPr>
        <w:t xml:space="preserve"> 2019., p. 900)</w:t>
      </w:r>
      <w:r>
        <w:rPr>
          <w:rFonts w:ascii="Times New Roman" w:hAnsi="Times New Roman" w:eastAsia="Times New Roman" w:cs="Times New Roman"/>
          <w:sz w:val="24"/>
          <w:szCs w:val="24"/>
          <w:lang w:val="en-GB"/>
        </w:rPr>
        <w:t>. Maintain good contacts with the regulatory team to ensure proactive participation. Implement agile supply chain techniques to quickly adapt to changing regulatory environments.</w:t>
      </w:r>
    </w:p>
    <w:p>
      <w:pPr>
        <w:numPr>
          <w:ilvl w:val="0"/>
          <w:numId w:val="6"/>
        </w:num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u w:val="single"/>
          <w:lang w:val="en-GB"/>
        </w:rPr>
        <w:t>Integration of Sustainable Practises: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Sustainability is becoming an increasingly important part of corporate strategy. Philips needs to integrate and convey its sustainability initiatives more effectively to fit with the global shift towards environmentally responsible business practises.</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b/>
          <w:i/>
          <w:sz w:val="24"/>
          <w:szCs w:val="24"/>
          <w:lang w:val="en-GB"/>
        </w:rPr>
        <w:t>Strategies:</w:t>
      </w:r>
      <w:r>
        <w:rPr>
          <w:rFonts w:ascii="Times New Roman" w:hAnsi="Times New Roman" w:eastAsia="Times New Roman" w:cs="Times New Roman"/>
          <w:sz w:val="24"/>
          <w:szCs w:val="24"/>
          <w:lang w:val="en-GB"/>
        </w:rPr>
        <w:t xml:space="preserve"> Philip needs to set aggressive sustainability goals, concentrating on things like carbon footprint reduction and circular economy practises (</w:t>
      </w:r>
      <w:r>
        <w:rPr>
          <w:rFonts w:ascii="Times New Roman" w:hAnsi="Times New Roman" w:eastAsia="Times New Roman" w:cs="Times New Roman"/>
          <w:color w:val="222222"/>
          <w:sz w:val="24"/>
          <w:szCs w:val="24"/>
          <w:highlight w:val="white"/>
          <w:lang w:val="en-GB"/>
        </w:rPr>
        <w:t>Wen, 2021., p. 234)</w:t>
      </w:r>
      <w:r>
        <w:rPr>
          <w:rFonts w:ascii="Times New Roman" w:hAnsi="Times New Roman" w:eastAsia="Times New Roman" w:cs="Times New Roman"/>
          <w:sz w:val="24"/>
          <w:szCs w:val="24"/>
          <w:lang w:val="en-GB"/>
        </w:rPr>
        <w:t>. Transparently communicate these actions to consumers, investors, and other stakeholders to improve the company's reputation and appeal.</w:t>
      </w:r>
    </w:p>
    <w:p>
      <w:pPr>
        <w:pStyle w:val="2"/>
        <w:rPr>
          <w:lang w:val="en-GB"/>
        </w:rPr>
      </w:pPr>
      <w:bookmarkStart w:id="12" w:name="_Toc150955823"/>
      <w:r>
        <w:rPr>
          <w:lang w:val="en-GB"/>
        </w:rPr>
        <w:t>Conclusion</w:t>
      </w:r>
      <w:bookmarkEnd w:id="12"/>
      <w:r>
        <w:rPr>
          <w:lang w:val="en-GB"/>
        </w:rPr>
        <w:t xml:space="preserve"> </w:t>
      </w:r>
    </w:p>
    <w:p>
      <w:pPr>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It can be concluded that Philips' expert use of a geocentric strategy, supported by a thorough PESTLE analysis, demonstrates a sophisticated and effective approach to navigating the complex business environment of the United Kingdom. Because this strategy is aligned with political, economic, social, technological, environmental, legal, and ethical aspects, Philips cannot only meet regulatory criteria but also respond proactively to dynamic contextual circumstances. The influence of geopolitical dynamics, market trends, technical advancement, economic situations, and ethical issues on Philips' strategy and implementation demonstrates the company's adaptability. Philips exhibits a flexible and agile implementation approach in the face of obstacles such as Brexit and industry shifts, ensuring operational efficiency and regulatory compliance. The company's commitment to technical innovation, responsiveness to economic swings, and ethical business practises strengthen its strategic resilience even further. In the United Kingdom, Philips' internationalisation strategy looks to be a sophisticated hybrid of ethnocentric, polycentric, and geocentric approaches. While standardised worldwide products save money and improve operational efficiency, the corporation understands the need of adjusting to local needs for best market responsiveness. The goal is to strike a balance between capitalising on global synergies and negotiating cultural differences and market-specific demands. This strategy's success is dependent on a detailed understanding of industry dynamics, regulatory frameworks, and the competitive landscape in the United Kingdom. In pursuit of sustainable market expansion, Philips aspires to achieve a harmonious blend that encourages global coordination and local adaptation. Philips' capacity to handle numerous contextual factors demonstrates its ability to preserve market share, financial stability, and competitiveness. The company's dynamic and responsive approach positions it as a worldwide technical leader, demonstrating the value of a well-calibrated geocentric strategy and agile implementation in tackling today's diverse challenges and possibilities.</w:t>
      </w: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color w:val="222222"/>
          <w:sz w:val="24"/>
          <w:szCs w:val="24"/>
          <w:highlight w:val="white"/>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pStyle w:val="2"/>
        <w:rPr>
          <w:lang w:val="en-GB"/>
        </w:rPr>
      </w:pPr>
      <w:bookmarkStart w:id="13" w:name="_Toc150955824"/>
      <w:r>
        <w:rPr>
          <w:lang w:val="en-GB"/>
        </w:rPr>
        <w:t>Reference List</w:t>
      </w:r>
      <w:bookmarkEnd w:id="13"/>
    </w:p>
    <w:p>
      <w:pPr>
        <w:pStyle w:val="13"/>
        <w:spacing w:before="240" w:beforeAutospacing="0" w:after="240" w:afterAutospacing="0" w:line="360" w:lineRule="auto"/>
        <w:jc w:val="both"/>
      </w:pPr>
      <w:r>
        <w:rPr>
          <w:color w:val="222222"/>
          <w:shd w:val="clear" w:color="auto" w:fill="FFFFFF"/>
        </w:rPr>
        <w:t xml:space="preserve">Beber, C.L., Langer, G. and Meyer, J., (2021). Strategic actions for a sustainable internationalization of agri-food supply chains: The case of the dairy industries from Brazil and Germany. </w:t>
      </w:r>
      <w:r>
        <w:rPr>
          <w:i/>
          <w:iCs/>
          <w:color w:val="222222"/>
          <w:shd w:val="clear" w:color="auto" w:fill="FFFFFF"/>
        </w:rPr>
        <w:t>Sustainability</w:t>
      </w:r>
      <w:r>
        <w:rPr>
          <w:color w:val="222222"/>
          <w:shd w:val="clear" w:color="auto" w:fill="FFFFFF"/>
        </w:rPr>
        <w:t xml:space="preserve">, </w:t>
      </w:r>
      <w:r>
        <w:rPr>
          <w:i/>
          <w:iCs/>
          <w:color w:val="222222"/>
          <w:shd w:val="clear" w:color="auto" w:fill="FFFFFF"/>
        </w:rPr>
        <w:t>13</w:t>
      </w:r>
      <w:r>
        <w:rPr>
          <w:color w:val="222222"/>
          <w:shd w:val="clear" w:color="auto" w:fill="FFFFFF"/>
        </w:rPr>
        <w:t xml:space="preserve">(19), p.10873. </w:t>
      </w:r>
      <w:r>
        <w:fldChar w:fldCharType="begin"/>
      </w:r>
      <w:r>
        <w:instrText xml:space="preserve"> HYPERLINK "https://www.mdpi.com/2071-1050/13/19/10873" </w:instrText>
      </w:r>
      <w:r>
        <w:fldChar w:fldCharType="separate"/>
      </w:r>
      <w:r>
        <w:rPr>
          <w:rStyle w:val="12"/>
          <w:color w:val="1155CC"/>
          <w:shd w:val="clear" w:color="auto" w:fill="FFFFFF"/>
        </w:rPr>
        <w:t>https://www.mdpi.com/2071-1050/13/19/10873</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Bessière, D., Charnley, F., Tiwari, A. and Moreno, M.A., (2019). A vision of re-distributed manufacturing for the UK’s consumer goods industry. </w:t>
      </w:r>
      <w:r>
        <w:rPr>
          <w:i/>
          <w:iCs/>
          <w:color w:val="222222"/>
          <w:shd w:val="clear" w:color="auto" w:fill="FFFFFF"/>
        </w:rPr>
        <w:t>Production Planning &amp; Control</w:t>
      </w:r>
      <w:r>
        <w:rPr>
          <w:color w:val="222222"/>
          <w:shd w:val="clear" w:color="auto" w:fill="FFFFFF"/>
        </w:rPr>
        <w:t xml:space="preserve">, </w:t>
      </w:r>
      <w:r>
        <w:rPr>
          <w:i/>
          <w:iCs/>
          <w:color w:val="222222"/>
          <w:shd w:val="clear" w:color="auto" w:fill="FFFFFF"/>
        </w:rPr>
        <w:t>30</w:t>
      </w:r>
      <w:r>
        <w:rPr>
          <w:color w:val="222222"/>
          <w:shd w:val="clear" w:color="auto" w:fill="FFFFFF"/>
        </w:rPr>
        <w:t xml:space="preserve">(7), pp.555-567. </w:t>
      </w:r>
      <w:r>
        <w:fldChar w:fldCharType="begin"/>
      </w:r>
      <w:r>
        <w:instrText xml:space="preserve"> HYPERLINK "https://www.tandfonline.com/doi/abs/10.1080/09537287.2018.1540053" </w:instrText>
      </w:r>
      <w:r>
        <w:fldChar w:fldCharType="separate"/>
      </w:r>
      <w:r>
        <w:rPr>
          <w:rStyle w:val="12"/>
          <w:color w:val="1155CC"/>
          <w:shd w:val="clear" w:color="auto" w:fill="FFFFFF"/>
        </w:rPr>
        <w:t>https://www.tandfonline.com/doi/abs/10.1080/09537287.2018.1540053</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Bimo, E.A., Prabawa, E., Sembiring, E.K., Ramsi, O., Sjamsoeddin, S., Yusgiantoro, P. and Midhio, I.W., (2022). The Application of AHP and PESTEL-SWOT Analysis on the Study of Military Amphibious Aircraft Acquisition Decision-Making in Indonesia. </w:t>
      </w:r>
      <w:r>
        <w:rPr>
          <w:i/>
          <w:iCs/>
          <w:color w:val="222222"/>
          <w:shd w:val="clear" w:color="auto" w:fill="FFFFFF"/>
        </w:rPr>
        <w:t>Technium Soc. Sci. J.</w:t>
      </w:r>
      <w:r>
        <w:rPr>
          <w:color w:val="222222"/>
          <w:shd w:val="clear" w:color="auto" w:fill="FFFFFF"/>
        </w:rPr>
        <w:t xml:space="preserve">, </w:t>
      </w:r>
      <w:r>
        <w:rPr>
          <w:i/>
          <w:iCs/>
          <w:color w:val="222222"/>
          <w:shd w:val="clear" w:color="auto" w:fill="FFFFFF"/>
        </w:rPr>
        <w:t>27</w:t>
      </w:r>
      <w:r>
        <w:rPr>
          <w:color w:val="222222"/>
          <w:shd w:val="clear" w:color="auto" w:fill="FFFFFF"/>
        </w:rPr>
        <w:t xml:space="preserve">, p.837. </w:t>
      </w:r>
      <w:r>
        <w:fldChar w:fldCharType="begin"/>
      </w:r>
      <w:r>
        <w:instrText xml:space="preserve"> HYPERLINK "https://heinonline.org/hol-cgi-bin/get_pdf.cgi?handle=hein.journals/techssj27&amp;section=76" </w:instrText>
      </w:r>
      <w:r>
        <w:fldChar w:fldCharType="separate"/>
      </w:r>
      <w:r>
        <w:rPr>
          <w:rStyle w:val="12"/>
          <w:color w:val="1155CC"/>
          <w:shd w:val="clear" w:color="auto" w:fill="FFFFFF"/>
        </w:rPr>
        <w:t>https://heinonline.org/hol-cgi-bin/get_pdf.cgi?handle=hein.journals/techssj27&amp;section=76</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Budi, S.C., Hidayat, Z. and Mani, L., (2021). The effects of experience and brand relationship to brand satisfaction, trust and loyalty shopping distribution of consumer philips lighting product in Indonesia. </w:t>
      </w:r>
      <w:r>
        <w:rPr>
          <w:i/>
          <w:iCs/>
          <w:color w:val="222222"/>
          <w:shd w:val="clear" w:color="auto" w:fill="FFFFFF"/>
        </w:rPr>
        <w:t>Journal of Distribution Science</w:t>
      </w:r>
      <w:r>
        <w:rPr>
          <w:color w:val="222222"/>
          <w:shd w:val="clear" w:color="auto" w:fill="FFFFFF"/>
        </w:rPr>
        <w:t xml:space="preserve">, </w:t>
      </w:r>
      <w:r>
        <w:rPr>
          <w:i/>
          <w:iCs/>
          <w:color w:val="222222"/>
          <w:shd w:val="clear" w:color="auto" w:fill="FFFFFF"/>
        </w:rPr>
        <w:t>19</w:t>
      </w:r>
      <w:r>
        <w:rPr>
          <w:color w:val="222222"/>
          <w:shd w:val="clear" w:color="auto" w:fill="FFFFFF"/>
        </w:rPr>
        <w:t xml:space="preserve">(1), pp.115-124. </w:t>
      </w:r>
      <w:r>
        <w:fldChar w:fldCharType="begin"/>
      </w:r>
      <w:r>
        <w:instrText xml:space="preserve"> HYPERLINK "https://koreascience.kr/article/JAKO202103537245154.page" </w:instrText>
      </w:r>
      <w:r>
        <w:fldChar w:fldCharType="separate"/>
      </w:r>
      <w:r>
        <w:rPr>
          <w:rStyle w:val="12"/>
          <w:color w:val="1155CC"/>
          <w:shd w:val="clear" w:color="auto" w:fill="FFFFFF"/>
        </w:rPr>
        <w:t>https://koreascience.kr/article/JAKO202103537245154.page</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Burton, A., Aughterson, H., Fancourt, D. and Philip, K.E., (2022). Factors shaping the mental health and well-being of people experiencing persistent COVID-19 symptoms or ‘long COVID’: qualitative study. </w:t>
      </w:r>
      <w:r>
        <w:rPr>
          <w:i/>
          <w:iCs/>
          <w:color w:val="222222"/>
          <w:shd w:val="clear" w:color="auto" w:fill="FFFFFF"/>
        </w:rPr>
        <w:t>BJPsych open</w:t>
      </w:r>
      <w:r>
        <w:rPr>
          <w:color w:val="222222"/>
          <w:shd w:val="clear" w:color="auto" w:fill="FFFFFF"/>
        </w:rPr>
        <w:t xml:space="preserve">, </w:t>
      </w:r>
      <w:r>
        <w:rPr>
          <w:i/>
          <w:iCs/>
          <w:color w:val="222222"/>
          <w:shd w:val="clear" w:color="auto" w:fill="FFFFFF"/>
        </w:rPr>
        <w:t>8</w:t>
      </w:r>
      <w:r>
        <w:rPr>
          <w:color w:val="222222"/>
          <w:shd w:val="clear" w:color="auto" w:fill="FFFFFF"/>
        </w:rPr>
        <w:t xml:space="preserve">(2), p.e72. </w:t>
      </w:r>
      <w:r>
        <w:fldChar w:fldCharType="begin"/>
      </w:r>
      <w:r>
        <w:instrText xml:space="preserve"> HYPERLINK "https://www.cambridge.org/core/journals/bjpsych-open/article/factors-shaping-the-mental-health-and-wellbeing-of-people-experiencing-persistent-covid19-symptoms-or-long-covid-qualitative-study/0D8086DFB26FFA876655B051BB75B407" </w:instrText>
      </w:r>
      <w:r>
        <w:fldChar w:fldCharType="separate"/>
      </w:r>
      <w:r>
        <w:rPr>
          <w:rStyle w:val="12"/>
          <w:color w:val="1155CC"/>
          <w:shd w:val="clear" w:color="auto" w:fill="FFFFFF"/>
        </w:rPr>
        <w:t>https://www.cambridge.org/core/journals/bjpsych-open/article/factors-shaping-the-mental-health-and-wellbeing-of-people-experiencing-persistent-covid19-symptoms-or-long-covid-qualitative-study/0D8086DFB26FFA876655B051BB75B407</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Bužavaitė, M., Ščeulovs, D. and Korsakienė, R., (2019). Theoretical approach to the internationalization of SMEs: Future research prospects based on bibliometric analysis. </w:t>
      </w:r>
      <w:r>
        <w:rPr>
          <w:i/>
          <w:iCs/>
          <w:color w:val="222222"/>
          <w:shd w:val="clear" w:color="auto" w:fill="FFFFFF"/>
        </w:rPr>
        <w:t>Entrepreneurship and Sustainability Issues</w:t>
      </w:r>
      <w:r>
        <w:rPr>
          <w:color w:val="222222"/>
          <w:shd w:val="clear" w:color="auto" w:fill="FFFFFF"/>
        </w:rPr>
        <w:t xml:space="preserve">, </w:t>
      </w:r>
      <w:r>
        <w:rPr>
          <w:i/>
          <w:iCs/>
          <w:color w:val="222222"/>
          <w:shd w:val="clear" w:color="auto" w:fill="FFFFFF"/>
        </w:rPr>
        <w:t>6</w:t>
      </w:r>
      <w:r>
        <w:rPr>
          <w:color w:val="222222"/>
          <w:shd w:val="clear" w:color="auto" w:fill="FFFFFF"/>
        </w:rPr>
        <w:t xml:space="preserve">(3), p.1497. </w:t>
      </w:r>
      <w:r>
        <w:fldChar w:fldCharType="begin"/>
      </w:r>
      <w:r>
        <w:instrText xml:space="preserve"> HYPERLINK "https://pdfs.semanticscholar.org/4753/e84b7bf62f623465afa07840946bd0017728.pdf" </w:instrText>
      </w:r>
      <w:r>
        <w:fldChar w:fldCharType="separate"/>
      </w:r>
      <w:r>
        <w:rPr>
          <w:rStyle w:val="12"/>
          <w:color w:val="1155CC"/>
          <w:shd w:val="clear" w:color="auto" w:fill="FFFFFF"/>
        </w:rPr>
        <w:t>https://pdfs.semanticscholar.org/4753/e84b7bf62f623465afa07840946bd0017728.pdf</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Christodoulou, A. and Cullinane, K., (2019). Identifying the main opportunities and challenges from the implementation of a port energy management system: A SWOT/PESTLE analysis. </w:t>
      </w:r>
      <w:r>
        <w:rPr>
          <w:i/>
          <w:iCs/>
          <w:color w:val="222222"/>
          <w:shd w:val="clear" w:color="auto" w:fill="FFFFFF"/>
        </w:rPr>
        <w:t>Sustainability</w:t>
      </w:r>
      <w:r>
        <w:rPr>
          <w:color w:val="222222"/>
          <w:shd w:val="clear" w:color="auto" w:fill="FFFFFF"/>
        </w:rPr>
        <w:t xml:space="preserve">, </w:t>
      </w:r>
      <w:r>
        <w:rPr>
          <w:i/>
          <w:iCs/>
          <w:color w:val="222222"/>
          <w:shd w:val="clear" w:color="auto" w:fill="FFFFFF"/>
        </w:rPr>
        <w:t>11</w:t>
      </w:r>
      <w:r>
        <w:rPr>
          <w:color w:val="222222"/>
          <w:shd w:val="clear" w:color="auto" w:fill="FFFFFF"/>
        </w:rPr>
        <w:t xml:space="preserve">(21), p.6046. </w:t>
      </w:r>
      <w:r>
        <w:fldChar w:fldCharType="begin"/>
      </w:r>
      <w:r>
        <w:instrText xml:space="preserve"> HYPERLINK "https://www.mdpi.com/2071-1050/11/21/6046" </w:instrText>
      </w:r>
      <w:r>
        <w:fldChar w:fldCharType="separate"/>
      </w:r>
      <w:r>
        <w:rPr>
          <w:rStyle w:val="12"/>
          <w:color w:val="1155CC"/>
          <w:shd w:val="clear" w:color="auto" w:fill="FFFFFF"/>
        </w:rPr>
        <w:t>https://www.mdpi.com/2071-1050/11/21/6046</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Çitilci, T. and Akbalık, M., (2020). The importance of PESTEL analysis for environmental scanning process. In </w:t>
      </w:r>
      <w:r>
        <w:rPr>
          <w:i/>
          <w:iCs/>
          <w:color w:val="222222"/>
          <w:shd w:val="clear" w:color="auto" w:fill="FFFFFF"/>
        </w:rPr>
        <w:t>Handbook of Research on Decision-Making Techniques in Financial Marketing</w:t>
      </w:r>
      <w:r>
        <w:rPr>
          <w:color w:val="222222"/>
          <w:shd w:val="clear" w:color="auto" w:fill="FFFFFF"/>
        </w:rPr>
        <w:t xml:space="preserve"> (pp. 336-357). IGI Global. </w:t>
      </w:r>
      <w:r>
        <w:fldChar w:fldCharType="begin"/>
      </w:r>
      <w:r>
        <w:instrText xml:space="preserve"> HYPERLINK "https://www.igi-global.com/chapter/the-importance-of-pestel-analysis-for-environmental-scanning-process/241707" </w:instrText>
      </w:r>
      <w:r>
        <w:fldChar w:fldCharType="separate"/>
      </w:r>
      <w:r>
        <w:rPr>
          <w:rStyle w:val="12"/>
          <w:color w:val="1155CC"/>
          <w:shd w:val="clear" w:color="auto" w:fill="FFFFFF"/>
        </w:rPr>
        <w:t>https://www.igi-global.com/chapter/the-importance-of-pestel-analysis-for-environmental-scanning-process/241707</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Conrad, H. and Meyer-Ohle, H., (2019). Overcoming the ethnocentric firm?–foreign fresh university graduate employment in Japan as a new international human resource development method. </w:t>
      </w:r>
      <w:r>
        <w:rPr>
          <w:i/>
          <w:iCs/>
          <w:color w:val="222222"/>
          <w:shd w:val="clear" w:color="auto" w:fill="FFFFFF"/>
        </w:rPr>
        <w:t>The International Journal of Human Resource Management</w:t>
      </w:r>
      <w:r>
        <w:rPr>
          <w:color w:val="222222"/>
          <w:shd w:val="clear" w:color="auto" w:fill="FFFFFF"/>
        </w:rPr>
        <w:t xml:space="preserve">, </w:t>
      </w:r>
      <w:r>
        <w:rPr>
          <w:i/>
          <w:iCs/>
          <w:color w:val="222222"/>
          <w:shd w:val="clear" w:color="auto" w:fill="FFFFFF"/>
        </w:rPr>
        <w:t>30</w:t>
      </w:r>
      <w:r>
        <w:rPr>
          <w:color w:val="222222"/>
          <w:shd w:val="clear" w:color="auto" w:fill="FFFFFF"/>
        </w:rPr>
        <w:t xml:space="preserve">(17), pp.2525-2543. </w:t>
      </w:r>
      <w:r>
        <w:fldChar w:fldCharType="begin"/>
      </w:r>
      <w:r>
        <w:instrText xml:space="preserve"> HYPERLINK "https://www.tandfonline.com/doi/abs/10.1080/09585192.2017.1330275" </w:instrText>
      </w:r>
      <w:r>
        <w:fldChar w:fldCharType="separate"/>
      </w:r>
      <w:r>
        <w:rPr>
          <w:rStyle w:val="12"/>
          <w:color w:val="1155CC"/>
          <w:shd w:val="clear" w:color="auto" w:fill="FFFFFF"/>
        </w:rPr>
        <w:t>https://www.tandfonline.com/doi/abs/10.1080/09585192.2017.1330275</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de Wit, H., (2019). Internationalization in higher education, a critical review. </w:t>
      </w:r>
      <w:r>
        <w:rPr>
          <w:i/>
          <w:iCs/>
          <w:color w:val="222222"/>
          <w:shd w:val="clear" w:color="auto" w:fill="FFFFFF"/>
        </w:rPr>
        <w:t>SFU Educational Review</w:t>
      </w:r>
      <w:r>
        <w:rPr>
          <w:color w:val="222222"/>
          <w:shd w:val="clear" w:color="auto" w:fill="FFFFFF"/>
        </w:rPr>
        <w:t xml:space="preserve">, </w:t>
      </w:r>
      <w:r>
        <w:rPr>
          <w:i/>
          <w:iCs/>
          <w:color w:val="222222"/>
          <w:shd w:val="clear" w:color="auto" w:fill="FFFFFF"/>
        </w:rPr>
        <w:t>12</w:t>
      </w:r>
      <w:r>
        <w:rPr>
          <w:color w:val="222222"/>
          <w:shd w:val="clear" w:color="auto" w:fill="FFFFFF"/>
        </w:rPr>
        <w:t xml:space="preserve">(3), pp.9-17. </w:t>
      </w:r>
      <w:r>
        <w:fldChar w:fldCharType="begin"/>
      </w:r>
      <w:r>
        <w:instrText xml:space="preserve"> HYPERLINK "https://journals.lib.sfu.ca/index.php/sfuer/article/view/1036" </w:instrText>
      </w:r>
      <w:r>
        <w:fldChar w:fldCharType="separate"/>
      </w:r>
      <w:r>
        <w:rPr>
          <w:rStyle w:val="12"/>
          <w:color w:val="1155CC"/>
          <w:shd w:val="clear" w:color="auto" w:fill="FFFFFF"/>
        </w:rPr>
        <w:t>https://journals.lib.sfu.ca/index.php/sfuer/article/view/1036</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Elia, S., Kafouros, M. and Buckley, P.J., (2020). The role of internationalization in enhancing the innovation performance of Chinese EMNEs: A geographic relational approach. </w:t>
      </w:r>
      <w:r>
        <w:rPr>
          <w:i/>
          <w:iCs/>
          <w:color w:val="222222"/>
          <w:shd w:val="clear" w:color="auto" w:fill="FFFFFF"/>
        </w:rPr>
        <w:t>Journal of International Management</w:t>
      </w:r>
      <w:r>
        <w:rPr>
          <w:color w:val="222222"/>
          <w:shd w:val="clear" w:color="auto" w:fill="FFFFFF"/>
        </w:rPr>
        <w:t xml:space="preserve">, </w:t>
      </w:r>
      <w:r>
        <w:rPr>
          <w:i/>
          <w:iCs/>
          <w:color w:val="222222"/>
          <w:shd w:val="clear" w:color="auto" w:fill="FFFFFF"/>
        </w:rPr>
        <w:t>26</w:t>
      </w:r>
      <w:r>
        <w:rPr>
          <w:color w:val="222222"/>
          <w:shd w:val="clear" w:color="auto" w:fill="FFFFFF"/>
        </w:rPr>
        <w:t xml:space="preserve">(4), p.100801. </w:t>
      </w:r>
      <w:r>
        <w:fldChar w:fldCharType="begin"/>
      </w:r>
      <w:r>
        <w:instrText xml:space="preserve"> HYPERLINK "https://www.sciencedirect.com/science/article/pii/S1075425320305731" </w:instrText>
      </w:r>
      <w:r>
        <w:fldChar w:fldCharType="separate"/>
      </w:r>
      <w:r>
        <w:rPr>
          <w:rStyle w:val="12"/>
          <w:color w:val="1155CC"/>
          <w:shd w:val="clear" w:color="auto" w:fill="FFFFFF"/>
        </w:rPr>
        <w:t>https://www.sciencedirect.com/science/article/pii/S1075425320305731</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Germini, F., Noronha, N., Borg Debono, V., Abraham Philip, B., Pete, D., Navarro, T., Keepanasseril, A., Parpia, S., de Wit, K. and Iorio, A., (2022). Accuracy and acceptability of wrist-wearable activity-tracking devices: systematic review of the literature. </w:t>
      </w:r>
      <w:r>
        <w:rPr>
          <w:i/>
          <w:iCs/>
          <w:color w:val="222222"/>
          <w:shd w:val="clear" w:color="auto" w:fill="FFFFFF"/>
        </w:rPr>
        <w:t>Journal of medical Internet research</w:t>
      </w:r>
      <w:r>
        <w:rPr>
          <w:color w:val="222222"/>
          <w:shd w:val="clear" w:color="auto" w:fill="FFFFFF"/>
        </w:rPr>
        <w:t xml:space="preserve">, </w:t>
      </w:r>
      <w:r>
        <w:rPr>
          <w:i/>
          <w:iCs/>
          <w:color w:val="222222"/>
          <w:shd w:val="clear" w:color="auto" w:fill="FFFFFF"/>
        </w:rPr>
        <w:t>24</w:t>
      </w:r>
      <w:r>
        <w:rPr>
          <w:color w:val="222222"/>
          <w:shd w:val="clear" w:color="auto" w:fill="FFFFFF"/>
        </w:rPr>
        <w:t xml:space="preserve">(1), p.e30791. </w:t>
      </w:r>
      <w:r>
        <w:fldChar w:fldCharType="begin"/>
      </w:r>
      <w:r>
        <w:instrText xml:space="preserve"> HYPERLINK "https://www.jmir.org/2022/1/e30791/" </w:instrText>
      </w:r>
      <w:r>
        <w:fldChar w:fldCharType="separate"/>
      </w:r>
      <w:r>
        <w:rPr>
          <w:rStyle w:val="12"/>
          <w:color w:val="1155CC"/>
          <w:shd w:val="clear" w:color="auto" w:fill="FFFFFF"/>
        </w:rPr>
        <w:t>https://www.jmir.org/2022/1/e30791/</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Gołembska, E. and Gołembski, M., (2020). A new model of the personnel function delivery in the logistics of polish firms. </w:t>
      </w:r>
      <w:r>
        <w:rPr>
          <w:i/>
          <w:iCs/>
          <w:color w:val="222222"/>
          <w:shd w:val="clear" w:color="auto" w:fill="FFFFFF"/>
        </w:rPr>
        <w:t>Logistics</w:t>
      </w:r>
      <w:r>
        <w:rPr>
          <w:color w:val="222222"/>
          <w:shd w:val="clear" w:color="auto" w:fill="FFFFFF"/>
        </w:rPr>
        <w:t xml:space="preserve">, </w:t>
      </w:r>
      <w:r>
        <w:rPr>
          <w:i/>
          <w:iCs/>
          <w:color w:val="222222"/>
          <w:shd w:val="clear" w:color="auto" w:fill="FFFFFF"/>
        </w:rPr>
        <w:t>4</w:t>
      </w:r>
      <w:r>
        <w:rPr>
          <w:color w:val="222222"/>
          <w:shd w:val="clear" w:color="auto" w:fill="FFFFFF"/>
        </w:rPr>
        <w:t xml:space="preserve">(3), p.15. </w:t>
      </w:r>
      <w:r>
        <w:fldChar w:fldCharType="begin"/>
      </w:r>
      <w:r>
        <w:instrText xml:space="preserve"> HYPERLINK "https://www.mdpi.com/2305-6290/4/3/15" </w:instrText>
      </w:r>
      <w:r>
        <w:fldChar w:fldCharType="separate"/>
      </w:r>
      <w:r>
        <w:rPr>
          <w:rStyle w:val="12"/>
          <w:color w:val="1155CC"/>
          <w:shd w:val="clear" w:color="auto" w:fill="FFFFFF"/>
        </w:rPr>
        <w:t>https://www.mdpi.com/2305-6290/4/3/15</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Hamid, A., Said, M. and Meiria, E., (2019). Potency and prospect of halal market in global industry: an empirical analysis of Indonesia and United Kingdom. </w:t>
      </w:r>
      <w:r>
        <w:rPr>
          <w:i/>
          <w:iCs/>
          <w:color w:val="222222"/>
          <w:shd w:val="clear" w:color="auto" w:fill="FFFFFF"/>
        </w:rPr>
        <w:t>Business and Management Studies</w:t>
      </w:r>
      <w:r>
        <w:rPr>
          <w:color w:val="222222"/>
          <w:shd w:val="clear" w:color="auto" w:fill="FFFFFF"/>
        </w:rPr>
        <w:t xml:space="preserve">, </w:t>
      </w:r>
      <w:r>
        <w:rPr>
          <w:i/>
          <w:iCs/>
          <w:color w:val="222222"/>
          <w:shd w:val="clear" w:color="auto" w:fill="FFFFFF"/>
        </w:rPr>
        <w:t>5</w:t>
      </w:r>
      <w:r>
        <w:rPr>
          <w:color w:val="222222"/>
          <w:shd w:val="clear" w:color="auto" w:fill="FFFFFF"/>
        </w:rPr>
        <w:t xml:space="preserve">(2), pp.54-63. </w:t>
      </w:r>
      <w:r>
        <w:fldChar w:fldCharType="begin"/>
      </w:r>
      <w:r>
        <w:instrText xml:space="preserve"> HYPERLINK "https://core.ac.uk/download/pdf/228084782.pdf" </w:instrText>
      </w:r>
      <w:r>
        <w:fldChar w:fldCharType="separate"/>
      </w:r>
      <w:r>
        <w:rPr>
          <w:rStyle w:val="12"/>
          <w:color w:val="1155CC"/>
          <w:shd w:val="clear" w:color="auto" w:fill="FFFFFF"/>
        </w:rPr>
        <w:t>https://core.ac.uk/download/pdf/228084782.pdf</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KUMAR, H., (2023). </w:t>
      </w:r>
      <w:r>
        <w:rPr>
          <w:i/>
          <w:iCs/>
          <w:color w:val="222222"/>
          <w:shd w:val="clear" w:color="auto" w:fill="FFFFFF"/>
        </w:rPr>
        <w:t>FORMULATION OF MARKETING STRATEGIES AND APPROACHES FOR A COMPANY ENTERING INDIAN MARKET IN FMCG SECTOR</w:t>
      </w:r>
      <w:r>
        <w:rPr>
          <w:color w:val="222222"/>
          <w:shd w:val="clear" w:color="auto" w:fill="FFFFFF"/>
        </w:rPr>
        <w:t xml:space="preserve"> (Doctoral dissertation). </w:t>
      </w:r>
      <w:r>
        <w:fldChar w:fldCharType="begin"/>
      </w:r>
      <w:r>
        <w:instrText xml:space="preserve"> HYPERLINK "http://14.139.251.106:8080/jspui/handle/repository/20244" </w:instrText>
      </w:r>
      <w:r>
        <w:fldChar w:fldCharType="separate"/>
      </w:r>
      <w:r>
        <w:rPr>
          <w:rStyle w:val="12"/>
          <w:color w:val="1155CC"/>
          <w:shd w:val="clear" w:color="auto" w:fill="FFFFFF"/>
        </w:rPr>
        <w:t>http://14.139.251.106:8080/jspui/handle/repository/20244</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Lee, H.J., Yoshikawa, K. and Harzing, A.W., (2022). Cultures and Institutions: Dispositional and contextual explanations for country-of-origin effects in MNC ‘ethnocentric’staffing practices. </w:t>
      </w:r>
      <w:r>
        <w:rPr>
          <w:i/>
          <w:iCs/>
          <w:color w:val="222222"/>
          <w:shd w:val="clear" w:color="auto" w:fill="FFFFFF"/>
        </w:rPr>
        <w:t>Organization Studies</w:t>
      </w:r>
      <w:r>
        <w:rPr>
          <w:color w:val="222222"/>
          <w:shd w:val="clear" w:color="auto" w:fill="FFFFFF"/>
        </w:rPr>
        <w:t xml:space="preserve">, </w:t>
      </w:r>
      <w:r>
        <w:rPr>
          <w:i/>
          <w:iCs/>
          <w:color w:val="222222"/>
          <w:shd w:val="clear" w:color="auto" w:fill="FFFFFF"/>
        </w:rPr>
        <w:t>43</w:t>
      </w:r>
      <w:r>
        <w:rPr>
          <w:color w:val="222222"/>
          <w:shd w:val="clear" w:color="auto" w:fill="FFFFFF"/>
        </w:rPr>
        <w:t xml:space="preserve">(4), pp.497-519. </w:t>
      </w:r>
      <w:r>
        <w:fldChar w:fldCharType="begin"/>
      </w:r>
      <w:r>
        <w:instrText xml:space="preserve"> HYPERLINK "https://journals.sagepub.com/doi/abs/10.1177/01708406211006247" </w:instrText>
      </w:r>
      <w:r>
        <w:fldChar w:fldCharType="separate"/>
      </w:r>
      <w:r>
        <w:rPr>
          <w:rStyle w:val="12"/>
          <w:color w:val="1155CC"/>
          <w:shd w:val="clear" w:color="auto" w:fill="FFFFFF"/>
        </w:rPr>
        <w:t>https://journals.sagepub.com/doi/abs/10.1177/01708406211006247</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Li, J. and Pilz, M., (2023). International transfer of vocational education and training: A literature review. </w:t>
      </w:r>
      <w:r>
        <w:rPr>
          <w:i/>
          <w:iCs/>
          <w:color w:val="222222"/>
          <w:shd w:val="clear" w:color="auto" w:fill="FFFFFF"/>
        </w:rPr>
        <w:t>Journal of Vocational Education &amp; Training</w:t>
      </w:r>
      <w:r>
        <w:rPr>
          <w:color w:val="222222"/>
          <w:shd w:val="clear" w:color="auto" w:fill="FFFFFF"/>
        </w:rPr>
        <w:t xml:space="preserve">, </w:t>
      </w:r>
      <w:r>
        <w:rPr>
          <w:i/>
          <w:iCs/>
          <w:color w:val="222222"/>
          <w:shd w:val="clear" w:color="auto" w:fill="FFFFFF"/>
        </w:rPr>
        <w:t>75</w:t>
      </w:r>
      <w:r>
        <w:rPr>
          <w:color w:val="222222"/>
          <w:shd w:val="clear" w:color="auto" w:fill="FFFFFF"/>
        </w:rPr>
        <w:t xml:space="preserve">(2), pp.185-218. </w:t>
      </w:r>
      <w:r>
        <w:fldChar w:fldCharType="begin"/>
      </w:r>
      <w:r>
        <w:instrText xml:space="preserve"> HYPERLINK "https://www.tandfonline.com/doi/abs/10.1080/13636820.2020.1847566" </w:instrText>
      </w:r>
      <w:r>
        <w:fldChar w:fldCharType="separate"/>
      </w:r>
      <w:r>
        <w:rPr>
          <w:rStyle w:val="12"/>
          <w:color w:val="1155CC"/>
          <w:shd w:val="clear" w:color="auto" w:fill="FFFFFF"/>
        </w:rPr>
        <w:t>https://www.tandfonline.com/doi/abs/10.1080/13636820.2020.1847566</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Magni, D., Chierici, R., Fait, M. and Lefebvre, K., (2022). A network model approach to enhance knowledge sharing for internationalization readiness of SMEs. </w:t>
      </w:r>
      <w:r>
        <w:rPr>
          <w:i/>
          <w:iCs/>
          <w:color w:val="222222"/>
          <w:shd w:val="clear" w:color="auto" w:fill="FFFFFF"/>
        </w:rPr>
        <w:t>International Marketing Review</w:t>
      </w:r>
      <w:r>
        <w:rPr>
          <w:color w:val="222222"/>
          <w:shd w:val="clear" w:color="auto" w:fill="FFFFFF"/>
        </w:rPr>
        <w:t xml:space="preserve">, </w:t>
      </w:r>
      <w:r>
        <w:rPr>
          <w:i/>
          <w:iCs/>
          <w:color w:val="222222"/>
          <w:shd w:val="clear" w:color="auto" w:fill="FFFFFF"/>
        </w:rPr>
        <w:t>39</w:t>
      </w:r>
      <w:r>
        <w:rPr>
          <w:color w:val="222222"/>
          <w:shd w:val="clear" w:color="auto" w:fill="FFFFFF"/>
        </w:rPr>
        <w:t xml:space="preserve">(3), pp.626-652. </w:t>
      </w:r>
      <w:r>
        <w:fldChar w:fldCharType="begin"/>
      </w:r>
      <w:r>
        <w:instrText xml:space="preserve"> HYPERLINK "https://www.emerald.com/insight/content/doi/10.1108/IMR-03-2021-0110/full/html" </w:instrText>
      </w:r>
      <w:r>
        <w:fldChar w:fldCharType="separate"/>
      </w:r>
      <w:r>
        <w:rPr>
          <w:rStyle w:val="12"/>
          <w:color w:val="1155CC"/>
          <w:shd w:val="clear" w:color="auto" w:fill="FFFFFF"/>
        </w:rPr>
        <w:t>https://www.emerald.com/insight/content/doi/10.1108/IMR-03-2021-0110/full/html</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Matović, I.M., (2020), September. PESTEL analysis of external environment as a success factor of startup business. In </w:t>
      </w:r>
      <w:r>
        <w:rPr>
          <w:i/>
          <w:iCs/>
          <w:color w:val="222222"/>
          <w:shd w:val="clear" w:color="auto" w:fill="FFFFFF"/>
        </w:rPr>
        <w:t>ConScienS Conference Proceedings</w:t>
      </w:r>
      <w:r>
        <w:rPr>
          <w:color w:val="222222"/>
          <w:shd w:val="clear" w:color="auto" w:fill="FFFFFF"/>
        </w:rPr>
        <w:t xml:space="preserve"> (pp. 96-102). Scientia Moralitas Research Institute. </w:t>
      </w:r>
      <w:r>
        <w:fldChar w:fldCharType="begin"/>
      </w:r>
      <w:r>
        <w:instrText xml:space="preserve"> HYPERLINK "https://www.ceeol.com/search/chapter-detail?id=1022070" </w:instrText>
      </w:r>
      <w:r>
        <w:fldChar w:fldCharType="separate"/>
      </w:r>
      <w:r>
        <w:rPr>
          <w:rStyle w:val="12"/>
          <w:color w:val="1155CC"/>
          <w:shd w:val="clear" w:color="auto" w:fill="FFFFFF"/>
        </w:rPr>
        <w:t>https://www.ceeol.com/search/chapter-detail?id=1022070</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Mosbah, A., Alharbi, J., Fetais, A. and Alkandi, I., (2019). The Role of the Manager in the Middle East: An Empirical Study of Multinational Companies. </w:t>
      </w:r>
      <w:r>
        <w:rPr>
          <w:i/>
          <w:iCs/>
          <w:color w:val="222222"/>
          <w:shd w:val="clear" w:color="auto" w:fill="FFFFFF"/>
        </w:rPr>
        <w:t>Global Business Review</w:t>
      </w:r>
      <w:r>
        <w:rPr>
          <w:color w:val="222222"/>
          <w:shd w:val="clear" w:color="auto" w:fill="FFFFFF"/>
        </w:rPr>
        <w:t xml:space="preserve">, </w:t>
      </w:r>
      <w:r>
        <w:rPr>
          <w:i/>
          <w:iCs/>
          <w:color w:val="222222"/>
          <w:shd w:val="clear" w:color="auto" w:fill="FFFFFF"/>
        </w:rPr>
        <w:t>20</w:t>
      </w:r>
      <w:r>
        <w:rPr>
          <w:color w:val="222222"/>
          <w:shd w:val="clear" w:color="auto" w:fill="FFFFFF"/>
        </w:rPr>
        <w:t xml:space="preserve">(4), pp.887-900. </w:t>
      </w:r>
      <w:r>
        <w:fldChar w:fldCharType="begin"/>
      </w:r>
      <w:r>
        <w:instrText xml:space="preserve"> HYPERLINK "https://journals.sagepub.com/doi/abs/10.1177/0972150919844892" </w:instrText>
      </w:r>
      <w:r>
        <w:fldChar w:fldCharType="separate"/>
      </w:r>
      <w:r>
        <w:rPr>
          <w:rStyle w:val="12"/>
          <w:color w:val="1155CC"/>
          <w:shd w:val="clear" w:color="auto" w:fill="FFFFFF"/>
        </w:rPr>
        <w:t>https://journals.sagepub.com/doi/abs/10.1177/0972150919844892</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Musa, E.I.O. and Suryono, Y., (2022), January. Learning challenges during new normal era using a combination of SWOT-PESTEL analysis. In </w:t>
      </w:r>
      <w:r>
        <w:rPr>
          <w:i/>
          <w:iCs/>
          <w:color w:val="222222"/>
          <w:shd w:val="clear" w:color="auto" w:fill="FFFFFF"/>
        </w:rPr>
        <w:t>5th International Conference on Current Issues in Education (ICCIE 2021)</w:t>
      </w:r>
      <w:r>
        <w:rPr>
          <w:color w:val="222222"/>
          <w:shd w:val="clear" w:color="auto" w:fill="FFFFFF"/>
        </w:rPr>
        <w:t xml:space="preserve"> (pp. 358-362). Atlantis Press. </w:t>
      </w:r>
      <w:r>
        <w:fldChar w:fldCharType="begin"/>
      </w:r>
      <w:r>
        <w:instrText xml:space="preserve"> HYPERLINK "https://www.atlantis-press.com/proceedings/iccie-21/125969652" </w:instrText>
      </w:r>
      <w:r>
        <w:fldChar w:fldCharType="separate"/>
      </w:r>
      <w:r>
        <w:rPr>
          <w:rStyle w:val="12"/>
          <w:color w:val="1155CC"/>
          <w:shd w:val="clear" w:color="auto" w:fill="FFFFFF"/>
        </w:rPr>
        <w:t>https://www.atlantis-press.com/proceedings/iccie-21/125969652</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Nguyen, K.H., Glantz, S.A., Palmer, C.N. and Schmidt, L.A., (2020). Transferring racial/ethnic marketing strategies from tobacco to food corporations: Philip Morris and Kraft General Foods. </w:t>
      </w:r>
      <w:r>
        <w:rPr>
          <w:i/>
          <w:iCs/>
          <w:color w:val="222222"/>
          <w:shd w:val="clear" w:color="auto" w:fill="FFFFFF"/>
        </w:rPr>
        <w:t>American journal of public health</w:t>
      </w:r>
      <w:r>
        <w:rPr>
          <w:color w:val="222222"/>
          <w:shd w:val="clear" w:color="auto" w:fill="FFFFFF"/>
        </w:rPr>
        <w:t xml:space="preserve">, </w:t>
      </w:r>
      <w:r>
        <w:rPr>
          <w:i/>
          <w:iCs/>
          <w:color w:val="222222"/>
          <w:shd w:val="clear" w:color="auto" w:fill="FFFFFF"/>
        </w:rPr>
        <w:t>110</w:t>
      </w:r>
      <w:r>
        <w:rPr>
          <w:color w:val="222222"/>
          <w:shd w:val="clear" w:color="auto" w:fill="FFFFFF"/>
        </w:rPr>
        <w:t xml:space="preserve">(3), pp.329-336. </w:t>
      </w:r>
      <w:r>
        <w:fldChar w:fldCharType="begin"/>
      </w:r>
      <w:r>
        <w:instrText xml:space="preserve"> HYPERLINK "https://ajph.aphapublications.org/doi/abs/10.2105/AJPH.2019.305482?casa_token=zDAHEDlFFW8AAAAA:4bigErjWRceK-h3GTL-pLCgpPEdET6Dt4jAHDnBAETiWMKNBsvbJ4PTzjtSwISPTd72vEs5f-4cR" </w:instrText>
      </w:r>
      <w:r>
        <w:fldChar w:fldCharType="separate"/>
      </w:r>
      <w:r>
        <w:rPr>
          <w:rStyle w:val="12"/>
          <w:color w:val="1155CC"/>
          <w:shd w:val="clear" w:color="auto" w:fill="FFFFFF"/>
        </w:rPr>
        <w:t>https://ajph.aphapublications.org/doi/abs/10.2105/AJPH.2019.305482?casa_token=zDAHEDlFFW8AAAAA:4bigErjWRceK-h3GTL-pLCgpPEdET6Dt4jAHDnBAETiWMKNBsvbJ4PTzjtSwISPTd72vEs5f-4cR</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Pan, W., Chen, L. and Zhan, W., (2019). PESTEL analysis of construction productivity enhancement strategies: A case study of three economies. </w:t>
      </w:r>
      <w:r>
        <w:rPr>
          <w:i/>
          <w:iCs/>
          <w:color w:val="222222"/>
          <w:shd w:val="clear" w:color="auto" w:fill="FFFFFF"/>
        </w:rPr>
        <w:t>Journal of Management in Engineering</w:t>
      </w:r>
      <w:r>
        <w:rPr>
          <w:color w:val="222222"/>
          <w:shd w:val="clear" w:color="auto" w:fill="FFFFFF"/>
        </w:rPr>
        <w:t xml:space="preserve">, </w:t>
      </w:r>
      <w:r>
        <w:rPr>
          <w:i/>
          <w:iCs/>
          <w:color w:val="222222"/>
          <w:shd w:val="clear" w:color="auto" w:fill="FFFFFF"/>
        </w:rPr>
        <w:t>35</w:t>
      </w:r>
      <w:r>
        <w:rPr>
          <w:color w:val="222222"/>
          <w:shd w:val="clear" w:color="auto" w:fill="FFFFFF"/>
        </w:rPr>
        <w:t xml:space="preserve">(1), p.05018013. </w:t>
      </w:r>
      <w:r>
        <w:fldChar w:fldCharType="begin"/>
      </w:r>
      <w:r>
        <w:instrText xml:space="preserve"> HYPERLINK "https://ascelibrary.org/doi/abs/10.1061/(ASCE)ME.1943-5479.0000662" </w:instrText>
      </w:r>
      <w:r>
        <w:fldChar w:fldCharType="separate"/>
      </w:r>
      <w:r>
        <w:rPr>
          <w:rStyle w:val="12"/>
          <w:color w:val="1155CC"/>
          <w:shd w:val="clear" w:color="auto" w:fill="FFFFFF"/>
        </w:rPr>
        <w:t>https://ascelibrary.org/doi/abs/10.1061/(ASCE)ME.1943-5479.0000662</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Papanastassiou, M., Pearce, R. and Zanfei, A., (2020). Changing perspectives on the internationalization of R&amp;D and innovation by multinational enterprises: A review of the literature. </w:t>
      </w:r>
      <w:r>
        <w:rPr>
          <w:i/>
          <w:iCs/>
          <w:color w:val="222222"/>
          <w:shd w:val="clear" w:color="auto" w:fill="FFFFFF"/>
        </w:rPr>
        <w:t>Journal of International Business Studies</w:t>
      </w:r>
      <w:r>
        <w:rPr>
          <w:color w:val="222222"/>
          <w:shd w:val="clear" w:color="auto" w:fill="FFFFFF"/>
        </w:rPr>
        <w:t xml:space="preserve">, </w:t>
      </w:r>
      <w:r>
        <w:rPr>
          <w:i/>
          <w:iCs/>
          <w:color w:val="222222"/>
          <w:shd w:val="clear" w:color="auto" w:fill="FFFFFF"/>
        </w:rPr>
        <w:t>51</w:t>
      </w:r>
      <w:r>
        <w:rPr>
          <w:color w:val="222222"/>
          <w:shd w:val="clear" w:color="auto" w:fill="FFFFFF"/>
        </w:rPr>
        <w:t xml:space="preserve">, pp.623-664. </w:t>
      </w:r>
      <w:r>
        <w:fldChar w:fldCharType="begin"/>
      </w:r>
      <w:r>
        <w:instrText xml:space="preserve"> HYPERLINK "https://link.springer.com/article/10.1057/s41267-019-00258-0" </w:instrText>
      </w:r>
      <w:r>
        <w:fldChar w:fldCharType="separate"/>
      </w:r>
      <w:r>
        <w:rPr>
          <w:rStyle w:val="12"/>
          <w:color w:val="1155CC"/>
          <w:shd w:val="clear" w:color="auto" w:fill="FFFFFF"/>
        </w:rPr>
        <w:t>https://link.springer.com/article/10.1057/s41267-019-00258-0</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Puthusserry, P., Khan, Z., Nair, S.R. and King, T., (2021). Mitigating psychic distance and enhancing internationalization of fintech SMEs from emerging markets: the role of board of directors. </w:t>
      </w:r>
      <w:r>
        <w:rPr>
          <w:i/>
          <w:iCs/>
          <w:color w:val="222222"/>
          <w:shd w:val="clear" w:color="auto" w:fill="FFFFFF"/>
        </w:rPr>
        <w:t>British Journal of Management</w:t>
      </w:r>
      <w:r>
        <w:rPr>
          <w:color w:val="222222"/>
          <w:shd w:val="clear" w:color="auto" w:fill="FFFFFF"/>
        </w:rPr>
        <w:t xml:space="preserve">, </w:t>
      </w:r>
      <w:r>
        <w:rPr>
          <w:i/>
          <w:iCs/>
          <w:color w:val="222222"/>
          <w:shd w:val="clear" w:color="auto" w:fill="FFFFFF"/>
        </w:rPr>
        <w:t>32</w:t>
      </w:r>
      <w:r>
        <w:rPr>
          <w:color w:val="222222"/>
          <w:shd w:val="clear" w:color="auto" w:fill="FFFFFF"/>
        </w:rPr>
        <w:t xml:space="preserve">(4), pp.1097-1120. </w:t>
      </w:r>
      <w:r>
        <w:fldChar w:fldCharType="begin"/>
      </w:r>
      <w:r>
        <w:instrText xml:space="preserve"> HYPERLINK "https://onlinelibrary.wiley.com/doi/abs/10.1111/1467-8551.12502" </w:instrText>
      </w:r>
      <w:r>
        <w:fldChar w:fldCharType="separate"/>
      </w:r>
      <w:r>
        <w:rPr>
          <w:rStyle w:val="12"/>
          <w:color w:val="1155CC"/>
          <w:shd w:val="clear" w:color="auto" w:fill="FFFFFF"/>
        </w:rPr>
        <w:t>https://onlinelibrary.wiley.com/doi/abs/10.1111/1467-8551.12502</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Rienda, L., Ruiz-Fernandez, L. and Carey, L., (2021). Analysing trademark and social media in the fashion industry: tools that impact performance and internationalization for SMEs. </w:t>
      </w:r>
      <w:r>
        <w:rPr>
          <w:i/>
          <w:iCs/>
          <w:color w:val="222222"/>
          <w:shd w:val="clear" w:color="auto" w:fill="FFFFFF"/>
        </w:rPr>
        <w:t>Journal of Fashion Marketing and Management: An International Journal</w:t>
      </w:r>
      <w:r>
        <w:rPr>
          <w:color w:val="222222"/>
          <w:shd w:val="clear" w:color="auto" w:fill="FFFFFF"/>
        </w:rPr>
        <w:t xml:space="preserve">, </w:t>
      </w:r>
      <w:r>
        <w:rPr>
          <w:i/>
          <w:iCs/>
          <w:color w:val="222222"/>
          <w:shd w:val="clear" w:color="auto" w:fill="FFFFFF"/>
        </w:rPr>
        <w:t>25</w:t>
      </w:r>
      <w:r>
        <w:rPr>
          <w:color w:val="222222"/>
          <w:shd w:val="clear" w:color="auto" w:fill="FFFFFF"/>
        </w:rPr>
        <w:t xml:space="preserve">(1), pp.117-132. </w:t>
      </w:r>
      <w:r>
        <w:fldChar w:fldCharType="begin"/>
      </w:r>
      <w:r>
        <w:instrText xml:space="preserve"> HYPERLINK "https://www.emerald.com/insight/content/doi/10.1108/JFMM-03-2020-0035/full/html" </w:instrText>
      </w:r>
      <w:r>
        <w:fldChar w:fldCharType="separate"/>
      </w:r>
      <w:r>
        <w:rPr>
          <w:rStyle w:val="12"/>
          <w:color w:val="1155CC"/>
          <w:shd w:val="clear" w:color="auto" w:fill="FFFFFF"/>
        </w:rPr>
        <w:t>https://www.emerald.com/insight/content/doi/10.1108/JFMM-03-2020-0035/full/html</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Rovida, C., Barton-Maclaren, T., Benfenati, E., Caloni, F., Chandrasekera, P.C., Chesne, C., Cronin, M.T., De Knecht, J., Dietrich, D.R., Escher, S.E. and Fitzpatrick, S., (2020). Internationalization of read-across as a validated new approach method (NAM) for regulatory toxicology. </w:t>
      </w:r>
      <w:r>
        <w:rPr>
          <w:i/>
          <w:iCs/>
          <w:color w:val="222222"/>
          <w:shd w:val="clear" w:color="auto" w:fill="FFFFFF"/>
        </w:rPr>
        <w:t>Altex</w:t>
      </w:r>
      <w:r>
        <w:rPr>
          <w:color w:val="222222"/>
          <w:shd w:val="clear" w:color="auto" w:fill="FFFFFF"/>
        </w:rPr>
        <w:t xml:space="preserve">, </w:t>
      </w:r>
      <w:r>
        <w:rPr>
          <w:i/>
          <w:iCs/>
          <w:color w:val="222222"/>
          <w:shd w:val="clear" w:color="auto" w:fill="FFFFFF"/>
        </w:rPr>
        <w:t>37</w:t>
      </w:r>
      <w:r>
        <w:rPr>
          <w:color w:val="222222"/>
          <w:shd w:val="clear" w:color="auto" w:fill="FFFFFF"/>
        </w:rPr>
        <w:t xml:space="preserve">(4), p.579. </w:t>
      </w:r>
      <w:r>
        <w:fldChar w:fldCharType="begin"/>
      </w:r>
      <w:r>
        <w:instrText xml:space="preserve"> HYPERLINK "https://www.ncbi.nlm.nih.gov/pmc/articles/PMC9201788/" </w:instrText>
      </w:r>
      <w:r>
        <w:fldChar w:fldCharType="separate"/>
      </w:r>
      <w:r>
        <w:rPr>
          <w:rStyle w:val="12"/>
          <w:color w:val="1155CC"/>
          <w:shd w:val="clear" w:color="auto" w:fill="FFFFFF"/>
        </w:rPr>
        <w:t>https://www.ncbi.nlm.nih.gov/pmc/articles/PMC9201788/</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Sánchez-Cambronero, A., González-Cancelas, N. and Serrano, B.M., (2020). Analysis of port sustainability using the PPSC methodology (PESTEL, Porter, SWOT, CAME). </w:t>
      </w:r>
      <w:r>
        <w:rPr>
          <w:i/>
          <w:iCs/>
          <w:color w:val="222222"/>
          <w:shd w:val="clear" w:color="auto" w:fill="FFFFFF"/>
        </w:rPr>
        <w:t>World Scientific News</w:t>
      </w:r>
      <w:r>
        <w:rPr>
          <w:color w:val="222222"/>
          <w:shd w:val="clear" w:color="auto" w:fill="FFFFFF"/>
        </w:rPr>
        <w:t xml:space="preserve">, (146), pp.121-138. </w:t>
      </w:r>
      <w:r>
        <w:fldChar w:fldCharType="begin"/>
      </w:r>
      <w:r>
        <w:instrText xml:space="preserve"> HYPERLINK "https://bibliotekanauki.pl/articles/1031635.pdf" </w:instrText>
      </w:r>
      <w:r>
        <w:fldChar w:fldCharType="separate"/>
      </w:r>
      <w:r>
        <w:rPr>
          <w:rStyle w:val="12"/>
          <w:color w:val="1155CC"/>
          <w:shd w:val="clear" w:color="auto" w:fill="FFFFFF"/>
        </w:rPr>
        <w:t>https://bibliotekanauki.pl/articles/1031635.pdf</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Schitov, S. and Likholetova, N., (2021). Theoretical and methodological guidelines for transnationalization and integration process managing in Eurasian Economic Union agricultural sector. In </w:t>
      </w:r>
      <w:r>
        <w:rPr>
          <w:i/>
          <w:iCs/>
          <w:color w:val="222222"/>
          <w:shd w:val="clear" w:color="auto" w:fill="FFFFFF"/>
        </w:rPr>
        <w:t>E3S Web of Conferences</w:t>
      </w:r>
      <w:r>
        <w:rPr>
          <w:color w:val="222222"/>
          <w:shd w:val="clear" w:color="auto" w:fill="FFFFFF"/>
        </w:rPr>
        <w:t xml:space="preserve"> (Vol. 273, p. 08069). EDP Sciences. </w:t>
      </w:r>
      <w:r>
        <w:fldChar w:fldCharType="begin"/>
      </w:r>
      <w:r>
        <w:instrText xml:space="preserve"> HYPERLINK "https://www.e3s-conferences.org/articles/e3sconf/abs/2021/49/e3sconf_interagromash2021_08069/e3sconf_interagromash2021_08069.html" </w:instrText>
      </w:r>
      <w:r>
        <w:fldChar w:fldCharType="separate"/>
      </w:r>
      <w:r>
        <w:rPr>
          <w:rStyle w:val="12"/>
          <w:color w:val="1155CC"/>
          <w:shd w:val="clear" w:color="auto" w:fill="FFFFFF"/>
        </w:rPr>
        <w:t>https://www.e3s-conferences.org/articles/e3sconf/abs/2021/49/e3sconf_interagromash2021_08069/e3sconf_interagromash2021_08069.html</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Seyitoğlu, F. and Ivanov, S., (2020). A conceptual framework of the service delivery system design for hospitality firms in the (post-) viral world: The role of service robots. </w:t>
      </w:r>
      <w:r>
        <w:rPr>
          <w:i/>
          <w:iCs/>
          <w:color w:val="222222"/>
          <w:shd w:val="clear" w:color="auto" w:fill="FFFFFF"/>
        </w:rPr>
        <w:t>International Journal of Hospitality Management</w:t>
      </w:r>
      <w:r>
        <w:rPr>
          <w:color w:val="222222"/>
          <w:shd w:val="clear" w:color="auto" w:fill="FFFFFF"/>
        </w:rPr>
        <w:t xml:space="preserve">, </w:t>
      </w:r>
      <w:r>
        <w:rPr>
          <w:i/>
          <w:iCs/>
          <w:color w:val="222222"/>
          <w:shd w:val="clear" w:color="auto" w:fill="FFFFFF"/>
        </w:rPr>
        <w:t>91</w:t>
      </w:r>
      <w:r>
        <w:rPr>
          <w:color w:val="222222"/>
          <w:shd w:val="clear" w:color="auto" w:fill="FFFFFF"/>
        </w:rPr>
        <w:t xml:space="preserve">, p.102661. </w:t>
      </w:r>
      <w:r>
        <w:fldChar w:fldCharType="begin"/>
      </w:r>
      <w:r>
        <w:instrText xml:space="preserve"> HYPERLINK "https://www.sciencedirect.com/science/article/pii/S0278431920302139" </w:instrText>
      </w:r>
      <w:r>
        <w:fldChar w:fldCharType="separate"/>
      </w:r>
      <w:r>
        <w:rPr>
          <w:rStyle w:val="12"/>
          <w:color w:val="1155CC"/>
          <w:shd w:val="clear" w:color="auto" w:fill="FFFFFF"/>
        </w:rPr>
        <w:t>https://www.sciencedirect.com/science/article/pii/S0278431920302139</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Siddiqui, A.A., (2021). The use of pestel analysis tool of quality management in the health care business and its advantages. </w:t>
      </w:r>
      <w:r>
        <w:rPr>
          <w:i/>
          <w:iCs/>
          <w:color w:val="222222"/>
          <w:shd w:val="clear" w:color="auto" w:fill="FFFFFF"/>
        </w:rPr>
        <w:t>Am J Biomed Sci &amp; Res</w:t>
      </w:r>
      <w:r>
        <w:rPr>
          <w:color w:val="222222"/>
          <w:shd w:val="clear" w:color="auto" w:fill="FFFFFF"/>
        </w:rPr>
        <w:t xml:space="preserve">, </w:t>
      </w:r>
      <w:r>
        <w:rPr>
          <w:i/>
          <w:iCs/>
          <w:color w:val="222222"/>
          <w:shd w:val="clear" w:color="auto" w:fill="FFFFFF"/>
        </w:rPr>
        <w:t>14</w:t>
      </w:r>
      <w:r>
        <w:rPr>
          <w:color w:val="222222"/>
          <w:shd w:val="clear" w:color="auto" w:fill="FFFFFF"/>
        </w:rPr>
        <w:t xml:space="preserve">(6), pp.507-512. </w:t>
      </w:r>
      <w:r>
        <w:fldChar w:fldCharType="begin"/>
      </w:r>
      <w:r>
        <w:instrText xml:space="preserve"> HYPERLINK "https://www.researchgate.net/profile/Ahsan-Siddiqui/publication/356505320_The_Use_of_PESTEL_Analysis_Tool_of_Quality_Management_in_the_Health_Care_Business_and_its_Advantages/links/619e6d8cd7d1af224b21efd4/The-Use-of-PESTEL-Analysis-Tool-of-Quality-Management-in-the-Health-Care-Business-and-its-Advantages.pdf?_sg%5B0%5D=started_experiment_milestone&amp;origin=journalDetail" </w:instrText>
      </w:r>
      <w:r>
        <w:fldChar w:fldCharType="separate"/>
      </w:r>
      <w:r>
        <w:rPr>
          <w:rStyle w:val="12"/>
          <w:color w:val="1155CC"/>
          <w:shd w:val="clear" w:color="auto" w:fill="FFFFFF"/>
        </w:rPr>
        <w:t>https://www.researchgate.net/profile/Ahsan-Siddiqui/publication/356505320_The_Use_of_PESTEL_Analysis_Tool_of_Quality_Management_in_the_Health_Care_Business_and_its_Advantages/links/619e6d8cd7d1af224b21efd4/The-Use-of-PESTEL-Analysis-Tool-of-Quality-Management-in-the-Health-Care-Business-and-its-Advantages.pdf?_sg%5B0%5D=started_experiment_milestone&amp;origin=journalDetail</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Siscan, Z., (2021). Neuromarketing Strategic Engineering: Global, Local, and Transnational. In </w:t>
      </w:r>
      <w:r>
        <w:rPr>
          <w:i/>
          <w:iCs/>
          <w:color w:val="222222"/>
          <w:shd w:val="clear" w:color="auto" w:fill="FFFFFF"/>
        </w:rPr>
        <w:t>Proceedings of the Fourteenth International Conference on Management Science and Engineering Management: Volume 2</w:t>
      </w:r>
      <w:r>
        <w:rPr>
          <w:color w:val="222222"/>
          <w:shd w:val="clear" w:color="auto" w:fill="FFFFFF"/>
        </w:rPr>
        <w:t xml:space="preserve"> (pp. 392-404). Springer International Publishing. </w:t>
      </w:r>
      <w:r>
        <w:fldChar w:fldCharType="begin"/>
      </w:r>
      <w:r>
        <w:instrText xml:space="preserve"> HYPERLINK "https://link.springer.com/chapter/10.1007/978-3-030-49889-4_31" </w:instrText>
      </w:r>
      <w:r>
        <w:fldChar w:fldCharType="separate"/>
      </w:r>
      <w:r>
        <w:rPr>
          <w:rStyle w:val="12"/>
          <w:color w:val="1155CC"/>
          <w:shd w:val="clear" w:color="auto" w:fill="FFFFFF"/>
        </w:rPr>
        <w:t>https://link.springer.com/chapter/10.1007/978-3-030-49889-4_31</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Smerek, L., Vetráková, M., Šimočková, I. and No, M., (2021). </w:t>
      </w:r>
      <w:r>
        <w:rPr>
          <w:i/>
          <w:iCs/>
          <w:color w:val="222222"/>
          <w:shd w:val="clear" w:color="auto" w:fill="FFFFFF"/>
        </w:rPr>
        <w:t>International Human Resource Management System</w:t>
      </w:r>
      <w:r>
        <w:rPr>
          <w:color w:val="222222"/>
          <w:shd w:val="clear" w:color="auto" w:fill="FFFFFF"/>
        </w:rPr>
        <w:t xml:space="preserve">. UTH Radom. </w:t>
      </w:r>
      <w:r>
        <w:fldChar w:fldCharType="begin"/>
      </w:r>
      <w:r>
        <w:instrText xml:space="preserve"> HYPERLINK "https://www.researchgate.net/profile/Lukas-Smerek/publication/350654148_International_Human_Resource_Management_System/links/6384ab867b0e356feb92b1c8/International-Human-Resource-Management-System.pdf" </w:instrText>
      </w:r>
      <w:r>
        <w:fldChar w:fldCharType="separate"/>
      </w:r>
      <w:r>
        <w:rPr>
          <w:rStyle w:val="12"/>
          <w:color w:val="1155CC"/>
          <w:shd w:val="clear" w:color="auto" w:fill="FFFFFF"/>
        </w:rPr>
        <w:t>https://www.researchgate.net/profile/Lukas-Smerek/publication/350654148_International_Human_Resource_Management_System/links/6384ab867b0e356feb92b1c8/International-Human-Resource-Management-System.pdf</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Sugiyono, A., Febijanto, I. and Hilmawan, E., (2022). Potential of biomass and coal co-firing power plants in Indonesia: a PESTEL analysis. In </w:t>
      </w:r>
      <w:r>
        <w:rPr>
          <w:i/>
          <w:iCs/>
          <w:color w:val="222222"/>
          <w:shd w:val="clear" w:color="auto" w:fill="FFFFFF"/>
        </w:rPr>
        <w:t>IOP Conference Series: Earth and Environmental Science</w:t>
      </w:r>
      <w:r>
        <w:rPr>
          <w:color w:val="222222"/>
          <w:shd w:val="clear" w:color="auto" w:fill="FFFFFF"/>
        </w:rPr>
        <w:t xml:space="preserve"> (Vol. 963, No. 1, p. 012007). IOP Publishing. </w:t>
      </w:r>
      <w:r>
        <w:fldChar w:fldCharType="begin"/>
      </w:r>
      <w:r>
        <w:instrText xml:space="preserve"> HYPERLINK "https://iopscience.iop.org/article/10.1088/1755-1315/963/1/012007/meta" </w:instrText>
      </w:r>
      <w:r>
        <w:fldChar w:fldCharType="separate"/>
      </w:r>
      <w:r>
        <w:rPr>
          <w:rStyle w:val="12"/>
          <w:color w:val="1155CC"/>
          <w:shd w:val="clear" w:color="auto" w:fill="FFFFFF"/>
        </w:rPr>
        <w:t>https://iopscience.iop.org/article/10.1088/1755-1315/963/1/012007/meta</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Sukaatmadja, I., Yasa, N., Rahyuda, H., Setini, M. and Dharmanegara, I., (2021). Competitive advantage to enhance internationalization and marketing performance woodcraft industry: A perspective of resource-based view theory. </w:t>
      </w:r>
      <w:r>
        <w:rPr>
          <w:i/>
          <w:iCs/>
          <w:color w:val="222222"/>
          <w:shd w:val="clear" w:color="auto" w:fill="FFFFFF"/>
        </w:rPr>
        <w:t>Journal of Project Management</w:t>
      </w:r>
      <w:r>
        <w:rPr>
          <w:color w:val="222222"/>
          <w:shd w:val="clear" w:color="auto" w:fill="FFFFFF"/>
        </w:rPr>
        <w:t xml:space="preserve">, </w:t>
      </w:r>
      <w:r>
        <w:rPr>
          <w:i/>
          <w:iCs/>
          <w:color w:val="222222"/>
          <w:shd w:val="clear" w:color="auto" w:fill="FFFFFF"/>
        </w:rPr>
        <w:t>6</w:t>
      </w:r>
      <w:r>
        <w:rPr>
          <w:color w:val="222222"/>
          <w:shd w:val="clear" w:color="auto" w:fill="FFFFFF"/>
        </w:rPr>
        <w:t xml:space="preserve">(1), pp.45-56. </w:t>
      </w:r>
      <w:r>
        <w:fldChar w:fldCharType="begin"/>
      </w:r>
      <w:r>
        <w:instrText xml:space="preserve"> HYPERLINK "http://growingscience.com/beta/jpm/4400-competitive-advantage-to-enhance-internationalization-and-marketing-performance-woodcraft-industry-a-perspective-of-resource-based-view-theory.html" </w:instrText>
      </w:r>
      <w:r>
        <w:fldChar w:fldCharType="separate"/>
      </w:r>
      <w:r>
        <w:rPr>
          <w:rStyle w:val="12"/>
          <w:color w:val="1155CC"/>
          <w:shd w:val="clear" w:color="auto" w:fill="FFFFFF"/>
        </w:rPr>
        <w:t>http://growingscience.com/beta/jpm/4400-competitive-advantage-to-enhance-internationalization-and-marketing-performance-woodcraft-industry-a-perspective-of-resource-based-view-theory.html</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Sukanti, L., Harto, B. and Pramuditha, P., (2021). Analysis of relevance between international HRM and industry demand: A review of scientific literature. </w:t>
      </w:r>
      <w:r>
        <w:rPr>
          <w:i/>
          <w:iCs/>
          <w:color w:val="222222"/>
          <w:shd w:val="clear" w:color="auto" w:fill="FFFFFF"/>
        </w:rPr>
        <w:t>International Journal of Business, Economics and Management</w:t>
      </w:r>
      <w:r>
        <w:rPr>
          <w:color w:val="222222"/>
          <w:shd w:val="clear" w:color="auto" w:fill="FFFFFF"/>
        </w:rPr>
        <w:t xml:space="preserve">, </w:t>
      </w:r>
      <w:r>
        <w:rPr>
          <w:i/>
          <w:iCs/>
          <w:color w:val="222222"/>
          <w:shd w:val="clear" w:color="auto" w:fill="FFFFFF"/>
        </w:rPr>
        <w:t>4</w:t>
      </w:r>
      <w:r>
        <w:rPr>
          <w:color w:val="222222"/>
          <w:shd w:val="clear" w:color="auto" w:fill="FFFFFF"/>
        </w:rPr>
        <w:t xml:space="preserve">(1), pp.199-208. </w:t>
      </w:r>
      <w:r>
        <w:fldChar w:fldCharType="begin"/>
      </w:r>
      <w:r>
        <w:instrText xml:space="preserve"> HYPERLINK "https://www.academia.edu/download/95610479/413.pdf" </w:instrText>
      </w:r>
      <w:r>
        <w:fldChar w:fldCharType="separate"/>
      </w:r>
      <w:r>
        <w:rPr>
          <w:rStyle w:val="12"/>
          <w:color w:val="1155CC"/>
          <w:shd w:val="clear" w:color="auto" w:fill="FFFFFF"/>
        </w:rPr>
        <w:t>https://www.academia.edu/download/95610479/413.pdf</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Tayali, E.M. and Sakyi, K.A., (2020). Reputable relevant realistic reliable and rigorous human resource management strategic approaches and practices in the 21st century. </w:t>
      </w:r>
      <w:r>
        <w:rPr>
          <w:i/>
          <w:iCs/>
          <w:color w:val="222222"/>
          <w:shd w:val="clear" w:color="auto" w:fill="FFFFFF"/>
        </w:rPr>
        <w:t>Adv Soc Sci Res J</w:t>
      </w:r>
      <w:r>
        <w:rPr>
          <w:color w:val="222222"/>
          <w:shd w:val="clear" w:color="auto" w:fill="FFFFFF"/>
        </w:rPr>
        <w:t xml:space="preserve">, </w:t>
      </w:r>
      <w:r>
        <w:rPr>
          <w:i/>
          <w:iCs/>
          <w:color w:val="222222"/>
          <w:shd w:val="clear" w:color="auto" w:fill="FFFFFF"/>
        </w:rPr>
        <w:t>7</w:t>
      </w:r>
      <w:r>
        <w:rPr>
          <w:color w:val="222222"/>
          <w:shd w:val="clear" w:color="auto" w:fill="FFFFFF"/>
        </w:rPr>
        <w:t xml:space="preserve">(6), pp.600-621. </w:t>
      </w:r>
      <w:r>
        <w:fldChar w:fldCharType="begin"/>
      </w:r>
      <w:r>
        <w:instrText xml:space="preserve"> HYPERLINK "https://www.researchgate.net/profile/Esnart-Tayali/publication/342665954_Reputable_Relevant_Realistic_Reliable_and_Rigorous_Human_Resource_Management_Strategic_Approaches_and_Practices_in_the_21st_Century/links/5eff78a7a6fdcc4ca4481d65/Reputable-Relevant-Realistic-Reliable-and-Rigorous-Human-Resource-Management-Strategic-Approaches-and-Practices-in-the-21st-Century.pdf" </w:instrText>
      </w:r>
      <w:r>
        <w:fldChar w:fldCharType="separate"/>
      </w:r>
      <w:r>
        <w:rPr>
          <w:rStyle w:val="12"/>
          <w:color w:val="1155CC"/>
          <w:shd w:val="clear" w:color="auto" w:fill="FFFFFF"/>
        </w:rPr>
        <w:t>https://www.researchgate.net/profile/Esnart-Tayali/publication/342665954_Reputable_Relevant_Realistic_Reliable_and_Rigorous_Human_Resource_Management_Strategic_Approaches_and_Practices_in_the_21st_Century/links/5eff78a7a6fdcc4ca4481d65/Reputable-Relevant-Realistic-Reliable-and-Rigorous-Human-Resource-Management-Strategic-Approaches-and-Practices-in-the-21st-Century.pdf</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Villena, V.H., Wilhelm, M. and Xiao, C.Y., (2021). Untangling drivers for supplier environmental and social responsibility: An investigation in Philips Lighting's Chinese supply chain. </w:t>
      </w:r>
      <w:r>
        <w:rPr>
          <w:i/>
          <w:iCs/>
          <w:color w:val="222222"/>
          <w:shd w:val="clear" w:color="auto" w:fill="FFFFFF"/>
        </w:rPr>
        <w:t>Journal of Operations Management</w:t>
      </w:r>
      <w:r>
        <w:rPr>
          <w:color w:val="222222"/>
          <w:shd w:val="clear" w:color="auto" w:fill="FFFFFF"/>
        </w:rPr>
        <w:t xml:space="preserve">, </w:t>
      </w:r>
      <w:r>
        <w:rPr>
          <w:i/>
          <w:iCs/>
          <w:color w:val="222222"/>
          <w:shd w:val="clear" w:color="auto" w:fill="FFFFFF"/>
        </w:rPr>
        <w:t>67</w:t>
      </w:r>
      <w:r>
        <w:rPr>
          <w:color w:val="222222"/>
          <w:shd w:val="clear" w:color="auto" w:fill="FFFFFF"/>
        </w:rPr>
        <w:t xml:space="preserve">(4), pp.476-510. </w:t>
      </w:r>
      <w:r>
        <w:fldChar w:fldCharType="begin"/>
      </w:r>
      <w:r>
        <w:instrText xml:space="preserve"> HYPERLINK "https://onlinelibrary.wiley.com/doi/abs/10.1002/joom.1131" </w:instrText>
      </w:r>
      <w:r>
        <w:fldChar w:fldCharType="separate"/>
      </w:r>
      <w:r>
        <w:rPr>
          <w:rStyle w:val="12"/>
          <w:color w:val="1155CC"/>
          <w:shd w:val="clear" w:color="auto" w:fill="FFFFFF"/>
        </w:rPr>
        <w:t>https://onlinelibrary.wiley.com/doi/abs/10.1002/joom.1131</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Wen, Q., (2021). </w:t>
      </w:r>
      <w:r>
        <w:rPr>
          <w:i/>
          <w:iCs/>
          <w:color w:val="222222"/>
          <w:shd w:val="clear" w:color="auto" w:fill="FFFFFF"/>
        </w:rPr>
        <w:t>Strategic International Human Resource Management in MNEs from an Emerging Market: Case Evidence from a Chinese Multinational Construction Enterprise</w:t>
      </w:r>
      <w:r>
        <w:rPr>
          <w:color w:val="222222"/>
          <w:shd w:val="clear" w:color="auto" w:fill="FFFFFF"/>
        </w:rPr>
        <w:t xml:space="preserve"> (Doctoral dissertation, University of Manchester). </w:t>
      </w:r>
      <w:r>
        <w:fldChar w:fldCharType="begin"/>
      </w:r>
      <w:r>
        <w:instrText xml:space="preserve"> HYPERLINK "https://research.manchester.ac.uk/files/234003782/FULL_TEXT.PDF" </w:instrText>
      </w:r>
      <w:r>
        <w:fldChar w:fldCharType="separate"/>
      </w:r>
      <w:r>
        <w:rPr>
          <w:rStyle w:val="12"/>
          <w:color w:val="1155CC"/>
          <w:shd w:val="clear" w:color="auto" w:fill="FFFFFF"/>
        </w:rPr>
        <w:t>https://research.manchester.ac.uk/files/234003782/FULL_TEXT.PDF</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Yarmonenko, V., (2022). </w:t>
      </w:r>
      <w:r>
        <w:rPr>
          <w:i/>
          <w:iCs/>
          <w:color w:val="222222"/>
          <w:shd w:val="clear" w:color="auto" w:fill="FFFFFF"/>
        </w:rPr>
        <w:t>Multinational companies in international business (on the basis of Wix. com Ltd)</w:t>
      </w:r>
      <w:r>
        <w:rPr>
          <w:color w:val="222222"/>
          <w:shd w:val="clear" w:color="auto" w:fill="FFFFFF"/>
        </w:rPr>
        <w:t xml:space="preserve"> (Doctoral dissertation, Private Higher Educational Establishment-Institute “Ukrainian-American Concordia University”). </w:t>
      </w:r>
      <w:r>
        <w:fldChar w:fldCharType="begin"/>
      </w:r>
      <w:r>
        <w:instrText xml:space="preserve"> HYPERLINK "http://elib.uacu.edu.ua/xmlui/handle/123456789/49" </w:instrText>
      </w:r>
      <w:r>
        <w:fldChar w:fldCharType="separate"/>
      </w:r>
      <w:r>
        <w:rPr>
          <w:rStyle w:val="12"/>
          <w:color w:val="1155CC"/>
          <w:shd w:val="clear" w:color="auto" w:fill="FFFFFF"/>
        </w:rPr>
        <w:t>http://elib.uacu.edu.ua/xmlui/handle/123456789/49</w:t>
      </w:r>
      <w:r>
        <w:rPr>
          <w:rStyle w:val="12"/>
          <w:color w:val="1155CC"/>
          <w:shd w:val="clear" w:color="auto" w:fill="FFFFFF"/>
        </w:rPr>
        <w:fldChar w:fldCharType="end"/>
      </w:r>
      <w:r>
        <w:rPr>
          <w:color w:val="222222"/>
          <w:shd w:val="clear" w:color="auto" w:fill="FFFFFF"/>
        </w:rPr>
        <w:t> </w:t>
      </w:r>
    </w:p>
    <w:p>
      <w:pPr>
        <w:pStyle w:val="13"/>
        <w:spacing w:before="240" w:beforeAutospacing="0" w:after="240" w:afterAutospacing="0" w:line="360" w:lineRule="auto"/>
        <w:jc w:val="both"/>
      </w:pPr>
      <w:r>
        <w:rPr>
          <w:color w:val="222222"/>
          <w:shd w:val="clear" w:color="auto" w:fill="FFFFFF"/>
        </w:rPr>
        <w:t xml:space="preserve">Zhong, Y., Zhu, J.C. and Zhang, M.M., (2021). Expatriate management of emerging market multinational enterprises: a multiple case study approach. </w:t>
      </w:r>
      <w:r>
        <w:rPr>
          <w:i/>
          <w:iCs/>
          <w:color w:val="222222"/>
          <w:shd w:val="clear" w:color="auto" w:fill="FFFFFF"/>
        </w:rPr>
        <w:t>Journal of Risk and Financial Management</w:t>
      </w:r>
      <w:r>
        <w:rPr>
          <w:color w:val="222222"/>
          <w:shd w:val="clear" w:color="auto" w:fill="FFFFFF"/>
        </w:rPr>
        <w:t xml:space="preserve">, </w:t>
      </w:r>
      <w:r>
        <w:rPr>
          <w:i/>
          <w:iCs/>
          <w:color w:val="222222"/>
          <w:shd w:val="clear" w:color="auto" w:fill="FFFFFF"/>
        </w:rPr>
        <w:t>14</w:t>
      </w:r>
      <w:r>
        <w:rPr>
          <w:color w:val="222222"/>
          <w:shd w:val="clear" w:color="auto" w:fill="FFFFFF"/>
        </w:rPr>
        <w:t xml:space="preserve">(6), p.252. </w:t>
      </w:r>
      <w:r>
        <w:fldChar w:fldCharType="begin"/>
      </w:r>
      <w:r>
        <w:instrText xml:space="preserve"> HYPERLINK "https://www.mdpi.com/1911-8074/14/6/252" </w:instrText>
      </w:r>
      <w:r>
        <w:fldChar w:fldCharType="separate"/>
      </w:r>
      <w:r>
        <w:rPr>
          <w:rStyle w:val="12"/>
          <w:color w:val="1155CC"/>
          <w:shd w:val="clear" w:color="auto" w:fill="FFFFFF"/>
        </w:rPr>
        <w:t>https://www.mdpi.com/1911-8074/14/6/252</w:t>
      </w:r>
      <w:r>
        <w:rPr>
          <w:rStyle w:val="12"/>
          <w:color w:val="1155CC"/>
          <w:shd w:val="clear" w:color="auto" w:fill="FFFFFF"/>
        </w:rPr>
        <w:fldChar w:fldCharType="end"/>
      </w:r>
      <w:r>
        <w:rPr>
          <w:color w:val="222222"/>
          <w:shd w:val="clear" w:color="auto" w:fill="FFFFFF"/>
        </w:rPr>
        <w:t> </w:t>
      </w:r>
    </w:p>
    <w:p>
      <w:pPr>
        <w:rPr>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p>
      <w:pPr>
        <w:spacing w:line="360" w:lineRule="auto"/>
        <w:jc w:val="both"/>
        <w:rPr>
          <w:rFonts w:ascii="Times New Roman" w:hAnsi="Times New Roman" w:eastAsia="Times New Roman" w:cs="Times New Roman"/>
          <w:sz w:val="24"/>
          <w:szCs w:val="24"/>
          <w:lang w:val="en-GB"/>
        </w:rPr>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86"/>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0"/>
        <w:szCs w:val="20"/>
      </w:rPr>
      <w:id w:val="489603602"/>
      <w:docPartObj>
        <w:docPartGallery w:val="AutoText"/>
      </w:docPartObj>
    </w:sdtPr>
    <w:sdtEndPr>
      <w:rPr>
        <w:rFonts w:ascii="Times New Roman" w:hAnsi="Times New Roman" w:cs="Times New Roman"/>
        <w:sz w:val="20"/>
        <w:szCs w:val="20"/>
      </w:rPr>
    </w:sdtEndPr>
    <w:sdtContent>
      <w:p>
        <w:pPr>
          <w:pStyle w:val="1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sz w:val="20"/>
            <w:szCs w:val="20"/>
          </w:rPr>
          <w:t>2</w:t>
        </w:r>
        <w:r>
          <w:rPr>
            <w:rFonts w:ascii="Times New Roman" w:hAnsi="Times New Roman" w:cs="Times New Roman"/>
            <w:sz w:val="20"/>
            <w:szCs w:val="20"/>
          </w:rPr>
          <w:fldChar w:fldCharType="end"/>
        </w:r>
      </w:p>
    </w:sdtContent>
  </w:sdt>
  <w:p>
    <w:pPr>
      <w:pStyle w:val="10"/>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940470"/>
    <w:multiLevelType w:val="multilevel"/>
    <w:tmpl w:val="0E940470"/>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123F213C"/>
    <w:multiLevelType w:val="multilevel"/>
    <w:tmpl w:val="123F213C"/>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35EF5367"/>
    <w:multiLevelType w:val="multilevel"/>
    <w:tmpl w:val="35EF536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4A8A5731"/>
    <w:multiLevelType w:val="multilevel"/>
    <w:tmpl w:val="4A8A5731"/>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576053AE"/>
    <w:multiLevelType w:val="multilevel"/>
    <w:tmpl w:val="576053AE"/>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nsid w:val="71BA346B"/>
    <w:multiLevelType w:val="multilevel"/>
    <w:tmpl w:val="71BA346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278"/>
    <w:rsid w:val="00223278"/>
    <w:rsid w:val="0027099C"/>
    <w:rsid w:val="002B28F9"/>
    <w:rsid w:val="00310DDA"/>
    <w:rsid w:val="00A156FA"/>
    <w:rsid w:val="00A20D70"/>
    <w:rsid w:val="00B33F49"/>
    <w:rsid w:val="02A31448"/>
    <w:rsid w:val="1FA036C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eastAsia="en-IN" w:bidi="ar-SA"/>
    </w:rPr>
  </w:style>
  <w:style w:type="paragraph" w:styleId="2">
    <w:name w:val="heading 1"/>
    <w:basedOn w:val="1"/>
    <w:next w:val="1"/>
    <w:qFormat/>
    <w:uiPriority w:val="9"/>
    <w:pPr>
      <w:keepNext/>
      <w:keepLines/>
      <w:spacing w:before="400" w:after="120" w:line="360" w:lineRule="auto"/>
      <w:jc w:val="both"/>
      <w:outlineLvl w:val="0"/>
    </w:pPr>
    <w:rPr>
      <w:rFonts w:ascii="Times New Roman" w:hAnsi="Times New Roman"/>
      <w:b/>
      <w:color w:val="000000" w:themeColor="text1"/>
      <w:sz w:val="28"/>
      <w:szCs w:val="40"/>
      <w14:textFill>
        <w14:solidFill>
          <w14:schemeClr w14:val="tx1"/>
        </w14:solidFill>
      </w14:textFill>
    </w:rPr>
  </w:style>
  <w:style w:type="paragraph" w:styleId="3">
    <w:name w:val="heading 2"/>
    <w:basedOn w:val="1"/>
    <w:next w:val="1"/>
    <w:unhideWhenUsed/>
    <w:qFormat/>
    <w:uiPriority w:val="9"/>
    <w:pPr>
      <w:keepNext/>
      <w:keepLines/>
      <w:spacing w:before="360" w:after="120" w:line="360" w:lineRule="auto"/>
      <w:jc w:val="both"/>
      <w:outlineLvl w:val="1"/>
    </w:pPr>
    <w:rPr>
      <w:rFonts w:ascii="Times New Roman" w:hAnsi="Times New Roman"/>
      <w:b/>
      <w:color w:val="000000" w:themeColor="text1"/>
      <w:sz w:val="24"/>
      <w:szCs w:val="32"/>
      <w14:textFill>
        <w14:solidFill>
          <w14:schemeClr w14:val="tx1"/>
        </w14:solidFill>
      </w14:textFill>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20"/>
    <w:unhideWhenUsed/>
    <w:uiPriority w:val="99"/>
    <w:pPr>
      <w:tabs>
        <w:tab w:val="center" w:pos="4513"/>
        <w:tab w:val="right" w:pos="9026"/>
      </w:tabs>
      <w:spacing w:line="240" w:lineRule="auto"/>
    </w:pPr>
  </w:style>
  <w:style w:type="paragraph" w:styleId="11">
    <w:name w:val="header"/>
    <w:basedOn w:val="1"/>
    <w:link w:val="19"/>
    <w:unhideWhenUsed/>
    <w:qFormat/>
    <w:uiPriority w:val="99"/>
    <w:pPr>
      <w:tabs>
        <w:tab w:val="center" w:pos="4513"/>
        <w:tab w:val="right" w:pos="9026"/>
      </w:tabs>
      <w:spacing w:line="240" w:lineRule="auto"/>
    </w:pPr>
  </w:style>
  <w:style w:type="character" w:styleId="12">
    <w:name w:val="Hyperlink"/>
    <w:basedOn w:val="8"/>
    <w:unhideWhenUsed/>
    <w:qFormat/>
    <w:uiPriority w:val="99"/>
    <w:rPr>
      <w:color w:val="0000FF"/>
      <w:u w:val="single"/>
    </w:rPr>
  </w:style>
  <w:style w:type="paragraph" w:styleId="13">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IN"/>
    </w:rPr>
  </w:style>
  <w:style w:type="paragraph" w:styleId="14">
    <w:name w:val="Subtitle"/>
    <w:basedOn w:val="1"/>
    <w:next w:val="1"/>
    <w:qFormat/>
    <w:uiPriority w:val="11"/>
    <w:pPr>
      <w:keepNext/>
      <w:keepLines/>
      <w:spacing w:after="320"/>
    </w:pPr>
    <w:rPr>
      <w:color w:val="666666"/>
      <w:sz w:val="30"/>
      <w:szCs w:val="30"/>
    </w:rPr>
  </w:style>
  <w:style w:type="paragraph" w:styleId="15">
    <w:name w:val="Title"/>
    <w:basedOn w:val="1"/>
    <w:next w:val="1"/>
    <w:qFormat/>
    <w:uiPriority w:val="10"/>
    <w:pPr>
      <w:keepNext/>
      <w:keepLines/>
      <w:spacing w:after="60"/>
    </w:pPr>
    <w:rPr>
      <w:sz w:val="52"/>
      <w:szCs w:val="52"/>
    </w:rPr>
  </w:style>
  <w:style w:type="paragraph" w:styleId="16">
    <w:name w:val="toc 1"/>
    <w:basedOn w:val="1"/>
    <w:next w:val="1"/>
    <w:unhideWhenUsed/>
    <w:uiPriority w:val="39"/>
    <w:pPr>
      <w:spacing w:after="100"/>
    </w:pPr>
  </w:style>
  <w:style w:type="paragraph" w:styleId="17">
    <w:name w:val="toc 2"/>
    <w:basedOn w:val="1"/>
    <w:next w:val="1"/>
    <w:unhideWhenUsed/>
    <w:uiPriority w:val="39"/>
    <w:pPr>
      <w:spacing w:after="100"/>
      <w:ind w:left="220"/>
    </w:pPr>
  </w:style>
  <w:style w:type="table" w:customStyle="1" w:styleId="18">
    <w:name w:val="a"/>
    <w:basedOn w:val="9"/>
    <w:uiPriority w:val="0"/>
    <w:tblPr>
      <w:tblCellMar>
        <w:top w:w="100" w:type="dxa"/>
        <w:left w:w="100" w:type="dxa"/>
        <w:bottom w:w="100" w:type="dxa"/>
        <w:right w:w="100" w:type="dxa"/>
      </w:tblCellMar>
    </w:tblPr>
  </w:style>
  <w:style w:type="character" w:customStyle="1" w:styleId="19">
    <w:name w:val="Header Char"/>
    <w:basedOn w:val="8"/>
    <w:link w:val="11"/>
    <w:qFormat/>
    <w:uiPriority w:val="99"/>
  </w:style>
  <w:style w:type="character" w:customStyle="1" w:styleId="20">
    <w:name w:val="Footer Char"/>
    <w:basedOn w:val="8"/>
    <w:link w:val="10"/>
    <w:qFormat/>
    <w:uiPriority w:val="99"/>
  </w:style>
  <w:style w:type="paragraph" w:customStyle="1" w:styleId="21">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diagramLayout" Target="diagrams/layout1.xml"/><Relationship Id="rId8" Type="http://schemas.openxmlformats.org/officeDocument/2006/relationships/diagramData" Target="diagrams/data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5" Type="http://schemas.openxmlformats.org/officeDocument/2006/relationships/fontTable" Target="fontTable.xml"/><Relationship Id="rId34" Type="http://schemas.openxmlformats.org/officeDocument/2006/relationships/customXml" Target="../customXml/item1.xml"/><Relationship Id="rId33" Type="http://schemas.openxmlformats.org/officeDocument/2006/relationships/numbering" Target="numbering.xml"/><Relationship Id="rId32" Type="http://schemas.microsoft.com/office/2007/relationships/diagramDrawing" Target="diagrams/drawing5.xml"/><Relationship Id="rId31" Type="http://schemas.openxmlformats.org/officeDocument/2006/relationships/diagramColors" Target="diagrams/colors5.xml"/><Relationship Id="rId30" Type="http://schemas.openxmlformats.org/officeDocument/2006/relationships/diagramQuickStyle" Target="diagrams/quickStyle5.xml"/><Relationship Id="rId3" Type="http://schemas.openxmlformats.org/officeDocument/2006/relationships/footnotes" Target="footnotes.xml"/><Relationship Id="rId29" Type="http://schemas.openxmlformats.org/officeDocument/2006/relationships/diagramLayout" Target="diagrams/layout5.xml"/><Relationship Id="rId28" Type="http://schemas.openxmlformats.org/officeDocument/2006/relationships/diagramData" Target="diagrams/data5.xml"/><Relationship Id="rId27" Type="http://schemas.microsoft.com/office/2007/relationships/diagramDrawing" Target="diagrams/drawing4.xml"/><Relationship Id="rId26" Type="http://schemas.openxmlformats.org/officeDocument/2006/relationships/diagramColors" Target="diagrams/colors4.xml"/><Relationship Id="rId25" Type="http://schemas.openxmlformats.org/officeDocument/2006/relationships/diagramQuickStyle" Target="diagrams/quickStyle4.xml"/><Relationship Id="rId24" Type="http://schemas.openxmlformats.org/officeDocument/2006/relationships/diagramLayout" Target="diagrams/layout4.xml"/><Relationship Id="rId23" Type="http://schemas.openxmlformats.org/officeDocument/2006/relationships/diagramData" Target="diagrams/data4.xml"/><Relationship Id="rId22" Type="http://schemas.microsoft.com/office/2007/relationships/diagramDrawing" Target="diagrams/drawing3.xml"/><Relationship Id="rId21" Type="http://schemas.openxmlformats.org/officeDocument/2006/relationships/diagramColors" Target="diagrams/colors3.xml"/><Relationship Id="rId20" Type="http://schemas.openxmlformats.org/officeDocument/2006/relationships/diagramQuickStyle" Target="diagrams/quickStyle3.xml"/><Relationship Id="rId2" Type="http://schemas.openxmlformats.org/officeDocument/2006/relationships/settings" Target="settings.xml"/><Relationship Id="rId19" Type="http://schemas.openxmlformats.org/officeDocument/2006/relationships/diagramLayout" Target="diagrams/layout3.xml"/><Relationship Id="rId18" Type="http://schemas.openxmlformats.org/officeDocument/2006/relationships/diagramData" Target="diagrams/data3.xml"/><Relationship Id="rId17" Type="http://schemas.microsoft.com/office/2007/relationships/diagramDrawing" Target="diagrams/drawing2.xml"/><Relationship Id="rId16" Type="http://schemas.openxmlformats.org/officeDocument/2006/relationships/diagramColors" Target="diagrams/colors2.xml"/><Relationship Id="rId15" Type="http://schemas.openxmlformats.org/officeDocument/2006/relationships/diagramQuickStyle" Target="diagrams/quickStyle2.xml"/><Relationship Id="rId14" Type="http://schemas.openxmlformats.org/officeDocument/2006/relationships/diagramLayout" Target="diagrams/layout2.xml"/><Relationship Id="rId13" Type="http://schemas.openxmlformats.org/officeDocument/2006/relationships/diagramData" Target="diagrams/data2.xml"/><Relationship Id="rId12" Type="http://schemas.microsoft.com/office/2007/relationships/diagramDrawing" Target="diagrams/drawing1.xml"/><Relationship Id="rId11" Type="http://schemas.openxmlformats.org/officeDocument/2006/relationships/diagramColors" Target="diagrams/colors1.xml"/><Relationship Id="rId10" Type="http://schemas.openxmlformats.org/officeDocument/2006/relationships/diagramQuickStyle" Target="diagrams/quickStyle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11CBF4C9-35EC-4B43-89D1-B81481F02B91}" type="doc">
      <dgm:prSet loTypeId="urn:diagrams.loki3.com/VaryingWidthList" loCatId="list" qsTypeId="urn:microsoft.com/office/officeart/2005/8/quickstyle/simple1" qsCatId="simple" csTypeId="urn:microsoft.com/office/officeart/2005/8/colors/colorful1" csCatId="colorful" phldr="1"/>
      <dgm:spPr/>
    </dgm:pt>
    <dgm:pt modelId="{F78DFB15-0382-4DB3-A722-0A2AD7650DA8}">
      <dgm:prSet phldrT="[Text]"/>
      <dgm:spPr/>
      <dgm:t>
        <a:bodyPr/>
        <a:p>
          <a:r>
            <a:rPr lang="en-GB" b="1" u="sng"/>
            <a:t>Ethnocentric Approach</a:t>
          </a:r>
          <a:endParaRPr lang="en-IN"/>
        </a:p>
      </dgm:t>
    </dgm:pt>
    <dgm:pt modelId="{C5CE98C7-DA93-40BC-BB0F-99B620DF1C54}" cxnId="{DA09A579-AAB2-4202-9BE7-A07E13426A3D}" type="parTrans">
      <dgm:prSet/>
      <dgm:spPr/>
    </dgm:pt>
    <dgm:pt modelId="{56371FE8-0288-4F68-96F2-893EF84D5B15}" cxnId="{DA09A579-AAB2-4202-9BE7-A07E13426A3D}" type="sibTrans">
      <dgm:prSet/>
      <dgm:spPr/>
    </dgm:pt>
    <dgm:pt modelId="{2E039734-7ADA-4B9D-9422-278C8DF5FA65}">
      <dgm:prSet phldrT="[Text]"/>
      <dgm:spPr/>
      <dgm:t>
        <a:bodyPr/>
        <a:p>
          <a:r>
            <a:rPr lang="en-GB" b="1" u="sng"/>
            <a:t>Polycentric Approach</a:t>
          </a:r>
          <a:endParaRPr lang="en-IN"/>
        </a:p>
      </dgm:t>
    </dgm:pt>
    <dgm:pt modelId="{2528E357-91B2-4C36-ADB0-77F886BB5E07}" cxnId="{9B8DA1C0-899B-41A5-92AA-FE41D477DE53}" type="parTrans">
      <dgm:prSet/>
      <dgm:spPr/>
    </dgm:pt>
    <dgm:pt modelId="{2FE9FDA6-E928-44AC-9716-5CEA1C440EF8}" cxnId="{9B8DA1C0-899B-41A5-92AA-FE41D477DE53}" type="sibTrans">
      <dgm:prSet/>
      <dgm:spPr/>
    </dgm:pt>
    <dgm:pt modelId="{69962307-EC05-4496-BEFD-904D9D482246}">
      <dgm:prSet phldrT="[Text]"/>
      <dgm:spPr/>
      <dgm:t>
        <a:bodyPr/>
        <a:p>
          <a:r>
            <a:rPr lang="en-GB" b="1" u="sng"/>
            <a:t>Geocentric Approach</a:t>
          </a:r>
          <a:endParaRPr lang="en-IN"/>
        </a:p>
      </dgm:t>
    </dgm:pt>
    <dgm:pt modelId="{4427FBFA-0338-449B-B5F7-92B1EE4F7BA5}" cxnId="{2E01DCAD-F0ED-4103-B10B-22AA3B7E5C7B}" type="parTrans">
      <dgm:prSet/>
      <dgm:spPr/>
    </dgm:pt>
    <dgm:pt modelId="{BE433FD7-8686-4947-BF57-D9D6D2F56C85}" cxnId="{2E01DCAD-F0ED-4103-B10B-22AA3B7E5C7B}" type="sibTrans">
      <dgm:prSet/>
      <dgm:spPr/>
    </dgm:pt>
    <dgm:pt modelId="{AFB67BAF-1F3D-4483-9EC8-5CEC5FEB255F}" type="pres">
      <dgm:prSet presAssocID="{11CBF4C9-35EC-4B43-89D1-B81481F02B91}" presName="Name0" presStyleCnt="0">
        <dgm:presLayoutVars>
          <dgm:resizeHandles/>
        </dgm:presLayoutVars>
      </dgm:prSet>
      <dgm:spPr/>
    </dgm:pt>
    <dgm:pt modelId="{446A5900-ED64-4C74-A7E1-E85320CE74E5}" type="pres">
      <dgm:prSet presAssocID="{F78DFB15-0382-4DB3-A722-0A2AD7650DA8}" presName="text" presStyleLbl="node1" presStyleIdx="0" presStyleCnt="3">
        <dgm:presLayoutVars>
          <dgm:bulletEnabled val="1"/>
        </dgm:presLayoutVars>
      </dgm:prSet>
      <dgm:spPr/>
    </dgm:pt>
    <dgm:pt modelId="{1D2F2A62-D2AF-4348-8D00-BA4E0DC7A7C4}" type="pres">
      <dgm:prSet presAssocID="{56371FE8-0288-4F68-96F2-893EF84D5B15}" presName="space" presStyleCnt="0"/>
      <dgm:spPr/>
    </dgm:pt>
    <dgm:pt modelId="{0CDE99E2-1654-461F-948E-A67135A4DFCC}" type="pres">
      <dgm:prSet presAssocID="{2E039734-7ADA-4B9D-9422-278C8DF5FA65}" presName="text" presStyleLbl="node1" presStyleIdx="1" presStyleCnt="3">
        <dgm:presLayoutVars>
          <dgm:bulletEnabled val="1"/>
        </dgm:presLayoutVars>
      </dgm:prSet>
      <dgm:spPr/>
    </dgm:pt>
    <dgm:pt modelId="{0B017BE5-2456-4656-A41D-479CDD3ABCF6}" type="pres">
      <dgm:prSet presAssocID="{2FE9FDA6-E928-44AC-9716-5CEA1C440EF8}" presName="space" presStyleCnt="0"/>
      <dgm:spPr/>
    </dgm:pt>
    <dgm:pt modelId="{5F2697E9-414A-426F-9011-214FC34323A9}" type="pres">
      <dgm:prSet presAssocID="{69962307-EC05-4496-BEFD-904D9D482246}" presName="text" presStyleLbl="node1" presStyleIdx="2" presStyleCnt="3">
        <dgm:presLayoutVars>
          <dgm:bulletEnabled val="1"/>
        </dgm:presLayoutVars>
      </dgm:prSet>
      <dgm:spPr/>
    </dgm:pt>
  </dgm:ptLst>
  <dgm:cxnLst>
    <dgm:cxn modelId="{E26B156B-A60E-4549-9CA2-4EA8EEF8558A}" type="presOf" srcId="{11CBF4C9-35EC-4B43-89D1-B81481F02B91}" destId="{AFB67BAF-1F3D-4483-9EC8-5CEC5FEB255F}" srcOrd="0" destOrd="0" presId="urn:diagrams.loki3.com/VaryingWidthList"/>
    <dgm:cxn modelId="{DA09A579-AAB2-4202-9BE7-A07E13426A3D}" srcId="{11CBF4C9-35EC-4B43-89D1-B81481F02B91}" destId="{F78DFB15-0382-4DB3-A722-0A2AD7650DA8}" srcOrd="0" destOrd="0" parTransId="{C5CE98C7-DA93-40BC-BB0F-99B620DF1C54}" sibTransId="{56371FE8-0288-4F68-96F2-893EF84D5B15}"/>
    <dgm:cxn modelId="{2E01DCAD-F0ED-4103-B10B-22AA3B7E5C7B}" srcId="{11CBF4C9-35EC-4B43-89D1-B81481F02B91}" destId="{69962307-EC05-4496-BEFD-904D9D482246}" srcOrd="2" destOrd="0" parTransId="{4427FBFA-0338-449B-B5F7-92B1EE4F7BA5}" sibTransId="{BE433FD7-8686-4947-BF57-D9D6D2F56C85}"/>
    <dgm:cxn modelId="{1B95E6B1-4BDB-4345-90EA-FD5943FBEF58}" type="presOf" srcId="{2E039734-7ADA-4B9D-9422-278C8DF5FA65}" destId="{0CDE99E2-1654-461F-948E-A67135A4DFCC}" srcOrd="0" destOrd="0" presId="urn:diagrams.loki3.com/VaryingWidthList"/>
    <dgm:cxn modelId="{9B8DA1C0-899B-41A5-92AA-FE41D477DE53}" srcId="{11CBF4C9-35EC-4B43-89D1-B81481F02B91}" destId="{2E039734-7ADA-4B9D-9422-278C8DF5FA65}" srcOrd="1" destOrd="0" parTransId="{2528E357-91B2-4C36-ADB0-77F886BB5E07}" sibTransId="{2FE9FDA6-E928-44AC-9716-5CEA1C440EF8}"/>
    <dgm:cxn modelId="{ACE810E7-D8D3-40A1-9FA8-3C978013BF03}" type="presOf" srcId="{F78DFB15-0382-4DB3-A722-0A2AD7650DA8}" destId="{446A5900-ED64-4C74-A7E1-E85320CE74E5}" srcOrd="0" destOrd="0" presId="urn:diagrams.loki3.com/VaryingWidthList"/>
    <dgm:cxn modelId="{4D1EBCFF-001B-4249-8647-DD5846A8B8BC}" type="presOf" srcId="{69962307-EC05-4496-BEFD-904D9D482246}" destId="{5F2697E9-414A-426F-9011-214FC34323A9}" srcOrd="0" destOrd="0" presId="urn:diagrams.loki3.com/VaryingWidthList"/>
    <dgm:cxn modelId="{7CB625B4-88FB-47ED-9117-3C8A9067BE5E}" type="presParOf" srcId="{AFB67BAF-1F3D-4483-9EC8-5CEC5FEB255F}" destId="{446A5900-ED64-4C74-A7E1-E85320CE74E5}" srcOrd="0" destOrd="0" presId="urn:diagrams.loki3.com/VaryingWidthList"/>
    <dgm:cxn modelId="{D5E92BD8-BF64-4C01-A115-1E48F479B382}" type="presParOf" srcId="{AFB67BAF-1F3D-4483-9EC8-5CEC5FEB255F}" destId="{1D2F2A62-D2AF-4348-8D00-BA4E0DC7A7C4}" srcOrd="1" destOrd="0" presId="urn:diagrams.loki3.com/VaryingWidthList"/>
    <dgm:cxn modelId="{63663EF1-A514-4C86-B05B-B451F8AFF5F8}" type="presParOf" srcId="{AFB67BAF-1F3D-4483-9EC8-5CEC5FEB255F}" destId="{0CDE99E2-1654-461F-948E-A67135A4DFCC}" srcOrd="2" destOrd="0" presId="urn:diagrams.loki3.com/VaryingWidthList"/>
    <dgm:cxn modelId="{C1166406-A361-492F-8C89-FF2E3B87DA13}" type="presParOf" srcId="{AFB67BAF-1F3D-4483-9EC8-5CEC5FEB255F}" destId="{0B017BE5-2456-4656-A41D-479CDD3ABCF6}" srcOrd="3" destOrd="0" presId="urn:diagrams.loki3.com/VaryingWidthList"/>
    <dgm:cxn modelId="{112D027C-8866-4858-888C-E8B7BCDD1449}" type="presParOf" srcId="{AFB67BAF-1F3D-4483-9EC8-5CEC5FEB255F}" destId="{5F2697E9-414A-426F-9011-214FC34323A9}" srcOrd="4" destOrd="0" presId="urn:diagrams.loki3.com/VaryingWidth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86E7EB8-4F4D-48A3-8C53-B64399021E0C}" type="doc">
      <dgm:prSet loTypeId="urn:microsoft.com/office/officeart/2005/8/layout/matrix3" loCatId="matrix" qsTypeId="urn:microsoft.com/office/officeart/2005/8/quickstyle/simple1" qsCatId="simple" csTypeId="urn:microsoft.com/office/officeart/2005/8/colors/colorful4" csCatId="colorful" phldr="1"/>
      <dgm:spPr/>
      <dgm:t>
        <a:bodyPr/>
        <a:p>
          <a:endParaRPr lang="en-IN"/>
        </a:p>
      </dgm:t>
    </dgm:pt>
    <dgm:pt modelId="{C6ECF10E-ED97-40FC-BFB2-9030369FC9C6}">
      <dgm:prSet phldrT="[Text]"/>
      <dgm:spPr/>
      <dgm:t>
        <a:bodyPr/>
        <a:p>
          <a:r>
            <a:rPr lang="en-GB" b="1" i="1"/>
            <a:t>Product adaption</a:t>
          </a:r>
          <a:endParaRPr lang="en-IN"/>
        </a:p>
      </dgm:t>
    </dgm:pt>
    <dgm:pt modelId="{46B425E6-F843-48F1-AA34-08CC69787335}" cxnId="{D216B3E4-7392-4A34-95AC-37C92B055C41}" type="parTrans">
      <dgm:prSet/>
      <dgm:spPr/>
      <dgm:t>
        <a:bodyPr/>
        <a:p>
          <a:endParaRPr lang="en-IN"/>
        </a:p>
      </dgm:t>
    </dgm:pt>
    <dgm:pt modelId="{B4879205-A8BF-4721-9059-8FC53EB8CBF9}" cxnId="{D216B3E4-7392-4A34-95AC-37C92B055C41}" type="sibTrans">
      <dgm:prSet/>
      <dgm:spPr/>
      <dgm:t>
        <a:bodyPr/>
        <a:p>
          <a:endParaRPr lang="en-IN"/>
        </a:p>
      </dgm:t>
    </dgm:pt>
    <dgm:pt modelId="{F9554FEA-C66A-4528-B517-9F3E4BB4FA3B}">
      <dgm:prSet phldrT="[Text]"/>
      <dgm:spPr/>
      <dgm:t>
        <a:bodyPr/>
        <a:p>
          <a:r>
            <a:rPr lang="en-GB" b="1" i="1"/>
            <a:t>Decision-making Structure</a:t>
          </a:r>
          <a:endParaRPr lang="en-IN"/>
        </a:p>
      </dgm:t>
    </dgm:pt>
    <dgm:pt modelId="{F3EB7FCA-B365-478D-8A55-EDEB9A9DA34C}" cxnId="{266D67C7-32B2-4AC3-8A7A-461100F8AD60}" type="parTrans">
      <dgm:prSet/>
      <dgm:spPr/>
      <dgm:t>
        <a:bodyPr/>
        <a:p>
          <a:endParaRPr lang="en-IN"/>
        </a:p>
      </dgm:t>
    </dgm:pt>
    <dgm:pt modelId="{A48762BD-4A1A-4239-AD9F-908F2D24307D}" cxnId="{266D67C7-32B2-4AC3-8A7A-461100F8AD60}" type="sibTrans">
      <dgm:prSet/>
      <dgm:spPr/>
      <dgm:t>
        <a:bodyPr/>
        <a:p>
          <a:endParaRPr lang="en-IN"/>
        </a:p>
      </dgm:t>
    </dgm:pt>
    <dgm:pt modelId="{1015B578-8B85-437F-8046-05D1FA4E0FF4}">
      <dgm:prSet phldrT="[Text]"/>
      <dgm:spPr/>
      <dgm:t>
        <a:bodyPr/>
        <a:p>
          <a:r>
            <a:rPr lang="en-GB" b="1" i="1"/>
            <a:t>Marketing and Branding</a:t>
          </a:r>
          <a:endParaRPr lang="en-IN"/>
        </a:p>
      </dgm:t>
    </dgm:pt>
    <dgm:pt modelId="{5299C084-C22C-4880-A323-14020722576F}" cxnId="{CB5E9155-FE3C-4818-B9D0-FAB4DCD12918}" type="parTrans">
      <dgm:prSet/>
      <dgm:spPr/>
      <dgm:t>
        <a:bodyPr/>
        <a:p>
          <a:endParaRPr lang="en-IN"/>
        </a:p>
      </dgm:t>
    </dgm:pt>
    <dgm:pt modelId="{E5B58BF1-8B22-469A-AAFF-DC0BB9EFEDE8}" cxnId="{CB5E9155-FE3C-4818-B9D0-FAB4DCD12918}" type="sibTrans">
      <dgm:prSet/>
      <dgm:spPr/>
      <dgm:t>
        <a:bodyPr/>
        <a:p>
          <a:endParaRPr lang="en-IN"/>
        </a:p>
      </dgm:t>
    </dgm:pt>
    <dgm:pt modelId="{CF1AD8AB-E0C3-4CA6-8758-758B84035C00}">
      <dgm:prSet phldrT="[Text]"/>
      <dgm:spPr/>
      <dgm:t>
        <a:bodyPr/>
        <a:p>
          <a:r>
            <a:rPr lang="en-GB" b="1" i="1"/>
            <a:t>Human Resource Management</a:t>
          </a:r>
          <a:endParaRPr lang="en-IN"/>
        </a:p>
      </dgm:t>
    </dgm:pt>
    <dgm:pt modelId="{9694BC2D-56DE-4E06-B407-FD0B76E177A5}" cxnId="{E55268DC-2641-4D89-8F18-B488BBFC6563}" type="parTrans">
      <dgm:prSet/>
      <dgm:spPr/>
      <dgm:t>
        <a:bodyPr/>
        <a:p>
          <a:endParaRPr lang="en-IN"/>
        </a:p>
      </dgm:t>
    </dgm:pt>
    <dgm:pt modelId="{2DBAA1E1-6D8C-4E0E-A91D-7DA7769C48F6}" cxnId="{E55268DC-2641-4D89-8F18-B488BBFC6563}" type="sibTrans">
      <dgm:prSet/>
      <dgm:spPr/>
      <dgm:t>
        <a:bodyPr/>
        <a:p>
          <a:endParaRPr lang="en-IN"/>
        </a:p>
      </dgm:t>
    </dgm:pt>
    <dgm:pt modelId="{94C5C0F9-A8EE-492E-B9B6-2B5D0412D397}" type="pres">
      <dgm:prSet presAssocID="{B86E7EB8-4F4D-48A3-8C53-B64399021E0C}" presName="matrix" presStyleCnt="0">
        <dgm:presLayoutVars>
          <dgm:chMax val="1"/>
          <dgm:dir/>
          <dgm:resizeHandles val="exact"/>
        </dgm:presLayoutVars>
      </dgm:prSet>
      <dgm:spPr/>
    </dgm:pt>
    <dgm:pt modelId="{95EF3454-A4C7-4598-BB56-6D35F98E6240}" type="pres">
      <dgm:prSet presAssocID="{B86E7EB8-4F4D-48A3-8C53-B64399021E0C}" presName="diamond" presStyleLbl="bgShp" presStyleIdx="0" presStyleCnt="1"/>
      <dgm:spPr/>
    </dgm:pt>
    <dgm:pt modelId="{59F59956-8ADC-4E1B-9AAF-5C6A42A530C9}" type="pres">
      <dgm:prSet presAssocID="{B86E7EB8-4F4D-48A3-8C53-B64399021E0C}" presName="quad1" presStyleLbl="node1" presStyleIdx="0" presStyleCnt="4">
        <dgm:presLayoutVars>
          <dgm:chMax val="0"/>
          <dgm:chPref val="0"/>
          <dgm:bulletEnabled val="1"/>
        </dgm:presLayoutVars>
      </dgm:prSet>
      <dgm:spPr/>
    </dgm:pt>
    <dgm:pt modelId="{16B060A7-4C6F-4181-99FC-FD5278CC427D}" type="pres">
      <dgm:prSet presAssocID="{B86E7EB8-4F4D-48A3-8C53-B64399021E0C}" presName="quad2" presStyleLbl="node1" presStyleIdx="1" presStyleCnt="4">
        <dgm:presLayoutVars>
          <dgm:chMax val="0"/>
          <dgm:chPref val="0"/>
          <dgm:bulletEnabled val="1"/>
        </dgm:presLayoutVars>
      </dgm:prSet>
      <dgm:spPr/>
    </dgm:pt>
    <dgm:pt modelId="{181571AB-0570-4487-BAA4-698E0CED4AD0}" type="pres">
      <dgm:prSet presAssocID="{B86E7EB8-4F4D-48A3-8C53-B64399021E0C}" presName="quad3" presStyleLbl="node1" presStyleIdx="2" presStyleCnt="4">
        <dgm:presLayoutVars>
          <dgm:chMax val="0"/>
          <dgm:chPref val="0"/>
          <dgm:bulletEnabled val="1"/>
        </dgm:presLayoutVars>
      </dgm:prSet>
      <dgm:spPr/>
    </dgm:pt>
    <dgm:pt modelId="{376E87ED-628B-4555-A7D3-821798823745}" type="pres">
      <dgm:prSet presAssocID="{B86E7EB8-4F4D-48A3-8C53-B64399021E0C}" presName="quad4" presStyleLbl="node1" presStyleIdx="3" presStyleCnt="4">
        <dgm:presLayoutVars>
          <dgm:chMax val="0"/>
          <dgm:chPref val="0"/>
          <dgm:bulletEnabled val="1"/>
        </dgm:presLayoutVars>
      </dgm:prSet>
      <dgm:spPr/>
    </dgm:pt>
  </dgm:ptLst>
  <dgm:cxnLst>
    <dgm:cxn modelId="{6C0A1639-BED8-4BFE-98C8-5EB6CA843806}" type="presOf" srcId="{B86E7EB8-4F4D-48A3-8C53-B64399021E0C}" destId="{94C5C0F9-A8EE-492E-B9B6-2B5D0412D397}" srcOrd="0" destOrd="0" presId="urn:microsoft.com/office/officeart/2005/8/layout/matrix3"/>
    <dgm:cxn modelId="{3E96B03D-1FEE-4B6C-93FC-D41A2F21E91C}" type="presOf" srcId="{C6ECF10E-ED97-40FC-BFB2-9030369FC9C6}" destId="{59F59956-8ADC-4E1B-9AAF-5C6A42A530C9}" srcOrd="0" destOrd="0" presId="urn:microsoft.com/office/officeart/2005/8/layout/matrix3"/>
    <dgm:cxn modelId="{CB5E9155-FE3C-4818-B9D0-FAB4DCD12918}" srcId="{B86E7EB8-4F4D-48A3-8C53-B64399021E0C}" destId="{1015B578-8B85-437F-8046-05D1FA4E0FF4}" srcOrd="2" destOrd="0" parTransId="{5299C084-C22C-4880-A323-14020722576F}" sibTransId="{E5B58BF1-8B22-469A-AAFF-DC0BB9EFEDE8}"/>
    <dgm:cxn modelId="{77A5C576-49D3-492A-8528-F3CC0DD2DF60}" type="presOf" srcId="{F9554FEA-C66A-4528-B517-9F3E4BB4FA3B}" destId="{16B060A7-4C6F-4181-99FC-FD5278CC427D}" srcOrd="0" destOrd="0" presId="urn:microsoft.com/office/officeart/2005/8/layout/matrix3"/>
    <dgm:cxn modelId="{F84408AC-F79A-438F-97BC-056D425A49A1}" type="presOf" srcId="{CF1AD8AB-E0C3-4CA6-8758-758B84035C00}" destId="{376E87ED-628B-4555-A7D3-821798823745}" srcOrd="0" destOrd="0" presId="urn:microsoft.com/office/officeart/2005/8/layout/matrix3"/>
    <dgm:cxn modelId="{8555E6C0-F878-41A6-B5B7-2295721124A5}" type="presOf" srcId="{1015B578-8B85-437F-8046-05D1FA4E0FF4}" destId="{181571AB-0570-4487-BAA4-698E0CED4AD0}" srcOrd="0" destOrd="0" presId="urn:microsoft.com/office/officeart/2005/8/layout/matrix3"/>
    <dgm:cxn modelId="{266D67C7-32B2-4AC3-8A7A-461100F8AD60}" srcId="{B86E7EB8-4F4D-48A3-8C53-B64399021E0C}" destId="{F9554FEA-C66A-4528-B517-9F3E4BB4FA3B}" srcOrd="1" destOrd="0" parTransId="{F3EB7FCA-B365-478D-8A55-EDEB9A9DA34C}" sibTransId="{A48762BD-4A1A-4239-AD9F-908F2D24307D}"/>
    <dgm:cxn modelId="{E55268DC-2641-4D89-8F18-B488BBFC6563}" srcId="{B86E7EB8-4F4D-48A3-8C53-B64399021E0C}" destId="{CF1AD8AB-E0C3-4CA6-8758-758B84035C00}" srcOrd="3" destOrd="0" parTransId="{9694BC2D-56DE-4E06-B407-FD0B76E177A5}" sibTransId="{2DBAA1E1-6D8C-4E0E-A91D-7DA7769C48F6}"/>
    <dgm:cxn modelId="{D216B3E4-7392-4A34-95AC-37C92B055C41}" srcId="{B86E7EB8-4F4D-48A3-8C53-B64399021E0C}" destId="{C6ECF10E-ED97-40FC-BFB2-9030369FC9C6}" srcOrd="0" destOrd="0" parTransId="{46B425E6-F843-48F1-AA34-08CC69787335}" sibTransId="{B4879205-A8BF-4721-9059-8FC53EB8CBF9}"/>
    <dgm:cxn modelId="{1C5A4789-FD0A-418B-9530-FF27CB4C32F8}" type="presParOf" srcId="{94C5C0F9-A8EE-492E-B9B6-2B5D0412D397}" destId="{95EF3454-A4C7-4598-BB56-6D35F98E6240}" srcOrd="0" destOrd="0" presId="urn:microsoft.com/office/officeart/2005/8/layout/matrix3"/>
    <dgm:cxn modelId="{DDFA719B-B557-448B-BB6A-9FD7626900A9}" type="presParOf" srcId="{94C5C0F9-A8EE-492E-B9B6-2B5D0412D397}" destId="{59F59956-8ADC-4E1B-9AAF-5C6A42A530C9}" srcOrd="1" destOrd="0" presId="urn:microsoft.com/office/officeart/2005/8/layout/matrix3"/>
    <dgm:cxn modelId="{3312B0A3-8865-471A-BB83-D52F83DD7807}" type="presParOf" srcId="{94C5C0F9-A8EE-492E-B9B6-2B5D0412D397}" destId="{16B060A7-4C6F-4181-99FC-FD5278CC427D}" srcOrd="2" destOrd="0" presId="urn:microsoft.com/office/officeart/2005/8/layout/matrix3"/>
    <dgm:cxn modelId="{2B2E3C53-CE60-41A7-B6F4-303436E10670}" type="presParOf" srcId="{94C5C0F9-A8EE-492E-B9B6-2B5D0412D397}" destId="{181571AB-0570-4487-BAA4-698E0CED4AD0}" srcOrd="3" destOrd="0" presId="urn:microsoft.com/office/officeart/2005/8/layout/matrix3"/>
    <dgm:cxn modelId="{5A906B7A-329B-4460-8584-3BD3914274FB}" type="presParOf" srcId="{94C5C0F9-A8EE-492E-B9B6-2B5D0412D397}" destId="{376E87ED-628B-4555-A7D3-821798823745}" srcOrd="4" destOrd="0" presId="urn:microsoft.com/office/officeart/2005/8/layout/matrix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E3FD4CF-35E1-415E-BEA4-EAD04DE252E2}" type="doc">
      <dgm:prSet loTypeId="urn:microsoft.com/office/officeart/2005/8/layout/default" loCatId="list" qsTypeId="urn:microsoft.com/office/officeart/2005/8/quickstyle/simple1" qsCatId="simple" csTypeId="urn:microsoft.com/office/officeart/2005/8/colors/colorful3" csCatId="colorful" phldr="1"/>
      <dgm:spPr/>
      <dgm:t>
        <a:bodyPr/>
        <a:p>
          <a:endParaRPr lang="en-IN"/>
        </a:p>
      </dgm:t>
    </dgm:pt>
    <dgm:pt modelId="{C41DBF5C-0087-4C51-8E82-336A332587B9}">
      <dgm:prSet phldrT="[Text]"/>
      <dgm:spPr/>
      <dgm:t>
        <a:bodyPr/>
        <a:p>
          <a:r>
            <a:rPr lang="en-GB" b="1"/>
            <a:t>Globalisation combined with local adaptation</a:t>
          </a:r>
          <a:endParaRPr lang="en-IN"/>
        </a:p>
      </dgm:t>
    </dgm:pt>
    <dgm:pt modelId="{3AC219BA-F2D5-4AE3-A39A-84DB80A54E1E}" cxnId="{A5EE2A22-85FB-4CBB-9F5D-65B0C9051BE8}" type="parTrans">
      <dgm:prSet/>
      <dgm:spPr/>
      <dgm:t>
        <a:bodyPr/>
        <a:p>
          <a:endParaRPr lang="en-IN"/>
        </a:p>
      </dgm:t>
    </dgm:pt>
    <dgm:pt modelId="{5CB52C93-2F90-4EC3-AB41-4A5F81E54A8A}" cxnId="{A5EE2A22-85FB-4CBB-9F5D-65B0C9051BE8}" type="sibTrans">
      <dgm:prSet/>
      <dgm:spPr/>
      <dgm:t>
        <a:bodyPr/>
        <a:p>
          <a:endParaRPr lang="en-IN"/>
        </a:p>
      </dgm:t>
    </dgm:pt>
    <dgm:pt modelId="{F4324A2E-92DD-4A2A-B1A1-2B1D8C9B8BD9}">
      <dgm:prSet phldrT="[Text]"/>
      <dgm:spPr/>
      <dgm:t>
        <a:bodyPr/>
        <a:p>
          <a:r>
            <a:rPr lang="en-GB" b="1"/>
            <a:t>Coordination and decision-making that is effective</a:t>
          </a:r>
          <a:endParaRPr lang="en-IN"/>
        </a:p>
      </dgm:t>
    </dgm:pt>
    <dgm:pt modelId="{A59DA997-ACED-4BED-92F6-DE9646BD4786}" cxnId="{963AFD91-0FB3-41CD-87A1-7EFA638C8BF2}" type="parTrans">
      <dgm:prSet/>
      <dgm:spPr/>
      <dgm:t>
        <a:bodyPr/>
        <a:p>
          <a:endParaRPr lang="en-IN"/>
        </a:p>
      </dgm:t>
    </dgm:pt>
    <dgm:pt modelId="{8DCA8E91-8D29-437E-8439-88828E5A8539}" cxnId="{963AFD91-0FB3-41CD-87A1-7EFA638C8BF2}" type="sibTrans">
      <dgm:prSet/>
      <dgm:spPr/>
      <dgm:t>
        <a:bodyPr/>
        <a:p>
          <a:endParaRPr lang="en-IN"/>
        </a:p>
      </dgm:t>
    </dgm:pt>
    <dgm:pt modelId="{A72131B7-A208-48C2-9934-F48C66BD6E6D}">
      <dgm:prSet phldrT="[Text]"/>
      <dgm:spPr/>
      <dgm:t>
        <a:bodyPr/>
        <a:p>
          <a:r>
            <a:rPr lang="en-GB" b="1"/>
            <a:t>Adaptability to Local Market Circumstances</a:t>
          </a:r>
          <a:endParaRPr lang="en-IN"/>
        </a:p>
      </dgm:t>
    </dgm:pt>
    <dgm:pt modelId="{19777FBF-A4D9-49C0-85B0-95CF950C0294}" cxnId="{B7B4301B-EF98-4892-9320-EED1AB5C12DB}" type="parTrans">
      <dgm:prSet/>
      <dgm:spPr/>
      <dgm:t>
        <a:bodyPr/>
        <a:p>
          <a:endParaRPr lang="en-IN"/>
        </a:p>
      </dgm:t>
    </dgm:pt>
    <dgm:pt modelId="{3CB6B200-25FB-43E0-85AB-71C5CCB970D2}" cxnId="{B7B4301B-EF98-4892-9320-EED1AB5C12DB}" type="sibTrans">
      <dgm:prSet/>
      <dgm:spPr/>
      <dgm:t>
        <a:bodyPr/>
        <a:p>
          <a:endParaRPr lang="en-IN"/>
        </a:p>
      </dgm:t>
    </dgm:pt>
    <dgm:pt modelId="{CC774D8A-2101-4C63-81A6-EC949FB5F9D0}">
      <dgm:prSet phldrT="[Text]"/>
      <dgm:spPr/>
      <dgm:t>
        <a:bodyPr/>
        <a:p>
          <a:r>
            <a:rPr lang="en-GB" b="1"/>
            <a:t>Workforce Diversity for Innovation</a:t>
          </a:r>
          <a:endParaRPr lang="en-IN"/>
        </a:p>
      </dgm:t>
    </dgm:pt>
    <dgm:pt modelId="{5D8C1B08-8FC4-4E39-A6E3-C1AA8273FB92}" cxnId="{FCA68079-D76D-4B12-94C9-B22075791E4C}" type="parTrans">
      <dgm:prSet/>
      <dgm:spPr/>
      <dgm:t>
        <a:bodyPr/>
        <a:p>
          <a:endParaRPr lang="en-IN"/>
        </a:p>
      </dgm:t>
    </dgm:pt>
    <dgm:pt modelId="{7EB7498F-E966-43A8-B754-F17C1A99D4F3}" cxnId="{FCA68079-D76D-4B12-94C9-B22075791E4C}" type="sibTrans">
      <dgm:prSet/>
      <dgm:spPr/>
      <dgm:t>
        <a:bodyPr/>
        <a:p>
          <a:endParaRPr lang="en-IN"/>
        </a:p>
      </dgm:t>
    </dgm:pt>
    <dgm:pt modelId="{5101985D-0B67-41E0-99A8-4385528E7CC2}">
      <dgm:prSet phldrT="[Text]"/>
      <dgm:spPr/>
      <dgm:t>
        <a:bodyPr/>
        <a:p>
          <a:r>
            <a:rPr lang="en-GB" b="1"/>
            <a:t>Compliance with regulations and responsiveness</a:t>
          </a:r>
          <a:endParaRPr lang="en-IN"/>
        </a:p>
      </dgm:t>
    </dgm:pt>
    <dgm:pt modelId="{F3580F25-DC44-4C6E-8B7F-38DF9DF95546}" cxnId="{7D75C63D-7FD8-4E4E-962C-59B7636136A3}" type="parTrans">
      <dgm:prSet/>
      <dgm:spPr/>
      <dgm:t>
        <a:bodyPr/>
        <a:p>
          <a:endParaRPr lang="en-IN"/>
        </a:p>
      </dgm:t>
    </dgm:pt>
    <dgm:pt modelId="{BB1572EF-8D7C-40E4-9100-42E47B69D84E}" cxnId="{7D75C63D-7FD8-4E4E-962C-59B7636136A3}" type="sibTrans">
      <dgm:prSet/>
      <dgm:spPr/>
      <dgm:t>
        <a:bodyPr/>
        <a:p>
          <a:endParaRPr lang="en-IN"/>
        </a:p>
      </dgm:t>
    </dgm:pt>
    <dgm:pt modelId="{2C36991F-B327-4021-A3F7-2BAA90FEE067}" type="pres">
      <dgm:prSet presAssocID="{9E3FD4CF-35E1-415E-BEA4-EAD04DE252E2}" presName="diagram" presStyleCnt="0">
        <dgm:presLayoutVars>
          <dgm:dir/>
          <dgm:resizeHandles val="exact"/>
        </dgm:presLayoutVars>
      </dgm:prSet>
      <dgm:spPr/>
    </dgm:pt>
    <dgm:pt modelId="{39815AD4-5E4C-4982-8B9E-D4FDDEE5F82C}" type="pres">
      <dgm:prSet presAssocID="{C41DBF5C-0087-4C51-8E82-336A332587B9}" presName="node" presStyleLbl="node1" presStyleIdx="0" presStyleCnt="5">
        <dgm:presLayoutVars>
          <dgm:bulletEnabled val="1"/>
        </dgm:presLayoutVars>
      </dgm:prSet>
      <dgm:spPr/>
    </dgm:pt>
    <dgm:pt modelId="{55FA29D7-EFEB-47FB-B7F3-300C522C51DE}" type="pres">
      <dgm:prSet presAssocID="{5CB52C93-2F90-4EC3-AB41-4A5F81E54A8A}" presName="sibTrans" presStyleCnt="0"/>
      <dgm:spPr/>
    </dgm:pt>
    <dgm:pt modelId="{F077328D-68D6-4339-933C-0BDBFC53058F}" type="pres">
      <dgm:prSet presAssocID="{F4324A2E-92DD-4A2A-B1A1-2B1D8C9B8BD9}" presName="node" presStyleLbl="node1" presStyleIdx="1" presStyleCnt="5">
        <dgm:presLayoutVars>
          <dgm:bulletEnabled val="1"/>
        </dgm:presLayoutVars>
      </dgm:prSet>
      <dgm:spPr/>
    </dgm:pt>
    <dgm:pt modelId="{DB7A0239-2E59-42B1-96DF-B73A74017B16}" type="pres">
      <dgm:prSet presAssocID="{8DCA8E91-8D29-437E-8439-88828E5A8539}" presName="sibTrans" presStyleCnt="0"/>
      <dgm:spPr/>
    </dgm:pt>
    <dgm:pt modelId="{999D3E06-1C4F-492D-90F2-71228D92294D}" type="pres">
      <dgm:prSet presAssocID="{A72131B7-A208-48C2-9934-F48C66BD6E6D}" presName="node" presStyleLbl="node1" presStyleIdx="2" presStyleCnt="5">
        <dgm:presLayoutVars>
          <dgm:bulletEnabled val="1"/>
        </dgm:presLayoutVars>
      </dgm:prSet>
      <dgm:spPr/>
    </dgm:pt>
    <dgm:pt modelId="{CC4189AB-7537-4CE6-8EFD-E8DD54039403}" type="pres">
      <dgm:prSet presAssocID="{3CB6B200-25FB-43E0-85AB-71C5CCB970D2}" presName="sibTrans" presStyleCnt="0"/>
      <dgm:spPr/>
    </dgm:pt>
    <dgm:pt modelId="{1BB1A9D6-EB5D-4F3C-80C2-5A2E0833691A}" type="pres">
      <dgm:prSet presAssocID="{CC774D8A-2101-4C63-81A6-EC949FB5F9D0}" presName="node" presStyleLbl="node1" presStyleIdx="3" presStyleCnt="5">
        <dgm:presLayoutVars>
          <dgm:bulletEnabled val="1"/>
        </dgm:presLayoutVars>
      </dgm:prSet>
      <dgm:spPr/>
    </dgm:pt>
    <dgm:pt modelId="{D39F208B-5A2A-45A5-B045-B6591587C7BE}" type="pres">
      <dgm:prSet presAssocID="{7EB7498F-E966-43A8-B754-F17C1A99D4F3}" presName="sibTrans" presStyleCnt="0"/>
      <dgm:spPr/>
    </dgm:pt>
    <dgm:pt modelId="{A7F09979-465D-4E40-8016-778870F135B4}" type="pres">
      <dgm:prSet presAssocID="{5101985D-0B67-41E0-99A8-4385528E7CC2}" presName="node" presStyleLbl="node1" presStyleIdx="4" presStyleCnt="5">
        <dgm:presLayoutVars>
          <dgm:bulletEnabled val="1"/>
        </dgm:presLayoutVars>
      </dgm:prSet>
      <dgm:spPr/>
    </dgm:pt>
  </dgm:ptLst>
  <dgm:cxnLst>
    <dgm:cxn modelId="{73AB4717-78DE-4153-9D51-A0366FFC2779}" type="presOf" srcId="{9E3FD4CF-35E1-415E-BEA4-EAD04DE252E2}" destId="{2C36991F-B327-4021-A3F7-2BAA90FEE067}" srcOrd="0" destOrd="0" presId="urn:microsoft.com/office/officeart/2005/8/layout/default"/>
    <dgm:cxn modelId="{B7B4301B-EF98-4892-9320-EED1AB5C12DB}" srcId="{9E3FD4CF-35E1-415E-BEA4-EAD04DE252E2}" destId="{A72131B7-A208-48C2-9934-F48C66BD6E6D}" srcOrd="2" destOrd="0" parTransId="{19777FBF-A4D9-49C0-85B0-95CF950C0294}" sibTransId="{3CB6B200-25FB-43E0-85AB-71C5CCB970D2}"/>
    <dgm:cxn modelId="{A5EE2A22-85FB-4CBB-9F5D-65B0C9051BE8}" srcId="{9E3FD4CF-35E1-415E-BEA4-EAD04DE252E2}" destId="{C41DBF5C-0087-4C51-8E82-336A332587B9}" srcOrd="0" destOrd="0" parTransId="{3AC219BA-F2D5-4AE3-A39A-84DB80A54E1E}" sibTransId="{5CB52C93-2F90-4EC3-AB41-4A5F81E54A8A}"/>
    <dgm:cxn modelId="{85391923-DFFC-45D9-8E8C-7FB1F0FC1CF3}" type="presOf" srcId="{C41DBF5C-0087-4C51-8E82-336A332587B9}" destId="{39815AD4-5E4C-4982-8B9E-D4FDDEE5F82C}" srcOrd="0" destOrd="0" presId="urn:microsoft.com/office/officeart/2005/8/layout/default"/>
    <dgm:cxn modelId="{A7E37731-B3F4-4A9E-BEF2-D13219C5E064}" type="presOf" srcId="{F4324A2E-92DD-4A2A-B1A1-2B1D8C9B8BD9}" destId="{F077328D-68D6-4339-933C-0BDBFC53058F}" srcOrd="0" destOrd="0" presId="urn:microsoft.com/office/officeart/2005/8/layout/default"/>
    <dgm:cxn modelId="{F35F3734-A994-4EF6-990E-8B042B8A9BD0}" type="presOf" srcId="{CC774D8A-2101-4C63-81A6-EC949FB5F9D0}" destId="{1BB1A9D6-EB5D-4F3C-80C2-5A2E0833691A}" srcOrd="0" destOrd="0" presId="urn:microsoft.com/office/officeart/2005/8/layout/default"/>
    <dgm:cxn modelId="{7D75C63D-7FD8-4E4E-962C-59B7636136A3}" srcId="{9E3FD4CF-35E1-415E-BEA4-EAD04DE252E2}" destId="{5101985D-0B67-41E0-99A8-4385528E7CC2}" srcOrd="4" destOrd="0" parTransId="{F3580F25-DC44-4C6E-8B7F-38DF9DF95546}" sibTransId="{BB1572EF-8D7C-40E4-9100-42E47B69D84E}"/>
    <dgm:cxn modelId="{7C14E957-2A1C-4699-8EC5-02A91E88DFC3}" type="presOf" srcId="{A72131B7-A208-48C2-9934-F48C66BD6E6D}" destId="{999D3E06-1C4F-492D-90F2-71228D92294D}" srcOrd="0" destOrd="0" presId="urn:microsoft.com/office/officeart/2005/8/layout/default"/>
    <dgm:cxn modelId="{FCA68079-D76D-4B12-94C9-B22075791E4C}" srcId="{9E3FD4CF-35E1-415E-BEA4-EAD04DE252E2}" destId="{CC774D8A-2101-4C63-81A6-EC949FB5F9D0}" srcOrd="3" destOrd="0" parTransId="{5D8C1B08-8FC4-4E39-A6E3-C1AA8273FB92}" sibTransId="{7EB7498F-E966-43A8-B754-F17C1A99D4F3}"/>
    <dgm:cxn modelId="{963AFD91-0FB3-41CD-87A1-7EFA638C8BF2}" srcId="{9E3FD4CF-35E1-415E-BEA4-EAD04DE252E2}" destId="{F4324A2E-92DD-4A2A-B1A1-2B1D8C9B8BD9}" srcOrd="1" destOrd="0" parTransId="{A59DA997-ACED-4BED-92F6-DE9646BD4786}" sibTransId="{8DCA8E91-8D29-437E-8439-88828E5A8539}"/>
    <dgm:cxn modelId="{885BEEC5-E628-47A9-B415-E9C8F526FE35}" type="presOf" srcId="{5101985D-0B67-41E0-99A8-4385528E7CC2}" destId="{A7F09979-465D-4E40-8016-778870F135B4}" srcOrd="0" destOrd="0" presId="urn:microsoft.com/office/officeart/2005/8/layout/default"/>
    <dgm:cxn modelId="{B5F90E56-2E75-4D3E-AF11-527020D5E130}" type="presParOf" srcId="{2C36991F-B327-4021-A3F7-2BAA90FEE067}" destId="{39815AD4-5E4C-4982-8B9E-D4FDDEE5F82C}" srcOrd="0" destOrd="0" presId="urn:microsoft.com/office/officeart/2005/8/layout/default"/>
    <dgm:cxn modelId="{BBB01392-71D0-4CAD-ABB2-EBFCB9AB267C}" type="presParOf" srcId="{2C36991F-B327-4021-A3F7-2BAA90FEE067}" destId="{55FA29D7-EFEB-47FB-B7F3-300C522C51DE}" srcOrd="1" destOrd="0" presId="urn:microsoft.com/office/officeart/2005/8/layout/default"/>
    <dgm:cxn modelId="{F91FC107-40F2-4706-A85E-90294CFB83BA}" type="presParOf" srcId="{2C36991F-B327-4021-A3F7-2BAA90FEE067}" destId="{F077328D-68D6-4339-933C-0BDBFC53058F}" srcOrd="2" destOrd="0" presId="urn:microsoft.com/office/officeart/2005/8/layout/default"/>
    <dgm:cxn modelId="{7CEB6845-B2C9-42C8-B1AE-E0F3021CCEA2}" type="presParOf" srcId="{2C36991F-B327-4021-A3F7-2BAA90FEE067}" destId="{DB7A0239-2E59-42B1-96DF-B73A74017B16}" srcOrd="3" destOrd="0" presId="urn:microsoft.com/office/officeart/2005/8/layout/default"/>
    <dgm:cxn modelId="{D397EBE6-2EBD-4E91-8775-F6FC9143A914}" type="presParOf" srcId="{2C36991F-B327-4021-A3F7-2BAA90FEE067}" destId="{999D3E06-1C4F-492D-90F2-71228D92294D}" srcOrd="4" destOrd="0" presId="urn:microsoft.com/office/officeart/2005/8/layout/default"/>
    <dgm:cxn modelId="{8E7157EF-B043-4368-9CB0-F2A8818D56F9}" type="presParOf" srcId="{2C36991F-B327-4021-A3F7-2BAA90FEE067}" destId="{CC4189AB-7537-4CE6-8EFD-E8DD54039403}" srcOrd="5" destOrd="0" presId="urn:microsoft.com/office/officeart/2005/8/layout/default"/>
    <dgm:cxn modelId="{09599BC4-01F8-4222-865F-83B629808FD8}" type="presParOf" srcId="{2C36991F-B327-4021-A3F7-2BAA90FEE067}" destId="{1BB1A9D6-EB5D-4F3C-80C2-5A2E0833691A}" srcOrd="6" destOrd="0" presId="urn:microsoft.com/office/officeart/2005/8/layout/default"/>
    <dgm:cxn modelId="{CB391689-DBF6-4CAA-845F-EFABE4958BE1}" type="presParOf" srcId="{2C36991F-B327-4021-A3F7-2BAA90FEE067}" destId="{D39F208B-5A2A-45A5-B045-B6591587C7BE}" srcOrd="7" destOrd="0" presId="urn:microsoft.com/office/officeart/2005/8/layout/default"/>
    <dgm:cxn modelId="{BBA9F82F-8F2C-47F3-8ED2-E2E5BF303431}" type="presParOf" srcId="{2C36991F-B327-4021-A3F7-2BAA90FEE067}" destId="{A7F09979-465D-4E40-8016-778870F135B4}" srcOrd="8"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1CF643C-C639-4256-9D70-64E82C263CB3}" type="doc">
      <dgm:prSet loTypeId="urn:microsoft.com/office/officeart/2008/layout/AlternatingHexagons" loCatId="list" qsTypeId="urn:microsoft.com/office/officeart/2005/8/quickstyle/simple1" qsCatId="simple" csTypeId="urn:microsoft.com/office/officeart/2005/8/colors/accent2_4" csCatId="accent2" phldr="1"/>
      <dgm:spPr/>
      <dgm:t>
        <a:bodyPr/>
        <a:p>
          <a:endParaRPr lang="en-IN"/>
        </a:p>
      </dgm:t>
    </dgm:pt>
    <dgm:pt modelId="{0F243B7F-E4C3-4912-8FA6-08D3A27AAA43}">
      <dgm:prSet phldrT="[Text]"/>
      <dgm:spPr/>
      <dgm:t>
        <a:bodyPr/>
        <a:p>
          <a:r>
            <a:rPr lang="en-GB" b="1" i="1"/>
            <a:t>Political Aspects and Geocentric Alignment</a:t>
          </a:r>
          <a:endParaRPr lang="en-IN"/>
        </a:p>
      </dgm:t>
    </dgm:pt>
    <dgm:pt modelId="{74472C66-A80E-4F2A-9F17-FB1989CED4EE}" cxnId="{CEA72C70-35A3-47B9-A167-01E756912E6C}" type="parTrans">
      <dgm:prSet/>
      <dgm:spPr/>
      <dgm:t>
        <a:bodyPr/>
        <a:p>
          <a:endParaRPr lang="en-IN"/>
        </a:p>
      </dgm:t>
    </dgm:pt>
    <dgm:pt modelId="{085BA902-ACFA-43E6-8BCC-8CA92CDBA48A}" cxnId="{CEA72C70-35A3-47B9-A167-01E756912E6C}" type="sibTrans">
      <dgm:prSet/>
      <dgm:spPr/>
      <dgm:t>
        <a:bodyPr/>
        <a:p>
          <a:endParaRPr lang="en-IN"/>
        </a:p>
      </dgm:t>
    </dgm:pt>
    <dgm:pt modelId="{04643340-4BD0-4D64-916E-B41D0270C186}">
      <dgm:prSet phldrT="[Text]"/>
      <dgm:spPr/>
      <dgm:t>
        <a:bodyPr/>
        <a:p>
          <a:r>
            <a:rPr lang="en-GB" b="1" i="1"/>
            <a:t>Economic Aspects and Geocentric Alignment</a:t>
          </a:r>
          <a:endParaRPr lang="en-IN"/>
        </a:p>
      </dgm:t>
    </dgm:pt>
    <dgm:pt modelId="{57FB9BAD-26BE-49B1-A31E-51F4DFA4528C}" cxnId="{E06500C3-75CB-490A-850C-4DB8EE68462F}" type="parTrans">
      <dgm:prSet/>
      <dgm:spPr/>
      <dgm:t>
        <a:bodyPr/>
        <a:p>
          <a:endParaRPr lang="en-IN"/>
        </a:p>
      </dgm:t>
    </dgm:pt>
    <dgm:pt modelId="{16F870EC-322F-4C29-B023-98C9904F917D}" cxnId="{E06500C3-75CB-490A-850C-4DB8EE68462F}" type="sibTrans">
      <dgm:prSet/>
      <dgm:spPr/>
      <dgm:t>
        <a:bodyPr/>
        <a:p>
          <a:endParaRPr lang="en-IN"/>
        </a:p>
      </dgm:t>
    </dgm:pt>
    <dgm:pt modelId="{6EF9A712-B3FA-4ED7-BC0A-60F16B26833F}">
      <dgm:prSet phldrT="[Text]"/>
      <dgm:spPr/>
      <dgm:t>
        <a:bodyPr/>
        <a:p>
          <a:r>
            <a:rPr lang="en-GB" b="1">
              <a:solidFill>
                <a:schemeClr val="tx1"/>
              </a:solidFill>
            </a:rPr>
            <a:t>Technological Aspects and Geocentric Approach</a:t>
          </a:r>
          <a:endParaRPr lang="en-IN">
            <a:solidFill>
              <a:schemeClr val="tx1"/>
            </a:solidFill>
          </a:endParaRPr>
        </a:p>
      </dgm:t>
    </dgm:pt>
    <dgm:pt modelId="{402C04F5-D7DA-4035-BA29-0F6EB849CFBB}" cxnId="{FC484593-81DC-4840-BA69-8AC76AAA0AC7}" type="parTrans">
      <dgm:prSet/>
      <dgm:spPr/>
      <dgm:t>
        <a:bodyPr/>
        <a:p>
          <a:endParaRPr lang="en-IN"/>
        </a:p>
      </dgm:t>
    </dgm:pt>
    <dgm:pt modelId="{09D025F1-6806-4D59-9D93-8D3EC002D23A}" cxnId="{FC484593-81DC-4840-BA69-8AC76AAA0AC7}" type="sibTrans">
      <dgm:prSet/>
      <dgm:spPr/>
      <dgm:t>
        <a:bodyPr/>
        <a:p>
          <a:endParaRPr lang="en-IN"/>
        </a:p>
      </dgm:t>
    </dgm:pt>
    <dgm:pt modelId="{7D66DBF1-1654-4ACF-94CE-090F0B3DA514}">
      <dgm:prSet phldrT="[Text]"/>
      <dgm:spPr/>
      <dgm:t>
        <a:bodyPr/>
        <a:p>
          <a:r>
            <a:rPr lang="en-GB" b="1" i="1"/>
            <a:t>Environmental Aspects and Geocentric Alignment</a:t>
          </a:r>
          <a:endParaRPr lang="en-IN"/>
        </a:p>
      </dgm:t>
    </dgm:pt>
    <dgm:pt modelId="{DDE79742-F20D-4659-9739-9CFC3EAEB226}" cxnId="{49EA4972-F3AB-425E-BFCD-DA6A3EDB3C63}" type="parTrans">
      <dgm:prSet/>
      <dgm:spPr/>
      <dgm:t>
        <a:bodyPr/>
        <a:p>
          <a:endParaRPr lang="en-IN"/>
        </a:p>
      </dgm:t>
    </dgm:pt>
    <dgm:pt modelId="{B087936F-0391-48F8-968E-0F4EEC697F7D}" cxnId="{49EA4972-F3AB-425E-BFCD-DA6A3EDB3C63}" type="sibTrans">
      <dgm:prSet/>
      <dgm:spPr/>
      <dgm:t>
        <a:bodyPr/>
        <a:p>
          <a:endParaRPr lang="en-IN"/>
        </a:p>
      </dgm:t>
    </dgm:pt>
    <dgm:pt modelId="{D3A9BEC3-C221-4AC8-9CC5-771B8EEB9D51}">
      <dgm:prSet phldrT="[Text]"/>
      <dgm:spPr/>
      <dgm:t>
        <a:bodyPr/>
        <a:p>
          <a:r>
            <a:rPr lang="en-GB" b="1" i="1">
              <a:solidFill>
                <a:schemeClr val="tx1"/>
              </a:solidFill>
            </a:rPr>
            <a:t>Social Aspects and Geocentric Alignment</a:t>
          </a:r>
          <a:endParaRPr lang="en-IN">
            <a:solidFill>
              <a:schemeClr val="tx1"/>
            </a:solidFill>
          </a:endParaRPr>
        </a:p>
      </dgm:t>
    </dgm:pt>
    <dgm:pt modelId="{8069988E-9D71-4585-85D0-D06A96E34DBB}" cxnId="{5016421C-F944-432C-9F7B-2139ED10BF54}" type="parTrans">
      <dgm:prSet/>
      <dgm:spPr/>
      <dgm:t>
        <a:bodyPr/>
        <a:p>
          <a:endParaRPr lang="en-IN"/>
        </a:p>
      </dgm:t>
    </dgm:pt>
    <dgm:pt modelId="{E16AD1E4-4B63-4720-B939-181E5A46DA14}" cxnId="{5016421C-F944-432C-9F7B-2139ED10BF54}" type="sibTrans">
      <dgm:prSet/>
      <dgm:spPr/>
      <dgm:t>
        <a:bodyPr/>
        <a:p>
          <a:endParaRPr lang="en-IN"/>
        </a:p>
      </dgm:t>
    </dgm:pt>
    <dgm:pt modelId="{6E70C48A-A51F-461B-B1EB-608BC33CC367}">
      <dgm:prSet phldrT="[Text]"/>
      <dgm:spPr/>
      <dgm:t>
        <a:bodyPr/>
        <a:p>
          <a:r>
            <a:rPr lang="en-GB" b="1" i="1"/>
            <a:t>Legal Considerations and Geocentric Alignment</a:t>
          </a:r>
          <a:endParaRPr lang="en-IN"/>
        </a:p>
      </dgm:t>
    </dgm:pt>
    <dgm:pt modelId="{16DDDB51-7345-4DA6-B333-341DE54FB6B1}" cxnId="{ABF8AF21-D07A-491A-8A98-E30C4F2F56ED}" type="parTrans">
      <dgm:prSet/>
      <dgm:spPr/>
      <dgm:t>
        <a:bodyPr/>
        <a:p>
          <a:endParaRPr lang="en-IN"/>
        </a:p>
      </dgm:t>
    </dgm:pt>
    <dgm:pt modelId="{8DA1533B-D8E2-4AA4-9AB0-D951C78E03A2}" cxnId="{ABF8AF21-D07A-491A-8A98-E30C4F2F56ED}" type="sibTrans">
      <dgm:prSet/>
      <dgm:spPr/>
      <dgm:t>
        <a:bodyPr/>
        <a:p>
          <a:endParaRPr lang="en-IN"/>
        </a:p>
      </dgm:t>
    </dgm:pt>
    <dgm:pt modelId="{DF0576C7-2965-45D1-AA85-5956B238EB14}" type="pres">
      <dgm:prSet presAssocID="{F1CF643C-C639-4256-9D70-64E82C263CB3}" presName="Name0" presStyleCnt="0">
        <dgm:presLayoutVars>
          <dgm:chMax/>
          <dgm:chPref/>
          <dgm:dir/>
          <dgm:animLvl val="lvl"/>
        </dgm:presLayoutVars>
      </dgm:prSet>
      <dgm:spPr/>
    </dgm:pt>
    <dgm:pt modelId="{942CD3AE-2543-4711-8FA8-CC6EE7C52001}" type="pres">
      <dgm:prSet presAssocID="{0F243B7F-E4C3-4912-8FA6-08D3A27AAA43}" presName="composite" presStyleCnt="0"/>
      <dgm:spPr/>
    </dgm:pt>
    <dgm:pt modelId="{3A9F3ED6-6D1B-4095-AB14-A1CDDE3458CA}" type="pres">
      <dgm:prSet presAssocID="{0F243B7F-E4C3-4912-8FA6-08D3A27AAA43}" presName="Parent1" presStyleLbl="node1" presStyleIdx="0" presStyleCnt="6">
        <dgm:presLayoutVars>
          <dgm:chMax val="1"/>
          <dgm:chPref val="1"/>
          <dgm:bulletEnabled val="1"/>
        </dgm:presLayoutVars>
      </dgm:prSet>
      <dgm:spPr/>
    </dgm:pt>
    <dgm:pt modelId="{23FDE782-838A-41C6-A065-BC63FBB2A2C4}" type="pres">
      <dgm:prSet presAssocID="{0F243B7F-E4C3-4912-8FA6-08D3A27AAA43}" presName="Childtext1" presStyleLbl="revTx" presStyleIdx="0" presStyleCnt="3">
        <dgm:presLayoutVars>
          <dgm:chMax val="0"/>
          <dgm:chPref val="0"/>
          <dgm:bulletEnabled val="1"/>
        </dgm:presLayoutVars>
      </dgm:prSet>
      <dgm:spPr/>
    </dgm:pt>
    <dgm:pt modelId="{8BCCB610-8238-49F4-8026-ECFD566302DB}" type="pres">
      <dgm:prSet presAssocID="{0F243B7F-E4C3-4912-8FA6-08D3A27AAA43}" presName="BalanceSpacing" presStyleCnt="0"/>
      <dgm:spPr/>
    </dgm:pt>
    <dgm:pt modelId="{B231A2E0-C826-45E7-A87A-5230DBFA94D0}" type="pres">
      <dgm:prSet presAssocID="{0F243B7F-E4C3-4912-8FA6-08D3A27AAA43}" presName="BalanceSpacing1" presStyleCnt="0"/>
      <dgm:spPr/>
    </dgm:pt>
    <dgm:pt modelId="{60BD4875-DCB3-4F27-B8D9-A74B68BD6D14}" type="pres">
      <dgm:prSet presAssocID="{085BA902-ACFA-43E6-8BCC-8CA92CDBA48A}" presName="Accent1Text" presStyleLbl="node1" presStyleIdx="1" presStyleCnt="6"/>
      <dgm:spPr/>
    </dgm:pt>
    <dgm:pt modelId="{D03C2189-8235-4520-9AB9-0BA666A9C61E}" type="pres">
      <dgm:prSet presAssocID="{085BA902-ACFA-43E6-8BCC-8CA92CDBA48A}" presName="spaceBetweenRectangles" presStyleCnt="0"/>
      <dgm:spPr/>
    </dgm:pt>
    <dgm:pt modelId="{1B7AC210-870D-468F-9C5F-BB787A966A09}" type="pres">
      <dgm:prSet presAssocID="{6EF9A712-B3FA-4ED7-BC0A-60F16B26833F}" presName="composite" presStyleCnt="0"/>
      <dgm:spPr/>
    </dgm:pt>
    <dgm:pt modelId="{48BF623B-F1B0-4C9C-9A5D-4FA66D026081}" type="pres">
      <dgm:prSet presAssocID="{6EF9A712-B3FA-4ED7-BC0A-60F16B26833F}" presName="Parent1" presStyleLbl="node1" presStyleIdx="2" presStyleCnt="6">
        <dgm:presLayoutVars>
          <dgm:chMax val="1"/>
          <dgm:chPref val="1"/>
          <dgm:bulletEnabled val="1"/>
        </dgm:presLayoutVars>
      </dgm:prSet>
      <dgm:spPr/>
    </dgm:pt>
    <dgm:pt modelId="{EDF1F87D-6D1D-461F-B279-52692173155C}" type="pres">
      <dgm:prSet presAssocID="{6EF9A712-B3FA-4ED7-BC0A-60F16B26833F}" presName="Childtext1" presStyleLbl="revTx" presStyleIdx="1" presStyleCnt="3">
        <dgm:presLayoutVars>
          <dgm:chMax val="0"/>
          <dgm:chPref val="0"/>
          <dgm:bulletEnabled val="1"/>
        </dgm:presLayoutVars>
      </dgm:prSet>
      <dgm:spPr/>
    </dgm:pt>
    <dgm:pt modelId="{A65C023B-7DE1-4CA4-BF83-9A657E03EE07}" type="pres">
      <dgm:prSet presAssocID="{6EF9A712-B3FA-4ED7-BC0A-60F16B26833F}" presName="BalanceSpacing" presStyleCnt="0"/>
      <dgm:spPr/>
    </dgm:pt>
    <dgm:pt modelId="{F6E4F0E8-1E53-41A0-8EA8-2CCA457939EF}" type="pres">
      <dgm:prSet presAssocID="{6EF9A712-B3FA-4ED7-BC0A-60F16B26833F}" presName="BalanceSpacing1" presStyleCnt="0"/>
      <dgm:spPr/>
    </dgm:pt>
    <dgm:pt modelId="{E801C17D-9557-48B7-9E54-586730817C0A}" type="pres">
      <dgm:prSet presAssocID="{09D025F1-6806-4D59-9D93-8D3EC002D23A}" presName="Accent1Text" presStyleLbl="node1" presStyleIdx="3" presStyleCnt="6"/>
      <dgm:spPr/>
    </dgm:pt>
    <dgm:pt modelId="{623733DA-4C01-41E4-839F-1C94FE757536}" type="pres">
      <dgm:prSet presAssocID="{09D025F1-6806-4D59-9D93-8D3EC002D23A}" presName="spaceBetweenRectangles" presStyleCnt="0"/>
      <dgm:spPr/>
    </dgm:pt>
    <dgm:pt modelId="{CF2F4EA4-0DCA-462E-9802-17E8CF7596E1}" type="pres">
      <dgm:prSet presAssocID="{D3A9BEC3-C221-4AC8-9CC5-771B8EEB9D51}" presName="composite" presStyleCnt="0"/>
      <dgm:spPr/>
    </dgm:pt>
    <dgm:pt modelId="{D44BD986-974A-43A9-9EE4-EDCD4347FFC4}" type="pres">
      <dgm:prSet presAssocID="{D3A9BEC3-C221-4AC8-9CC5-771B8EEB9D51}" presName="Parent1" presStyleLbl="node1" presStyleIdx="4" presStyleCnt="6">
        <dgm:presLayoutVars>
          <dgm:chMax val="1"/>
          <dgm:chPref val="1"/>
          <dgm:bulletEnabled val="1"/>
        </dgm:presLayoutVars>
      </dgm:prSet>
      <dgm:spPr/>
    </dgm:pt>
    <dgm:pt modelId="{37A0641A-0392-42D4-9A03-9F9B5DD1F6FC}" type="pres">
      <dgm:prSet presAssocID="{D3A9BEC3-C221-4AC8-9CC5-771B8EEB9D51}" presName="Childtext1" presStyleLbl="revTx" presStyleIdx="2" presStyleCnt="3">
        <dgm:presLayoutVars>
          <dgm:chMax val="0"/>
          <dgm:chPref val="0"/>
          <dgm:bulletEnabled val="1"/>
        </dgm:presLayoutVars>
      </dgm:prSet>
      <dgm:spPr/>
    </dgm:pt>
    <dgm:pt modelId="{C2479B1A-F005-4DEC-A9B5-316F844DF28C}" type="pres">
      <dgm:prSet presAssocID="{D3A9BEC3-C221-4AC8-9CC5-771B8EEB9D51}" presName="BalanceSpacing" presStyleCnt="0"/>
      <dgm:spPr/>
    </dgm:pt>
    <dgm:pt modelId="{4B5FFADB-D324-4753-8702-4D1618FC731B}" type="pres">
      <dgm:prSet presAssocID="{D3A9BEC3-C221-4AC8-9CC5-771B8EEB9D51}" presName="BalanceSpacing1" presStyleCnt="0"/>
      <dgm:spPr/>
    </dgm:pt>
    <dgm:pt modelId="{A9CD7946-0345-41C8-9586-F4959E75ECED}" type="pres">
      <dgm:prSet presAssocID="{E16AD1E4-4B63-4720-B939-181E5A46DA14}" presName="Accent1Text" presStyleLbl="node1" presStyleIdx="5" presStyleCnt="6"/>
      <dgm:spPr/>
    </dgm:pt>
  </dgm:ptLst>
  <dgm:cxnLst>
    <dgm:cxn modelId="{5016421C-F944-432C-9F7B-2139ED10BF54}" srcId="{F1CF643C-C639-4256-9D70-64E82C263CB3}" destId="{D3A9BEC3-C221-4AC8-9CC5-771B8EEB9D51}" srcOrd="2" destOrd="0" parTransId="{8069988E-9D71-4585-85D0-D06A96E34DBB}" sibTransId="{E16AD1E4-4B63-4720-B939-181E5A46DA14}"/>
    <dgm:cxn modelId="{ABF8AF21-D07A-491A-8A98-E30C4F2F56ED}" srcId="{D3A9BEC3-C221-4AC8-9CC5-771B8EEB9D51}" destId="{6E70C48A-A51F-461B-B1EB-608BC33CC367}" srcOrd="0" destOrd="0" parTransId="{16DDDB51-7345-4DA6-B333-341DE54FB6B1}" sibTransId="{8DA1533B-D8E2-4AA4-9AB0-D951C78E03A2}"/>
    <dgm:cxn modelId="{2C34E629-9874-4FAB-AAF5-0ADFE62CC275}" type="presOf" srcId="{E16AD1E4-4B63-4720-B939-181E5A46DA14}" destId="{A9CD7946-0345-41C8-9586-F4959E75ECED}" srcOrd="0" destOrd="0" presId="urn:microsoft.com/office/officeart/2008/layout/AlternatingHexagons"/>
    <dgm:cxn modelId="{10D2C243-BE41-4500-8BD5-542C590A4F17}" type="presOf" srcId="{6E70C48A-A51F-461B-B1EB-608BC33CC367}" destId="{37A0641A-0392-42D4-9A03-9F9B5DD1F6FC}" srcOrd="0" destOrd="0" presId="urn:microsoft.com/office/officeart/2008/layout/AlternatingHexagons"/>
    <dgm:cxn modelId="{CEA72C70-35A3-47B9-A167-01E756912E6C}" srcId="{F1CF643C-C639-4256-9D70-64E82C263CB3}" destId="{0F243B7F-E4C3-4912-8FA6-08D3A27AAA43}" srcOrd="0" destOrd="0" parTransId="{74472C66-A80E-4F2A-9F17-FB1989CED4EE}" sibTransId="{085BA902-ACFA-43E6-8BCC-8CA92CDBA48A}"/>
    <dgm:cxn modelId="{49EA4972-F3AB-425E-BFCD-DA6A3EDB3C63}" srcId="{6EF9A712-B3FA-4ED7-BC0A-60F16B26833F}" destId="{7D66DBF1-1654-4ACF-94CE-090F0B3DA514}" srcOrd="0" destOrd="0" parTransId="{DDE79742-F20D-4659-9739-9CFC3EAEB226}" sibTransId="{B087936F-0391-48F8-968E-0F4EEC697F7D}"/>
    <dgm:cxn modelId="{A7E0898C-DCC7-45DB-9236-FCC6715B81EE}" type="presOf" srcId="{7D66DBF1-1654-4ACF-94CE-090F0B3DA514}" destId="{EDF1F87D-6D1D-461F-B279-52692173155C}" srcOrd="0" destOrd="0" presId="urn:microsoft.com/office/officeart/2008/layout/AlternatingHexagons"/>
    <dgm:cxn modelId="{4FCF958F-CF1B-4DA0-8643-068B44AE46C8}" type="presOf" srcId="{6EF9A712-B3FA-4ED7-BC0A-60F16B26833F}" destId="{48BF623B-F1B0-4C9C-9A5D-4FA66D026081}" srcOrd="0" destOrd="0" presId="urn:microsoft.com/office/officeart/2008/layout/AlternatingHexagons"/>
    <dgm:cxn modelId="{727D9B90-C92B-42C2-9E80-1082E9FFA12A}" type="presOf" srcId="{D3A9BEC3-C221-4AC8-9CC5-771B8EEB9D51}" destId="{D44BD986-974A-43A9-9EE4-EDCD4347FFC4}" srcOrd="0" destOrd="0" presId="urn:microsoft.com/office/officeart/2008/layout/AlternatingHexagons"/>
    <dgm:cxn modelId="{9EE60A92-47C7-47F8-A8AC-DEFCB578BBCC}" type="presOf" srcId="{04643340-4BD0-4D64-916E-B41D0270C186}" destId="{23FDE782-838A-41C6-A065-BC63FBB2A2C4}" srcOrd="0" destOrd="0" presId="urn:microsoft.com/office/officeart/2008/layout/AlternatingHexagons"/>
    <dgm:cxn modelId="{FC484593-81DC-4840-BA69-8AC76AAA0AC7}" srcId="{F1CF643C-C639-4256-9D70-64E82C263CB3}" destId="{6EF9A712-B3FA-4ED7-BC0A-60F16B26833F}" srcOrd="1" destOrd="0" parTransId="{402C04F5-D7DA-4035-BA29-0F6EB849CFBB}" sibTransId="{09D025F1-6806-4D59-9D93-8D3EC002D23A}"/>
    <dgm:cxn modelId="{3106699D-0D19-4E36-AC2E-6DDE173CEA63}" type="presOf" srcId="{085BA902-ACFA-43E6-8BCC-8CA92CDBA48A}" destId="{60BD4875-DCB3-4F27-B8D9-A74B68BD6D14}" srcOrd="0" destOrd="0" presId="urn:microsoft.com/office/officeart/2008/layout/AlternatingHexagons"/>
    <dgm:cxn modelId="{06D207A9-9952-4AB5-9C0C-3973C3E76654}" type="presOf" srcId="{09D025F1-6806-4D59-9D93-8D3EC002D23A}" destId="{E801C17D-9557-48B7-9E54-586730817C0A}" srcOrd="0" destOrd="0" presId="urn:microsoft.com/office/officeart/2008/layout/AlternatingHexagons"/>
    <dgm:cxn modelId="{E06500C3-75CB-490A-850C-4DB8EE68462F}" srcId="{0F243B7F-E4C3-4912-8FA6-08D3A27AAA43}" destId="{04643340-4BD0-4D64-916E-B41D0270C186}" srcOrd="0" destOrd="0" parTransId="{57FB9BAD-26BE-49B1-A31E-51F4DFA4528C}" sibTransId="{16F870EC-322F-4C29-B023-98C9904F917D}"/>
    <dgm:cxn modelId="{472A76D1-A3F2-4FA8-8F6F-484D55E51513}" type="presOf" srcId="{F1CF643C-C639-4256-9D70-64E82C263CB3}" destId="{DF0576C7-2965-45D1-AA85-5956B238EB14}" srcOrd="0" destOrd="0" presId="urn:microsoft.com/office/officeart/2008/layout/AlternatingHexagons"/>
    <dgm:cxn modelId="{4CA556D9-2DDA-44AF-87D9-A85CE1B02141}" type="presOf" srcId="{0F243B7F-E4C3-4912-8FA6-08D3A27AAA43}" destId="{3A9F3ED6-6D1B-4095-AB14-A1CDDE3458CA}" srcOrd="0" destOrd="0" presId="urn:microsoft.com/office/officeart/2008/layout/AlternatingHexagons"/>
    <dgm:cxn modelId="{13182730-CC7F-49D7-AD1B-A3882124786E}" type="presParOf" srcId="{DF0576C7-2965-45D1-AA85-5956B238EB14}" destId="{942CD3AE-2543-4711-8FA8-CC6EE7C52001}" srcOrd="0" destOrd="0" presId="urn:microsoft.com/office/officeart/2008/layout/AlternatingHexagons"/>
    <dgm:cxn modelId="{2045E581-E72D-4DBA-9922-483D5DEB24DB}" type="presParOf" srcId="{942CD3AE-2543-4711-8FA8-CC6EE7C52001}" destId="{3A9F3ED6-6D1B-4095-AB14-A1CDDE3458CA}" srcOrd="0" destOrd="0" presId="urn:microsoft.com/office/officeart/2008/layout/AlternatingHexagons"/>
    <dgm:cxn modelId="{7316DDB3-A57F-488C-91E2-363F223C35E9}" type="presParOf" srcId="{942CD3AE-2543-4711-8FA8-CC6EE7C52001}" destId="{23FDE782-838A-41C6-A065-BC63FBB2A2C4}" srcOrd="1" destOrd="0" presId="urn:microsoft.com/office/officeart/2008/layout/AlternatingHexagons"/>
    <dgm:cxn modelId="{E7D424DB-B588-448F-89D2-05DE06B2C017}" type="presParOf" srcId="{942CD3AE-2543-4711-8FA8-CC6EE7C52001}" destId="{8BCCB610-8238-49F4-8026-ECFD566302DB}" srcOrd="2" destOrd="0" presId="urn:microsoft.com/office/officeart/2008/layout/AlternatingHexagons"/>
    <dgm:cxn modelId="{C9245713-7F17-4559-900C-FFF6F3DEC626}" type="presParOf" srcId="{942CD3AE-2543-4711-8FA8-CC6EE7C52001}" destId="{B231A2E0-C826-45E7-A87A-5230DBFA94D0}" srcOrd="3" destOrd="0" presId="urn:microsoft.com/office/officeart/2008/layout/AlternatingHexagons"/>
    <dgm:cxn modelId="{9D719C5C-44E2-407D-BD90-88020CE84635}" type="presParOf" srcId="{942CD3AE-2543-4711-8FA8-CC6EE7C52001}" destId="{60BD4875-DCB3-4F27-B8D9-A74B68BD6D14}" srcOrd="4" destOrd="0" presId="urn:microsoft.com/office/officeart/2008/layout/AlternatingHexagons"/>
    <dgm:cxn modelId="{64745D9D-6D4E-4D22-8725-8903F96FEB0A}" type="presParOf" srcId="{DF0576C7-2965-45D1-AA85-5956B238EB14}" destId="{D03C2189-8235-4520-9AB9-0BA666A9C61E}" srcOrd="1" destOrd="0" presId="urn:microsoft.com/office/officeart/2008/layout/AlternatingHexagons"/>
    <dgm:cxn modelId="{61651B65-A4A4-4328-AA59-1C94989D1B54}" type="presParOf" srcId="{DF0576C7-2965-45D1-AA85-5956B238EB14}" destId="{1B7AC210-870D-468F-9C5F-BB787A966A09}" srcOrd="2" destOrd="0" presId="urn:microsoft.com/office/officeart/2008/layout/AlternatingHexagons"/>
    <dgm:cxn modelId="{10D1DB02-B2C0-4602-AE09-1E21640F7775}" type="presParOf" srcId="{1B7AC210-870D-468F-9C5F-BB787A966A09}" destId="{48BF623B-F1B0-4C9C-9A5D-4FA66D026081}" srcOrd="0" destOrd="0" presId="urn:microsoft.com/office/officeart/2008/layout/AlternatingHexagons"/>
    <dgm:cxn modelId="{6C3DD7F1-B320-4408-BDFB-ECD92326043C}" type="presParOf" srcId="{1B7AC210-870D-468F-9C5F-BB787A966A09}" destId="{EDF1F87D-6D1D-461F-B279-52692173155C}" srcOrd="1" destOrd="0" presId="urn:microsoft.com/office/officeart/2008/layout/AlternatingHexagons"/>
    <dgm:cxn modelId="{33D3B5FC-E10F-4CD9-BCAE-EA3770336684}" type="presParOf" srcId="{1B7AC210-870D-468F-9C5F-BB787A966A09}" destId="{A65C023B-7DE1-4CA4-BF83-9A657E03EE07}" srcOrd="2" destOrd="0" presId="urn:microsoft.com/office/officeart/2008/layout/AlternatingHexagons"/>
    <dgm:cxn modelId="{FBD608A7-1576-46AA-9A57-5903249B79D0}" type="presParOf" srcId="{1B7AC210-870D-468F-9C5F-BB787A966A09}" destId="{F6E4F0E8-1E53-41A0-8EA8-2CCA457939EF}" srcOrd="3" destOrd="0" presId="urn:microsoft.com/office/officeart/2008/layout/AlternatingHexagons"/>
    <dgm:cxn modelId="{2664D905-78FB-4FEC-898D-8841BA1BFC68}" type="presParOf" srcId="{1B7AC210-870D-468F-9C5F-BB787A966A09}" destId="{E801C17D-9557-48B7-9E54-586730817C0A}" srcOrd="4" destOrd="0" presId="urn:microsoft.com/office/officeart/2008/layout/AlternatingHexagons"/>
    <dgm:cxn modelId="{075F626E-738C-4312-BFE4-477EC1939EA7}" type="presParOf" srcId="{DF0576C7-2965-45D1-AA85-5956B238EB14}" destId="{623733DA-4C01-41E4-839F-1C94FE757536}" srcOrd="3" destOrd="0" presId="urn:microsoft.com/office/officeart/2008/layout/AlternatingHexagons"/>
    <dgm:cxn modelId="{87DCF6DA-2F43-4FFF-882D-33ABF212B419}" type="presParOf" srcId="{DF0576C7-2965-45D1-AA85-5956B238EB14}" destId="{CF2F4EA4-0DCA-462E-9802-17E8CF7596E1}" srcOrd="4" destOrd="0" presId="urn:microsoft.com/office/officeart/2008/layout/AlternatingHexagons"/>
    <dgm:cxn modelId="{2150B0C9-D0D0-4408-A118-A2DD93D804DD}" type="presParOf" srcId="{CF2F4EA4-0DCA-462E-9802-17E8CF7596E1}" destId="{D44BD986-974A-43A9-9EE4-EDCD4347FFC4}" srcOrd="0" destOrd="0" presId="urn:microsoft.com/office/officeart/2008/layout/AlternatingHexagons"/>
    <dgm:cxn modelId="{63612EEE-953C-4D87-87B0-EDC5A2F6CBCF}" type="presParOf" srcId="{CF2F4EA4-0DCA-462E-9802-17E8CF7596E1}" destId="{37A0641A-0392-42D4-9A03-9F9B5DD1F6FC}" srcOrd="1" destOrd="0" presId="urn:microsoft.com/office/officeart/2008/layout/AlternatingHexagons"/>
    <dgm:cxn modelId="{8FADE5F2-7AE3-40C8-9956-C24ED725332F}" type="presParOf" srcId="{CF2F4EA4-0DCA-462E-9802-17E8CF7596E1}" destId="{C2479B1A-F005-4DEC-A9B5-316F844DF28C}" srcOrd="2" destOrd="0" presId="urn:microsoft.com/office/officeart/2008/layout/AlternatingHexagons"/>
    <dgm:cxn modelId="{ACFEABB1-81F6-4CBE-8A3A-37F16861A849}" type="presParOf" srcId="{CF2F4EA4-0DCA-462E-9802-17E8CF7596E1}" destId="{4B5FFADB-D324-4753-8702-4D1618FC731B}" srcOrd="3" destOrd="0" presId="urn:microsoft.com/office/officeart/2008/layout/AlternatingHexagons"/>
    <dgm:cxn modelId="{E661B927-2804-4E14-9FFC-95391E60CA6E}" type="presParOf" srcId="{CF2F4EA4-0DCA-462E-9802-17E8CF7596E1}" destId="{A9CD7946-0345-41C8-9586-F4959E75ECED}" srcOrd="4" destOrd="0" presId="urn:microsoft.com/office/officeart/2008/layout/AlternatingHexagons"/>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CEDA272-2ACA-4ADE-905A-1E2563A57D9F}" type="doc">
      <dgm:prSet loTypeId="urn:microsoft.com/office/officeart/2008/layout/AlternatingHexagons" loCatId="list" qsTypeId="urn:microsoft.com/office/officeart/2005/8/quickstyle/simple1" qsCatId="simple" csTypeId="urn:microsoft.com/office/officeart/2005/8/colors/colorful2" csCatId="colorful" phldr="1"/>
      <dgm:spPr/>
      <dgm:t>
        <a:bodyPr/>
        <a:p>
          <a:endParaRPr lang="en-IN"/>
        </a:p>
      </dgm:t>
    </dgm:pt>
    <dgm:pt modelId="{6995A5D5-1123-4093-B38F-F9EBB1C1AE81}">
      <dgm:prSet phldrT="[Text]"/>
      <dgm:spPr/>
      <dgm:t>
        <a:bodyPr/>
        <a:p>
          <a:r>
            <a:rPr lang="en-GB" b="1" u="sng">
              <a:solidFill>
                <a:schemeClr val="tx1"/>
              </a:solidFill>
            </a:rPr>
            <a:t>Geopolitical Dynamics and the Regulatory Environment</a:t>
          </a:r>
          <a:endParaRPr lang="en-IN">
            <a:solidFill>
              <a:schemeClr val="tx1"/>
            </a:solidFill>
          </a:endParaRPr>
        </a:p>
      </dgm:t>
    </dgm:pt>
    <dgm:pt modelId="{22469157-5BFB-4C7D-A3E3-C405BA10D2BE}" cxnId="{33A73BA9-DD6B-442C-90E9-FA46FD9E49C4}" type="parTrans">
      <dgm:prSet/>
      <dgm:spPr/>
      <dgm:t>
        <a:bodyPr/>
        <a:p>
          <a:endParaRPr lang="en-IN"/>
        </a:p>
      </dgm:t>
    </dgm:pt>
    <dgm:pt modelId="{F1D2E94F-4F33-4538-9810-30486172F63F}" cxnId="{33A73BA9-DD6B-442C-90E9-FA46FD9E49C4}" type="sibTrans">
      <dgm:prSet/>
      <dgm:spPr/>
      <dgm:t>
        <a:bodyPr/>
        <a:p>
          <a:endParaRPr lang="en-IN"/>
        </a:p>
      </dgm:t>
    </dgm:pt>
    <dgm:pt modelId="{B19DD949-3221-4ACA-A110-56C988A15A9C}">
      <dgm:prSet phldrT="[Text]"/>
      <dgm:spPr/>
      <dgm:t>
        <a:bodyPr/>
        <a:p>
          <a:r>
            <a:rPr lang="en-GB" b="1" u="sng"/>
            <a:t>Market Dynamics and Industry Trends</a:t>
          </a:r>
          <a:endParaRPr lang="en-IN"/>
        </a:p>
      </dgm:t>
    </dgm:pt>
    <dgm:pt modelId="{D991B89D-65CC-4C67-820A-94D534C82429}" cxnId="{9CF43633-160F-42ED-98D1-D1D323DD0AC4}" type="parTrans">
      <dgm:prSet/>
      <dgm:spPr/>
      <dgm:t>
        <a:bodyPr/>
        <a:p>
          <a:endParaRPr lang="en-IN"/>
        </a:p>
      </dgm:t>
    </dgm:pt>
    <dgm:pt modelId="{5BFEFC09-9A1C-4B84-ADAA-674AF347982B}" cxnId="{9CF43633-160F-42ED-98D1-D1D323DD0AC4}" type="sibTrans">
      <dgm:prSet/>
      <dgm:spPr/>
      <dgm:t>
        <a:bodyPr/>
        <a:p>
          <a:endParaRPr lang="en-IN"/>
        </a:p>
      </dgm:t>
    </dgm:pt>
    <dgm:pt modelId="{30DA9C7F-38C6-4092-8EEA-3153A11F5A73}">
      <dgm:prSet phldrT="[Text]"/>
      <dgm:spPr/>
      <dgm:t>
        <a:bodyPr/>
        <a:p>
          <a:r>
            <a:rPr lang="en-GB" b="1" u="sng">
              <a:solidFill>
                <a:schemeClr val="tx1"/>
              </a:solidFill>
            </a:rPr>
            <a:t>Technological Progress</a:t>
          </a:r>
          <a:endParaRPr lang="en-IN">
            <a:solidFill>
              <a:schemeClr val="tx1"/>
            </a:solidFill>
          </a:endParaRPr>
        </a:p>
      </dgm:t>
    </dgm:pt>
    <dgm:pt modelId="{81A5A030-CB9E-48FE-A093-E733CA19A2FD}" cxnId="{35CD48BD-6339-4107-BE26-460DFAB417EA}" type="parTrans">
      <dgm:prSet/>
      <dgm:spPr/>
      <dgm:t>
        <a:bodyPr/>
        <a:p>
          <a:endParaRPr lang="en-IN"/>
        </a:p>
      </dgm:t>
    </dgm:pt>
    <dgm:pt modelId="{60425F41-BBD7-4C43-A40C-09692A0685E9}" cxnId="{35CD48BD-6339-4107-BE26-460DFAB417EA}" type="sibTrans">
      <dgm:prSet/>
      <dgm:spPr/>
      <dgm:t>
        <a:bodyPr/>
        <a:p>
          <a:endParaRPr lang="en-IN"/>
        </a:p>
      </dgm:t>
    </dgm:pt>
    <dgm:pt modelId="{9E47FA12-8438-47EF-A319-97E62D88B791}">
      <dgm:prSet phldrT="[Text]"/>
      <dgm:spPr/>
      <dgm:t>
        <a:bodyPr/>
        <a:p>
          <a:r>
            <a:rPr lang="en-GB" b="1" u="sng"/>
            <a:t>Economic Situation</a:t>
          </a:r>
          <a:endParaRPr lang="en-IN"/>
        </a:p>
      </dgm:t>
    </dgm:pt>
    <dgm:pt modelId="{C7E254F7-6BE1-4F07-899F-8F47371AE810}" cxnId="{74A4C290-F251-41B3-B5D4-444D32B7D85C}" type="parTrans">
      <dgm:prSet/>
      <dgm:spPr/>
      <dgm:t>
        <a:bodyPr/>
        <a:p>
          <a:endParaRPr lang="en-IN"/>
        </a:p>
      </dgm:t>
    </dgm:pt>
    <dgm:pt modelId="{E375DBDF-0F48-4A41-9793-56C8562034D8}" cxnId="{74A4C290-F251-41B3-B5D4-444D32B7D85C}" type="sibTrans">
      <dgm:prSet/>
      <dgm:spPr/>
      <dgm:t>
        <a:bodyPr/>
        <a:p>
          <a:endParaRPr lang="en-IN"/>
        </a:p>
      </dgm:t>
    </dgm:pt>
    <dgm:pt modelId="{91F9C29B-6164-4739-B59D-B340CDD458A8}">
      <dgm:prSet phldrT="[Text]"/>
      <dgm:spPr/>
      <dgm:t>
        <a:bodyPr/>
        <a:p>
          <a:r>
            <a:rPr lang="en-GB" b="1" u="sng">
              <a:solidFill>
                <a:schemeClr val="tx1"/>
              </a:solidFill>
            </a:rPr>
            <a:t>Compliance with regulations and ethical considerations</a:t>
          </a:r>
          <a:endParaRPr lang="en-IN">
            <a:solidFill>
              <a:schemeClr val="tx1"/>
            </a:solidFill>
          </a:endParaRPr>
        </a:p>
      </dgm:t>
    </dgm:pt>
    <dgm:pt modelId="{0D359D57-A1C9-413D-9C5B-C0214960F813}" cxnId="{58EDB4E4-295E-4326-AE5E-A224069F9691}" type="parTrans">
      <dgm:prSet/>
      <dgm:spPr/>
      <dgm:t>
        <a:bodyPr/>
        <a:p>
          <a:endParaRPr lang="en-IN"/>
        </a:p>
      </dgm:t>
    </dgm:pt>
    <dgm:pt modelId="{37DC957D-6184-42FE-A809-B58C05675F9C}" cxnId="{58EDB4E4-295E-4326-AE5E-A224069F9691}" type="sibTrans">
      <dgm:prSet/>
      <dgm:spPr/>
      <dgm:t>
        <a:bodyPr/>
        <a:p>
          <a:endParaRPr lang="en-IN"/>
        </a:p>
      </dgm:t>
    </dgm:pt>
    <dgm:pt modelId="{70130532-6609-448D-8A2F-3253B48A28DF}">
      <dgm:prSet phldrT="[Text]"/>
      <dgm:spPr/>
      <dgm:t>
        <a:bodyPr/>
        <a:p>
          <a:r>
            <a:rPr lang="en-GB" b="1" u="sng"/>
            <a:t>Competitive Environment</a:t>
          </a:r>
          <a:endParaRPr lang="en-IN"/>
        </a:p>
      </dgm:t>
    </dgm:pt>
    <dgm:pt modelId="{EA777C29-1D32-480A-8E14-1B095FAE886B}" cxnId="{408A82CE-099A-407C-B5C6-71BFB9E81B7B}" type="parTrans">
      <dgm:prSet/>
      <dgm:spPr/>
      <dgm:t>
        <a:bodyPr/>
        <a:p>
          <a:endParaRPr lang="en-IN"/>
        </a:p>
      </dgm:t>
    </dgm:pt>
    <dgm:pt modelId="{289D6217-8753-40AE-90FE-4519F43B220D}" cxnId="{408A82CE-099A-407C-B5C6-71BFB9E81B7B}" type="sibTrans">
      <dgm:prSet/>
      <dgm:spPr/>
      <dgm:t>
        <a:bodyPr/>
        <a:p>
          <a:endParaRPr lang="en-IN"/>
        </a:p>
      </dgm:t>
    </dgm:pt>
    <dgm:pt modelId="{6D16E605-37AC-4246-9AB5-2C65D4C32647}" type="pres">
      <dgm:prSet presAssocID="{7CEDA272-2ACA-4ADE-905A-1E2563A57D9F}" presName="Name0" presStyleCnt="0">
        <dgm:presLayoutVars>
          <dgm:chMax/>
          <dgm:chPref/>
          <dgm:dir/>
          <dgm:animLvl val="lvl"/>
        </dgm:presLayoutVars>
      </dgm:prSet>
      <dgm:spPr/>
    </dgm:pt>
    <dgm:pt modelId="{0B860B93-01EA-4E48-BEFC-D88CF59AFF71}" type="pres">
      <dgm:prSet presAssocID="{6995A5D5-1123-4093-B38F-F9EBB1C1AE81}" presName="composite" presStyleCnt="0"/>
      <dgm:spPr/>
    </dgm:pt>
    <dgm:pt modelId="{4F29CD61-8390-44B5-B146-A1E46BCF469D}" type="pres">
      <dgm:prSet presAssocID="{6995A5D5-1123-4093-B38F-F9EBB1C1AE81}" presName="Parent1" presStyleLbl="node1" presStyleIdx="0" presStyleCnt="6">
        <dgm:presLayoutVars>
          <dgm:chMax val="1"/>
          <dgm:chPref val="1"/>
          <dgm:bulletEnabled val="1"/>
        </dgm:presLayoutVars>
      </dgm:prSet>
      <dgm:spPr/>
    </dgm:pt>
    <dgm:pt modelId="{68479ED3-0409-4405-8005-84D7812187E5}" type="pres">
      <dgm:prSet presAssocID="{6995A5D5-1123-4093-B38F-F9EBB1C1AE81}" presName="Childtext1" presStyleLbl="revTx" presStyleIdx="0" presStyleCnt="3">
        <dgm:presLayoutVars>
          <dgm:chMax val="0"/>
          <dgm:chPref val="0"/>
          <dgm:bulletEnabled val="1"/>
        </dgm:presLayoutVars>
      </dgm:prSet>
      <dgm:spPr/>
    </dgm:pt>
    <dgm:pt modelId="{A1B33BF0-6878-4DBD-A7EF-83101A81652A}" type="pres">
      <dgm:prSet presAssocID="{6995A5D5-1123-4093-B38F-F9EBB1C1AE81}" presName="BalanceSpacing" presStyleCnt="0"/>
      <dgm:spPr/>
    </dgm:pt>
    <dgm:pt modelId="{E2E84C75-7845-4D0C-BD06-E87832B3DA38}" type="pres">
      <dgm:prSet presAssocID="{6995A5D5-1123-4093-B38F-F9EBB1C1AE81}" presName="BalanceSpacing1" presStyleCnt="0"/>
      <dgm:spPr/>
    </dgm:pt>
    <dgm:pt modelId="{84691E90-19AA-42B6-AD08-60D298D7304F}" type="pres">
      <dgm:prSet presAssocID="{F1D2E94F-4F33-4538-9810-30486172F63F}" presName="Accent1Text" presStyleLbl="node1" presStyleIdx="1" presStyleCnt="6"/>
      <dgm:spPr/>
    </dgm:pt>
    <dgm:pt modelId="{10EAF417-6D25-43E7-B332-D772B4ED6389}" type="pres">
      <dgm:prSet presAssocID="{F1D2E94F-4F33-4538-9810-30486172F63F}" presName="spaceBetweenRectangles" presStyleCnt="0"/>
      <dgm:spPr/>
    </dgm:pt>
    <dgm:pt modelId="{01A1B1BD-4165-48C6-A636-2CC1B6BA99D7}" type="pres">
      <dgm:prSet presAssocID="{30DA9C7F-38C6-4092-8EEA-3153A11F5A73}" presName="composite" presStyleCnt="0"/>
      <dgm:spPr/>
    </dgm:pt>
    <dgm:pt modelId="{506863AB-324D-4CF3-A414-FCC1305FF669}" type="pres">
      <dgm:prSet presAssocID="{30DA9C7F-38C6-4092-8EEA-3153A11F5A73}" presName="Parent1" presStyleLbl="node1" presStyleIdx="2" presStyleCnt="6">
        <dgm:presLayoutVars>
          <dgm:chMax val="1"/>
          <dgm:chPref val="1"/>
          <dgm:bulletEnabled val="1"/>
        </dgm:presLayoutVars>
      </dgm:prSet>
      <dgm:spPr/>
    </dgm:pt>
    <dgm:pt modelId="{01EB0113-D905-4C67-97CF-12FB000BC367}" type="pres">
      <dgm:prSet presAssocID="{30DA9C7F-38C6-4092-8EEA-3153A11F5A73}" presName="Childtext1" presStyleLbl="revTx" presStyleIdx="1" presStyleCnt="3">
        <dgm:presLayoutVars>
          <dgm:chMax val="0"/>
          <dgm:chPref val="0"/>
          <dgm:bulletEnabled val="1"/>
        </dgm:presLayoutVars>
      </dgm:prSet>
      <dgm:spPr/>
    </dgm:pt>
    <dgm:pt modelId="{C61F1B7B-E65E-4A0A-A932-2B6CF0D5ED5B}" type="pres">
      <dgm:prSet presAssocID="{30DA9C7F-38C6-4092-8EEA-3153A11F5A73}" presName="BalanceSpacing" presStyleCnt="0"/>
      <dgm:spPr/>
    </dgm:pt>
    <dgm:pt modelId="{DCEE69D6-B5BF-45C3-A860-FA0A488D02C2}" type="pres">
      <dgm:prSet presAssocID="{30DA9C7F-38C6-4092-8EEA-3153A11F5A73}" presName="BalanceSpacing1" presStyleCnt="0"/>
      <dgm:spPr/>
    </dgm:pt>
    <dgm:pt modelId="{6A23B10E-71ED-410A-A7DE-544DB64887FD}" type="pres">
      <dgm:prSet presAssocID="{60425F41-BBD7-4C43-A40C-09692A0685E9}" presName="Accent1Text" presStyleLbl="node1" presStyleIdx="3" presStyleCnt="6"/>
      <dgm:spPr/>
    </dgm:pt>
    <dgm:pt modelId="{06015AA0-F5C0-497F-9F33-E982D43F23AA}" type="pres">
      <dgm:prSet presAssocID="{60425F41-BBD7-4C43-A40C-09692A0685E9}" presName="spaceBetweenRectangles" presStyleCnt="0"/>
      <dgm:spPr/>
    </dgm:pt>
    <dgm:pt modelId="{91CC1919-3651-4064-A39D-73709C7BFD1B}" type="pres">
      <dgm:prSet presAssocID="{91F9C29B-6164-4739-B59D-B340CDD458A8}" presName="composite" presStyleCnt="0"/>
      <dgm:spPr/>
    </dgm:pt>
    <dgm:pt modelId="{18A2AD65-0802-497B-98B3-DE56D542523B}" type="pres">
      <dgm:prSet presAssocID="{91F9C29B-6164-4739-B59D-B340CDD458A8}" presName="Parent1" presStyleLbl="node1" presStyleIdx="4" presStyleCnt="6">
        <dgm:presLayoutVars>
          <dgm:chMax val="1"/>
          <dgm:chPref val="1"/>
          <dgm:bulletEnabled val="1"/>
        </dgm:presLayoutVars>
      </dgm:prSet>
      <dgm:spPr/>
    </dgm:pt>
    <dgm:pt modelId="{10116DDC-40F6-4802-AD1F-78A53BE5AD10}" type="pres">
      <dgm:prSet presAssocID="{91F9C29B-6164-4739-B59D-B340CDD458A8}" presName="Childtext1" presStyleLbl="revTx" presStyleIdx="2" presStyleCnt="3">
        <dgm:presLayoutVars>
          <dgm:chMax val="0"/>
          <dgm:chPref val="0"/>
          <dgm:bulletEnabled val="1"/>
        </dgm:presLayoutVars>
      </dgm:prSet>
      <dgm:spPr/>
    </dgm:pt>
    <dgm:pt modelId="{415133C4-93D7-4569-B889-3D16F188439D}" type="pres">
      <dgm:prSet presAssocID="{91F9C29B-6164-4739-B59D-B340CDD458A8}" presName="BalanceSpacing" presStyleCnt="0"/>
      <dgm:spPr/>
    </dgm:pt>
    <dgm:pt modelId="{A9F0810C-C1A8-41D0-B5CE-1B511C641429}" type="pres">
      <dgm:prSet presAssocID="{91F9C29B-6164-4739-B59D-B340CDD458A8}" presName="BalanceSpacing1" presStyleCnt="0"/>
      <dgm:spPr/>
    </dgm:pt>
    <dgm:pt modelId="{2FD136F0-3AAC-47DE-9F38-2D31558BA27B}" type="pres">
      <dgm:prSet presAssocID="{37DC957D-6184-42FE-A809-B58C05675F9C}" presName="Accent1Text" presStyleLbl="node1" presStyleIdx="5" presStyleCnt="6"/>
      <dgm:spPr/>
    </dgm:pt>
  </dgm:ptLst>
  <dgm:cxnLst>
    <dgm:cxn modelId="{7BAAA906-3359-4289-B495-3A16525F7730}" type="presOf" srcId="{B19DD949-3221-4ACA-A110-56C988A15A9C}" destId="{68479ED3-0409-4405-8005-84D7812187E5}" srcOrd="0" destOrd="0" presId="urn:microsoft.com/office/officeart/2008/layout/AlternatingHexagons"/>
    <dgm:cxn modelId="{B0C78707-4204-455D-AA49-E732C4B28208}" type="presOf" srcId="{6995A5D5-1123-4093-B38F-F9EBB1C1AE81}" destId="{4F29CD61-8390-44B5-B146-A1E46BCF469D}" srcOrd="0" destOrd="0" presId="urn:microsoft.com/office/officeart/2008/layout/AlternatingHexagons"/>
    <dgm:cxn modelId="{3D6D0816-10C9-4D2B-8F68-AA3D5A97B6BF}" type="presOf" srcId="{70130532-6609-448D-8A2F-3253B48A28DF}" destId="{10116DDC-40F6-4802-AD1F-78A53BE5AD10}" srcOrd="0" destOrd="0" presId="urn:microsoft.com/office/officeart/2008/layout/AlternatingHexagons"/>
    <dgm:cxn modelId="{9CF43633-160F-42ED-98D1-D1D323DD0AC4}" srcId="{6995A5D5-1123-4093-B38F-F9EBB1C1AE81}" destId="{B19DD949-3221-4ACA-A110-56C988A15A9C}" srcOrd="0" destOrd="0" parTransId="{D991B89D-65CC-4C67-820A-94D534C82429}" sibTransId="{5BFEFC09-9A1C-4B84-ADAA-674AF347982B}"/>
    <dgm:cxn modelId="{A4194337-DD90-4811-9DC1-FBD9B61C6FD5}" type="presOf" srcId="{F1D2E94F-4F33-4538-9810-30486172F63F}" destId="{84691E90-19AA-42B6-AD08-60D298D7304F}" srcOrd="0" destOrd="0" presId="urn:microsoft.com/office/officeart/2008/layout/AlternatingHexagons"/>
    <dgm:cxn modelId="{C9ADA647-6054-4CFD-A324-CF8072EDF114}" type="presOf" srcId="{37DC957D-6184-42FE-A809-B58C05675F9C}" destId="{2FD136F0-3AAC-47DE-9F38-2D31558BA27B}" srcOrd="0" destOrd="0" presId="urn:microsoft.com/office/officeart/2008/layout/AlternatingHexagons"/>
    <dgm:cxn modelId="{C195CA5A-D75B-41CF-B80C-89C61BC38FC8}" type="presOf" srcId="{30DA9C7F-38C6-4092-8EEA-3153A11F5A73}" destId="{506863AB-324D-4CF3-A414-FCC1305FF669}" srcOrd="0" destOrd="0" presId="urn:microsoft.com/office/officeart/2008/layout/AlternatingHexagons"/>
    <dgm:cxn modelId="{74A4C290-F251-41B3-B5D4-444D32B7D85C}" srcId="{30DA9C7F-38C6-4092-8EEA-3153A11F5A73}" destId="{9E47FA12-8438-47EF-A319-97E62D88B791}" srcOrd="0" destOrd="0" parTransId="{C7E254F7-6BE1-4F07-899F-8F47371AE810}" sibTransId="{E375DBDF-0F48-4A41-9793-56C8562034D8}"/>
    <dgm:cxn modelId="{33A73BA9-DD6B-442C-90E9-FA46FD9E49C4}" srcId="{7CEDA272-2ACA-4ADE-905A-1E2563A57D9F}" destId="{6995A5D5-1123-4093-B38F-F9EBB1C1AE81}" srcOrd="0" destOrd="0" parTransId="{22469157-5BFB-4C7D-A3E3-C405BA10D2BE}" sibTransId="{F1D2E94F-4F33-4538-9810-30486172F63F}"/>
    <dgm:cxn modelId="{2892AFBC-381D-4BEC-8DE8-944B76A4EA92}" type="presOf" srcId="{7CEDA272-2ACA-4ADE-905A-1E2563A57D9F}" destId="{6D16E605-37AC-4246-9AB5-2C65D4C32647}" srcOrd="0" destOrd="0" presId="urn:microsoft.com/office/officeart/2008/layout/AlternatingHexagons"/>
    <dgm:cxn modelId="{35CD48BD-6339-4107-BE26-460DFAB417EA}" srcId="{7CEDA272-2ACA-4ADE-905A-1E2563A57D9F}" destId="{30DA9C7F-38C6-4092-8EEA-3153A11F5A73}" srcOrd="1" destOrd="0" parTransId="{81A5A030-CB9E-48FE-A093-E733CA19A2FD}" sibTransId="{60425F41-BBD7-4C43-A40C-09692A0685E9}"/>
    <dgm:cxn modelId="{B8D585CD-9070-4D24-A3B8-2063A871B9C0}" type="presOf" srcId="{91F9C29B-6164-4739-B59D-B340CDD458A8}" destId="{18A2AD65-0802-497B-98B3-DE56D542523B}" srcOrd="0" destOrd="0" presId="urn:microsoft.com/office/officeart/2008/layout/AlternatingHexagons"/>
    <dgm:cxn modelId="{408A82CE-099A-407C-B5C6-71BFB9E81B7B}" srcId="{91F9C29B-6164-4739-B59D-B340CDD458A8}" destId="{70130532-6609-448D-8A2F-3253B48A28DF}" srcOrd="0" destOrd="0" parTransId="{EA777C29-1D32-480A-8E14-1B095FAE886B}" sibTransId="{289D6217-8753-40AE-90FE-4519F43B220D}"/>
    <dgm:cxn modelId="{129073D5-8A57-4FA5-BD5A-28CA361C6AE2}" type="presOf" srcId="{60425F41-BBD7-4C43-A40C-09692A0685E9}" destId="{6A23B10E-71ED-410A-A7DE-544DB64887FD}" srcOrd="0" destOrd="0" presId="urn:microsoft.com/office/officeart/2008/layout/AlternatingHexagons"/>
    <dgm:cxn modelId="{58EDB4E4-295E-4326-AE5E-A224069F9691}" srcId="{7CEDA272-2ACA-4ADE-905A-1E2563A57D9F}" destId="{91F9C29B-6164-4739-B59D-B340CDD458A8}" srcOrd="2" destOrd="0" parTransId="{0D359D57-A1C9-413D-9C5B-C0214960F813}" sibTransId="{37DC957D-6184-42FE-A809-B58C05675F9C}"/>
    <dgm:cxn modelId="{C0303FEB-C5F8-4A61-8763-562F604A8375}" type="presOf" srcId="{9E47FA12-8438-47EF-A319-97E62D88B791}" destId="{01EB0113-D905-4C67-97CF-12FB000BC367}" srcOrd="0" destOrd="0" presId="urn:microsoft.com/office/officeart/2008/layout/AlternatingHexagons"/>
    <dgm:cxn modelId="{16A4024C-CBE4-4E1A-B424-F9AFAFE9B89F}" type="presParOf" srcId="{6D16E605-37AC-4246-9AB5-2C65D4C32647}" destId="{0B860B93-01EA-4E48-BEFC-D88CF59AFF71}" srcOrd="0" destOrd="0" presId="urn:microsoft.com/office/officeart/2008/layout/AlternatingHexagons"/>
    <dgm:cxn modelId="{A5D682E9-BC15-4722-9469-C8DDB68BC860}" type="presParOf" srcId="{0B860B93-01EA-4E48-BEFC-D88CF59AFF71}" destId="{4F29CD61-8390-44B5-B146-A1E46BCF469D}" srcOrd="0" destOrd="0" presId="urn:microsoft.com/office/officeart/2008/layout/AlternatingHexagons"/>
    <dgm:cxn modelId="{54A687EF-804D-4388-9E98-176C1A046FCE}" type="presParOf" srcId="{0B860B93-01EA-4E48-BEFC-D88CF59AFF71}" destId="{68479ED3-0409-4405-8005-84D7812187E5}" srcOrd="1" destOrd="0" presId="urn:microsoft.com/office/officeart/2008/layout/AlternatingHexagons"/>
    <dgm:cxn modelId="{02FCBB54-68BC-4612-A05D-5F09FBCB28A4}" type="presParOf" srcId="{0B860B93-01EA-4E48-BEFC-D88CF59AFF71}" destId="{A1B33BF0-6878-4DBD-A7EF-83101A81652A}" srcOrd="2" destOrd="0" presId="urn:microsoft.com/office/officeart/2008/layout/AlternatingHexagons"/>
    <dgm:cxn modelId="{6010E2D2-E14F-496A-B5A5-B67C88A3F5C0}" type="presParOf" srcId="{0B860B93-01EA-4E48-BEFC-D88CF59AFF71}" destId="{E2E84C75-7845-4D0C-BD06-E87832B3DA38}" srcOrd="3" destOrd="0" presId="urn:microsoft.com/office/officeart/2008/layout/AlternatingHexagons"/>
    <dgm:cxn modelId="{FB999677-F945-439E-A046-5EF80336E010}" type="presParOf" srcId="{0B860B93-01EA-4E48-BEFC-D88CF59AFF71}" destId="{84691E90-19AA-42B6-AD08-60D298D7304F}" srcOrd="4" destOrd="0" presId="urn:microsoft.com/office/officeart/2008/layout/AlternatingHexagons"/>
    <dgm:cxn modelId="{5B2BF9D7-45DF-46E0-BF2A-0CAEC1E88DAC}" type="presParOf" srcId="{6D16E605-37AC-4246-9AB5-2C65D4C32647}" destId="{10EAF417-6D25-43E7-B332-D772B4ED6389}" srcOrd="1" destOrd="0" presId="urn:microsoft.com/office/officeart/2008/layout/AlternatingHexagons"/>
    <dgm:cxn modelId="{18D753C4-4770-4BC3-9709-538D76794D33}" type="presParOf" srcId="{6D16E605-37AC-4246-9AB5-2C65D4C32647}" destId="{01A1B1BD-4165-48C6-A636-2CC1B6BA99D7}" srcOrd="2" destOrd="0" presId="urn:microsoft.com/office/officeart/2008/layout/AlternatingHexagons"/>
    <dgm:cxn modelId="{24745834-9B4F-47DC-9991-39FA84DE87B0}" type="presParOf" srcId="{01A1B1BD-4165-48C6-A636-2CC1B6BA99D7}" destId="{506863AB-324D-4CF3-A414-FCC1305FF669}" srcOrd="0" destOrd="0" presId="urn:microsoft.com/office/officeart/2008/layout/AlternatingHexagons"/>
    <dgm:cxn modelId="{1CDFD15F-5FE2-47E5-A2FF-B7CC82639EAA}" type="presParOf" srcId="{01A1B1BD-4165-48C6-A636-2CC1B6BA99D7}" destId="{01EB0113-D905-4C67-97CF-12FB000BC367}" srcOrd="1" destOrd="0" presId="urn:microsoft.com/office/officeart/2008/layout/AlternatingHexagons"/>
    <dgm:cxn modelId="{35A02899-8192-453E-8189-D77F8D1F05DE}" type="presParOf" srcId="{01A1B1BD-4165-48C6-A636-2CC1B6BA99D7}" destId="{C61F1B7B-E65E-4A0A-A932-2B6CF0D5ED5B}" srcOrd="2" destOrd="0" presId="urn:microsoft.com/office/officeart/2008/layout/AlternatingHexagons"/>
    <dgm:cxn modelId="{961503C7-D328-462A-87CC-F43DFE386D44}" type="presParOf" srcId="{01A1B1BD-4165-48C6-A636-2CC1B6BA99D7}" destId="{DCEE69D6-B5BF-45C3-A860-FA0A488D02C2}" srcOrd="3" destOrd="0" presId="urn:microsoft.com/office/officeart/2008/layout/AlternatingHexagons"/>
    <dgm:cxn modelId="{8AB3741C-1AC6-4B30-A118-B68AD9F9BC82}" type="presParOf" srcId="{01A1B1BD-4165-48C6-A636-2CC1B6BA99D7}" destId="{6A23B10E-71ED-410A-A7DE-544DB64887FD}" srcOrd="4" destOrd="0" presId="urn:microsoft.com/office/officeart/2008/layout/AlternatingHexagons"/>
    <dgm:cxn modelId="{196618E4-73B7-47C1-A327-DDB9C0D65563}" type="presParOf" srcId="{6D16E605-37AC-4246-9AB5-2C65D4C32647}" destId="{06015AA0-F5C0-497F-9F33-E982D43F23AA}" srcOrd="3" destOrd="0" presId="urn:microsoft.com/office/officeart/2008/layout/AlternatingHexagons"/>
    <dgm:cxn modelId="{C4304364-C97E-4821-B1D6-BB6F68A9447B}" type="presParOf" srcId="{6D16E605-37AC-4246-9AB5-2C65D4C32647}" destId="{91CC1919-3651-4064-A39D-73709C7BFD1B}" srcOrd="4" destOrd="0" presId="urn:microsoft.com/office/officeart/2008/layout/AlternatingHexagons"/>
    <dgm:cxn modelId="{2628ECE0-E021-42A2-A02B-7C9565FFB799}" type="presParOf" srcId="{91CC1919-3651-4064-A39D-73709C7BFD1B}" destId="{18A2AD65-0802-497B-98B3-DE56D542523B}" srcOrd="0" destOrd="0" presId="urn:microsoft.com/office/officeart/2008/layout/AlternatingHexagons"/>
    <dgm:cxn modelId="{5006EC44-64F1-46FF-8A46-4AB092E6071C}" type="presParOf" srcId="{91CC1919-3651-4064-A39D-73709C7BFD1B}" destId="{10116DDC-40F6-4802-AD1F-78A53BE5AD10}" srcOrd="1" destOrd="0" presId="urn:microsoft.com/office/officeart/2008/layout/AlternatingHexagons"/>
    <dgm:cxn modelId="{0006F3D3-6071-417B-B1AC-530D91F3A9C2}" type="presParOf" srcId="{91CC1919-3651-4064-A39D-73709C7BFD1B}" destId="{415133C4-93D7-4569-B889-3D16F188439D}" srcOrd="2" destOrd="0" presId="urn:microsoft.com/office/officeart/2008/layout/AlternatingHexagons"/>
    <dgm:cxn modelId="{D5381489-6FC1-454A-934B-BBC831E0343A}" type="presParOf" srcId="{91CC1919-3651-4064-A39D-73709C7BFD1B}" destId="{A9F0810C-C1A8-41D0-B5CE-1B511C641429}" srcOrd="3" destOrd="0" presId="urn:microsoft.com/office/officeart/2008/layout/AlternatingHexagons"/>
    <dgm:cxn modelId="{CE1E3C32-2348-487C-9221-94FD0DD4AD16}" type="presParOf" srcId="{91CC1919-3651-4064-A39D-73709C7BFD1B}" destId="{2FD136F0-3AAC-47DE-9F38-2D31558BA27B}" srcOrd="4" destOrd="0" presId="urn:microsoft.com/office/officeart/2008/layout/AlternatingHexagons"/>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6A5900-ED64-4C74-A7E1-E85320CE74E5}">
      <dsp:nvSpPr>
        <dsp:cNvPr id="0" name=""/>
        <dsp:cNvSpPr/>
      </dsp:nvSpPr>
      <dsp:spPr>
        <a:xfrm>
          <a:off x="0" y="1562"/>
          <a:ext cx="5486400" cy="1031378"/>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marL="0" lvl="0" indent="0" algn="ctr" defTabSz="1733550">
            <a:lnSpc>
              <a:spcPct val="90000"/>
            </a:lnSpc>
            <a:spcBef>
              <a:spcPct val="0"/>
            </a:spcBef>
            <a:spcAft>
              <a:spcPct val="35000"/>
            </a:spcAft>
            <a:buNone/>
          </a:pPr>
          <a:r>
            <a:rPr lang="en-GB" sz="3900" b="1" u="sng" kern="1200"/>
            <a:t>Ethnocentric Approach</a:t>
          </a:r>
          <a:endParaRPr lang="en-IN" sz="3900" kern="1200"/>
        </a:p>
      </dsp:txBody>
      <dsp:txXfrm>
        <a:off x="0" y="1562"/>
        <a:ext cx="5486400" cy="1031378"/>
      </dsp:txXfrm>
    </dsp:sp>
    <dsp:sp modelId="{0CDE99E2-1654-461F-948E-A67135A4DFCC}">
      <dsp:nvSpPr>
        <dsp:cNvPr id="0" name=""/>
        <dsp:cNvSpPr/>
      </dsp:nvSpPr>
      <dsp:spPr>
        <a:xfrm>
          <a:off x="210093" y="1084510"/>
          <a:ext cx="5066212" cy="1031378"/>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marL="0" lvl="0" indent="0" algn="ctr" defTabSz="1733550">
            <a:lnSpc>
              <a:spcPct val="90000"/>
            </a:lnSpc>
            <a:spcBef>
              <a:spcPct val="0"/>
            </a:spcBef>
            <a:spcAft>
              <a:spcPct val="35000"/>
            </a:spcAft>
            <a:buNone/>
          </a:pPr>
          <a:r>
            <a:rPr lang="en-GB" sz="3900" b="1" u="sng" kern="1200"/>
            <a:t>Polycentric Approach</a:t>
          </a:r>
          <a:endParaRPr lang="en-IN" sz="3900" kern="1200"/>
        </a:p>
      </dsp:txBody>
      <dsp:txXfrm>
        <a:off x="210093" y="1084510"/>
        <a:ext cx="5066212" cy="1031378"/>
      </dsp:txXfrm>
    </dsp:sp>
    <dsp:sp modelId="{5F2697E9-414A-426F-9011-214FC34323A9}">
      <dsp:nvSpPr>
        <dsp:cNvPr id="0" name=""/>
        <dsp:cNvSpPr/>
      </dsp:nvSpPr>
      <dsp:spPr>
        <a:xfrm>
          <a:off x="246600" y="2167458"/>
          <a:ext cx="4993199" cy="1031378"/>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marL="0" lvl="0" indent="0" algn="ctr" defTabSz="1733550">
            <a:lnSpc>
              <a:spcPct val="90000"/>
            </a:lnSpc>
            <a:spcBef>
              <a:spcPct val="0"/>
            </a:spcBef>
            <a:spcAft>
              <a:spcPct val="35000"/>
            </a:spcAft>
            <a:buNone/>
          </a:pPr>
          <a:r>
            <a:rPr lang="en-GB" sz="3900" b="1" u="sng" kern="1200"/>
            <a:t>Geocentric Approach</a:t>
          </a:r>
          <a:endParaRPr lang="en-IN" sz="3900" kern="1200"/>
        </a:p>
      </dsp:txBody>
      <dsp:txXfrm>
        <a:off x="246600" y="2167458"/>
        <a:ext cx="4993199" cy="10313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EF3454-A4C7-4598-BB56-6D35F98E6240}">
      <dsp:nvSpPr>
        <dsp:cNvPr id="0" name=""/>
        <dsp:cNvSpPr/>
      </dsp:nvSpPr>
      <dsp:spPr>
        <a:xfrm>
          <a:off x="973183" y="0"/>
          <a:ext cx="3657600" cy="3657600"/>
        </a:xfrm>
        <a:prstGeom prst="diamond">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9F59956-8ADC-4E1B-9AAF-5C6A42A530C9}">
      <dsp:nvSpPr>
        <dsp:cNvPr id="0" name=""/>
        <dsp:cNvSpPr/>
      </dsp:nvSpPr>
      <dsp:spPr>
        <a:xfrm>
          <a:off x="1320655" y="347472"/>
          <a:ext cx="1426464" cy="1426464"/>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1" kern="1200"/>
            <a:t>Product adaption</a:t>
          </a:r>
          <a:endParaRPr lang="en-IN" sz="1500" kern="1200"/>
        </a:p>
      </dsp:txBody>
      <dsp:txXfrm>
        <a:off x="1390289" y="417106"/>
        <a:ext cx="1287196" cy="1287196"/>
      </dsp:txXfrm>
    </dsp:sp>
    <dsp:sp modelId="{16B060A7-4C6F-4181-99FC-FD5278CC427D}">
      <dsp:nvSpPr>
        <dsp:cNvPr id="0" name=""/>
        <dsp:cNvSpPr/>
      </dsp:nvSpPr>
      <dsp:spPr>
        <a:xfrm>
          <a:off x="2856847" y="347472"/>
          <a:ext cx="1426464" cy="1426464"/>
        </a:xfrm>
        <a:prstGeom prst="roundRect">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1" kern="1200"/>
            <a:t>Decision-making Structure</a:t>
          </a:r>
          <a:endParaRPr lang="en-IN" sz="1500" kern="1200"/>
        </a:p>
      </dsp:txBody>
      <dsp:txXfrm>
        <a:off x="2926481" y="417106"/>
        <a:ext cx="1287196" cy="1287196"/>
      </dsp:txXfrm>
    </dsp:sp>
    <dsp:sp modelId="{181571AB-0570-4487-BAA4-698E0CED4AD0}">
      <dsp:nvSpPr>
        <dsp:cNvPr id="0" name=""/>
        <dsp:cNvSpPr/>
      </dsp:nvSpPr>
      <dsp:spPr>
        <a:xfrm>
          <a:off x="1320655" y="1883664"/>
          <a:ext cx="1426464" cy="1426464"/>
        </a:xfrm>
        <a:prstGeom prst="roundRect">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1" kern="1200"/>
            <a:t>Marketing and Branding</a:t>
          </a:r>
          <a:endParaRPr lang="en-IN" sz="1500" kern="1200"/>
        </a:p>
      </dsp:txBody>
      <dsp:txXfrm>
        <a:off x="1390289" y="1953298"/>
        <a:ext cx="1287196" cy="1287196"/>
      </dsp:txXfrm>
    </dsp:sp>
    <dsp:sp modelId="{376E87ED-628B-4555-A7D3-821798823745}">
      <dsp:nvSpPr>
        <dsp:cNvPr id="0" name=""/>
        <dsp:cNvSpPr/>
      </dsp:nvSpPr>
      <dsp:spPr>
        <a:xfrm>
          <a:off x="2856847" y="1883664"/>
          <a:ext cx="1426464" cy="1426464"/>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1" kern="1200"/>
            <a:t>Human Resource Management</a:t>
          </a:r>
          <a:endParaRPr lang="en-IN" sz="1500" kern="1200"/>
        </a:p>
      </dsp:txBody>
      <dsp:txXfrm>
        <a:off x="2926481" y="1953298"/>
        <a:ext cx="1287196" cy="12871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815AD4-5E4C-4982-8B9E-D4FDDEE5F82C}">
      <dsp:nvSpPr>
        <dsp:cNvPr id="0" name=""/>
        <dsp:cNvSpPr/>
      </dsp:nvSpPr>
      <dsp:spPr>
        <a:xfrm>
          <a:off x="0" y="624550"/>
          <a:ext cx="1792400" cy="1075440"/>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Globalisation combined with local adaptation</a:t>
          </a:r>
          <a:endParaRPr lang="en-IN" sz="1700" kern="1200"/>
        </a:p>
      </dsp:txBody>
      <dsp:txXfrm>
        <a:off x="0" y="624550"/>
        <a:ext cx="1792400" cy="1075440"/>
      </dsp:txXfrm>
    </dsp:sp>
    <dsp:sp modelId="{F077328D-68D6-4339-933C-0BDBFC53058F}">
      <dsp:nvSpPr>
        <dsp:cNvPr id="0" name=""/>
        <dsp:cNvSpPr/>
      </dsp:nvSpPr>
      <dsp:spPr>
        <a:xfrm>
          <a:off x="1971641" y="624550"/>
          <a:ext cx="1792400" cy="1075440"/>
        </a:xfrm>
        <a:prstGeom prst="rect">
          <a:avLst/>
        </a:prstGeom>
        <a:solidFill>
          <a:schemeClr val="accent3">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Coordination and decision-making that is effective</a:t>
          </a:r>
          <a:endParaRPr lang="en-IN" sz="1700" kern="1200"/>
        </a:p>
      </dsp:txBody>
      <dsp:txXfrm>
        <a:off x="1971641" y="624550"/>
        <a:ext cx="1792400" cy="1075440"/>
      </dsp:txXfrm>
    </dsp:sp>
    <dsp:sp modelId="{999D3E06-1C4F-492D-90F2-71228D92294D}">
      <dsp:nvSpPr>
        <dsp:cNvPr id="0" name=""/>
        <dsp:cNvSpPr/>
      </dsp:nvSpPr>
      <dsp:spPr>
        <a:xfrm>
          <a:off x="3943282" y="624550"/>
          <a:ext cx="1792400" cy="1075440"/>
        </a:xfrm>
        <a:prstGeom prst="rect">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Adaptability to Local Market Circumstances</a:t>
          </a:r>
          <a:endParaRPr lang="en-IN" sz="1700" kern="1200"/>
        </a:p>
      </dsp:txBody>
      <dsp:txXfrm>
        <a:off x="3943282" y="624550"/>
        <a:ext cx="1792400" cy="1075440"/>
      </dsp:txXfrm>
    </dsp:sp>
    <dsp:sp modelId="{1BB1A9D6-EB5D-4F3C-80C2-5A2E0833691A}">
      <dsp:nvSpPr>
        <dsp:cNvPr id="0" name=""/>
        <dsp:cNvSpPr/>
      </dsp:nvSpPr>
      <dsp:spPr>
        <a:xfrm>
          <a:off x="985820" y="1879231"/>
          <a:ext cx="1792400" cy="1075440"/>
        </a:xfrm>
        <a:prstGeom prst="rect">
          <a:avLst/>
        </a:prstGeom>
        <a:solidFill>
          <a:schemeClr val="accent3">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Workforce Diversity for Innovation</a:t>
          </a:r>
          <a:endParaRPr lang="en-IN" sz="1700" kern="1200"/>
        </a:p>
      </dsp:txBody>
      <dsp:txXfrm>
        <a:off x="985820" y="1879231"/>
        <a:ext cx="1792400" cy="1075440"/>
      </dsp:txXfrm>
    </dsp:sp>
    <dsp:sp modelId="{A7F09979-465D-4E40-8016-778870F135B4}">
      <dsp:nvSpPr>
        <dsp:cNvPr id="0" name=""/>
        <dsp:cNvSpPr/>
      </dsp:nvSpPr>
      <dsp:spPr>
        <a:xfrm>
          <a:off x="2957461" y="1879231"/>
          <a:ext cx="1792400" cy="1075440"/>
        </a:xfrm>
        <a:prstGeom prst="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Compliance with regulations and responsiveness</a:t>
          </a:r>
          <a:endParaRPr lang="en-IN" sz="1700" kern="1200"/>
        </a:p>
      </dsp:txBody>
      <dsp:txXfrm>
        <a:off x="2957461" y="1879231"/>
        <a:ext cx="1792400" cy="107544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9F3ED6-6D1B-4095-AB14-A1CDDE3458CA}">
      <dsp:nvSpPr>
        <dsp:cNvPr id="0" name=""/>
        <dsp:cNvSpPr/>
      </dsp:nvSpPr>
      <dsp:spPr>
        <a:xfrm rot="5400000">
          <a:off x="2710246" y="103274"/>
          <a:ext cx="1578105" cy="1372951"/>
        </a:xfrm>
        <a:prstGeom prst="hexagon">
          <a:avLst>
            <a:gd name="adj" fmla="val 25000"/>
            <a:gd name="vf" fmla="val 115470"/>
          </a:avLst>
        </a:prstGeom>
        <a:solidFill>
          <a:schemeClr val="accent2">
            <a:shade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i="1" kern="1200"/>
            <a:t>Political Aspects and Geocentric Alignment</a:t>
          </a:r>
          <a:endParaRPr lang="en-IN" sz="1000" kern="1200"/>
        </a:p>
      </dsp:txBody>
      <dsp:txXfrm rot="-5400000">
        <a:off x="3026775" y="246618"/>
        <a:ext cx="945047" cy="1086263"/>
      </dsp:txXfrm>
    </dsp:sp>
    <dsp:sp modelId="{23FDE782-838A-41C6-A065-BC63FBB2A2C4}">
      <dsp:nvSpPr>
        <dsp:cNvPr id="0" name=""/>
        <dsp:cNvSpPr/>
      </dsp:nvSpPr>
      <dsp:spPr>
        <a:xfrm>
          <a:off x="4227436" y="316318"/>
          <a:ext cx="1761165" cy="94686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GB" sz="1000" b="1" i="1" kern="1200"/>
            <a:t>Economic Aspects and Geocentric Alignment</a:t>
          </a:r>
          <a:endParaRPr lang="en-IN" sz="1000" kern="1200"/>
        </a:p>
      </dsp:txBody>
      <dsp:txXfrm>
        <a:off x="4227436" y="316318"/>
        <a:ext cx="1761165" cy="946863"/>
      </dsp:txXfrm>
    </dsp:sp>
    <dsp:sp modelId="{60BD4875-DCB3-4F27-B8D9-A74B68BD6D14}">
      <dsp:nvSpPr>
        <dsp:cNvPr id="0" name=""/>
        <dsp:cNvSpPr/>
      </dsp:nvSpPr>
      <dsp:spPr>
        <a:xfrm rot="5400000">
          <a:off x="1227458" y="103274"/>
          <a:ext cx="1578105" cy="1372951"/>
        </a:xfrm>
        <a:prstGeom prst="hexagon">
          <a:avLst>
            <a:gd name="adj" fmla="val 25000"/>
            <a:gd name="vf" fmla="val 115470"/>
          </a:avLst>
        </a:prstGeom>
        <a:solidFill>
          <a:schemeClr val="accent2">
            <a:shade val="50000"/>
            <a:hueOff val="-13828"/>
            <a:satOff val="-2803"/>
            <a:lumOff val="154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IN" sz="3600" kern="1200"/>
        </a:p>
      </dsp:txBody>
      <dsp:txXfrm rot="-5400000">
        <a:off x="1543987" y="246618"/>
        <a:ext cx="945047" cy="1086263"/>
      </dsp:txXfrm>
    </dsp:sp>
    <dsp:sp modelId="{48BF623B-F1B0-4C9C-9A5D-4FA66D026081}">
      <dsp:nvSpPr>
        <dsp:cNvPr id="0" name=""/>
        <dsp:cNvSpPr/>
      </dsp:nvSpPr>
      <dsp:spPr>
        <a:xfrm rot="5400000">
          <a:off x="1966011" y="1442769"/>
          <a:ext cx="1578105" cy="1372951"/>
        </a:xfrm>
        <a:prstGeom prst="hexagon">
          <a:avLst>
            <a:gd name="adj" fmla="val 25000"/>
            <a:gd name="vf" fmla="val 115470"/>
          </a:avLst>
        </a:prstGeom>
        <a:solidFill>
          <a:schemeClr val="accent2">
            <a:shade val="50000"/>
            <a:hueOff val="-27656"/>
            <a:satOff val="-5606"/>
            <a:lumOff val="3083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chemeClr val="tx1"/>
              </a:solidFill>
            </a:rPr>
            <a:t>Technological Aspects and Geocentric Approach</a:t>
          </a:r>
          <a:endParaRPr lang="en-IN" sz="1000" kern="1200">
            <a:solidFill>
              <a:schemeClr val="tx1"/>
            </a:solidFill>
          </a:endParaRPr>
        </a:p>
      </dsp:txBody>
      <dsp:txXfrm rot="-5400000">
        <a:off x="2282540" y="1586113"/>
        <a:ext cx="945047" cy="1086263"/>
      </dsp:txXfrm>
    </dsp:sp>
    <dsp:sp modelId="{EDF1F87D-6D1D-461F-B279-52692173155C}">
      <dsp:nvSpPr>
        <dsp:cNvPr id="0" name=""/>
        <dsp:cNvSpPr/>
      </dsp:nvSpPr>
      <dsp:spPr>
        <a:xfrm>
          <a:off x="307423" y="1655813"/>
          <a:ext cx="1704353" cy="94686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r" defTabSz="444500">
            <a:lnSpc>
              <a:spcPct val="90000"/>
            </a:lnSpc>
            <a:spcBef>
              <a:spcPct val="0"/>
            </a:spcBef>
            <a:spcAft>
              <a:spcPct val="35000"/>
            </a:spcAft>
            <a:buNone/>
          </a:pPr>
          <a:r>
            <a:rPr lang="en-GB" sz="1000" b="1" i="1" kern="1200"/>
            <a:t>Environmental Aspects and Geocentric Alignment</a:t>
          </a:r>
          <a:endParaRPr lang="en-IN" sz="1000" kern="1200"/>
        </a:p>
      </dsp:txBody>
      <dsp:txXfrm>
        <a:off x="307423" y="1655813"/>
        <a:ext cx="1704353" cy="946863"/>
      </dsp:txXfrm>
    </dsp:sp>
    <dsp:sp modelId="{E801C17D-9557-48B7-9E54-586730817C0A}">
      <dsp:nvSpPr>
        <dsp:cNvPr id="0" name=""/>
        <dsp:cNvSpPr/>
      </dsp:nvSpPr>
      <dsp:spPr>
        <a:xfrm rot="5400000">
          <a:off x="3448799" y="1442769"/>
          <a:ext cx="1578105" cy="1372951"/>
        </a:xfrm>
        <a:prstGeom prst="hexagon">
          <a:avLst>
            <a:gd name="adj" fmla="val 25000"/>
            <a:gd name="vf" fmla="val 115470"/>
          </a:avLst>
        </a:prstGeom>
        <a:solidFill>
          <a:schemeClr val="accent2">
            <a:shade val="50000"/>
            <a:hueOff val="-41484"/>
            <a:satOff val="-8409"/>
            <a:lumOff val="4625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IN" sz="3600" kern="1200"/>
        </a:p>
      </dsp:txBody>
      <dsp:txXfrm rot="-5400000">
        <a:off x="3765328" y="1586113"/>
        <a:ext cx="945047" cy="1086263"/>
      </dsp:txXfrm>
    </dsp:sp>
    <dsp:sp modelId="{D44BD986-974A-43A9-9EE4-EDCD4347FFC4}">
      <dsp:nvSpPr>
        <dsp:cNvPr id="0" name=""/>
        <dsp:cNvSpPr/>
      </dsp:nvSpPr>
      <dsp:spPr>
        <a:xfrm rot="5400000">
          <a:off x="2710246" y="2782265"/>
          <a:ext cx="1578105" cy="1372951"/>
        </a:xfrm>
        <a:prstGeom prst="hexagon">
          <a:avLst>
            <a:gd name="adj" fmla="val 25000"/>
            <a:gd name="vf" fmla="val 115470"/>
          </a:avLst>
        </a:prstGeom>
        <a:solidFill>
          <a:schemeClr val="accent2">
            <a:shade val="50000"/>
            <a:hueOff val="-27656"/>
            <a:satOff val="-5606"/>
            <a:lumOff val="3083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i="1" kern="1200">
              <a:solidFill>
                <a:schemeClr val="tx1"/>
              </a:solidFill>
            </a:rPr>
            <a:t>Social Aspects and Geocentric Alignment</a:t>
          </a:r>
          <a:endParaRPr lang="en-IN" sz="1000" kern="1200">
            <a:solidFill>
              <a:schemeClr val="tx1"/>
            </a:solidFill>
          </a:endParaRPr>
        </a:p>
      </dsp:txBody>
      <dsp:txXfrm rot="-5400000">
        <a:off x="3026775" y="2925609"/>
        <a:ext cx="945047" cy="1086263"/>
      </dsp:txXfrm>
    </dsp:sp>
    <dsp:sp modelId="{37A0641A-0392-42D4-9A03-9F9B5DD1F6FC}">
      <dsp:nvSpPr>
        <dsp:cNvPr id="0" name=""/>
        <dsp:cNvSpPr/>
      </dsp:nvSpPr>
      <dsp:spPr>
        <a:xfrm>
          <a:off x="4227436" y="2995309"/>
          <a:ext cx="1761165" cy="94686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GB" sz="1000" b="1" i="1" kern="1200"/>
            <a:t>Legal Considerations and Geocentric Alignment</a:t>
          </a:r>
          <a:endParaRPr lang="en-IN" sz="1000" kern="1200"/>
        </a:p>
      </dsp:txBody>
      <dsp:txXfrm>
        <a:off x="4227436" y="2995309"/>
        <a:ext cx="1761165" cy="946863"/>
      </dsp:txXfrm>
    </dsp:sp>
    <dsp:sp modelId="{A9CD7946-0345-41C8-9586-F4959E75ECED}">
      <dsp:nvSpPr>
        <dsp:cNvPr id="0" name=""/>
        <dsp:cNvSpPr/>
      </dsp:nvSpPr>
      <dsp:spPr>
        <a:xfrm rot="5400000">
          <a:off x="1227458" y="2782265"/>
          <a:ext cx="1578105" cy="1372951"/>
        </a:xfrm>
        <a:prstGeom prst="hexagon">
          <a:avLst>
            <a:gd name="adj" fmla="val 25000"/>
            <a:gd name="vf" fmla="val 115470"/>
          </a:avLst>
        </a:prstGeom>
        <a:solidFill>
          <a:schemeClr val="accent2">
            <a:shade val="50000"/>
            <a:hueOff val="-13828"/>
            <a:satOff val="-2803"/>
            <a:lumOff val="154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IN" sz="3600" kern="1200"/>
        </a:p>
      </dsp:txBody>
      <dsp:txXfrm rot="-5400000">
        <a:off x="1543987" y="2925609"/>
        <a:ext cx="945047" cy="108626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29CD61-8390-44B5-B146-A1E46BCF469D}">
      <dsp:nvSpPr>
        <dsp:cNvPr id="0" name=""/>
        <dsp:cNvSpPr/>
      </dsp:nvSpPr>
      <dsp:spPr>
        <a:xfrm rot="5400000">
          <a:off x="2707182" y="316776"/>
          <a:ext cx="1778000" cy="1546860"/>
        </a:xfrm>
        <a:prstGeom prst="hexagon">
          <a:avLst>
            <a:gd name="adj" fmla="val 25000"/>
            <a:gd name="vf" fmla="val 11547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u="sng" kern="1200">
              <a:solidFill>
                <a:schemeClr val="tx1"/>
              </a:solidFill>
            </a:rPr>
            <a:t>Geopolitical Dynamics and the Regulatory Environment</a:t>
          </a:r>
          <a:endParaRPr lang="en-IN" sz="1100" kern="1200">
            <a:solidFill>
              <a:schemeClr val="tx1"/>
            </a:solidFill>
          </a:endParaRPr>
        </a:p>
      </dsp:txBody>
      <dsp:txXfrm rot="-5400000">
        <a:off x="3063804" y="478278"/>
        <a:ext cx="1064756" cy="1223856"/>
      </dsp:txXfrm>
    </dsp:sp>
    <dsp:sp modelId="{68479ED3-0409-4405-8005-84D7812187E5}">
      <dsp:nvSpPr>
        <dsp:cNvPr id="0" name=""/>
        <dsp:cNvSpPr/>
      </dsp:nvSpPr>
      <dsp:spPr>
        <a:xfrm>
          <a:off x="4416552" y="556806"/>
          <a:ext cx="1984248" cy="10668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b="1" u="sng" kern="1200"/>
            <a:t>Market Dynamics and Industry Trends</a:t>
          </a:r>
          <a:endParaRPr lang="en-IN" sz="1100" kern="1200"/>
        </a:p>
      </dsp:txBody>
      <dsp:txXfrm>
        <a:off x="4416552" y="556806"/>
        <a:ext cx="1984248" cy="1066800"/>
      </dsp:txXfrm>
    </dsp:sp>
    <dsp:sp modelId="{84691E90-19AA-42B6-AD08-60D298D7304F}">
      <dsp:nvSpPr>
        <dsp:cNvPr id="0" name=""/>
        <dsp:cNvSpPr/>
      </dsp:nvSpPr>
      <dsp:spPr>
        <a:xfrm rot="5400000">
          <a:off x="1036573" y="316776"/>
          <a:ext cx="1778000" cy="1546860"/>
        </a:xfrm>
        <a:prstGeom prst="hexagon">
          <a:avLst>
            <a:gd name="adj" fmla="val 25000"/>
            <a:gd name="vf" fmla="val 115470"/>
          </a:avLst>
        </a:prstGeom>
        <a:solidFill>
          <a:schemeClr val="accent2">
            <a:hueOff val="936304"/>
            <a:satOff val="-1168"/>
            <a:lumOff val="27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IN" sz="3600" kern="1200"/>
        </a:p>
      </dsp:txBody>
      <dsp:txXfrm rot="-5400000">
        <a:off x="1393195" y="478278"/>
        <a:ext cx="1064756" cy="1223856"/>
      </dsp:txXfrm>
    </dsp:sp>
    <dsp:sp modelId="{506863AB-324D-4CF3-A414-FCC1305FF669}">
      <dsp:nvSpPr>
        <dsp:cNvPr id="0" name=""/>
        <dsp:cNvSpPr/>
      </dsp:nvSpPr>
      <dsp:spPr>
        <a:xfrm rot="5400000">
          <a:off x="1868678" y="1825942"/>
          <a:ext cx="1778000" cy="1546860"/>
        </a:xfrm>
        <a:prstGeom prst="hexagon">
          <a:avLst>
            <a:gd name="adj" fmla="val 25000"/>
            <a:gd name="vf" fmla="val 115470"/>
          </a:avLst>
        </a:prstGeom>
        <a:solidFill>
          <a:schemeClr val="accent2">
            <a:hueOff val="1872608"/>
            <a:satOff val="-2336"/>
            <a:lumOff val="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u="sng" kern="1200">
              <a:solidFill>
                <a:schemeClr val="tx1"/>
              </a:solidFill>
            </a:rPr>
            <a:t>Technological Progress</a:t>
          </a:r>
          <a:endParaRPr lang="en-IN" sz="1100" kern="1200">
            <a:solidFill>
              <a:schemeClr val="tx1"/>
            </a:solidFill>
          </a:endParaRPr>
        </a:p>
      </dsp:txBody>
      <dsp:txXfrm rot="-5400000">
        <a:off x="2225300" y="1987444"/>
        <a:ext cx="1064756" cy="1223856"/>
      </dsp:txXfrm>
    </dsp:sp>
    <dsp:sp modelId="{01EB0113-D905-4C67-97CF-12FB000BC367}">
      <dsp:nvSpPr>
        <dsp:cNvPr id="0" name=""/>
        <dsp:cNvSpPr/>
      </dsp:nvSpPr>
      <dsp:spPr>
        <a:xfrm>
          <a:off x="0" y="2065972"/>
          <a:ext cx="1920240" cy="10668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r" defTabSz="488950">
            <a:lnSpc>
              <a:spcPct val="90000"/>
            </a:lnSpc>
            <a:spcBef>
              <a:spcPct val="0"/>
            </a:spcBef>
            <a:spcAft>
              <a:spcPct val="35000"/>
            </a:spcAft>
            <a:buNone/>
          </a:pPr>
          <a:r>
            <a:rPr lang="en-GB" sz="1100" b="1" u="sng" kern="1200"/>
            <a:t>Economic Situation</a:t>
          </a:r>
          <a:endParaRPr lang="en-IN" sz="1100" kern="1200"/>
        </a:p>
      </dsp:txBody>
      <dsp:txXfrm>
        <a:off x="0" y="2065972"/>
        <a:ext cx="1920240" cy="1066800"/>
      </dsp:txXfrm>
    </dsp:sp>
    <dsp:sp modelId="{6A23B10E-71ED-410A-A7DE-544DB64887FD}">
      <dsp:nvSpPr>
        <dsp:cNvPr id="0" name=""/>
        <dsp:cNvSpPr/>
      </dsp:nvSpPr>
      <dsp:spPr>
        <a:xfrm rot="5400000">
          <a:off x="3539286" y="1825942"/>
          <a:ext cx="1778000" cy="1546860"/>
        </a:xfrm>
        <a:prstGeom prst="hexagon">
          <a:avLst>
            <a:gd name="adj" fmla="val 25000"/>
            <a:gd name="vf" fmla="val 115470"/>
          </a:avLst>
        </a:prstGeom>
        <a:solidFill>
          <a:schemeClr val="accent2">
            <a:hueOff val="2808912"/>
            <a:satOff val="-3503"/>
            <a:lumOff val="82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IN" sz="3600" kern="1200"/>
        </a:p>
      </dsp:txBody>
      <dsp:txXfrm rot="-5400000">
        <a:off x="3895908" y="1987444"/>
        <a:ext cx="1064756" cy="1223856"/>
      </dsp:txXfrm>
    </dsp:sp>
    <dsp:sp modelId="{18A2AD65-0802-497B-98B3-DE56D542523B}">
      <dsp:nvSpPr>
        <dsp:cNvPr id="0" name=""/>
        <dsp:cNvSpPr/>
      </dsp:nvSpPr>
      <dsp:spPr>
        <a:xfrm rot="5400000">
          <a:off x="2707182" y="3335108"/>
          <a:ext cx="1778000" cy="1546860"/>
        </a:xfrm>
        <a:prstGeom prst="hexagon">
          <a:avLst>
            <a:gd name="adj" fmla="val 25000"/>
            <a:gd name="vf" fmla="val 115470"/>
          </a:avLst>
        </a:prstGeom>
        <a:solidFill>
          <a:schemeClr val="accent2">
            <a:hueOff val="3745216"/>
            <a:satOff val="-4671"/>
            <a:lumOff val="10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u="sng" kern="1200">
              <a:solidFill>
                <a:schemeClr val="tx1"/>
              </a:solidFill>
            </a:rPr>
            <a:t>Compliance with regulations and ethical considerations</a:t>
          </a:r>
          <a:endParaRPr lang="en-IN" sz="1100" kern="1200">
            <a:solidFill>
              <a:schemeClr val="tx1"/>
            </a:solidFill>
          </a:endParaRPr>
        </a:p>
      </dsp:txBody>
      <dsp:txXfrm rot="-5400000">
        <a:off x="3063804" y="3496610"/>
        <a:ext cx="1064756" cy="1223856"/>
      </dsp:txXfrm>
    </dsp:sp>
    <dsp:sp modelId="{10116DDC-40F6-4802-AD1F-78A53BE5AD10}">
      <dsp:nvSpPr>
        <dsp:cNvPr id="0" name=""/>
        <dsp:cNvSpPr/>
      </dsp:nvSpPr>
      <dsp:spPr>
        <a:xfrm>
          <a:off x="4416552" y="3575138"/>
          <a:ext cx="1984248" cy="10668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b="1" u="sng" kern="1200"/>
            <a:t>Competitive Environment</a:t>
          </a:r>
          <a:endParaRPr lang="en-IN" sz="1100" kern="1200"/>
        </a:p>
      </dsp:txBody>
      <dsp:txXfrm>
        <a:off x="4416552" y="3575138"/>
        <a:ext cx="1984248" cy="1066800"/>
      </dsp:txXfrm>
    </dsp:sp>
    <dsp:sp modelId="{2FD136F0-3AAC-47DE-9F38-2D31558BA27B}">
      <dsp:nvSpPr>
        <dsp:cNvPr id="0" name=""/>
        <dsp:cNvSpPr/>
      </dsp:nvSpPr>
      <dsp:spPr>
        <a:xfrm rot="5400000">
          <a:off x="1036573" y="3335108"/>
          <a:ext cx="1778000" cy="1546860"/>
        </a:xfrm>
        <a:prstGeom prst="hexagon">
          <a:avLst>
            <a:gd name="adj" fmla="val 25000"/>
            <a:gd name="vf" fmla="val 115470"/>
          </a:avLst>
        </a:prstGeom>
        <a:solidFill>
          <a:schemeClr val="accent2">
            <a:hueOff val="4681520"/>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IN" sz="3600" kern="1200"/>
        </a:p>
      </dsp:txBody>
      <dsp:txXfrm rot="-5400000">
        <a:off x="1393195" y="3496610"/>
        <a:ext cx="1064756" cy="1223856"/>
      </dsp:txXfrm>
    </dsp:sp>
  </dsp:spTree>
</dsp:drawing>
</file>

<file path=word/diagrams/layout1.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off" val="ctr"/>
          <dgm:param type="contDir" val="sameDir"/>
          <dgm:param type="grDir" val="tL"/>
          <dgm:param type="flowDir" val="row"/>
        </dgm:alg>
      </dgm:if>
      <dgm:else name="Name2">
        <dgm:alg type="snake">
          <dgm:param type="off" val="ctr"/>
          <dgm:param type="contDir" val="sameDir"/>
          <dgm:param type="grDir" val="tR"/>
          <dgm:param type="flowDir" val="row"/>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type="hexagon" r:blip="" rot="90">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type="hexagon" r:blip="" rot="90">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type="hexagon" r:blip="" rot="90">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type="hexagon" r:blip="" rot="90">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7F39A-E3C4-4B3D-B8F8-6755400440EE}">
  <ds:schemaRefs/>
</ds:datastoreItem>
</file>

<file path=docProps/app.xml><?xml version="1.0" encoding="utf-8"?>
<Properties xmlns="http://schemas.openxmlformats.org/officeDocument/2006/extended-properties" xmlns:vt="http://schemas.openxmlformats.org/officeDocument/2006/docPropsVTypes">
  <Template>Normal</Template>
  <Pages>28</Pages>
  <Words>8458</Words>
  <Characters>48216</Characters>
  <Lines>401</Lines>
  <Paragraphs>113</Paragraphs>
  <TotalTime>8</TotalTime>
  <ScaleCrop>false</ScaleCrop>
  <LinksUpToDate>false</LinksUpToDate>
  <CharactersWithSpaces>56561</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2023-11-15T20:07:00Z</dcterms:created>
  <dc:creator>DAYEETA CHOWDHURY</dc:creator>
  <cp:lastModifiedBy>Aakshay</cp:lastModifiedBy>
  <dcterms:modified xsi:type="dcterms:W3CDTF">2023-11-17T00:22:57Z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42E303284F8D4742AD4EEE578B9777C4</vt:lpwstr>
  </property>
</Properties>
</file>