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7E98" w:rsidRPr="00D27B83" w:rsidRDefault="00347E98">
      <w:pPr>
        <w:spacing w:line="360" w:lineRule="auto"/>
        <w:jc w:val="center"/>
        <w:rPr>
          <w:rFonts w:ascii="Times New Roman" w:eastAsia="Times New Roman" w:hAnsi="Times New Roman" w:cs="Times New Roman"/>
          <w:b/>
          <w:bCs/>
          <w:sz w:val="24"/>
          <w:szCs w:val="24"/>
        </w:rPr>
      </w:pPr>
    </w:p>
    <w:p w:rsidR="00347E98" w:rsidRPr="00D27B83" w:rsidRDefault="00347E98">
      <w:pPr>
        <w:spacing w:line="360" w:lineRule="auto"/>
        <w:jc w:val="center"/>
        <w:rPr>
          <w:rFonts w:ascii="Times New Roman" w:eastAsia="Times New Roman" w:hAnsi="Times New Roman" w:cs="Times New Roman"/>
          <w:b/>
          <w:bCs/>
          <w:sz w:val="24"/>
          <w:szCs w:val="24"/>
        </w:rPr>
      </w:pPr>
    </w:p>
    <w:p w:rsidR="00347E98" w:rsidRPr="00D27B83" w:rsidRDefault="00347E98">
      <w:pPr>
        <w:spacing w:line="360" w:lineRule="auto"/>
        <w:jc w:val="center"/>
        <w:rPr>
          <w:rFonts w:ascii="Times New Roman" w:eastAsia="Times New Roman" w:hAnsi="Times New Roman" w:cs="Times New Roman"/>
          <w:b/>
          <w:bCs/>
          <w:sz w:val="32"/>
          <w:szCs w:val="32"/>
        </w:rPr>
      </w:pPr>
    </w:p>
    <w:p w:rsidR="00347E98" w:rsidRPr="00D27B83" w:rsidRDefault="00347E98">
      <w:pPr>
        <w:spacing w:line="360" w:lineRule="auto"/>
        <w:jc w:val="center"/>
        <w:rPr>
          <w:rFonts w:ascii="Times New Roman" w:eastAsia="Times New Roman" w:hAnsi="Times New Roman" w:cs="Times New Roman"/>
          <w:b/>
          <w:bCs/>
          <w:sz w:val="32"/>
          <w:szCs w:val="32"/>
        </w:rPr>
      </w:pPr>
    </w:p>
    <w:p w:rsidR="00347E98" w:rsidRPr="00D27B83" w:rsidRDefault="00347E98">
      <w:pPr>
        <w:spacing w:line="360" w:lineRule="auto"/>
        <w:jc w:val="center"/>
        <w:rPr>
          <w:rFonts w:ascii="Times New Roman" w:eastAsia="Times New Roman" w:hAnsi="Times New Roman" w:cs="Times New Roman"/>
          <w:b/>
          <w:bCs/>
          <w:sz w:val="32"/>
          <w:szCs w:val="32"/>
        </w:rPr>
      </w:pPr>
    </w:p>
    <w:p w:rsidR="00347E98" w:rsidRPr="00D27B83" w:rsidRDefault="003C4BEA">
      <w:pPr>
        <w:spacing w:line="360" w:lineRule="auto"/>
        <w:jc w:val="center"/>
        <w:rPr>
          <w:rFonts w:ascii="Times New Roman" w:eastAsia="Times New Roman" w:hAnsi="Times New Roman" w:cs="Times New Roman"/>
          <w:b/>
          <w:bCs/>
          <w:sz w:val="32"/>
          <w:szCs w:val="32"/>
        </w:rPr>
      </w:pPr>
      <w:r w:rsidRPr="00D27B83">
        <w:rPr>
          <w:rFonts w:ascii="Times New Roman" w:eastAsia="Times New Roman" w:hAnsi="Times New Roman" w:cs="Times New Roman"/>
          <w:b/>
          <w:bCs/>
          <w:sz w:val="32"/>
          <w:szCs w:val="32"/>
        </w:rPr>
        <w:t>Principles of Marketing</w:t>
      </w:r>
    </w:p>
    <w:p w:rsidR="00347E98" w:rsidRDefault="003C4BEA">
      <w:pPr>
        <w:spacing w:line="360" w:lineRule="auto"/>
        <w:jc w:val="center"/>
        <w:rPr>
          <w:rFonts w:ascii="Times New Roman" w:eastAsia="Times New Roman" w:hAnsi="Times New Roman" w:cs="Times New Roman"/>
          <w:b/>
          <w:bCs/>
          <w:sz w:val="32"/>
          <w:szCs w:val="32"/>
        </w:rPr>
      </w:pPr>
      <w:r w:rsidRPr="00D27B83">
        <w:rPr>
          <w:rFonts w:ascii="Times New Roman" w:eastAsia="Times New Roman" w:hAnsi="Times New Roman" w:cs="Times New Roman"/>
          <w:b/>
          <w:bCs/>
          <w:sz w:val="32"/>
          <w:szCs w:val="32"/>
        </w:rPr>
        <w:t>LCBB5015</w:t>
      </w:r>
    </w:p>
    <w:p w:rsidR="003D5E1A" w:rsidRDefault="003D5E1A">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Component 1</w:t>
      </w:r>
    </w:p>
    <w:p w:rsidR="003D5E1A" w:rsidRPr="00D27B83" w:rsidRDefault="003D5E1A" w:rsidP="003D5E1A">
      <w:pPr>
        <w:spacing w:line="360" w:lineRule="auto"/>
        <w:rPr>
          <w:rFonts w:ascii="Times New Roman" w:eastAsia="Times New Roman" w:hAnsi="Times New Roman" w:cs="Times New Roman"/>
          <w:b/>
          <w:bCs/>
          <w:sz w:val="32"/>
          <w:szCs w:val="32"/>
        </w:rPr>
      </w:pPr>
    </w:p>
    <w:p w:rsidR="00347E98" w:rsidRPr="00D27B83" w:rsidRDefault="00347E98">
      <w:pPr>
        <w:spacing w:line="360" w:lineRule="auto"/>
        <w:jc w:val="center"/>
        <w:rPr>
          <w:rFonts w:ascii="Times New Roman" w:eastAsia="Times New Roman" w:hAnsi="Times New Roman" w:cs="Times New Roman"/>
          <w:b/>
          <w:bCs/>
          <w:sz w:val="24"/>
          <w:szCs w:val="24"/>
        </w:rPr>
      </w:pPr>
    </w:p>
    <w:p w:rsidR="00347E98" w:rsidRPr="00D27B83" w:rsidRDefault="00347E98">
      <w:pPr>
        <w:spacing w:line="360" w:lineRule="auto"/>
        <w:jc w:val="center"/>
        <w:rPr>
          <w:rFonts w:ascii="Times New Roman" w:eastAsia="Times New Roman" w:hAnsi="Times New Roman" w:cs="Times New Roman"/>
          <w:b/>
          <w:bCs/>
          <w:sz w:val="28"/>
          <w:szCs w:val="28"/>
        </w:rPr>
      </w:pPr>
    </w:p>
    <w:p w:rsidR="00347E98" w:rsidRPr="00D27B83" w:rsidRDefault="003C4BEA">
      <w:pPr>
        <w:spacing w:line="360" w:lineRule="auto"/>
        <w:jc w:val="center"/>
        <w:rPr>
          <w:rFonts w:ascii="Times New Roman" w:eastAsia="Times New Roman" w:hAnsi="Times New Roman" w:cs="Times New Roman"/>
          <w:b/>
          <w:bCs/>
          <w:sz w:val="28"/>
          <w:szCs w:val="28"/>
        </w:rPr>
      </w:pPr>
      <w:r w:rsidRPr="00D27B83">
        <w:rPr>
          <w:rFonts w:ascii="Times New Roman" w:eastAsia="Times New Roman" w:hAnsi="Times New Roman" w:cs="Times New Roman"/>
          <w:b/>
          <w:bCs/>
          <w:sz w:val="28"/>
          <w:szCs w:val="28"/>
        </w:rPr>
        <w:t>Individual Report on Monzo’s situational analysis</w:t>
      </w:r>
    </w:p>
    <w:p w:rsidR="00347E98" w:rsidRPr="00D27B83" w:rsidRDefault="00347E98">
      <w:pPr>
        <w:spacing w:line="360" w:lineRule="auto"/>
        <w:jc w:val="center"/>
        <w:rPr>
          <w:rFonts w:ascii="Times New Roman" w:eastAsia="Times New Roman" w:hAnsi="Times New Roman" w:cs="Times New Roman"/>
          <w:sz w:val="24"/>
          <w:szCs w:val="24"/>
        </w:rPr>
      </w:pPr>
    </w:p>
    <w:p w:rsidR="00347E98" w:rsidRPr="00D27B83" w:rsidRDefault="00347E98">
      <w:pPr>
        <w:spacing w:line="360" w:lineRule="auto"/>
        <w:jc w:val="center"/>
        <w:rPr>
          <w:rFonts w:ascii="Times New Roman" w:eastAsia="Times New Roman" w:hAnsi="Times New Roman" w:cs="Times New Roman"/>
          <w:sz w:val="24"/>
          <w:szCs w:val="24"/>
        </w:rPr>
      </w:pPr>
    </w:p>
    <w:p w:rsidR="00347E98" w:rsidRPr="00D27B83" w:rsidRDefault="003C4BEA">
      <w:pPr>
        <w:spacing w:line="360" w:lineRule="auto"/>
        <w:jc w:val="center"/>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 xml:space="preserve">Student </w:t>
      </w:r>
      <w:proofErr w:type="spellStart"/>
      <w:r w:rsidRPr="00D27B83">
        <w:rPr>
          <w:rFonts w:ascii="Times New Roman" w:eastAsia="Times New Roman" w:hAnsi="Times New Roman" w:cs="Times New Roman"/>
          <w:b/>
          <w:bCs/>
          <w:sz w:val="24"/>
          <w:szCs w:val="24"/>
        </w:rPr>
        <w:t>Name</w:t>
      </w:r>
      <w:proofErr w:type="gramStart"/>
      <w:r w:rsidRPr="00D27B83">
        <w:rPr>
          <w:rFonts w:ascii="Times New Roman" w:eastAsia="Times New Roman" w:hAnsi="Times New Roman" w:cs="Times New Roman"/>
          <w:b/>
          <w:bCs/>
          <w:sz w:val="24"/>
          <w:szCs w:val="24"/>
        </w:rPr>
        <w:t>:</w:t>
      </w:r>
      <w:r w:rsidR="00695549">
        <w:rPr>
          <w:rFonts w:ascii="Times New Roman" w:eastAsia="Times New Roman" w:hAnsi="Times New Roman" w:cs="Times New Roman"/>
          <w:b/>
          <w:bCs/>
          <w:sz w:val="24"/>
          <w:szCs w:val="24"/>
        </w:rPr>
        <w:t>Anamaria</w:t>
      </w:r>
      <w:proofErr w:type="spellEnd"/>
      <w:proofErr w:type="gramEnd"/>
      <w:r w:rsidR="00695549">
        <w:rPr>
          <w:rFonts w:ascii="Times New Roman" w:eastAsia="Times New Roman" w:hAnsi="Times New Roman" w:cs="Times New Roman"/>
          <w:b/>
          <w:bCs/>
          <w:sz w:val="24"/>
          <w:szCs w:val="24"/>
        </w:rPr>
        <w:t xml:space="preserve"> Alondra </w:t>
      </w:r>
      <w:proofErr w:type="spellStart"/>
      <w:r w:rsidR="00695549">
        <w:rPr>
          <w:rFonts w:ascii="Times New Roman" w:eastAsia="Times New Roman" w:hAnsi="Times New Roman" w:cs="Times New Roman"/>
          <w:b/>
          <w:bCs/>
          <w:sz w:val="24"/>
          <w:szCs w:val="24"/>
        </w:rPr>
        <w:t>Iladie</w:t>
      </w:r>
      <w:proofErr w:type="spellEnd"/>
    </w:p>
    <w:p w:rsidR="00347E98" w:rsidRPr="00D27B83" w:rsidRDefault="003C4BEA">
      <w:pPr>
        <w:spacing w:line="360" w:lineRule="auto"/>
        <w:jc w:val="center"/>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Student ID</w:t>
      </w:r>
      <w:proofErr w:type="gramStart"/>
      <w:r w:rsidRPr="00D27B83">
        <w:rPr>
          <w:rFonts w:ascii="Times New Roman" w:eastAsia="Times New Roman" w:hAnsi="Times New Roman" w:cs="Times New Roman"/>
          <w:b/>
          <w:bCs/>
          <w:sz w:val="24"/>
          <w:szCs w:val="24"/>
        </w:rPr>
        <w:t>:</w:t>
      </w:r>
      <w:r w:rsidR="00695549">
        <w:rPr>
          <w:rFonts w:ascii="Times New Roman" w:eastAsia="Times New Roman" w:hAnsi="Times New Roman" w:cs="Times New Roman"/>
          <w:b/>
          <w:bCs/>
          <w:sz w:val="24"/>
          <w:szCs w:val="24"/>
        </w:rPr>
        <w:t>2532554</w:t>
      </w:r>
      <w:bookmarkStart w:id="0" w:name="_GoBack"/>
      <w:bookmarkEnd w:id="0"/>
      <w:proofErr w:type="gramEnd"/>
      <w:r w:rsidRPr="00D27B83">
        <w:br w:type="page"/>
      </w:r>
    </w:p>
    <w:bookmarkStart w:id="1" w:name="_ijq2diet8p25" w:colFirst="0" w:colLast="0" w:displacedByCustomXml="next"/>
    <w:bookmarkEnd w:id="1" w:displacedByCustomXml="next"/>
    <w:sdt>
      <w:sdtPr>
        <w:rPr>
          <w:rFonts w:ascii="Arial" w:eastAsia="Arial" w:hAnsi="Arial" w:cs="Arial"/>
          <w:color w:val="auto"/>
          <w:sz w:val="22"/>
          <w:szCs w:val="22"/>
          <w:lang w:val="en-GB" w:eastAsia="en-GB"/>
        </w:rPr>
        <w:id w:val="-812556734"/>
        <w:docPartObj>
          <w:docPartGallery w:val="Table of Contents"/>
          <w:docPartUnique/>
        </w:docPartObj>
      </w:sdtPr>
      <w:sdtEndPr>
        <w:rPr>
          <w:b/>
          <w:bCs/>
          <w:noProof/>
        </w:rPr>
      </w:sdtEndPr>
      <w:sdtContent>
        <w:p w:rsidR="00DB44FD" w:rsidRPr="00DB44FD" w:rsidRDefault="00DB44FD" w:rsidP="00DB44FD">
          <w:pPr>
            <w:pStyle w:val="TOCHeading"/>
            <w:spacing w:line="360" w:lineRule="auto"/>
            <w:jc w:val="center"/>
            <w:rPr>
              <w:rFonts w:ascii="Times New Roman" w:hAnsi="Times New Roman" w:cs="Times New Roman"/>
              <w:b/>
              <w:color w:val="auto"/>
              <w:sz w:val="24"/>
              <w:szCs w:val="24"/>
            </w:rPr>
          </w:pPr>
          <w:r w:rsidRPr="00DB44FD">
            <w:rPr>
              <w:rFonts w:ascii="Times New Roman" w:hAnsi="Times New Roman" w:cs="Times New Roman"/>
              <w:b/>
              <w:color w:val="auto"/>
              <w:sz w:val="24"/>
              <w:szCs w:val="24"/>
            </w:rPr>
            <w:t>Table of Contents</w:t>
          </w:r>
        </w:p>
        <w:p w:rsidR="00DB44FD" w:rsidRPr="00DB44FD" w:rsidRDefault="00DB44FD" w:rsidP="00DB44FD">
          <w:pPr>
            <w:pStyle w:val="TOC1"/>
            <w:tabs>
              <w:tab w:val="right" w:leader="dot" w:pos="9019"/>
            </w:tabs>
            <w:spacing w:line="360" w:lineRule="auto"/>
            <w:rPr>
              <w:rFonts w:ascii="Times New Roman" w:hAnsi="Times New Roman" w:cs="Times New Roman"/>
              <w:noProof/>
              <w:sz w:val="24"/>
              <w:szCs w:val="24"/>
            </w:rPr>
          </w:pPr>
          <w:r w:rsidRPr="00DB44FD">
            <w:rPr>
              <w:rFonts w:ascii="Times New Roman" w:hAnsi="Times New Roman" w:cs="Times New Roman"/>
              <w:sz w:val="24"/>
              <w:szCs w:val="24"/>
            </w:rPr>
            <w:fldChar w:fldCharType="begin"/>
          </w:r>
          <w:r w:rsidRPr="00DB44FD">
            <w:rPr>
              <w:rFonts w:ascii="Times New Roman" w:hAnsi="Times New Roman" w:cs="Times New Roman"/>
              <w:sz w:val="24"/>
              <w:szCs w:val="24"/>
            </w:rPr>
            <w:instrText xml:space="preserve"> TOC \o "1-3" \h \z \u </w:instrText>
          </w:r>
          <w:r w:rsidRPr="00DB44FD">
            <w:rPr>
              <w:rFonts w:ascii="Times New Roman" w:hAnsi="Times New Roman" w:cs="Times New Roman"/>
              <w:sz w:val="24"/>
              <w:szCs w:val="24"/>
            </w:rPr>
            <w:fldChar w:fldCharType="separate"/>
          </w:r>
          <w:hyperlink w:anchor="_Toc224659311" w:history="1">
            <w:r w:rsidRPr="00DB44FD">
              <w:rPr>
                <w:rStyle w:val="Hyperlink"/>
                <w:rFonts w:ascii="Times New Roman" w:hAnsi="Times New Roman" w:cs="Times New Roman"/>
                <w:noProof/>
                <w:color w:val="auto"/>
                <w:sz w:val="24"/>
                <w:szCs w:val="24"/>
              </w:rPr>
              <w:t>1. Introduction</w:t>
            </w:r>
            <w:r w:rsidRPr="00DB44FD">
              <w:rPr>
                <w:rFonts w:ascii="Times New Roman" w:hAnsi="Times New Roman" w:cs="Times New Roman"/>
                <w:noProof/>
                <w:webHidden/>
                <w:sz w:val="24"/>
                <w:szCs w:val="24"/>
              </w:rPr>
              <w:tab/>
            </w:r>
            <w:r w:rsidRPr="00DB44FD">
              <w:rPr>
                <w:rFonts w:ascii="Times New Roman" w:hAnsi="Times New Roman" w:cs="Times New Roman"/>
                <w:noProof/>
                <w:webHidden/>
                <w:sz w:val="24"/>
                <w:szCs w:val="24"/>
              </w:rPr>
              <w:fldChar w:fldCharType="begin"/>
            </w:r>
            <w:r w:rsidRPr="00DB44FD">
              <w:rPr>
                <w:rFonts w:ascii="Times New Roman" w:hAnsi="Times New Roman" w:cs="Times New Roman"/>
                <w:noProof/>
                <w:webHidden/>
                <w:sz w:val="24"/>
                <w:szCs w:val="24"/>
              </w:rPr>
              <w:instrText xml:space="preserve"> PAGEREF _Toc224659311 \h </w:instrText>
            </w:r>
            <w:r w:rsidRPr="00DB44FD">
              <w:rPr>
                <w:rFonts w:ascii="Times New Roman" w:hAnsi="Times New Roman" w:cs="Times New Roman"/>
                <w:noProof/>
                <w:webHidden/>
                <w:sz w:val="24"/>
                <w:szCs w:val="24"/>
              </w:rPr>
            </w:r>
            <w:r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3</w:t>
            </w:r>
            <w:r w:rsidRPr="00DB44FD">
              <w:rPr>
                <w:rFonts w:ascii="Times New Roman" w:hAnsi="Times New Roman" w:cs="Times New Roman"/>
                <w:noProof/>
                <w:webHidden/>
                <w:sz w:val="24"/>
                <w:szCs w:val="24"/>
              </w:rPr>
              <w:fldChar w:fldCharType="end"/>
            </w:r>
          </w:hyperlink>
        </w:p>
        <w:p w:rsidR="00DB44FD" w:rsidRPr="00DB44FD" w:rsidRDefault="00D61506" w:rsidP="00DB44FD">
          <w:pPr>
            <w:pStyle w:val="TOC2"/>
            <w:tabs>
              <w:tab w:val="right" w:leader="dot" w:pos="9019"/>
            </w:tabs>
            <w:spacing w:line="360" w:lineRule="auto"/>
            <w:rPr>
              <w:rFonts w:ascii="Times New Roman" w:hAnsi="Times New Roman" w:cs="Times New Roman"/>
              <w:noProof/>
              <w:sz w:val="24"/>
              <w:szCs w:val="24"/>
            </w:rPr>
          </w:pPr>
          <w:hyperlink w:anchor="_Toc224659312" w:history="1">
            <w:r w:rsidR="00DB44FD" w:rsidRPr="00DB44FD">
              <w:rPr>
                <w:rStyle w:val="Hyperlink"/>
                <w:rFonts w:ascii="Times New Roman" w:hAnsi="Times New Roman" w:cs="Times New Roman"/>
                <w:noProof/>
                <w:color w:val="auto"/>
                <w:sz w:val="24"/>
                <w:szCs w:val="24"/>
              </w:rPr>
              <w:t>1.1 Company background</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_Toc224659312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3</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1"/>
            <w:tabs>
              <w:tab w:val="right" w:leader="dot" w:pos="9019"/>
            </w:tabs>
            <w:spacing w:line="360" w:lineRule="auto"/>
            <w:rPr>
              <w:rFonts w:ascii="Times New Roman" w:hAnsi="Times New Roman" w:cs="Times New Roman"/>
              <w:noProof/>
              <w:sz w:val="24"/>
              <w:szCs w:val="24"/>
            </w:rPr>
          </w:pPr>
          <w:hyperlink w:anchor="_Toc224659313" w:history="1">
            <w:r w:rsidR="00DB44FD" w:rsidRPr="00DB44FD">
              <w:rPr>
                <w:rStyle w:val="Hyperlink"/>
                <w:rFonts w:ascii="Times New Roman" w:hAnsi="Times New Roman" w:cs="Times New Roman"/>
                <w:noProof/>
                <w:color w:val="auto"/>
                <w:sz w:val="24"/>
                <w:szCs w:val="24"/>
              </w:rPr>
              <w:t>2. Situational Analysis</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_Toc224659313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4</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2"/>
            <w:tabs>
              <w:tab w:val="right" w:leader="dot" w:pos="9019"/>
            </w:tabs>
            <w:spacing w:line="360" w:lineRule="auto"/>
            <w:rPr>
              <w:rFonts w:ascii="Times New Roman" w:hAnsi="Times New Roman" w:cs="Times New Roman"/>
              <w:noProof/>
              <w:sz w:val="24"/>
              <w:szCs w:val="24"/>
            </w:rPr>
          </w:pPr>
          <w:hyperlink w:anchor="_Toc224659314" w:history="1">
            <w:r w:rsidR="00DB44FD" w:rsidRPr="00DB44FD">
              <w:rPr>
                <w:rStyle w:val="Hyperlink"/>
                <w:rFonts w:ascii="Times New Roman" w:hAnsi="Times New Roman" w:cs="Times New Roman"/>
                <w:noProof/>
                <w:color w:val="auto"/>
                <w:sz w:val="24"/>
                <w:szCs w:val="24"/>
              </w:rPr>
              <w:t>2.1 PESTLE</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_Toc224659314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4</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1"/>
            <w:tabs>
              <w:tab w:val="right" w:leader="dot" w:pos="9019"/>
            </w:tabs>
            <w:spacing w:line="360" w:lineRule="auto"/>
            <w:rPr>
              <w:rFonts w:ascii="Times New Roman" w:hAnsi="Times New Roman" w:cs="Times New Roman"/>
              <w:noProof/>
              <w:sz w:val="24"/>
              <w:szCs w:val="24"/>
            </w:rPr>
          </w:pPr>
          <w:hyperlink w:anchor="_Toc224659315" w:history="1">
            <w:r w:rsidR="00DB44FD" w:rsidRPr="00DB44FD">
              <w:rPr>
                <w:rStyle w:val="Hyperlink"/>
                <w:rFonts w:ascii="Times New Roman" w:hAnsi="Times New Roman" w:cs="Times New Roman"/>
                <w:noProof/>
                <w:color w:val="auto"/>
                <w:sz w:val="24"/>
                <w:szCs w:val="24"/>
              </w:rPr>
              <w:t>3. Critical Analysis and Evaluation</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_Toc224659315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5</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2"/>
            <w:tabs>
              <w:tab w:val="right" w:leader="dot" w:pos="9019"/>
            </w:tabs>
            <w:spacing w:line="360" w:lineRule="auto"/>
            <w:rPr>
              <w:rFonts w:ascii="Times New Roman" w:hAnsi="Times New Roman" w:cs="Times New Roman"/>
              <w:noProof/>
              <w:sz w:val="24"/>
              <w:szCs w:val="24"/>
            </w:rPr>
          </w:pPr>
          <w:hyperlink w:anchor="_Toc224659316" w:history="1">
            <w:r w:rsidR="00DB44FD" w:rsidRPr="00DB44FD">
              <w:rPr>
                <w:rStyle w:val="Hyperlink"/>
                <w:rFonts w:ascii="Times New Roman" w:hAnsi="Times New Roman" w:cs="Times New Roman"/>
                <w:noProof/>
                <w:color w:val="auto"/>
                <w:sz w:val="24"/>
                <w:szCs w:val="24"/>
              </w:rPr>
              <w:t>3.1 Findings from the situational analysis</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_Toc224659316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5</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2"/>
            <w:tabs>
              <w:tab w:val="right" w:leader="dot" w:pos="9019"/>
            </w:tabs>
            <w:spacing w:line="360" w:lineRule="auto"/>
            <w:rPr>
              <w:rFonts w:ascii="Times New Roman" w:hAnsi="Times New Roman" w:cs="Times New Roman"/>
              <w:noProof/>
              <w:sz w:val="24"/>
              <w:szCs w:val="24"/>
            </w:rPr>
          </w:pPr>
          <w:hyperlink w:anchor="_Toc224659317" w:history="1">
            <w:r w:rsidR="00DB44FD" w:rsidRPr="00DB44FD">
              <w:rPr>
                <w:rStyle w:val="Hyperlink"/>
                <w:rFonts w:ascii="Times New Roman" w:hAnsi="Times New Roman" w:cs="Times New Roman"/>
                <w:noProof/>
                <w:color w:val="auto"/>
                <w:sz w:val="24"/>
                <w:szCs w:val="24"/>
              </w:rPr>
              <w:t>3.2 Impact of the addressed factors on the strategic decision-making and success</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_Toc224659317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6</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2"/>
            <w:tabs>
              <w:tab w:val="right" w:leader="dot" w:pos="9019"/>
            </w:tabs>
            <w:spacing w:line="360" w:lineRule="auto"/>
            <w:rPr>
              <w:rFonts w:ascii="Times New Roman" w:hAnsi="Times New Roman" w:cs="Times New Roman"/>
              <w:noProof/>
              <w:sz w:val="24"/>
              <w:szCs w:val="24"/>
            </w:rPr>
          </w:pPr>
          <w:hyperlink w:anchor="_Toc224659318" w:history="1">
            <w:r w:rsidR="00DB44FD" w:rsidRPr="00DB44FD">
              <w:rPr>
                <w:rStyle w:val="Hyperlink"/>
                <w:rFonts w:ascii="Times New Roman" w:hAnsi="Times New Roman" w:cs="Times New Roman"/>
                <w:noProof/>
                <w:color w:val="auto"/>
                <w:sz w:val="24"/>
                <w:szCs w:val="24"/>
              </w:rPr>
              <w:t>3.3 Academic theories and industry examples</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_Toc224659318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6</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1"/>
            <w:tabs>
              <w:tab w:val="right" w:leader="dot" w:pos="9019"/>
            </w:tabs>
            <w:spacing w:line="360" w:lineRule="auto"/>
            <w:rPr>
              <w:rFonts w:ascii="Times New Roman" w:hAnsi="Times New Roman" w:cs="Times New Roman"/>
              <w:noProof/>
              <w:sz w:val="24"/>
              <w:szCs w:val="24"/>
            </w:rPr>
          </w:pPr>
          <w:hyperlink w:anchor="_Toc224659319" w:history="1">
            <w:r w:rsidR="00DB44FD" w:rsidRPr="00DB44FD">
              <w:rPr>
                <w:rStyle w:val="Hyperlink"/>
                <w:rFonts w:ascii="Times New Roman" w:hAnsi="Times New Roman" w:cs="Times New Roman"/>
                <w:noProof/>
                <w:color w:val="auto"/>
                <w:sz w:val="24"/>
                <w:szCs w:val="24"/>
              </w:rPr>
              <w:t>4. Conclusion</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_Toc224659319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7</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2"/>
            <w:tabs>
              <w:tab w:val="right" w:leader="dot" w:pos="9019"/>
            </w:tabs>
            <w:spacing w:line="360" w:lineRule="auto"/>
            <w:rPr>
              <w:rFonts w:ascii="Times New Roman" w:hAnsi="Times New Roman" w:cs="Times New Roman"/>
              <w:noProof/>
              <w:sz w:val="24"/>
              <w:szCs w:val="24"/>
            </w:rPr>
          </w:pPr>
          <w:hyperlink w:anchor="_Toc224659320" w:history="1">
            <w:r w:rsidR="00DB44FD" w:rsidRPr="00DB44FD">
              <w:rPr>
                <w:rStyle w:val="Hyperlink"/>
                <w:rFonts w:ascii="Times New Roman" w:hAnsi="Times New Roman" w:cs="Times New Roman"/>
                <w:noProof/>
                <w:color w:val="auto"/>
                <w:sz w:val="24"/>
                <w:szCs w:val="24"/>
              </w:rPr>
              <w:t>4.1 Key findings</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_Toc224659320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7</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2"/>
            <w:tabs>
              <w:tab w:val="right" w:leader="dot" w:pos="9019"/>
            </w:tabs>
            <w:spacing w:line="360" w:lineRule="auto"/>
            <w:rPr>
              <w:rFonts w:ascii="Times New Roman" w:hAnsi="Times New Roman" w:cs="Times New Roman"/>
              <w:noProof/>
              <w:sz w:val="24"/>
              <w:szCs w:val="24"/>
            </w:rPr>
          </w:pPr>
          <w:hyperlink w:anchor="_Toc224659321" w:history="1">
            <w:r w:rsidR="00DB44FD" w:rsidRPr="00DB44FD">
              <w:rPr>
                <w:rStyle w:val="Hyperlink"/>
                <w:rFonts w:ascii="Times New Roman" w:hAnsi="Times New Roman" w:cs="Times New Roman"/>
                <w:noProof/>
                <w:color w:val="auto"/>
                <w:sz w:val="24"/>
                <w:szCs w:val="24"/>
              </w:rPr>
              <w:t>4.2 Recommendations</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_Toc224659321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7</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2"/>
            <w:tabs>
              <w:tab w:val="right" w:leader="dot" w:pos="9019"/>
            </w:tabs>
            <w:spacing w:line="360" w:lineRule="auto"/>
            <w:rPr>
              <w:rFonts w:ascii="Times New Roman" w:hAnsi="Times New Roman" w:cs="Times New Roman"/>
              <w:noProof/>
              <w:sz w:val="24"/>
              <w:szCs w:val="24"/>
            </w:rPr>
          </w:pPr>
          <w:hyperlink w:anchor="_Toc224659322" w:history="1">
            <w:r w:rsidR="00DB44FD" w:rsidRPr="00DB44FD">
              <w:rPr>
                <w:rStyle w:val="Hyperlink"/>
                <w:rFonts w:ascii="Times New Roman" w:hAnsi="Times New Roman" w:cs="Times New Roman"/>
                <w:noProof/>
                <w:color w:val="auto"/>
                <w:sz w:val="24"/>
                <w:szCs w:val="24"/>
              </w:rPr>
              <w:t>4.3 Significance of performing situational analysis in strategic planning</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_Toc224659322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7</w:t>
            </w:r>
            <w:r w:rsidR="00DB44FD" w:rsidRPr="00DB44FD">
              <w:rPr>
                <w:rFonts w:ascii="Times New Roman" w:hAnsi="Times New Roman" w:cs="Times New Roman"/>
                <w:noProof/>
                <w:webHidden/>
                <w:sz w:val="24"/>
                <w:szCs w:val="24"/>
              </w:rPr>
              <w:fldChar w:fldCharType="end"/>
            </w:r>
          </w:hyperlink>
        </w:p>
        <w:p w:rsidR="00DB44FD" w:rsidRPr="00DB44FD" w:rsidRDefault="00D61506" w:rsidP="00DB44FD">
          <w:pPr>
            <w:pStyle w:val="TOC1"/>
            <w:tabs>
              <w:tab w:val="right" w:leader="dot" w:pos="9019"/>
            </w:tabs>
            <w:spacing w:line="360" w:lineRule="auto"/>
            <w:rPr>
              <w:rFonts w:ascii="Times New Roman" w:hAnsi="Times New Roman" w:cs="Times New Roman"/>
              <w:noProof/>
              <w:sz w:val="24"/>
              <w:szCs w:val="24"/>
            </w:rPr>
          </w:pPr>
          <w:hyperlink w:anchor="_Toc224659323" w:history="1">
            <w:r w:rsidR="00DB44FD" w:rsidRPr="00DB44FD">
              <w:rPr>
                <w:rStyle w:val="Hyperlink"/>
                <w:rFonts w:ascii="Times New Roman" w:hAnsi="Times New Roman" w:cs="Times New Roman"/>
                <w:noProof/>
                <w:color w:val="auto"/>
                <w:sz w:val="24"/>
                <w:szCs w:val="24"/>
              </w:rPr>
              <w:t>Reference List</w:t>
            </w:r>
            <w:r w:rsidR="00DB44FD" w:rsidRPr="00DB44FD">
              <w:rPr>
                <w:rFonts w:ascii="Times New Roman" w:hAnsi="Times New Roman" w:cs="Times New Roman"/>
                <w:noProof/>
                <w:webHidden/>
                <w:sz w:val="24"/>
                <w:szCs w:val="24"/>
              </w:rPr>
              <w:tab/>
            </w:r>
            <w:r w:rsidR="00DB44FD" w:rsidRPr="00DB44FD">
              <w:rPr>
                <w:rFonts w:ascii="Times New Roman" w:hAnsi="Times New Roman" w:cs="Times New Roman"/>
                <w:noProof/>
                <w:webHidden/>
                <w:sz w:val="24"/>
                <w:szCs w:val="24"/>
              </w:rPr>
              <w:fldChar w:fldCharType="begin"/>
            </w:r>
            <w:r w:rsidR="00DB44FD" w:rsidRPr="00DB44FD">
              <w:rPr>
                <w:rFonts w:ascii="Times New Roman" w:hAnsi="Times New Roman" w:cs="Times New Roman"/>
                <w:noProof/>
                <w:webHidden/>
                <w:sz w:val="24"/>
                <w:szCs w:val="24"/>
              </w:rPr>
              <w:instrText xml:space="preserve"> PAGEREF _Toc224659323 \h </w:instrText>
            </w:r>
            <w:r w:rsidR="00DB44FD" w:rsidRPr="00DB44FD">
              <w:rPr>
                <w:rFonts w:ascii="Times New Roman" w:hAnsi="Times New Roman" w:cs="Times New Roman"/>
                <w:noProof/>
                <w:webHidden/>
                <w:sz w:val="24"/>
                <w:szCs w:val="24"/>
              </w:rPr>
            </w:r>
            <w:r w:rsidR="00DB44FD" w:rsidRPr="00DB44FD">
              <w:rPr>
                <w:rFonts w:ascii="Times New Roman" w:hAnsi="Times New Roman" w:cs="Times New Roman"/>
                <w:noProof/>
                <w:webHidden/>
                <w:sz w:val="24"/>
                <w:szCs w:val="24"/>
              </w:rPr>
              <w:fldChar w:fldCharType="separate"/>
            </w:r>
            <w:r w:rsidR="00683E91">
              <w:rPr>
                <w:rFonts w:ascii="Times New Roman" w:hAnsi="Times New Roman" w:cs="Times New Roman"/>
                <w:noProof/>
                <w:webHidden/>
                <w:sz w:val="24"/>
                <w:szCs w:val="24"/>
              </w:rPr>
              <w:t>8</w:t>
            </w:r>
            <w:r w:rsidR="00DB44FD" w:rsidRPr="00DB44FD">
              <w:rPr>
                <w:rFonts w:ascii="Times New Roman" w:hAnsi="Times New Roman" w:cs="Times New Roman"/>
                <w:noProof/>
                <w:webHidden/>
                <w:sz w:val="24"/>
                <w:szCs w:val="24"/>
              </w:rPr>
              <w:fldChar w:fldCharType="end"/>
            </w:r>
          </w:hyperlink>
        </w:p>
        <w:p w:rsidR="00DB44FD" w:rsidRDefault="00DB44FD" w:rsidP="00DB44FD">
          <w:pPr>
            <w:spacing w:line="360" w:lineRule="auto"/>
          </w:pPr>
          <w:r w:rsidRPr="00DB44FD">
            <w:rPr>
              <w:rFonts w:ascii="Times New Roman" w:hAnsi="Times New Roman" w:cs="Times New Roman"/>
              <w:b/>
              <w:bCs/>
              <w:noProof/>
              <w:sz w:val="24"/>
              <w:szCs w:val="24"/>
            </w:rPr>
            <w:fldChar w:fldCharType="end"/>
          </w:r>
        </w:p>
      </w:sdtContent>
    </w:sdt>
    <w:p w:rsidR="00DB44FD" w:rsidRDefault="00DB44FD">
      <w:pPr>
        <w:rPr>
          <w:rFonts w:ascii="Times New Roman" w:eastAsia="Times New Roman" w:hAnsi="Times New Roman" w:cs="Times New Roman"/>
          <w:b/>
          <w:bCs/>
          <w:sz w:val="26"/>
          <w:szCs w:val="24"/>
        </w:rPr>
      </w:pPr>
      <w:r>
        <w:rPr>
          <w:sz w:val="26"/>
        </w:rPr>
        <w:br w:type="page"/>
      </w:r>
    </w:p>
    <w:p w:rsidR="00347E98" w:rsidRPr="00D27B83" w:rsidRDefault="003C4BEA">
      <w:pPr>
        <w:pStyle w:val="Heading1"/>
      </w:pPr>
      <w:bookmarkStart w:id="2" w:name="_Toc224659311"/>
      <w:r w:rsidRPr="00D27B83">
        <w:lastRenderedPageBreak/>
        <w:t>1. Introduction</w:t>
      </w:r>
      <w:bookmarkEnd w:id="2"/>
    </w:p>
    <w:p w:rsidR="00347E98" w:rsidRPr="00D27B83" w:rsidRDefault="00BE4C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Situational analysis involve</w:t>
      </w:r>
      <w:r w:rsidR="003C4BEA" w:rsidRPr="00D27B83">
        <w:rPr>
          <w:rFonts w:ascii="Times New Roman" w:eastAsia="Times New Roman" w:hAnsi="Times New Roman" w:cs="Times New Roman"/>
          <w:sz w:val="24"/>
          <w:szCs w:val="24"/>
        </w:rPr>
        <w:t xml:space="preserve">s a strategic assessment of a company’s current competitive situation to devise effective plans for growth. The purpose of the report is to conduct a situational analysis of Monzo and identify its measures of strategic decision making on a competitive scale. </w:t>
      </w:r>
    </w:p>
    <w:p w:rsidR="00347E98" w:rsidRPr="00D27B83" w:rsidRDefault="003C4BEA">
      <w:pPr>
        <w:pStyle w:val="Heading2"/>
      </w:pPr>
      <w:bookmarkStart w:id="3" w:name="_z9ihmbxqlbit" w:colFirst="0" w:colLast="0"/>
      <w:bookmarkStart w:id="4" w:name="_Toc224659312"/>
      <w:bookmarkEnd w:id="3"/>
      <w:r w:rsidRPr="00D27B83">
        <w:t>1.1 Company background</w:t>
      </w:r>
      <w:bookmarkEnd w:id="4"/>
    </w:p>
    <w:p w:rsidR="00347E98" w:rsidRPr="00D27B83" w:rsidRDefault="003C4BEA">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Monzo is a fintech organisation operating in the UK finance industry offering its customers with a wide range of remote banking services. Monzo owns a significant share of the UK fintech market as it recorded 12.1 million users as of 2024 and denoted revenues worth £16.6 billion (Curry, 2026). The key services offered by Monzo include online banking services, investment banking, mortgages, credit </w:t>
      </w:r>
      <w:r w:rsidR="0052349E" w:rsidRPr="00D27B83">
        <w:rPr>
          <w:rFonts w:ascii="Times New Roman" w:eastAsia="Times New Roman" w:hAnsi="Times New Roman" w:cs="Times New Roman"/>
          <w:sz w:val="24"/>
          <w:szCs w:val="24"/>
        </w:rPr>
        <w:t>payments,</w:t>
      </w:r>
      <w:r w:rsidRPr="00D27B83">
        <w:rPr>
          <w:rFonts w:ascii="Times New Roman" w:eastAsia="Times New Roman" w:hAnsi="Times New Roman" w:cs="Times New Roman"/>
          <w:sz w:val="24"/>
          <w:szCs w:val="24"/>
        </w:rPr>
        <w:t xml:space="preserve"> and </w:t>
      </w:r>
      <w:r w:rsidR="002275FF" w:rsidRPr="00D27B83">
        <w:rPr>
          <w:rFonts w:ascii="Times New Roman" w:eastAsia="Times New Roman" w:hAnsi="Times New Roman" w:cs="Times New Roman"/>
          <w:sz w:val="24"/>
          <w:szCs w:val="24"/>
        </w:rPr>
        <w:t>short-term</w:t>
      </w:r>
      <w:r w:rsidRPr="00D27B83">
        <w:rPr>
          <w:rFonts w:ascii="Times New Roman" w:eastAsia="Times New Roman" w:hAnsi="Times New Roman" w:cs="Times New Roman"/>
          <w:sz w:val="24"/>
          <w:szCs w:val="24"/>
        </w:rPr>
        <w:t xml:space="preserve"> loans. </w:t>
      </w:r>
    </w:p>
    <w:p w:rsidR="00D75123" w:rsidRDefault="00D75123">
      <w:pPr>
        <w:rPr>
          <w:rFonts w:ascii="Times New Roman" w:eastAsia="Times New Roman" w:hAnsi="Times New Roman" w:cs="Times New Roman"/>
          <w:b/>
          <w:bCs/>
          <w:sz w:val="24"/>
          <w:szCs w:val="24"/>
        </w:rPr>
      </w:pPr>
      <w:bookmarkStart w:id="5" w:name="_dsltbo135m04" w:colFirst="0" w:colLast="0"/>
      <w:bookmarkEnd w:id="5"/>
      <w:r>
        <w:br w:type="page"/>
      </w:r>
    </w:p>
    <w:p w:rsidR="00347E98" w:rsidRPr="00D27B83" w:rsidRDefault="003C4BEA">
      <w:pPr>
        <w:pStyle w:val="Heading1"/>
      </w:pPr>
      <w:bookmarkStart w:id="6" w:name="_Toc224659313"/>
      <w:r w:rsidRPr="00D27B83">
        <w:lastRenderedPageBreak/>
        <w:t>2. Situational Analysis</w:t>
      </w:r>
      <w:bookmarkEnd w:id="6"/>
      <w:r w:rsidRPr="00D27B83">
        <w:t xml:space="preserve"> </w:t>
      </w:r>
    </w:p>
    <w:p w:rsidR="00347E98" w:rsidRPr="00D27B83" w:rsidRDefault="003C4BEA">
      <w:pPr>
        <w:pStyle w:val="Heading2"/>
      </w:pPr>
      <w:bookmarkStart w:id="7" w:name="_esve4qu1eina" w:colFirst="0" w:colLast="0"/>
      <w:bookmarkStart w:id="8" w:name="_Toc224659314"/>
      <w:bookmarkEnd w:id="7"/>
      <w:r w:rsidRPr="00D27B83">
        <w:t>2.1 PESTLE</w:t>
      </w:r>
      <w:bookmarkEnd w:id="8"/>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52"/>
        <w:gridCol w:w="6141"/>
        <w:gridCol w:w="1216"/>
      </w:tblGrid>
      <w:tr w:rsidR="00347E98" w:rsidRPr="00D27B83" w:rsidTr="00E7059B">
        <w:tc>
          <w:tcPr>
            <w:tcW w:w="917" w:type="pct"/>
            <w:shd w:val="clear" w:color="auto" w:fill="FFF2CC"/>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Factors</w:t>
            </w:r>
          </w:p>
        </w:tc>
        <w:tc>
          <w:tcPr>
            <w:tcW w:w="3408" w:type="pct"/>
            <w:shd w:val="clear" w:color="auto" w:fill="FFF2CC"/>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Description</w:t>
            </w:r>
          </w:p>
        </w:tc>
        <w:tc>
          <w:tcPr>
            <w:tcW w:w="675" w:type="pct"/>
            <w:shd w:val="clear" w:color="auto" w:fill="FFF2CC"/>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Impact</w:t>
            </w:r>
          </w:p>
        </w:tc>
      </w:tr>
      <w:tr w:rsidR="00347E98" w:rsidRPr="00D27B83" w:rsidTr="00E7059B">
        <w:tc>
          <w:tcPr>
            <w:tcW w:w="917"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Political</w:t>
            </w:r>
          </w:p>
        </w:tc>
        <w:tc>
          <w:tcPr>
            <w:tcW w:w="3408" w:type="pct"/>
            <w:shd w:val="clear" w:color="auto" w:fill="CFE2F3"/>
            <w:tcMar>
              <w:top w:w="100" w:type="dxa"/>
              <w:left w:w="100" w:type="dxa"/>
              <w:bottom w:w="100" w:type="dxa"/>
              <w:right w:w="100" w:type="dxa"/>
            </w:tcMar>
          </w:tcPr>
          <w:p w:rsidR="00347E98" w:rsidRPr="00D27B83" w:rsidRDefault="003C4BE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UK’s political stability is currently low at 0.26 points (The Global Economy, 2024)</w:t>
            </w:r>
          </w:p>
          <w:p w:rsidR="00347E98" w:rsidRPr="00D27B83" w:rsidRDefault="003C4BE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Corporate taxation rates of 25% are levied on businesses with profits exceeding £ 250,000 (PwC, 2025)</w:t>
            </w:r>
          </w:p>
        </w:tc>
        <w:tc>
          <w:tcPr>
            <w:tcW w:w="675"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High</w:t>
            </w:r>
          </w:p>
        </w:tc>
      </w:tr>
      <w:tr w:rsidR="00347E98" w:rsidRPr="00D27B83" w:rsidTr="00E7059B">
        <w:tc>
          <w:tcPr>
            <w:tcW w:w="917"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Economic</w:t>
            </w:r>
          </w:p>
        </w:tc>
        <w:tc>
          <w:tcPr>
            <w:tcW w:w="3408" w:type="pct"/>
            <w:shd w:val="clear" w:color="auto" w:fill="CFE2F3"/>
            <w:tcMar>
              <w:top w:w="100" w:type="dxa"/>
              <w:left w:w="100" w:type="dxa"/>
              <w:bottom w:w="100" w:type="dxa"/>
              <w:right w:w="100" w:type="dxa"/>
            </w:tcMar>
          </w:tcPr>
          <w:p w:rsidR="00347E98" w:rsidRPr="00D27B83" w:rsidRDefault="003C4BE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The GDP growth in the UK is currently stagnated at 1.3% as of 2026 (IMF, 2026)</w:t>
            </w:r>
          </w:p>
          <w:p w:rsidR="00347E98" w:rsidRPr="00D27B83" w:rsidRDefault="003C4BE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Consumer price inflation of 2.5% leads to challenges in service pricing (IMF, 2026).</w:t>
            </w:r>
          </w:p>
        </w:tc>
        <w:tc>
          <w:tcPr>
            <w:tcW w:w="675"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High</w:t>
            </w:r>
          </w:p>
        </w:tc>
      </w:tr>
      <w:tr w:rsidR="00347E98" w:rsidRPr="00D27B83" w:rsidTr="00E7059B">
        <w:tc>
          <w:tcPr>
            <w:tcW w:w="917"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Social</w:t>
            </w:r>
          </w:p>
        </w:tc>
        <w:tc>
          <w:tcPr>
            <w:tcW w:w="3408" w:type="pct"/>
            <w:shd w:val="clear" w:color="auto" w:fill="CFE2F3"/>
            <w:tcMar>
              <w:top w:w="100" w:type="dxa"/>
              <w:left w:w="100" w:type="dxa"/>
              <w:bottom w:w="100" w:type="dxa"/>
              <w:right w:w="100" w:type="dxa"/>
            </w:tcMar>
          </w:tcPr>
          <w:p w:rsidR="00347E98" w:rsidRPr="00D27B83" w:rsidRDefault="003C4BEA">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Total social media users in the UK was around 52.7 million as of 2025 (Slotta, 2025)</w:t>
            </w:r>
          </w:p>
          <w:p w:rsidR="00347E98" w:rsidRPr="00D27B83" w:rsidRDefault="003C4BEA">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b/>
                <w:bCs/>
                <w:sz w:val="24"/>
                <w:szCs w:val="24"/>
              </w:rPr>
            </w:pPr>
            <w:r w:rsidRPr="00D27B83">
              <w:rPr>
                <w:rFonts w:ascii="Times New Roman" w:eastAsia="Times New Roman" w:hAnsi="Times New Roman" w:cs="Times New Roman"/>
                <w:sz w:val="24"/>
                <w:szCs w:val="24"/>
              </w:rPr>
              <w:t>Median income for full-time employees rose by 5.3% resulting in average £766.60 (ONS, 2025)</w:t>
            </w:r>
          </w:p>
        </w:tc>
        <w:tc>
          <w:tcPr>
            <w:tcW w:w="675"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Moderate</w:t>
            </w:r>
          </w:p>
        </w:tc>
      </w:tr>
      <w:tr w:rsidR="00347E98" w:rsidRPr="00D27B83" w:rsidTr="00E7059B">
        <w:tc>
          <w:tcPr>
            <w:tcW w:w="917"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Technological</w:t>
            </w:r>
          </w:p>
        </w:tc>
        <w:tc>
          <w:tcPr>
            <w:tcW w:w="3408" w:type="pct"/>
            <w:shd w:val="clear" w:color="auto" w:fill="CFE2F3"/>
            <w:tcMar>
              <w:top w:w="100" w:type="dxa"/>
              <w:left w:w="100" w:type="dxa"/>
              <w:bottom w:w="100" w:type="dxa"/>
              <w:right w:w="100" w:type="dxa"/>
            </w:tcMar>
          </w:tcPr>
          <w:p w:rsidR="00347E98" w:rsidRPr="00D27B83" w:rsidRDefault="003C4BE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Around one in six businesses constituting 16% firms utilise one or more forms of AI in operations (GOV UK, 2026).</w:t>
            </w:r>
          </w:p>
          <w:p w:rsidR="00347E98" w:rsidRPr="00D27B83" w:rsidRDefault="003C4BE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The machine learning market is estimated to reach 48,835.92 million by 2035 (Spherical Insights, 2025)</w:t>
            </w:r>
          </w:p>
        </w:tc>
        <w:tc>
          <w:tcPr>
            <w:tcW w:w="675"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High</w:t>
            </w:r>
          </w:p>
        </w:tc>
      </w:tr>
      <w:tr w:rsidR="00347E98" w:rsidRPr="00D27B83" w:rsidTr="00E7059B">
        <w:tc>
          <w:tcPr>
            <w:tcW w:w="917"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Legal</w:t>
            </w:r>
          </w:p>
        </w:tc>
        <w:tc>
          <w:tcPr>
            <w:tcW w:w="3408" w:type="pct"/>
            <w:shd w:val="clear" w:color="auto" w:fill="CFE2F3"/>
            <w:tcMar>
              <w:top w:w="100" w:type="dxa"/>
              <w:left w:w="100" w:type="dxa"/>
              <w:bottom w:w="100" w:type="dxa"/>
              <w:right w:w="100" w:type="dxa"/>
            </w:tcMar>
          </w:tcPr>
          <w:p w:rsidR="00347E98" w:rsidRPr="00D27B83" w:rsidRDefault="003C4BEA">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The Financial Services and Markets Act regulates electronic payment forms in the UK market (Legislation GOV, 2025)</w:t>
            </w:r>
          </w:p>
          <w:p w:rsidR="00347E98" w:rsidRPr="00D27B83" w:rsidRDefault="003C4BEA">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The FCA body regulates all banking institutions and audits transparency records (Legislation GOV, 2025)</w:t>
            </w:r>
          </w:p>
        </w:tc>
        <w:tc>
          <w:tcPr>
            <w:tcW w:w="675"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Moderate</w:t>
            </w:r>
          </w:p>
        </w:tc>
      </w:tr>
      <w:tr w:rsidR="00347E98" w:rsidRPr="00D27B83" w:rsidTr="00E7059B">
        <w:tc>
          <w:tcPr>
            <w:tcW w:w="917"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Environmental</w:t>
            </w:r>
          </w:p>
        </w:tc>
        <w:tc>
          <w:tcPr>
            <w:tcW w:w="3408" w:type="pct"/>
            <w:shd w:val="clear" w:color="auto" w:fill="CFE2F3"/>
            <w:tcMar>
              <w:top w:w="100" w:type="dxa"/>
              <w:left w:w="100" w:type="dxa"/>
              <w:bottom w:w="100" w:type="dxa"/>
              <w:right w:w="100" w:type="dxa"/>
            </w:tcMar>
          </w:tcPr>
          <w:p w:rsidR="00347E98" w:rsidRPr="00D27B83" w:rsidRDefault="003C4BE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UK’s net zero plans aim to eliminate emissions completely by 2050 (Parliament UK, 2026) </w:t>
            </w:r>
          </w:p>
          <w:p w:rsidR="00347E98" w:rsidRPr="00D27B83" w:rsidRDefault="003C4BE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Clean power by 2030 depicts the governmental plans </w:t>
            </w:r>
            <w:r w:rsidRPr="00D27B83">
              <w:rPr>
                <w:rFonts w:ascii="Times New Roman" w:eastAsia="Times New Roman" w:hAnsi="Times New Roman" w:cs="Times New Roman"/>
                <w:sz w:val="24"/>
                <w:szCs w:val="24"/>
              </w:rPr>
              <w:lastRenderedPageBreak/>
              <w:t>to moderate clean energy grids (Parliament UK, 2026)</w:t>
            </w:r>
          </w:p>
        </w:tc>
        <w:tc>
          <w:tcPr>
            <w:tcW w:w="675" w:type="pct"/>
            <w:shd w:val="clear" w:color="auto" w:fill="CFE2F3"/>
            <w:tcMar>
              <w:top w:w="100" w:type="dxa"/>
              <w:left w:w="100" w:type="dxa"/>
              <w:bottom w:w="100" w:type="dxa"/>
              <w:right w:w="100" w:type="dxa"/>
            </w:tcMar>
          </w:tcPr>
          <w:p w:rsidR="00347E98" w:rsidRPr="00D27B83" w:rsidRDefault="003C4BEA">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lastRenderedPageBreak/>
              <w:t>Low</w:t>
            </w:r>
          </w:p>
        </w:tc>
      </w:tr>
    </w:tbl>
    <w:p w:rsidR="00347E98" w:rsidRPr="00D27B83" w:rsidRDefault="003C4BEA">
      <w:pPr>
        <w:spacing w:line="360" w:lineRule="auto"/>
        <w:rPr>
          <w:rFonts w:ascii="Times New Roman" w:eastAsia="Times New Roman" w:hAnsi="Times New Roman" w:cs="Times New Roman"/>
          <w:b/>
          <w:bCs/>
          <w:sz w:val="24"/>
          <w:szCs w:val="24"/>
        </w:rPr>
      </w:pPr>
      <w:r w:rsidRPr="00D27B83">
        <w:rPr>
          <w:rFonts w:ascii="Times New Roman" w:eastAsia="Times New Roman" w:hAnsi="Times New Roman" w:cs="Times New Roman"/>
          <w:b/>
          <w:bCs/>
          <w:sz w:val="24"/>
          <w:szCs w:val="24"/>
        </w:rPr>
        <w:t>Analysis</w:t>
      </w:r>
    </w:p>
    <w:p w:rsidR="00DA0C2D" w:rsidRDefault="003C4BEA">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The aforementioned PESTLE analysis denotes that the political factors denote a high impact since the corporate taxation rates in the UK are quite high. The high corporate taxation as well as low political stability </w:t>
      </w:r>
      <w:r w:rsidR="002612AA" w:rsidRPr="00D27B83">
        <w:rPr>
          <w:rFonts w:ascii="Times New Roman" w:eastAsia="Times New Roman" w:hAnsi="Times New Roman" w:cs="Times New Roman"/>
          <w:sz w:val="24"/>
          <w:szCs w:val="24"/>
        </w:rPr>
        <w:t>affects</w:t>
      </w:r>
      <w:r w:rsidRPr="00D27B83">
        <w:rPr>
          <w:rFonts w:ascii="Times New Roman" w:eastAsia="Times New Roman" w:hAnsi="Times New Roman" w:cs="Times New Roman"/>
          <w:sz w:val="24"/>
          <w:szCs w:val="24"/>
        </w:rPr>
        <w:t xml:space="preserve"> Monzo’s administration leading to financial imbalances and regular governmental interventions. The economic factors of inflation </w:t>
      </w:r>
      <w:r w:rsidR="002612AA" w:rsidRPr="00D27B83">
        <w:rPr>
          <w:rFonts w:ascii="Times New Roman" w:eastAsia="Times New Roman" w:hAnsi="Times New Roman" w:cs="Times New Roman"/>
          <w:sz w:val="24"/>
          <w:szCs w:val="24"/>
        </w:rPr>
        <w:t>affect</w:t>
      </w:r>
      <w:r w:rsidRPr="00D27B83">
        <w:rPr>
          <w:rFonts w:ascii="Times New Roman" w:eastAsia="Times New Roman" w:hAnsi="Times New Roman" w:cs="Times New Roman"/>
          <w:sz w:val="24"/>
          <w:szCs w:val="24"/>
        </w:rPr>
        <w:t xml:space="preserve"> Monzo’s service pricing and the tentative increase in inflation leads to increase in apparent prices. The social factors denote a moderate impact generally mediating the marketing and service acceptance measures of Monzo. The large population of 52.7 million social media users in the UK positively </w:t>
      </w:r>
      <w:r w:rsidR="002612AA" w:rsidRPr="00D27B83">
        <w:rPr>
          <w:rFonts w:ascii="Times New Roman" w:eastAsia="Times New Roman" w:hAnsi="Times New Roman" w:cs="Times New Roman"/>
          <w:sz w:val="24"/>
          <w:szCs w:val="24"/>
        </w:rPr>
        <w:t>affects</w:t>
      </w:r>
      <w:r w:rsidRPr="00D27B83">
        <w:rPr>
          <w:rFonts w:ascii="Times New Roman" w:eastAsia="Times New Roman" w:hAnsi="Times New Roman" w:cs="Times New Roman"/>
          <w:sz w:val="24"/>
          <w:szCs w:val="24"/>
        </w:rPr>
        <w:t xml:space="preserve"> Monzo by helping it to improve its digital marketing reach. </w:t>
      </w:r>
    </w:p>
    <w:p w:rsidR="00EA7F78" w:rsidRPr="00D27B83" w:rsidRDefault="003C4BEA">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Similarly, the factor of growing median income dictates that more customers would be aligned to opt for </w:t>
      </w:r>
      <w:r w:rsidR="002612AA">
        <w:rPr>
          <w:rFonts w:ascii="Times New Roman" w:eastAsia="Times New Roman" w:hAnsi="Times New Roman" w:cs="Times New Roman"/>
          <w:sz w:val="24"/>
          <w:szCs w:val="24"/>
        </w:rPr>
        <w:t>Monzo’</w:t>
      </w:r>
      <w:r w:rsidRPr="00D27B83">
        <w:rPr>
          <w:rFonts w:ascii="Times New Roman" w:eastAsia="Times New Roman" w:hAnsi="Times New Roman" w:cs="Times New Roman"/>
          <w:sz w:val="24"/>
          <w:szCs w:val="24"/>
        </w:rPr>
        <w:t xml:space="preserve"> banking services. The technological factors detail the rise of AI and machine learning adoption in the UK commercial market, depicting both to be beneficial within Monzo’s supply chain. The legal factors denote the necessary legal compliances for the firm such as regulation of FCA’s principles or moderation of </w:t>
      </w:r>
      <w:r w:rsidR="002612AA" w:rsidRPr="00D27B83">
        <w:rPr>
          <w:rFonts w:ascii="Times New Roman" w:eastAsia="Times New Roman" w:hAnsi="Times New Roman" w:cs="Times New Roman"/>
          <w:sz w:val="24"/>
          <w:szCs w:val="24"/>
        </w:rPr>
        <w:t>bookkeeping</w:t>
      </w:r>
      <w:r w:rsidRPr="00D27B83">
        <w:rPr>
          <w:rFonts w:ascii="Times New Roman" w:eastAsia="Times New Roman" w:hAnsi="Times New Roman" w:cs="Times New Roman"/>
          <w:sz w:val="24"/>
          <w:szCs w:val="24"/>
        </w:rPr>
        <w:t xml:space="preserve"> as per the Financial Services and Markets Act. The environmental factors show the least amount of relevance to Monzo denoting the net-zero initiatives and clean energy developments to be possible CSR areas for the firm.</w:t>
      </w:r>
    </w:p>
    <w:p w:rsidR="00347E98" w:rsidRPr="00D27B83" w:rsidRDefault="003C4BEA">
      <w:pPr>
        <w:pStyle w:val="Heading1"/>
        <w:jc w:val="both"/>
      </w:pPr>
      <w:bookmarkStart w:id="9" w:name="_fstc5j77oghw" w:colFirst="0" w:colLast="0"/>
      <w:bookmarkStart w:id="10" w:name="_Toc224659315"/>
      <w:bookmarkEnd w:id="9"/>
      <w:r w:rsidRPr="00D27B83">
        <w:t>3. Critical Analysis and Evaluation</w:t>
      </w:r>
      <w:bookmarkEnd w:id="10"/>
    </w:p>
    <w:p w:rsidR="00347E98" w:rsidRPr="00D27B83" w:rsidRDefault="003C4BEA">
      <w:pPr>
        <w:pStyle w:val="Heading2"/>
      </w:pPr>
      <w:bookmarkStart w:id="11" w:name="_svziouzfaln5" w:colFirst="0" w:colLast="0"/>
      <w:bookmarkStart w:id="12" w:name="_Toc224659316"/>
      <w:bookmarkEnd w:id="11"/>
      <w:r w:rsidRPr="00D27B83">
        <w:t>3.1 Findings from the situational analysis</w:t>
      </w:r>
      <w:bookmarkEnd w:id="12"/>
      <w:r w:rsidRPr="00D27B83">
        <w:t xml:space="preserve"> </w:t>
      </w:r>
    </w:p>
    <w:p w:rsidR="00347E98" w:rsidRPr="00D27B83" w:rsidRDefault="003C4BEA">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The PESTLE analysis of the UK market highlights the high impact of political factors due to the low political stability and high corporate tax rate. This may prevent Monzo from managing its operations smoothly in this market. The growing GDP and inflation rates can also create a negative impact on the overall profitability of Monzo. However, the growing number of full-time employees and social media users can also assist the brand in hiring skilled professionals and easily reach the target customers. The rapidly expanding AI and ML market can also assist Monzo in bringing innovative ideas into the market to offer an exceptional customer experience. Monzo should also comply with the FCA body regulations and Market Acts while operating in the market to avoid legal or financial compliance. In addition to this, the company should also reduce its carbon emission level and save energy to fulfil its environmental responsibilities while generating profit. </w:t>
      </w:r>
    </w:p>
    <w:p w:rsidR="00347E98" w:rsidRPr="00D27B83" w:rsidRDefault="003C4BEA">
      <w:pPr>
        <w:pStyle w:val="Heading2"/>
      </w:pPr>
      <w:bookmarkStart w:id="13" w:name="_6mjtxeolpxnz" w:colFirst="0" w:colLast="0"/>
      <w:bookmarkStart w:id="14" w:name="_Toc224659317"/>
      <w:bookmarkEnd w:id="13"/>
      <w:r w:rsidRPr="00D27B83">
        <w:lastRenderedPageBreak/>
        <w:t>3.2 Impact of the addressed factors on the strategic decision-making and success</w:t>
      </w:r>
      <w:bookmarkEnd w:id="14"/>
      <w:r w:rsidRPr="00D27B83">
        <w:t xml:space="preserve"> </w:t>
      </w:r>
    </w:p>
    <w:p w:rsidR="00347E98" w:rsidRPr="00D27B83" w:rsidRDefault="003C4BEA">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The high tax rate and unstable political environment can lead Monzo to shift its decision from innovation to adoption for securing its financial position. The increasing inflation rate can also </w:t>
      </w:r>
      <w:r w:rsidR="0041663D">
        <w:rPr>
          <w:rFonts w:ascii="Times New Roman" w:eastAsia="Times New Roman" w:hAnsi="Times New Roman" w:cs="Times New Roman"/>
          <w:sz w:val="24"/>
          <w:szCs w:val="24"/>
        </w:rPr>
        <w:t>enforce</w:t>
      </w:r>
      <w:r w:rsidRPr="00D27B83">
        <w:rPr>
          <w:rFonts w:ascii="Times New Roman" w:eastAsia="Times New Roman" w:hAnsi="Times New Roman" w:cs="Times New Roman"/>
          <w:sz w:val="24"/>
          <w:szCs w:val="24"/>
        </w:rPr>
        <w:t xml:space="preserve"> the firm in reducing the price of its </w:t>
      </w:r>
      <w:r w:rsidR="0041663D" w:rsidRPr="00D27B83">
        <w:rPr>
          <w:rFonts w:ascii="Times New Roman" w:eastAsia="Times New Roman" w:hAnsi="Times New Roman" w:cs="Times New Roman"/>
          <w:sz w:val="24"/>
          <w:szCs w:val="24"/>
        </w:rPr>
        <w:t>services</w:t>
      </w:r>
      <w:r w:rsidR="0041663D">
        <w:rPr>
          <w:rFonts w:ascii="Times New Roman" w:eastAsia="Times New Roman" w:hAnsi="Times New Roman" w:cs="Times New Roman"/>
          <w:sz w:val="24"/>
          <w:szCs w:val="24"/>
        </w:rPr>
        <w:t>; nevertheless, it would attract customers by a larger margin.</w:t>
      </w:r>
      <w:r w:rsidRPr="00D27B83">
        <w:rPr>
          <w:rFonts w:ascii="Times New Roman" w:eastAsia="Times New Roman" w:hAnsi="Times New Roman" w:cs="Times New Roman"/>
          <w:sz w:val="24"/>
          <w:szCs w:val="24"/>
        </w:rPr>
        <w:t xml:space="preserve"> Monzo can invest in AI or ML tools based on the technological factors of the market to reduce repetitive tasks and address cybercrimes more efficiently. Monzo should ensure transparency in its audit reports by considering the legal factors, along with reducing emissions from its operations, to protect the environment. </w:t>
      </w:r>
    </w:p>
    <w:p w:rsidR="00347E98" w:rsidRPr="00D27B83" w:rsidRDefault="003C4BEA">
      <w:pPr>
        <w:pStyle w:val="Heading2"/>
      </w:pPr>
      <w:bookmarkStart w:id="15" w:name="_40qg5hderfqv" w:colFirst="0" w:colLast="0"/>
      <w:bookmarkStart w:id="16" w:name="_Toc224659318"/>
      <w:bookmarkEnd w:id="15"/>
      <w:r w:rsidRPr="00D27B83">
        <w:t>3.3 Academic theories and industry examples</w:t>
      </w:r>
      <w:bookmarkEnd w:id="16"/>
      <w:r w:rsidRPr="00D27B83">
        <w:t xml:space="preserve"> </w:t>
      </w:r>
    </w:p>
    <w:p w:rsidR="00347E98" w:rsidRPr="00D27B83" w:rsidRDefault="003C4BEA">
      <w:pPr>
        <w:spacing w:line="360" w:lineRule="auto"/>
        <w:jc w:val="both"/>
        <w:rPr>
          <w:rFonts w:ascii="Times New Roman" w:eastAsia="Times New Roman" w:hAnsi="Times New Roman" w:cs="Times New Roman"/>
          <w:b/>
          <w:bCs/>
          <w:sz w:val="24"/>
          <w:szCs w:val="24"/>
        </w:rPr>
      </w:pPr>
      <w:r w:rsidRPr="00D27B83">
        <w:rPr>
          <w:rFonts w:ascii="Times New Roman" w:eastAsia="Times New Roman" w:hAnsi="Times New Roman" w:cs="Times New Roman"/>
          <w:sz w:val="24"/>
          <w:szCs w:val="24"/>
        </w:rPr>
        <w:t xml:space="preserve">The </w:t>
      </w:r>
      <w:r w:rsidRPr="00D27B83">
        <w:rPr>
          <w:rFonts w:ascii="Times New Roman" w:eastAsia="Times New Roman" w:hAnsi="Times New Roman" w:cs="Times New Roman"/>
          <w:i/>
          <w:iCs/>
          <w:sz w:val="24"/>
          <w:szCs w:val="24"/>
        </w:rPr>
        <w:t xml:space="preserve">Contingency Theory </w:t>
      </w:r>
      <w:r w:rsidRPr="00D27B83">
        <w:rPr>
          <w:rFonts w:ascii="Times New Roman" w:eastAsia="Times New Roman" w:hAnsi="Times New Roman" w:cs="Times New Roman"/>
          <w:sz w:val="24"/>
          <w:szCs w:val="24"/>
        </w:rPr>
        <w:t xml:space="preserve">describes that business approaches must be flexible and adaptable to market changes. Fielder’s Contingency Theory suggests that companies need to adapt their practices to the external uncertainties to remain competitive (Reams, 2023, p. 112). For instance, the leading banks such as HSBC and Barclays Bank rapidly adapt to the latest technology that helps them to offer exceptional customer experiences and hold a strong market position. The </w:t>
      </w:r>
      <w:r w:rsidRPr="00D27B83">
        <w:rPr>
          <w:rFonts w:ascii="Times New Roman" w:eastAsia="Times New Roman" w:hAnsi="Times New Roman" w:cs="Times New Roman"/>
          <w:i/>
          <w:iCs/>
          <w:sz w:val="24"/>
          <w:szCs w:val="24"/>
        </w:rPr>
        <w:t xml:space="preserve">Diffusion of Innovation Theory </w:t>
      </w:r>
      <w:r w:rsidRPr="00D27B83">
        <w:rPr>
          <w:rFonts w:ascii="Times New Roman" w:eastAsia="Times New Roman" w:hAnsi="Times New Roman" w:cs="Times New Roman"/>
          <w:sz w:val="24"/>
          <w:szCs w:val="24"/>
        </w:rPr>
        <w:t>mentions the process through which new ideas spread in the social system (</w:t>
      </w:r>
      <w:r w:rsidRPr="00D27B83">
        <w:rPr>
          <w:rFonts w:ascii="Times New Roman" w:eastAsia="Times New Roman" w:hAnsi="Times New Roman" w:cs="Times New Roman"/>
          <w:sz w:val="24"/>
          <w:szCs w:val="24"/>
          <w:highlight w:val="white"/>
        </w:rPr>
        <w:t xml:space="preserve">Assidi </w:t>
      </w:r>
      <w:r w:rsidRPr="00D27B83">
        <w:rPr>
          <w:rFonts w:ascii="Times New Roman" w:eastAsia="Times New Roman" w:hAnsi="Times New Roman" w:cs="Times New Roman"/>
          <w:i/>
          <w:iCs/>
          <w:sz w:val="24"/>
          <w:szCs w:val="24"/>
          <w:highlight w:val="white"/>
        </w:rPr>
        <w:t>et al</w:t>
      </w:r>
      <w:r w:rsidRPr="00D27B83">
        <w:rPr>
          <w:rFonts w:ascii="Times New Roman" w:eastAsia="Times New Roman" w:hAnsi="Times New Roman" w:cs="Times New Roman"/>
          <w:sz w:val="24"/>
          <w:szCs w:val="24"/>
          <w:highlight w:val="white"/>
        </w:rPr>
        <w:t>., 2025, p. 916</w:t>
      </w:r>
      <w:r w:rsidRPr="00D27B83">
        <w:rPr>
          <w:rFonts w:ascii="Times New Roman" w:eastAsia="Times New Roman" w:hAnsi="Times New Roman" w:cs="Times New Roman"/>
          <w:sz w:val="24"/>
          <w:szCs w:val="24"/>
        </w:rPr>
        <w:t xml:space="preserve">). Based on this concept, HSBC, NatWest, and Barclays Bank are the early adopters of technology that helps them to gain a competitive advantage in the market. Hence, adopting with the external factors may also allow Monzo to hold a strong market position and gain a competitive advantage. </w:t>
      </w:r>
    </w:p>
    <w:p w:rsidR="00983CE6" w:rsidRDefault="00983CE6">
      <w:pPr>
        <w:rPr>
          <w:rFonts w:ascii="Times New Roman" w:eastAsia="Times New Roman" w:hAnsi="Times New Roman" w:cs="Times New Roman"/>
          <w:b/>
          <w:bCs/>
          <w:sz w:val="24"/>
          <w:szCs w:val="24"/>
        </w:rPr>
      </w:pPr>
      <w:bookmarkStart w:id="17" w:name="_sj5ulexqlaco" w:colFirst="0" w:colLast="0"/>
      <w:bookmarkEnd w:id="17"/>
      <w:r>
        <w:br w:type="page"/>
      </w:r>
    </w:p>
    <w:p w:rsidR="00347E98" w:rsidRPr="00D27B83" w:rsidRDefault="003C4BEA">
      <w:pPr>
        <w:pStyle w:val="Heading1"/>
        <w:jc w:val="both"/>
      </w:pPr>
      <w:bookmarkStart w:id="18" w:name="_Toc224659319"/>
      <w:r w:rsidRPr="00D27B83">
        <w:lastRenderedPageBreak/>
        <w:t>4. Conclusion</w:t>
      </w:r>
      <w:bookmarkEnd w:id="18"/>
      <w:r w:rsidRPr="00D27B83">
        <w:t xml:space="preserve"> </w:t>
      </w:r>
    </w:p>
    <w:p w:rsidR="00347E98" w:rsidRPr="00D27B83" w:rsidRDefault="003C4BEA">
      <w:pPr>
        <w:pStyle w:val="Heading2"/>
      </w:pPr>
      <w:bookmarkStart w:id="19" w:name="_4gsg29kl4e66" w:colFirst="0" w:colLast="0"/>
      <w:bookmarkStart w:id="20" w:name="_Toc224659320"/>
      <w:bookmarkEnd w:id="19"/>
      <w:r w:rsidRPr="00D27B83">
        <w:t>4.1 Key findings</w:t>
      </w:r>
      <w:bookmarkEnd w:id="20"/>
      <w:r w:rsidRPr="00D27B83">
        <w:t xml:space="preserve"> </w:t>
      </w:r>
    </w:p>
    <w:p w:rsidR="00347E98" w:rsidRPr="00D27B83" w:rsidRDefault="003C4BEA">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This report helps to address the impact of external environmental factors on the business decisions of the selected company, Monzo, to shape its </w:t>
      </w:r>
      <w:r w:rsidR="00642903" w:rsidRPr="00D27B83">
        <w:rPr>
          <w:rFonts w:ascii="Times New Roman" w:eastAsia="Times New Roman" w:hAnsi="Times New Roman" w:cs="Times New Roman"/>
          <w:sz w:val="24"/>
          <w:szCs w:val="24"/>
        </w:rPr>
        <w:t>success</w:t>
      </w:r>
      <w:r w:rsidRPr="00D27B83">
        <w:rPr>
          <w:rFonts w:ascii="Times New Roman" w:eastAsia="Times New Roman" w:hAnsi="Times New Roman" w:cs="Times New Roman"/>
          <w:sz w:val="24"/>
          <w:szCs w:val="24"/>
        </w:rPr>
        <w:t xml:space="preserve">. It also addresses the need to adopt changing market conditions to remain competitive and hold a strong market position. </w:t>
      </w:r>
    </w:p>
    <w:p w:rsidR="00347E98" w:rsidRPr="00D27B83" w:rsidRDefault="003C4BEA">
      <w:pPr>
        <w:pStyle w:val="Heading2"/>
      </w:pPr>
      <w:bookmarkStart w:id="21" w:name="_7cut9ktcndly" w:colFirst="0" w:colLast="0"/>
      <w:bookmarkStart w:id="22" w:name="_Toc224659321"/>
      <w:bookmarkEnd w:id="21"/>
      <w:r w:rsidRPr="00D27B83">
        <w:t>4.2 Recommendations</w:t>
      </w:r>
      <w:bookmarkEnd w:id="22"/>
      <w:r w:rsidRPr="00D27B83">
        <w:t xml:space="preserve"> </w:t>
      </w:r>
    </w:p>
    <w:p w:rsidR="00347E98" w:rsidRPr="00D27B83" w:rsidRDefault="003C4BEA">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Monzo should </w:t>
      </w:r>
      <w:r w:rsidRPr="00D27B83">
        <w:rPr>
          <w:rFonts w:ascii="Times New Roman" w:eastAsia="Times New Roman" w:hAnsi="Times New Roman" w:cs="Times New Roman"/>
          <w:i/>
          <w:iCs/>
          <w:sz w:val="24"/>
          <w:szCs w:val="24"/>
        </w:rPr>
        <w:t xml:space="preserve">accelerate AI-driven personal finance </w:t>
      </w:r>
      <w:r w:rsidRPr="00D27B83">
        <w:rPr>
          <w:rFonts w:ascii="Times New Roman" w:eastAsia="Times New Roman" w:hAnsi="Times New Roman" w:cs="Times New Roman"/>
          <w:sz w:val="24"/>
          <w:szCs w:val="24"/>
        </w:rPr>
        <w:t xml:space="preserve">to improve its money management and detect fraudulent payments quickly to became early adopter of technology and avoid legal issues. The company should also focus on </w:t>
      </w:r>
      <w:r w:rsidRPr="00D27B83">
        <w:rPr>
          <w:rFonts w:ascii="Times New Roman" w:eastAsia="Times New Roman" w:hAnsi="Times New Roman" w:cs="Times New Roman"/>
          <w:i/>
          <w:iCs/>
          <w:sz w:val="24"/>
          <w:szCs w:val="24"/>
        </w:rPr>
        <w:t xml:space="preserve">strategic international expansion </w:t>
      </w:r>
      <w:r w:rsidRPr="00D27B83">
        <w:rPr>
          <w:rFonts w:ascii="Times New Roman" w:eastAsia="Times New Roman" w:hAnsi="Times New Roman" w:cs="Times New Roman"/>
          <w:sz w:val="24"/>
          <w:szCs w:val="24"/>
        </w:rPr>
        <w:t xml:space="preserve">to avoid a financial crisis </w:t>
      </w:r>
      <w:r w:rsidR="00D24ADD" w:rsidRPr="00D27B83">
        <w:rPr>
          <w:rFonts w:ascii="Times New Roman" w:eastAsia="Times New Roman" w:hAnsi="Times New Roman" w:cs="Times New Roman"/>
          <w:sz w:val="24"/>
          <w:szCs w:val="24"/>
        </w:rPr>
        <w:t>because</w:t>
      </w:r>
      <w:r w:rsidRPr="00D27B83">
        <w:rPr>
          <w:rFonts w:ascii="Times New Roman" w:eastAsia="Times New Roman" w:hAnsi="Times New Roman" w:cs="Times New Roman"/>
          <w:sz w:val="24"/>
          <w:szCs w:val="24"/>
        </w:rPr>
        <w:t xml:space="preserve"> of the economic downturn and unstable political conditions of UK. </w:t>
      </w:r>
    </w:p>
    <w:p w:rsidR="00347E98" w:rsidRPr="00D27B83" w:rsidRDefault="003C4BEA">
      <w:pPr>
        <w:pStyle w:val="Heading2"/>
      </w:pPr>
      <w:bookmarkStart w:id="23" w:name="_wbmyqbyoatx5" w:colFirst="0" w:colLast="0"/>
      <w:bookmarkStart w:id="24" w:name="_Toc224659322"/>
      <w:bookmarkEnd w:id="23"/>
      <w:r w:rsidRPr="00D27B83">
        <w:t>4.3 Significance of performing situational analysis in strategic planning</w:t>
      </w:r>
      <w:bookmarkEnd w:id="24"/>
    </w:p>
    <w:p w:rsidR="00347E98" w:rsidRPr="00D27B83" w:rsidRDefault="003C4BEA">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Situational analysis helps to address both the positive and negative impacts of the external environment in strategic planning. Companies can also address the risks quickly through situational analysis to remain profitable and gain a competitive advantage. </w:t>
      </w:r>
    </w:p>
    <w:p w:rsidR="00347E98" w:rsidRPr="00D27B83" w:rsidRDefault="003C4BEA">
      <w:pPr>
        <w:spacing w:line="360" w:lineRule="auto"/>
        <w:rPr>
          <w:rFonts w:ascii="Times New Roman" w:eastAsia="Times New Roman" w:hAnsi="Times New Roman" w:cs="Times New Roman"/>
          <w:b/>
          <w:bCs/>
          <w:sz w:val="24"/>
          <w:szCs w:val="24"/>
        </w:rPr>
      </w:pPr>
      <w:r w:rsidRPr="00D27B83">
        <w:br w:type="page"/>
      </w:r>
    </w:p>
    <w:p w:rsidR="00347E98" w:rsidRPr="00D27B83" w:rsidRDefault="003C4BEA">
      <w:pPr>
        <w:pStyle w:val="Heading1"/>
      </w:pPr>
      <w:bookmarkStart w:id="25" w:name="_xti5d7lja3d8" w:colFirst="0" w:colLast="0"/>
      <w:bookmarkStart w:id="26" w:name="_Toc224659323"/>
      <w:bookmarkEnd w:id="25"/>
      <w:r w:rsidRPr="00D27B83">
        <w:lastRenderedPageBreak/>
        <w:t>Reference List</w:t>
      </w:r>
      <w:bookmarkEnd w:id="26"/>
    </w:p>
    <w:p w:rsidR="00D02A36" w:rsidRPr="00D27B83" w:rsidRDefault="00D02A36" w:rsidP="00D02A36">
      <w:pPr>
        <w:spacing w:line="360" w:lineRule="auto"/>
        <w:jc w:val="both"/>
        <w:rPr>
          <w:rFonts w:ascii="Times New Roman" w:eastAsia="Times New Roman" w:hAnsi="Times New Roman" w:cs="Times New Roman"/>
          <w:sz w:val="24"/>
          <w:szCs w:val="24"/>
          <w:u w:val="single"/>
        </w:rPr>
      </w:pPr>
      <w:r w:rsidRPr="00D27B83">
        <w:rPr>
          <w:rFonts w:ascii="Times New Roman" w:eastAsia="Times New Roman" w:hAnsi="Times New Roman" w:cs="Times New Roman"/>
          <w:sz w:val="24"/>
          <w:szCs w:val="24"/>
        </w:rPr>
        <w:t xml:space="preserve">Assidi, S., Omran, M., Rana, T. and Borgi, H., 2025. The role of AI adoption in transforming the accounting profession: a diffusion of innovations theory approach. </w:t>
      </w:r>
      <w:r w:rsidRPr="00D27B83">
        <w:rPr>
          <w:rFonts w:ascii="Times New Roman" w:eastAsia="Times New Roman" w:hAnsi="Times New Roman" w:cs="Times New Roman"/>
          <w:i/>
          <w:iCs/>
          <w:sz w:val="24"/>
          <w:szCs w:val="24"/>
        </w:rPr>
        <w:t>Journal of Accounting &amp; Organizational Change</w:t>
      </w:r>
      <w:r w:rsidRPr="00D27B83">
        <w:rPr>
          <w:rFonts w:ascii="Times New Roman" w:eastAsia="Times New Roman" w:hAnsi="Times New Roman" w:cs="Times New Roman"/>
          <w:sz w:val="24"/>
          <w:szCs w:val="24"/>
        </w:rPr>
        <w:t xml:space="preserve">, </w:t>
      </w:r>
      <w:r w:rsidRPr="00D27B83">
        <w:rPr>
          <w:rFonts w:ascii="Times New Roman" w:eastAsia="Times New Roman" w:hAnsi="Times New Roman" w:cs="Times New Roman"/>
          <w:i/>
          <w:iCs/>
          <w:sz w:val="24"/>
          <w:szCs w:val="24"/>
        </w:rPr>
        <w:t>21</w:t>
      </w:r>
      <w:r w:rsidRPr="00D27B83">
        <w:rPr>
          <w:rFonts w:ascii="Times New Roman" w:eastAsia="Times New Roman" w:hAnsi="Times New Roman" w:cs="Times New Roman"/>
          <w:sz w:val="24"/>
          <w:szCs w:val="24"/>
        </w:rPr>
        <w:t>(5), pp.915-936.</w:t>
      </w:r>
      <w:hyperlink r:id="rId8">
        <w:r w:rsidRPr="00D27B83">
          <w:rPr>
            <w:rFonts w:ascii="Times New Roman" w:eastAsia="Times New Roman" w:hAnsi="Times New Roman" w:cs="Times New Roman"/>
            <w:sz w:val="24"/>
            <w:szCs w:val="24"/>
          </w:rPr>
          <w:t xml:space="preserve"> </w:t>
        </w:r>
      </w:hyperlink>
      <w:hyperlink r:id="rId9">
        <w:r w:rsidRPr="00D27B83">
          <w:rPr>
            <w:rFonts w:ascii="Times New Roman" w:eastAsia="Times New Roman" w:hAnsi="Times New Roman" w:cs="Times New Roman"/>
            <w:sz w:val="24"/>
            <w:szCs w:val="24"/>
            <w:u w:val="single"/>
          </w:rPr>
          <w:t>https://www.emerald.com/jaoc/article-abstract/21/5/915/1251767</w:t>
        </w:r>
      </w:hyperlink>
      <w:r w:rsidRPr="00D27B83">
        <w:rPr>
          <w:rFonts w:ascii="Times New Roman" w:eastAsia="Times New Roman" w:hAnsi="Times New Roman" w:cs="Times New Roman"/>
          <w:sz w:val="24"/>
          <w:szCs w:val="24"/>
          <w:u w:val="single"/>
        </w:rPr>
        <w:t xml:space="preserve"> </w:t>
      </w:r>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Curry, 2026. </w:t>
      </w:r>
      <w:r w:rsidRPr="00D27B83">
        <w:rPr>
          <w:rFonts w:ascii="Times New Roman" w:eastAsia="Times New Roman" w:hAnsi="Times New Roman" w:cs="Times New Roman"/>
          <w:i/>
          <w:iCs/>
          <w:sz w:val="24"/>
          <w:szCs w:val="24"/>
        </w:rPr>
        <w:t>Monzo Revenue and Usage statistics.</w:t>
      </w:r>
      <w:r w:rsidRPr="00D27B83">
        <w:rPr>
          <w:rFonts w:ascii="Times New Roman" w:eastAsia="Times New Roman" w:hAnsi="Times New Roman" w:cs="Times New Roman"/>
          <w:sz w:val="24"/>
          <w:szCs w:val="24"/>
        </w:rPr>
        <w:t xml:space="preserve"> Available at: </w:t>
      </w:r>
      <w:hyperlink r:id="rId10">
        <w:r w:rsidRPr="00D27B83">
          <w:rPr>
            <w:rFonts w:ascii="Times New Roman" w:eastAsia="Times New Roman" w:hAnsi="Times New Roman" w:cs="Times New Roman"/>
            <w:sz w:val="24"/>
            <w:szCs w:val="24"/>
            <w:u w:val="single"/>
          </w:rPr>
          <w:t>https://www.businessofapps.com/data/monzo-statistics/</w:t>
        </w:r>
      </w:hyperlink>
      <w:r w:rsidRPr="00D27B83">
        <w:rPr>
          <w:rFonts w:ascii="Times New Roman" w:eastAsia="Times New Roman" w:hAnsi="Times New Roman" w:cs="Times New Roman"/>
          <w:sz w:val="24"/>
          <w:szCs w:val="24"/>
        </w:rPr>
        <w:t xml:space="preserve"> [Accessed 17 March 2026]. </w:t>
      </w:r>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GOV UK, 2026.</w:t>
      </w:r>
      <w:r w:rsidRPr="00D27B83">
        <w:rPr>
          <w:rFonts w:ascii="Times New Roman" w:eastAsia="Times New Roman" w:hAnsi="Times New Roman" w:cs="Times New Roman"/>
          <w:i/>
          <w:iCs/>
          <w:sz w:val="24"/>
          <w:szCs w:val="24"/>
        </w:rPr>
        <w:t xml:space="preserve"> AI Adoption Research.</w:t>
      </w:r>
      <w:r w:rsidRPr="00D27B83">
        <w:rPr>
          <w:rFonts w:ascii="Times New Roman" w:eastAsia="Times New Roman" w:hAnsi="Times New Roman" w:cs="Times New Roman"/>
          <w:sz w:val="24"/>
          <w:szCs w:val="24"/>
        </w:rPr>
        <w:t xml:space="preserve"> Available at: </w:t>
      </w:r>
      <w:hyperlink r:id="rId11">
        <w:r w:rsidRPr="00D27B83">
          <w:rPr>
            <w:rFonts w:ascii="Times New Roman" w:eastAsia="Times New Roman" w:hAnsi="Times New Roman" w:cs="Times New Roman"/>
            <w:sz w:val="24"/>
            <w:szCs w:val="24"/>
            <w:u w:val="single"/>
          </w:rPr>
          <w:t>https://www.gov.uk/government/publications/ai-adoption-research/ai-adoption-research</w:t>
        </w:r>
      </w:hyperlink>
      <w:r w:rsidRPr="00D27B83">
        <w:rPr>
          <w:rFonts w:ascii="Times New Roman" w:eastAsia="Times New Roman" w:hAnsi="Times New Roman" w:cs="Times New Roman"/>
          <w:sz w:val="24"/>
          <w:szCs w:val="24"/>
        </w:rPr>
        <w:t xml:space="preserve"> [Accessed 17 March 2026].</w:t>
      </w:r>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IMF, 2026. </w:t>
      </w:r>
      <w:r w:rsidRPr="00D27B83">
        <w:rPr>
          <w:rFonts w:ascii="Times New Roman" w:eastAsia="Times New Roman" w:hAnsi="Times New Roman" w:cs="Times New Roman"/>
          <w:i/>
          <w:iCs/>
          <w:sz w:val="24"/>
          <w:szCs w:val="24"/>
        </w:rPr>
        <w:t>United Kingdom Datamapper.</w:t>
      </w:r>
      <w:r w:rsidRPr="00D27B83">
        <w:rPr>
          <w:rFonts w:ascii="Times New Roman" w:eastAsia="Times New Roman" w:hAnsi="Times New Roman" w:cs="Times New Roman"/>
          <w:sz w:val="24"/>
          <w:szCs w:val="24"/>
        </w:rPr>
        <w:t xml:space="preserve"> Available at: </w:t>
      </w:r>
      <w:hyperlink r:id="rId12">
        <w:r w:rsidRPr="00D27B83">
          <w:rPr>
            <w:rFonts w:ascii="Times New Roman" w:eastAsia="Times New Roman" w:hAnsi="Times New Roman" w:cs="Times New Roman"/>
            <w:sz w:val="24"/>
            <w:szCs w:val="24"/>
            <w:u w:val="single"/>
          </w:rPr>
          <w:t>https://www.imf.org/external/datamapper/profile/GBR</w:t>
        </w:r>
      </w:hyperlink>
      <w:r w:rsidRPr="00D27B83">
        <w:rPr>
          <w:rFonts w:ascii="Times New Roman" w:eastAsia="Times New Roman" w:hAnsi="Times New Roman" w:cs="Times New Roman"/>
          <w:sz w:val="24"/>
          <w:szCs w:val="24"/>
        </w:rPr>
        <w:t xml:space="preserve"> [Accessed 17 March 2026].</w:t>
      </w:r>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Legislation GOV, 2025. </w:t>
      </w:r>
      <w:r w:rsidRPr="00D27B83">
        <w:rPr>
          <w:rFonts w:ascii="Times New Roman" w:eastAsia="Times New Roman" w:hAnsi="Times New Roman" w:cs="Times New Roman"/>
          <w:i/>
          <w:iCs/>
          <w:sz w:val="24"/>
          <w:szCs w:val="24"/>
        </w:rPr>
        <w:t>Financial Services and Markets Act 2000.</w:t>
      </w:r>
      <w:r w:rsidRPr="00D27B83">
        <w:rPr>
          <w:rFonts w:ascii="Times New Roman" w:eastAsia="Times New Roman" w:hAnsi="Times New Roman" w:cs="Times New Roman"/>
          <w:sz w:val="24"/>
          <w:szCs w:val="24"/>
        </w:rPr>
        <w:t xml:space="preserve"> Available at: </w:t>
      </w:r>
      <w:hyperlink r:id="rId13">
        <w:r w:rsidRPr="00D27B83">
          <w:rPr>
            <w:rFonts w:ascii="Times New Roman" w:eastAsia="Times New Roman" w:hAnsi="Times New Roman" w:cs="Times New Roman"/>
            <w:sz w:val="24"/>
            <w:szCs w:val="24"/>
            <w:u w:val="single"/>
          </w:rPr>
          <w:t>https://www.legislation.gov.uk/ukpga/2000/8/contents</w:t>
        </w:r>
      </w:hyperlink>
      <w:r w:rsidRPr="00D27B83">
        <w:rPr>
          <w:rFonts w:ascii="Times New Roman" w:eastAsia="Times New Roman" w:hAnsi="Times New Roman" w:cs="Times New Roman"/>
          <w:sz w:val="24"/>
          <w:szCs w:val="24"/>
        </w:rPr>
        <w:t xml:space="preserve"> [Accessed 17 March 2026].</w:t>
      </w:r>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ONS, 2025. </w:t>
      </w:r>
      <w:r w:rsidRPr="00D27B83">
        <w:rPr>
          <w:rFonts w:ascii="Times New Roman" w:eastAsia="Times New Roman" w:hAnsi="Times New Roman" w:cs="Times New Roman"/>
          <w:i/>
          <w:iCs/>
          <w:sz w:val="24"/>
          <w:szCs w:val="24"/>
        </w:rPr>
        <w:t>Employee earnings in the UK: 2025.</w:t>
      </w:r>
      <w:r w:rsidRPr="00D27B83">
        <w:rPr>
          <w:rFonts w:ascii="Times New Roman" w:eastAsia="Times New Roman" w:hAnsi="Times New Roman" w:cs="Times New Roman"/>
          <w:sz w:val="24"/>
          <w:szCs w:val="24"/>
        </w:rPr>
        <w:t xml:space="preserve"> Available at: </w:t>
      </w:r>
      <w:hyperlink r:id="rId14">
        <w:r w:rsidRPr="00D27B83">
          <w:rPr>
            <w:rFonts w:ascii="Times New Roman" w:eastAsia="Times New Roman" w:hAnsi="Times New Roman" w:cs="Times New Roman"/>
            <w:sz w:val="24"/>
            <w:szCs w:val="24"/>
            <w:u w:val="single"/>
          </w:rPr>
          <w:t>https://www.ons.gov.uk/employmentandlabourmarket/peopleinwork/earningsandworkinghours/bulletins/annualsurveyofhoursandearnings/2025</w:t>
        </w:r>
      </w:hyperlink>
      <w:r w:rsidRPr="00D27B83">
        <w:rPr>
          <w:rFonts w:ascii="Times New Roman" w:eastAsia="Times New Roman" w:hAnsi="Times New Roman" w:cs="Times New Roman"/>
          <w:sz w:val="24"/>
          <w:szCs w:val="24"/>
        </w:rPr>
        <w:t xml:space="preserve"> [Accessed 17 March 2026].</w:t>
      </w:r>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Parliament UK, 2026. </w:t>
      </w:r>
      <w:r w:rsidRPr="00D27B83">
        <w:rPr>
          <w:rFonts w:ascii="Times New Roman" w:eastAsia="Times New Roman" w:hAnsi="Times New Roman" w:cs="Times New Roman"/>
          <w:i/>
          <w:iCs/>
          <w:sz w:val="24"/>
          <w:szCs w:val="24"/>
        </w:rPr>
        <w:t>The UK’s plans and progress to reach net zero by 2050.</w:t>
      </w:r>
      <w:r w:rsidRPr="00D27B83">
        <w:rPr>
          <w:rFonts w:ascii="Times New Roman" w:eastAsia="Times New Roman" w:hAnsi="Times New Roman" w:cs="Times New Roman"/>
          <w:sz w:val="24"/>
          <w:szCs w:val="24"/>
        </w:rPr>
        <w:t xml:space="preserve"> Available at: </w:t>
      </w:r>
      <w:hyperlink r:id="rId15">
        <w:r w:rsidRPr="00D27B83">
          <w:rPr>
            <w:rFonts w:ascii="Times New Roman" w:eastAsia="Times New Roman" w:hAnsi="Times New Roman" w:cs="Times New Roman"/>
            <w:sz w:val="24"/>
            <w:szCs w:val="24"/>
            <w:u w:val="single"/>
          </w:rPr>
          <w:t>https://commonslibrary.parliament.uk/research-briefings/cbp-9888/</w:t>
        </w:r>
      </w:hyperlink>
      <w:r w:rsidRPr="00D27B83">
        <w:rPr>
          <w:rFonts w:ascii="Times New Roman" w:eastAsia="Times New Roman" w:hAnsi="Times New Roman" w:cs="Times New Roman"/>
          <w:sz w:val="24"/>
          <w:szCs w:val="24"/>
        </w:rPr>
        <w:t xml:space="preserve"> [Accessed 17 March 2026].</w:t>
      </w:r>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PwC, 2025. </w:t>
      </w:r>
      <w:r w:rsidRPr="00D27B83">
        <w:rPr>
          <w:rFonts w:ascii="Times New Roman" w:eastAsia="Times New Roman" w:hAnsi="Times New Roman" w:cs="Times New Roman"/>
          <w:i/>
          <w:iCs/>
          <w:sz w:val="24"/>
          <w:szCs w:val="24"/>
        </w:rPr>
        <w:t>United Kingdom: Corporate taxes on income.</w:t>
      </w:r>
      <w:r w:rsidRPr="00D27B83">
        <w:rPr>
          <w:rFonts w:ascii="Times New Roman" w:eastAsia="Times New Roman" w:hAnsi="Times New Roman" w:cs="Times New Roman"/>
          <w:sz w:val="24"/>
          <w:szCs w:val="24"/>
        </w:rPr>
        <w:t xml:space="preserve"> Available at: </w:t>
      </w:r>
      <w:hyperlink r:id="rId16">
        <w:r w:rsidRPr="00D27B83">
          <w:rPr>
            <w:rFonts w:ascii="Times New Roman" w:eastAsia="Times New Roman" w:hAnsi="Times New Roman" w:cs="Times New Roman"/>
            <w:sz w:val="24"/>
            <w:szCs w:val="24"/>
            <w:u w:val="single"/>
          </w:rPr>
          <w:t>https://taxsummaries.pwc.com/united-kingdom/corporate/taxes-on-corporate-income</w:t>
        </w:r>
      </w:hyperlink>
      <w:r w:rsidRPr="00D27B83">
        <w:rPr>
          <w:rFonts w:ascii="Times New Roman" w:eastAsia="Times New Roman" w:hAnsi="Times New Roman" w:cs="Times New Roman"/>
          <w:sz w:val="24"/>
          <w:szCs w:val="24"/>
        </w:rPr>
        <w:t xml:space="preserve"> [Accessed 17 March 2026].</w:t>
      </w:r>
    </w:p>
    <w:p w:rsidR="00D02A36" w:rsidRPr="00D27B83" w:rsidRDefault="00D02A36" w:rsidP="00D02A36">
      <w:pPr>
        <w:spacing w:line="360" w:lineRule="auto"/>
        <w:jc w:val="both"/>
        <w:rPr>
          <w:rFonts w:ascii="Times New Roman" w:eastAsia="Times New Roman" w:hAnsi="Times New Roman" w:cs="Times New Roman"/>
          <w:sz w:val="24"/>
          <w:szCs w:val="24"/>
          <w:u w:val="single"/>
        </w:rPr>
      </w:pPr>
      <w:r w:rsidRPr="00D27B83">
        <w:rPr>
          <w:rFonts w:ascii="Times New Roman" w:eastAsia="Times New Roman" w:hAnsi="Times New Roman" w:cs="Times New Roman"/>
          <w:sz w:val="24"/>
          <w:szCs w:val="24"/>
        </w:rPr>
        <w:t xml:space="preserve">Reams, L.C., 2023. Fred Fiedler’s contingency model revisited: 30 years later. </w:t>
      </w:r>
      <w:r w:rsidRPr="00D27B83">
        <w:rPr>
          <w:rFonts w:ascii="Times New Roman" w:eastAsia="Times New Roman" w:hAnsi="Times New Roman" w:cs="Times New Roman"/>
          <w:i/>
          <w:iCs/>
          <w:sz w:val="24"/>
          <w:szCs w:val="24"/>
        </w:rPr>
        <w:t>Filosofiya osvity. Philosophy of Education</w:t>
      </w:r>
      <w:r w:rsidRPr="00D27B83">
        <w:rPr>
          <w:rFonts w:ascii="Times New Roman" w:eastAsia="Times New Roman" w:hAnsi="Times New Roman" w:cs="Times New Roman"/>
          <w:sz w:val="24"/>
          <w:szCs w:val="24"/>
        </w:rPr>
        <w:t xml:space="preserve">, </w:t>
      </w:r>
      <w:r w:rsidRPr="00D27B83">
        <w:rPr>
          <w:rFonts w:ascii="Times New Roman" w:eastAsia="Times New Roman" w:hAnsi="Times New Roman" w:cs="Times New Roman"/>
          <w:i/>
          <w:iCs/>
          <w:sz w:val="24"/>
          <w:szCs w:val="24"/>
        </w:rPr>
        <w:t>29</w:t>
      </w:r>
      <w:r w:rsidRPr="00D27B83">
        <w:rPr>
          <w:rFonts w:ascii="Times New Roman" w:eastAsia="Times New Roman" w:hAnsi="Times New Roman" w:cs="Times New Roman"/>
          <w:sz w:val="24"/>
          <w:szCs w:val="24"/>
        </w:rPr>
        <w:t>(1), pp.111-124.</w:t>
      </w:r>
      <w:hyperlink r:id="rId17">
        <w:r w:rsidRPr="00D27B83">
          <w:rPr>
            <w:rFonts w:ascii="Times New Roman" w:eastAsia="Times New Roman" w:hAnsi="Times New Roman" w:cs="Times New Roman"/>
            <w:sz w:val="24"/>
            <w:szCs w:val="24"/>
          </w:rPr>
          <w:t xml:space="preserve"> </w:t>
        </w:r>
      </w:hyperlink>
      <w:hyperlink r:id="rId18">
        <w:r w:rsidRPr="00D27B83">
          <w:rPr>
            <w:rFonts w:ascii="Times New Roman" w:eastAsia="Times New Roman" w:hAnsi="Times New Roman" w:cs="Times New Roman"/>
            <w:sz w:val="24"/>
            <w:szCs w:val="24"/>
            <w:u w:val="single"/>
          </w:rPr>
          <w:t>https://philosopheducation.com/index.php/philed/article/view/761</w:t>
        </w:r>
      </w:hyperlink>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Slotta, D., 2025. </w:t>
      </w:r>
      <w:r w:rsidRPr="00D27B83">
        <w:rPr>
          <w:rFonts w:ascii="Times New Roman" w:eastAsia="Times New Roman" w:hAnsi="Times New Roman" w:cs="Times New Roman"/>
          <w:i/>
          <w:iCs/>
          <w:sz w:val="24"/>
          <w:szCs w:val="24"/>
        </w:rPr>
        <w:t>Social Media usage in the United Kingdom.</w:t>
      </w:r>
      <w:r w:rsidRPr="00D27B83">
        <w:rPr>
          <w:rFonts w:ascii="Times New Roman" w:eastAsia="Times New Roman" w:hAnsi="Times New Roman" w:cs="Times New Roman"/>
          <w:sz w:val="24"/>
          <w:szCs w:val="24"/>
        </w:rPr>
        <w:t xml:space="preserve"> Available at: </w:t>
      </w:r>
      <w:hyperlink r:id="rId19" w:anchor="topicOverview">
        <w:r w:rsidRPr="00D27B83">
          <w:rPr>
            <w:rFonts w:ascii="Times New Roman" w:eastAsia="Times New Roman" w:hAnsi="Times New Roman" w:cs="Times New Roman"/>
            <w:sz w:val="24"/>
            <w:szCs w:val="24"/>
            <w:u w:val="single"/>
          </w:rPr>
          <w:t>https://www.statista.com/topics/3236/social-media-usage-in-the-uk/?srsltid=AfmBOopW-joNbv19uoZlMYvYrgO47XtoYudue6pINcYbNzVHkEeOFaiF#topicOverview</w:t>
        </w:r>
      </w:hyperlink>
      <w:r w:rsidRPr="00D27B83">
        <w:rPr>
          <w:rFonts w:ascii="Times New Roman" w:eastAsia="Times New Roman" w:hAnsi="Times New Roman" w:cs="Times New Roman"/>
          <w:sz w:val="24"/>
          <w:szCs w:val="24"/>
        </w:rPr>
        <w:t xml:space="preserve"> [Accessed 17 March 2026].</w:t>
      </w:r>
    </w:p>
    <w:p w:rsidR="00D02A36" w:rsidRPr="00D27B83"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t xml:space="preserve">Spherical Insights, 2026. </w:t>
      </w:r>
      <w:r w:rsidRPr="00D27B83">
        <w:rPr>
          <w:rFonts w:ascii="Times New Roman" w:eastAsia="Times New Roman" w:hAnsi="Times New Roman" w:cs="Times New Roman"/>
          <w:i/>
          <w:iCs/>
          <w:sz w:val="24"/>
          <w:szCs w:val="24"/>
        </w:rPr>
        <w:t>United Kingdom machine learning market.</w:t>
      </w:r>
      <w:r w:rsidRPr="00D27B83">
        <w:rPr>
          <w:rFonts w:ascii="Times New Roman" w:eastAsia="Times New Roman" w:hAnsi="Times New Roman" w:cs="Times New Roman"/>
          <w:sz w:val="24"/>
          <w:szCs w:val="24"/>
        </w:rPr>
        <w:t xml:space="preserve"> Available at: </w:t>
      </w:r>
      <w:hyperlink r:id="rId20">
        <w:r w:rsidRPr="00D27B83">
          <w:rPr>
            <w:rFonts w:ascii="Times New Roman" w:eastAsia="Times New Roman" w:hAnsi="Times New Roman" w:cs="Times New Roman"/>
            <w:sz w:val="24"/>
            <w:szCs w:val="24"/>
            <w:u w:val="single"/>
          </w:rPr>
          <w:t>https://www.sphericalinsights.com/reports/united-kingdom-machine-learning-ml-market</w:t>
        </w:r>
      </w:hyperlink>
      <w:r w:rsidRPr="00D27B83">
        <w:rPr>
          <w:rFonts w:ascii="Times New Roman" w:eastAsia="Times New Roman" w:hAnsi="Times New Roman" w:cs="Times New Roman"/>
          <w:sz w:val="24"/>
          <w:szCs w:val="24"/>
        </w:rPr>
        <w:t xml:space="preserve"> [Accessed 17 March 2026].</w:t>
      </w:r>
    </w:p>
    <w:p w:rsidR="00513308" w:rsidRDefault="00D02A36" w:rsidP="00D02A36">
      <w:pPr>
        <w:spacing w:line="360" w:lineRule="auto"/>
        <w:jc w:val="both"/>
        <w:rPr>
          <w:rFonts w:ascii="Times New Roman" w:eastAsia="Times New Roman" w:hAnsi="Times New Roman" w:cs="Times New Roman"/>
          <w:sz w:val="24"/>
          <w:szCs w:val="24"/>
        </w:rPr>
      </w:pPr>
      <w:r w:rsidRPr="00D27B83">
        <w:rPr>
          <w:rFonts w:ascii="Times New Roman" w:eastAsia="Times New Roman" w:hAnsi="Times New Roman" w:cs="Times New Roman"/>
          <w:sz w:val="24"/>
          <w:szCs w:val="24"/>
        </w:rPr>
        <w:lastRenderedPageBreak/>
        <w:t xml:space="preserve">The Global Economy, 2024. </w:t>
      </w:r>
      <w:r w:rsidRPr="00D27B83">
        <w:rPr>
          <w:rFonts w:ascii="Times New Roman" w:eastAsia="Times New Roman" w:hAnsi="Times New Roman" w:cs="Times New Roman"/>
          <w:i/>
          <w:iCs/>
          <w:sz w:val="24"/>
          <w:szCs w:val="24"/>
        </w:rPr>
        <w:t>United Kingdom: Political Stability.</w:t>
      </w:r>
      <w:r w:rsidRPr="00D27B83">
        <w:rPr>
          <w:rFonts w:ascii="Times New Roman" w:eastAsia="Times New Roman" w:hAnsi="Times New Roman" w:cs="Times New Roman"/>
          <w:sz w:val="24"/>
          <w:szCs w:val="24"/>
        </w:rPr>
        <w:t xml:space="preserve"> Available at: </w:t>
      </w:r>
      <w:hyperlink r:id="rId21">
        <w:r w:rsidRPr="00D27B83">
          <w:rPr>
            <w:rFonts w:ascii="Times New Roman" w:eastAsia="Times New Roman" w:hAnsi="Times New Roman" w:cs="Times New Roman"/>
            <w:sz w:val="24"/>
            <w:szCs w:val="24"/>
            <w:u w:val="single"/>
          </w:rPr>
          <w:t>https://www.theglobaleconomy.com/United-Kingdom/wb_political_stability/</w:t>
        </w:r>
      </w:hyperlink>
      <w:r w:rsidRPr="00D27B83">
        <w:rPr>
          <w:rFonts w:ascii="Times New Roman" w:eastAsia="Times New Roman" w:hAnsi="Times New Roman" w:cs="Times New Roman"/>
          <w:sz w:val="24"/>
          <w:szCs w:val="24"/>
        </w:rPr>
        <w:t xml:space="preserve"> [Accessed 17 March 2026].</w:t>
      </w:r>
    </w:p>
    <w:p w:rsidR="00513308" w:rsidRDefault="0051330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513308" w:rsidRPr="00E9141D" w:rsidRDefault="00513308" w:rsidP="00513308">
      <w:pPr>
        <w:pStyle w:val="Normal1"/>
        <w:spacing w:line="360" w:lineRule="auto"/>
        <w:jc w:val="both"/>
        <w:rPr>
          <w:rFonts w:ascii="Times New Roman" w:eastAsia="Times New Roman" w:hAnsi="Times New Roman" w:cs="Times New Roman"/>
          <w:b/>
          <w:sz w:val="24"/>
          <w:szCs w:val="24"/>
          <w:highlight w:val="white"/>
          <w:lang w:val="en-GB"/>
        </w:rPr>
      </w:pPr>
      <w:r w:rsidRPr="00E9141D">
        <w:rPr>
          <w:rFonts w:ascii="Times New Roman" w:eastAsia="Times New Roman" w:hAnsi="Times New Roman" w:cs="Times New Roman"/>
          <w:b/>
          <w:sz w:val="24"/>
          <w:szCs w:val="24"/>
          <w:highlight w:val="white"/>
          <w:lang w:val="en-GB"/>
        </w:rPr>
        <w:lastRenderedPageBreak/>
        <w:t xml:space="preserve">GAI Declaration </w:t>
      </w:r>
    </w:p>
    <w:p w:rsidR="00513308" w:rsidRPr="00E9141D" w:rsidRDefault="00513308" w:rsidP="00513308">
      <w:pPr>
        <w:pStyle w:val="Normal1"/>
        <w:spacing w:line="360" w:lineRule="auto"/>
        <w:jc w:val="both"/>
        <w:rPr>
          <w:rFonts w:ascii="Times New Roman" w:eastAsia="Times New Roman" w:hAnsi="Times New Roman" w:cs="Times New Roman"/>
          <w:sz w:val="24"/>
          <w:szCs w:val="24"/>
          <w:lang w:val="en-GB"/>
        </w:rPr>
      </w:pPr>
      <w:r w:rsidRPr="00E9141D">
        <w:rPr>
          <w:rFonts w:ascii="Times New Roman" w:eastAsia="Times New Roman" w:hAnsi="Times New Roman" w:cs="Times New Roman"/>
          <w:sz w:val="24"/>
          <w:szCs w:val="24"/>
          <w:lang w:val="en-GB"/>
        </w:rPr>
        <w:t xml:space="preserve">I am declaring that the entire research </w:t>
      </w:r>
      <w:proofErr w:type="gramStart"/>
      <w:r w:rsidRPr="00E9141D">
        <w:rPr>
          <w:rFonts w:ascii="Times New Roman" w:eastAsia="Times New Roman" w:hAnsi="Times New Roman" w:cs="Times New Roman"/>
          <w:sz w:val="24"/>
          <w:szCs w:val="24"/>
          <w:lang w:val="en-GB"/>
        </w:rPr>
        <w:t>was done</w:t>
      </w:r>
      <w:proofErr w:type="gramEnd"/>
      <w:r w:rsidRPr="00E9141D">
        <w:rPr>
          <w:rFonts w:ascii="Times New Roman" w:eastAsia="Times New Roman" w:hAnsi="Times New Roman" w:cs="Times New Roman"/>
          <w:sz w:val="24"/>
          <w:szCs w:val="24"/>
          <w:lang w:val="en-GB"/>
        </w:rPr>
        <w:t xml:space="preserve"> by me with</w:t>
      </w:r>
      <w:r>
        <w:rPr>
          <w:rFonts w:ascii="Times New Roman" w:eastAsia="Times New Roman" w:hAnsi="Times New Roman" w:cs="Times New Roman"/>
          <w:sz w:val="24"/>
          <w:szCs w:val="24"/>
          <w:lang w:val="en-GB"/>
        </w:rPr>
        <w:t xml:space="preserve">out the use of the GAI tools or </w:t>
      </w:r>
      <w:r w:rsidRPr="00E9141D">
        <w:rPr>
          <w:rFonts w:ascii="Times New Roman" w:eastAsia="Times New Roman" w:hAnsi="Times New Roman" w:cs="Times New Roman"/>
          <w:sz w:val="24"/>
          <w:szCs w:val="24"/>
          <w:lang w:val="en-GB"/>
        </w:rPr>
        <w:t>even ChatGPT. I have even ensured that the entire rese</w:t>
      </w:r>
      <w:r>
        <w:rPr>
          <w:rFonts w:ascii="Times New Roman" w:eastAsia="Times New Roman" w:hAnsi="Times New Roman" w:cs="Times New Roman"/>
          <w:sz w:val="24"/>
          <w:szCs w:val="24"/>
          <w:lang w:val="en-GB"/>
        </w:rPr>
        <w:t xml:space="preserve">arch </w:t>
      </w:r>
      <w:proofErr w:type="gramStart"/>
      <w:r>
        <w:rPr>
          <w:rFonts w:ascii="Times New Roman" w:eastAsia="Times New Roman" w:hAnsi="Times New Roman" w:cs="Times New Roman"/>
          <w:sz w:val="24"/>
          <w:szCs w:val="24"/>
          <w:lang w:val="en-GB"/>
        </w:rPr>
        <w:t>is done</w:t>
      </w:r>
      <w:proofErr w:type="gramEnd"/>
      <w:r>
        <w:rPr>
          <w:rFonts w:ascii="Times New Roman" w:eastAsia="Times New Roman" w:hAnsi="Times New Roman" w:cs="Times New Roman"/>
          <w:sz w:val="24"/>
          <w:szCs w:val="24"/>
          <w:lang w:val="en-GB"/>
        </w:rPr>
        <w:t xml:space="preserve"> through collecting </w:t>
      </w:r>
      <w:r w:rsidRPr="00E9141D">
        <w:rPr>
          <w:rFonts w:ascii="Times New Roman" w:eastAsia="Times New Roman" w:hAnsi="Times New Roman" w:cs="Times New Roman"/>
          <w:sz w:val="24"/>
          <w:szCs w:val="24"/>
          <w:lang w:val="en-GB"/>
        </w:rPr>
        <w:t>secondary sources of information to ensure academic integrity in the research.</w:t>
      </w:r>
    </w:p>
    <w:p w:rsidR="00D02A36" w:rsidRPr="00D27B83" w:rsidRDefault="00D02A36" w:rsidP="00D02A36">
      <w:pPr>
        <w:spacing w:line="360" w:lineRule="auto"/>
        <w:jc w:val="both"/>
        <w:rPr>
          <w:rFonts w:ascii="Times New Roman" w:eastAsia="Times New Roman" w:hAnsi="Times New Roman" w:cs="Times New Roman"/>
          <w:sz w:val="24"/>
          <w:szCs w:val="24"/>
        </w:rPr>
      </w:pPr>
    </w:p>
    <w:p w:rsidR="00347E98" w:rsidRPr="00D27B83" w:rsidRDefault="00347E98">
      <w:pPr>
        <w:spacing w:line="360" w:lineRule="auto"/>
        <w:rPr>
          <w:rFonts w:ascii="Times New Roman" w:eastAsia="Times New Roman" w:hAnsi="Times New Roman" w:cs="Times New Roman"/>
          <w:sz w:val="24"/>
          <w:szCs w:val="24"/>
        </w:rPr>
      </w:pPr>
    </w:p>
    <w:p w:rsidR="00347E98" w:rsidRPr="00D27B83" w:rsidRDefault="00347E98">
      <w:pPr>
        <w:spacing w:line="360" w:lineRule="auto"/>
        <w:rPr>
          <w:rFonts w:ascii="Times New Roman" w:eastAsia="Times New Roman" w:hAnsi="Times New Roman" w:cs="Times New Roman"/>
          <w:b/>
          <w:bCs/>
          <w:sz w:val="24"/>
          <w:szCs w:val="24"/>
        </w:rPr>
      </w:pPr>
    </w:p>
    <w:p w:rsidR="00347E98" w:rsidRPr="00D27B83" w:rsidRDefault="00347E98">
      <w:pPr>
        <w:spacing w:line="360" w:lineRule="auto"/>
        <w:rPr>
          <w:rFonts w:ascii="Times New Roman" w:eastAsia="Times New Roman" w:hAnsi="Times New Roman" w:cs="Times New Roman"/>
          <w:b/>
          <w:bCs/>
          <w:sz w:val="24"/>
          <w:szCs w:val="24"/>
        </w:rPr>
      </w:pPr>
    </w:p>
    <w:p w:rsidR="00347E98" w:rsidRPr="00D27B83" w:rsidRDefault="00347E98">
      <w:pPr>
        <w:spacing w:line="360" w:lineRule="auto"/>
        <w:rPr>
          <w:rFonts w:ascii="Times New Roman" w:eastAsia="Times New Roman" w:hAnsi="Times New Roman" w:cs="Times New Roman"/>
          <w:b/>
          <w:bCs/>
          <w:sz w:val="24"/>
          <w:szCs w:val="24"/>
        </w:rPr>
      </w:pPr>
    </w:p>
    <w:sectPr w:rsidR="00347E98" w:rsidRPr="00D27B83">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1506" w:rsidRDefault="00D61506" w:rsidP="008664CE">
      <w:pPr>
        <w:spacing w:line="240" w:lineRule="auto"/>
      </w:pPr>
      <w:r>
        <w:separator/>
      </w:r>
    </w:p>
  </w:endnote>
  <w:endnote w:type="continuationSeparator" w:id="0">
    <w:p w:rsidR="00D61506" w:rsidRDefault="00D61506" w:rsidP="008664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AB1247A-9BF3-4DBF-B416-9DDE1515FA92}"/>
  </w:font>
  <w:font w:name="Cambria">
    <w:panose1 w:val="02040503050406030204"/>
    <w:charset w:val="00"/>
    <w:family w:val="roman"/>
    <w:pitch w:val="variable"/>
    <w:sig w:usb0="E00006FF" w:usb1="420024FF" w:usb2="02000000" w:usb3="00000000" w:csb0="0000019F" w:csb1="00000000"/>
    <w:embedRegular r:id="rId2" w:fontKey="{247912AA-3361-448C-A5AB-18027E34836D}"/>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7960876"/>
      <w:docPartObj>
        <w:docPartGallery w:val="Page Numbers (Bottom of Page)"/>
        <w:docPartUnique/>
      </w:docPartObj>
    </w:sdtPr>
    <w:sdtEndPr>
      <w:rPr>
        <w:rFonts w:ascii="Times New Roman" w:hAnsi="Times New Roman" w:cs="Times New Roman"/>
        <w:noProof/>
        <w:color w:val="000000" w:themeColor="text1"/>
        <w:sz w:val="24"/>
      </w:rPr>
    </w:sdtEndPr>
    <w:sdtContent>
      <w:p w:rsidR="008664CE" w:rsidRPr="008664CE" w:rsidRDefault="008664CE">
        <w:pPr>
          <w:pStyle w:val="Footer"/>
          <w:jc w:val="right"/>
          <w:rPr>
            <w:rFonts w:ascii="Times New Roman" w:hAnsi="Times New Roman" w:cs="Times New Roman"/>
            <w:color w:val="000000" w:themeColor="text1"/>
            <w:sz w:val="24"/>
          </w:rPr>
        </w:pPr>
        <w:r w:rsidRPr="008664CE">
          <w:rPr>
            <w:rFonts w:ascii="Times New Roman" w:hAnsi="Times New Roman" w:cs="Times New Roman"/>
            <w:color w:val="000000" w:themeColor="text1"/>
            <w:sz w:val="24"/>
          </w:rPr>
          <w:fldChar w:fldCharType="begin"/>
        </w:r>
        <w:r w:rsidRPr="008664CE">
          <w:rPr>
            <w:rFonts w:ascii="Times New Roman" w:hAnsi="Times New Roman" w:cs="Times New Roman"/>
            <w:color w:val="000000" w:themeColor="text1"/>
            <w:sz w:val="24"/>
          </w:rPr>
          <w:instrText xml:space="preserve"> PAGE   \* MERGEFORMAT </w:instrText>
        </w:r>
        <w:r w:rsidRPr="008664CE">
          <w:rPr>
            <w:rFonts w:ascii="Times New Roman" w:hAnsi="Times New Roman" w:cs="Times New Roman"/>
            <w:color w:val="000000" w:themeColor="text1"/>
            <w:sz w:val="24"/>
          </w:rPr>
          <w:fldChar w:fldCharType="separate"/>
        </w:r>
        <w:r w:rsidR="00695549">
          <w:rPr>
            <w:rFonts w:ascii="Times New Roman" w:hAnsi="Times New Roman" w:cs="Times New Roman"/>
            <w:noProof/>
            <w:color w:val="000000" w:themeColor="text1"/>
            <w:sz w:val="24"/>
          </w:rPr>
          <w:t>10</w:t>
        </w:r>
        <w:r w:rsidRPr="008664CE">
          <w:rPr>
            <w:rFonts w:ascii="Times New Roman" w:hAnsi="Times New Roman" w:cs="Times New Roman"/>
            <w:noProof/>
            <w:color w:val="000000" w:themeColor="text1"/>
            <w:sz w:val="24"/>
          </w:rPr>
          <w:fldChar w:fldCharType="end"/>
        </w:r>
      </w:p>
    </w:sdtContent>
  </w:sdt>
  <w:p w:rsidR="008664CE" w:rsidRDefault="00866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1506" w:rsidRDefault="00D61506" w:rsidP="008664CE">
      <w:pPr>
        <w:spacing w:line="240" w:lineRule="auto"/>
      </w:pPr>
      <w:r>
        <w:separator/>
      </w:r>
    </w:p>
  </w:footnote>
  <w:footnote w:type="continuationSeparator" w:id="0">
    <w:p w:rsidR="00D61506" w:rsidRDefault="00D61506" w:rsidP="008664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5C25DC"/>
    <w:multiLevelType w:val="multilevel"/>
    <w:tmpl w:val="476A2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910A9C"/>
    <w:multiLevelType w:val="multilevel"/>
    <w:tmpl w:val="69AE9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288189F"/>
    <w:multiLevelType w:val="multilevel"/>
    <w:tmpl w:val="894A3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C501BE"/>
    <w:multiLevelType w:val="multilevel"/>
    <w:tmpl w:val="F530F7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D033A2"/>
    <w:multiLevelType w:val="multilevel"/>
    <w:tmpl w:val="39BAE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3C1D93"/>
    <w:multiLevelType w:val="multilevel"/>
    <w:tmpl w:val="7444B5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activeWritingStyle w:appName="MSWord" w:lang="en-GB" w:vendorID="64" w:dllVersion="131078" w:nlCheck="1" w:checkStyle="0"/>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7E98"/>
    <w:rsid w:val="000B7881"/>
    <w:rsid w:val="000E0B85"/>
    <w:rsid w:val="001056C7"/>
    <w:rsid w:val="002275FF"/>
    <w:rsid w:val="002346F3"/>
    <w:rsid w:val="002612AA"/>
    <w:rsid w:val="002C12E8"/>
    <w:rsid w:val="002D6F21"/>
    <w:rsid w:val="00347E98"/>
    <w:rsid w:val="0037573D"/>
    <w:rsid w:val="003C4BEA"/>
    <w:rsid w:val="003D5E1A"/>
    <w:rsid w:val="003D7034"/>
    <w:rsid w:val="003E7D56"/>
    <w:rsid w:val="00412BA1"/>
    <w:rsid w:val="0041663D"/>
    <w:rsid w:val="004D759C"/>
    <w:rsid w:val="00505F53"/>
    <w:rsid w:val="005131A7"/>
    <w:rsid w:val="00513308"/>
    <w:rsid w:val="0052349E"/>
    <w:rsid w:val="0058129E"/>
    <w:rsid w:val="006022C1"/>
    <w:rsid w:val="00642903"/>
    <w:rsid w:val="00661A63"/>
    <w:rsid w:val="00673488"/>
    <w:rsid w:val="00683E91"/>
    <w:rsid w:val="00685076"/>
    <w:rsid w:val="00695549"/>
    <w:rsid w:val="008664CE"/>
    <w:rsid w:val="00983CE6"/>
    <w:rsid w:val="00A328D2"/>
    <w:rsid w:val="00A5074D"/>
    <w:rsid w:val="00AC1C6C"/>
    <w:rsid w:val="00AC3BBB"/>
    <w:rsid w:val="00B211D6"/>
    <w:rsid w:val="00BC3F6E"/>
    <w:rsid w:val="00BE4C7E"/>
    <w:rsid w:val="00C341D8"/>
    <w:rsid w:val="00C52036"/>
    <w:rsid w:val="00CC202D"/>
    <w:rsid w:val="00D02A36"/>
    <w:rsid w:val="00D24ADD"/>
    <w:rsid w:val="00D27B83"/>
    <w:rsid w:val="00D51CEA"/>
    <w:rsid w:val="00D61506"/>
    <w:rsid w:val="00D75123"/>
    <w:rsid w:val="00DA0C2D"/>
    <w:rsid w:val="00DB44FD"/>
    <w:rsid w:val="00DF566F"/>
    <w:rsid w:val="00E3715A"/>
    <w:rsid w:val="00E51623"/>
    <w:rsid w:val="00E7059B"/>
    <w:rsid w:val="00EA7F78"/>
    <w:rsid w:val="00FE4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CEB33"/>
  <w15:docId w15:val="{F631B919-52C9-491D-82B1-B27B26D4F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line="360" w:lineRule="auto"/>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8664CE"/>
    <w:pPr>
      <w:tabs>
        <w:tab w:val="center" w:pos="4513"/>
        <w:tab w:val="right" w:pos="9026"/>
      </w:tabs>
      <w:spacing w:line="240" w:lineRule="auto"/>
    </w:pPr>
  </w:style>
  <w:style w:type="character" w:customStyle="1" w:styleId="HeaderChar">
    <w:name w:val="Header Char"/>
    <w:basedOn w:val="DefaultParagraphFont"/>
    <w:link w:val="Header"/>
    <w:uiPriority w:val="99"/>
    <w:rsid w:val="008664CE"/>
  </w:style>
  <w:style w:type="paragraph" w:styleId="Footer">
    <w:name w:val="footer"/>
    <w:basedOn w:val="Normal"/>
    <w:link w:val="FooterChar"/>
    <w:uiPriority w:val="99"/>
    <w:unhideWhenUsed/>
    <w:rsid w:val="008664CE"/>
    <w:pPr>
      <w:tabs>
        <w:tab w:val="center" w:pos="4513"/>
        <w:tab w:val="right" w:pos="9026"/>
      </w:tabs>
      <w:spacing w:line="240" w:lineRule="auto"/>
    </w:pPr>
  </w:style>
  <w:style w:type="character" w:customStyle="1" w:styleId="FooterChar">
    <w:name w:val="Footer Char"/>
    <w:basedOn w:val="DefaultParagraphFont"/>
    <w:link w:val="Footer"/>
    <w:uiPriority w:val="99"/>
    <w:rsid w:val="008664CE"/>
  </w:style>
  <w:style w:type="paragraph" w:styleId="TOCHeading">
    <w:name w:val="TOC Heading"/>
    <w:basedOn w:val="Heading1"/>
    <w:next w:val="Normal"/>
    <w:uiPriority w:val="39"/>
    <w:unhideWhenUsed/>
    <w:qFormat/>
    <w:rsid w:val="00DB44FD"/>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B44FD"/>
    <w:pPr>
      <w:spacing w:after="100"/>
    </w:pPr>
  </w:style>
  <w:style w:type="paragraph" w:styleId="TOC2">
    <w:name w:val="toc 2"/>
    <w:basedOn w:val="Normal"/>
    <w:next w:val="Normal"/>
    <w:autoRedefine/>
    <w:uiPriority w:val="39"/>
    <w:unhideWhenUsed/>
    <w:rsid w:val="00DB44FD"/>
    <w:pPr>
      <w:spacing w:after="100"/>
      <w:ind w:left="220"/>
    </w:pPr>
  </w:style>
  <w:style w:type="character" w:styleId="Hyperlink">
    <w:name w:val="Hyperlink"/>
    <w:basedOn w:val="DefaultParagraphFont"/>
    <w:uiPriority w:val="99"/>
    <w:unhideWhenUsed/>
    <w:rsid w:val="00DB44FD"/>
    <w:rPr>
      <w:color w:val="0000FF" w:themeColor="hyperlink"/>
      <w:u w:val="single"/>
    </w:rPr>
  </w:style>
  <w:style w:type="paragraph" w:customStyle="1" w:styleId="Normal1">
    <w:name w:val="Normal1"/>
    <w:rsid w:val="00513308"/>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emerald.com/jaoc/article-abstract/21/5/915/1251767" TargetMode="External"/><Relationship Id="rId13" Type="http://schemas.openxmlformats.org/officeDocument/2006/relationships/hyperlink" Target="https://www.legislation.gov.uk/ukpga/2000/8/contents" TargetMode="External"/><Relationship Id="rId18" Type="http://schemas.openxmlformats.org/officeDocument/2006/relationships/hyperlink" Target="https://philosopheducation.com/index.php/philed/article/view/761" TargetMode="External"/><Relationship Id="rId3" Type="http://schemas.openxmlformats.org/officeDocument/2006/relationships/styles" Target="styles.xml"/><Relationship Id="rId21" Type="http://schemas.openxmlformats.org/officeDocument/2006/relationships/hyperlink" Target="https://www.theglobaleconomy.com/United-Kingdom/wb_political_stability/" TargetMode="External"/><Relationship Id="rId7" Type="http://schemas.openxmlformats.org/officeDocument/2006/relationships/endnotes" Target="endnotes.xml"/><Relationship Id="rId12" Type="http://schemas.openxmlformats.org/officeDocument/2006/relationships/hyperlink" Target="https://www.imf.org/external/datamapper/profile/GBR" TargetMode="External"/><Relationship Id="rId17" Type="http://schemas.openxmlformats.org/officeDocument/2006/relationships/hyperlink" Target="https://philosopheducation.com/index.php/philed/article/view/761" TargetMode="External"/><Relationship Id="rId2" Type="http://schemas.openxmlformats.org/officeDocument/2006/relationships/numbering" Target="numbering.xml"/><Relationship Id="rId16" Type="http://schemas.openxmlformats.org/officeDocument/2006/relationships/hyperlink" Target="https://taxsummaries.pwc.com/united-kingdom/corporate/taxes-on-corporate-income" TargetMode="External"/><Relationship Id="rId20" Type="http://schemas.openxmlformats.org/officeDocument/2006/relationships/hyperlink" Target="https://www.sphericalinsights.com/reports/united-kingdom-machine-learning-ml-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i-adoption-research/ai-adoption-research"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mmonslibrary.parliament.uk/research-briefings/cbp-9888/" TargetMode="External"/><Relationship Id="rId23" Type="http://schemas.openxmlformats.org/officeDocument/2006/relationships/fontTable" Target="fontTable.xml"/><Relationship Id="rId10" Type="http://schemas.openxmlformats.org/officeDocument/2006/relationships/hyperlink" Target="https://www.businessofapps.com/data/monzo-statistics/" TargetMode="External"/><Relationship Id="rId19" Type="http://schemas.openxmlformats.org/officeDocument/2006/relationships/hyperlink" Target="https://www.statista.com/topics/3236/social-media-usage-in-the-uk/?srsltid=AfmBOopW-joNbv19uoZlMYvYrgO47XtoYudue6pINcYbNzVHkEeOFaiF" TargetMode="External"/><Relationship Id="rId4" Type="http://schemas.openxmlformats.org/officeDocument/2006/relationships/settings" Target="settings.xml"/><Relationship Id="rId9" Type="http://schemas.openxmlformats.org/officeDocument/2006/relationships/hyperlink" Target="https://www.emerald.com/jaoc/article-abstract/21/5/915/1251767" TargetMode="External"/><Relationship Id="rId14" Type="http://schemas.openxmlformats.org/officeDocument/2006/relationships/hyperlink" Target="https://www.ons.gov.uk/employmentandlabourmarket/peopleinwork/earningsandworkinghours/bulletins/annualsurveyofhoursandearnings/2025"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92CFB3-D647-4AD2-BA46-551ED5B85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1877</Words>
  <Characters>10705</Characters>
  <Application>Microsoft Office Word</Application>
  <DocSecurity>0</DocSecurity>
  <Lines>89</Lines>
  <Paragraphs>25</Paragraphs>
  <ScaleCrop>false</ScaleCrop>
  <Company/>
  <LinksUpToDate>false</LinksUpToDate>
  <CharactersWithSpaces>12557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cp:lastModifiedBy>
  <cp:revision>64</cp:revision>
  <dcterms:created xsi:type="dcterms:W3CDTF">2026-03-17T11:13:00Z</dcterms:created>
  <dcterms:modified xsi:type="dcterms:W3CDTF">2026-03-20T15:49:00Z</dcterms:modified>
</cp:coreProperties>
</file>