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30CDBB" w14:textId="62154156" w:rsidR="008727B9" w:rsidRDefault="004422AE">
      <w:pPr>
        <w:rPr>
          <w:color w:val="111111"/>
          <w:sz w:val="27"/>
          <w:szCs w:val="27"/>
          <w:shd w:val="clear" w:color="auto" w:fill="FFFFFF"/>
        </w:rPr>
      </w:pPr>
      <w:r w:rsidRPr="004422AE">
        <w:rPr>
          <w:sz w:val="36"/>
          <w:szCs w:val="36"/>
          <w:lang w:val="en-US"/>
        </w:rPr>
        <w:t>E</w:t>
      </w:r>
      <w:r>
        <w:rPr>
          <w:sz w:val="36"/>
          <w:szCs w:val="36"/>
          <w:lang w:val="en-US"/>
        </w:rPr>
        <w:t>U</w:t>
      </w:r>
      <w:r w:rsidRPr="004422AE">
        <w:rPr>
          <w:sz w:val="36"/>
          <w:szCs w:val="36"/>
          <w:lang w:val="en-US"/>
        </w:rPr>
        <w:t xml:space="preserve"> ASSIGNMENT</w:t>
      </w:r>
      <w:r w:rsidR="008727B9" w:rsidRPr="008727B9">
        <w:rPr>
          <w:color w:val="111111"/>
          <w:sz w:val="27"/>
          <w:szCs w:val="27"/>
          <w:shd w:val="clear" w:color="auto" w:fill="FFFFFF"/>
        </w:rPr>
        <w:t xml:space="preserve"> </w:t>
      </w:r>
    </w:p>
    <w:p w14:paraId="057AB813" w14:textId="38AC75A9" w:rsidR="004422AE" w:rsidRPr="00AD1912" w:rsidRDefault="00AD1912">
      <w:pPr>
        <w:rPr>
          <w:color w:val="111111"/>
          <w:sz w:val="24"/>
          <w:szCs w:val="24"/>
          <w:shd w:val="clear" w:color="auto" w:fill="FFFFFF"/>
        </w:rPr>
      </w:pPr>
      <w:bookmarkStart w:id="0" w:name="_Hlk101382158"/>
      <w:r w:rsidRPr="00AD1912">
        <w:rPr>
          <w:color w:val="111111"/>
          <w:sz w:val="24"/>
          <w:szCs w:val="24"/>
          <w:shd w:val="clear" w:color="auto" w:fill="FFFFFF"/>
        </w:rPr>
        <w:t>The purpose of this paper is to determine the degree to which the values of direct effect, indirect effect, and member state liability. Treaties, regulations, and decisions are immediately applicable, implying that EU legislation is relied on directly, resulting in direct effect, which might be horizontal or vertical. In most cases, directives can only have a vertical direct effect. Indirect effect is when national courts interpret national laws in a way that is consistent with EU law; this is an alternative to making these rights effective, and it makes rights acceptable.</w:t>
      </w:r>
      <w:r>
        <w:rPr>
          <w:color w:val="111111"/>
          <w:sz w:val="24"/>
          <w:szCs w:val="24"/>
          <w:shd w:val="clear" w:color="auto" w:fill="FFFFFF"/>
        </w:rPr>
        <w:t xml:space="preserve"> </w:t>
      </w:r>
      <w:bookmarkEnd w:id="0"/>
      <w:r w:rsidR="00A722B9" w:rsidRPr="00DB76C1">
        <w:rPr>
          <w:sz w:val="24"/>
          <w:szCs w:val="24"/>
        </w:rPr>
        <w:t xml:space="preserve">Van Gen den Loos v </w:t>
      </w:r>
      <w:proofErr w:type="spellStart"/>
      <w:r w:rsidR="00A722B9" w:rsidRPr="00DB76C1">
        <w:rPr>
          <w:sz w:val="24"/>
          <w:szCs w:val="24"/>
        </w:rPr>
        <w:t>Nederlandse</w:t>
      </w:r>
      <w:proofErr w:type="spellEnd"/>
      <w:r w:rsidR="00A722B9" w:rsidRPr="00DB76C1">
        <w:rPr>
          <w:sz w:val="24"/>
          <w:szCs w:val="24"/>
        </w:rPr>
        <w:t xml:space="preserve"> </w:t>
      </w:r>
      <w:proofErr w:type="spellStart"/>
      <w:r w:rsidR="00A722B9" w:rsidRPr="00DB76C1">
        <w:rPr>
          <w:sz w:val="24"/>
          <w:szCs w:val="24"/>
        </w:rPr>
        <w:t>Administratie</w:t>
      </w:r>
      <w:proofErr w:type="spellEnd"/>
      <w:r w:rsidR="00A722B9" w:rsidRPr="00DB76C1">
        <w:rPr>
          <w:sz w:val="24"/>
          <w:szCs w:val="24"/>
        </w:rPr>
        <w:t xml:space="preserve"> </w:t>
      </w:r>
      <w:proofErr w:type="spellStart"/>
      <w:r w:rsidR="00A722B9" w:rsidRPr="00DB76C1">
        <w:rPr>
          <w:sz w:val="24"/>
          <w:szCs w:val="24"/>
        </w:rPr>
        <w:t>DerBelastingen</w:t>
      </w:r>
      <w:proofErr w:type="spellEnd"/>
      <w:r w:rsidR="00A722B9" w:rsidRPr="00DB76C1">
        <w:rPr>
          <w:sz w:val="24"/>
          <w:szCs w:val="24"/>
        </w:rPr>
        <w:t xml:space="preserve"> 1963 direct effect was established by the courts of justice which allows individuals to enforce EU law against the state, the Court's 1963 decision, Van </w:t>
      </w:r>
      <w:proofErr w:type="spellStart"/>
      <w:r w:rsidR="00A722B9" w:rsidRPr="00DB76C1">
        <w:rPr>
          <w:sz w:val="24"/>
          <w:szCs w:val="24"/>
        </w:rPr>
        <w:t>Gend</w:t>
      </w:r>
      <w:proofErr w:type="spellEnd"/>
      <w:r w:rsidR="00A722B9" w:rsidRPr="00DB76C1">
        <w:rPr>
          <w:sz w:val="24"/>
          <w:szCs w:val="24"/>
        </w:rPr>
        <w:t xml:space="preserve"> </w:t>
      </w:r>
      <w:proofErr w:type="spellStart"/>
      <w:r w:rsidR="00A722B9" w:rsidRPr="00DB76C1">
        <w:rPr>
          <w:sz w:val="24"/>
          <w:szCs w:val="24"/>
        </w:rPr>
        <w:t>en</w:t>
      </w:r>
      <w:proofErr w:type="spellEnd"/>
      <w:r w:rsidR="00A722B9" w:rsidRPr="00DB76C1">
        <w:rPr>
          <w:sz w:val="24"/>
          <w:szCs w:val="24"/>
        </w:rPr>
        <w:t xml:space="preserve"> Loos, where the Court declared that European law could be relied on by private citizens before their national courts. The direct effect of European law is frequently interpreted as empowering private citizens and national courts, as a supplement to the European Commission-initiated compliance mechanism outlined in Article 169 of the Treaty of Rome, and as a way to increase the binding force of European law</w:t>
      </w:r>
      <w:r w:rsidR="00F612A4" w:rsidRPr="00DB76C1">
        <w:rPr>
          <w:sz w:val="24"/>
          <w:szCs w:val="24"/>
        </w:rPr>
        <w:t xml:space="preserve"> </w:t>
      </w:r>
      <w:r w:rsidR="008C5E0B" w:rsidRPr="00DB76C1">
        <w:rPr>
          <w:sz w:val="24"/>
          <w:szCs w:val="24"/>
          <w:lang w:val="en-US"/>
        </w:rPr>
        <w:t>(Phelan, 20</w:t>
      </w:r>
      <w:r w:rsidR="00820F1F" w:rsidRPr="00DB76C1">
        <w:rPr>
          <w:sz w:val="24"/>
          <w:szCs w:val="24"/>
          <w:lang w:val="en-US"/>
        </w:rPr>
        <w:t>20</w:t>
      </w:r>
      <w:r w:rsidR="008C5E0B" w:rsidRPr="00DB76C1">
        <w:rPr>
          <w:sz w:val="24"/>
          <w:szCs w:val="24"/>
          <w:lang w:val="en-US"/>
        </w:rPr>
        <w:t>).</w:t>
      </w:r>
      <w:r w:rsidR="00A722B9" w:rsidRPr="00DB76C1">
        <w:rPr>
          <w:sz w:val="24"/>
          <w:szCs w:val="24"/>
          <w:lang w:val="en-US"/>
        </w:rPr>
        <w:t xml:space="preserve"> </w:t>
      </w:r>
    </w:p>
    <w:p w14:paraId="2A36AA47" w14:textId="45932618" w:rsidR="00010B2B" w:rsidRPr="00DB76C1" w:rsidRDefault="00010B2B" w:rsidP="00010B2B">
      <w:pPr>
        <w:rPr>
          <w:sz w:val="24"/>
          <w:szCs w:val="24"/>
        </w:rPr>
      </w:pPr>
      <w:r w:rsidRPr="00DB76C1">
        <w:rPr>
          <w:sz w:val="24"/>
          <w:szCs w:val="24"/>
          <w:lang w:val="en-US"/>
        </w:rPr>
        <w:t xml:space="preserve">The conditions under which a provision of EU law may be given direct effect are precise and relate to the provision's text and language, its source, and the nature of the parties involved in the dispute. Eric Stein, a well-known American legal expert, made a noteworthy exception to the usual narrative. In a groundbreaking article published in 1981, he argued that the European Commission's Legal Service was crucial to the Van </w:t>
      </w:r>
      <w:proofErr w:type="spellStart"/>
      <w:r w:rsidRPr="00DB76C1">
        <w:rPr>
          <w:sz w:val="24"/>
          <w:szCs w:val="24"/>
          <w:lang w:val="en-US"/>
        </w:rPr>
        <w:t>Gend</w:t>
      </w:r>
      <w:proofErr w:type="spellEnd"/>
      <w:r w:rsidRPr="00DB76C1">
        <w:rPr>
          <w:sz w:val="24"/>
          <w:szCs w:val="24"/>
          <w:lang w:val="en-US"/>
        </w:rPr>
        <w:t xml:space="preserve"> </w:t>
      </w:r>
      <w:proofErr w:type="spellStart"/>
      <w:r w:rsidRPr="00DB76C1">
        <w:rPr>
          <w:sz w:val="24"/>
          <w:szCs w:val="24"/>
          <w:lang w:val="en-US"/>
        </w:rPr>
        <w:t>en</w:t>
      </w:r>
      <w:proofErr w:type="spellEnd"/>
      <w:r w:rsidRPr="00DB76C1">
        <w:rPr>
          <w:sz w:val="24"/>
          <w:szCs w:val="24"/>
          <w:lang w:val="en-US"/>
        </w:rPr>
        <w:t xml:space="preserve"> Loos decision because it crafted the core argument used by the ECJ in the decision – that the European Communities (EC) constituted a special legal order fundamentally different from classic international law, thus justifying the direct effect and primacy of European law.</w:t>
      </w:r>
      <w:r w:rsidRPr="00DB76C1">
        <w:rPr>
          <w:sz w:val="24"/>
          <w:szCs w:val="24"/>
        </w:rPr>
        <w:t xml:space="preserve"> (Rasmussen, 2012</w:t>
      </w:r>
      <w:r w:rsidR="006B3752" w:rsidRPr="00DB76C1">
        <w:rPr>
          <w:sz w:val="24"/>
          <w:szCs w:val="24"/>
        </w:rPr>
        <w:t>).</w:t>
      </w:r>
    </w:p>
    <w:p w14:paraId="521F4848" w14:textId="52A3E5AE" w:rsidR="00244ACF" w:rsidRPr="00DB76C1" w:rsidRDefault="000476A7" w:rsidP="00244ACF">
      <w:pPr>
        <w:rPr>
          <w:rFonts w:ascii="Arial" w:eastAsia="Times New Roman" w:hAnsi="Arial" w:cs="Arial"/>
          <w:sz w:val="24"/>
          <w:szCs w:val="24"/>
          <w:lang w:eastAsia="en-GB"/>
        </w:rPr>
      </w:pPr>
      <w:r w:rsidRPr="00DB76C1">
        <w:rPr>
          <w:sz w:val="24"/>
          <w:szCs w:val="24"/>
          <w:lang w:val="en-US"/>
        </w:rPr>
        <w:t xml:space="preserve">The Van </w:t>
      </w:r>
      <w:proofErr w:type="spellStart"/>
      <w:r w:rsidRPr="00DB76C1">
        <w:rPr>
          <w:sz w:val="24"/>
          <w:szCs w:val="24"/>
          <w:lang w:val="en-US"/>
        </w:rPr>
        <w:t>Gend</w:t>
      </w:r>
      <w:proofErr w:type="spellEnd"/>
      <w:r w:rsidRPr="00DB76C1">
        <w:rPr>
          <w:sz w:val="24"/>
          <w:szCs w:val="24"/>
          <w:lang w:val="en-US"/>
        </w:rPr>
        <w:t xml:space="preserve"> </w:t>
      </w:r>
      <w:proofErr w:type="spellStart"/>
      <w:r w:rsidRPr="00DB76C1">
        <w:rPr>
          <w:sz w:val="24"/>
          <w:szCs w:val="24"/>
          <w:lang w:val="en-US"/>
        </w:rPr>
        <w:t>en</w:t>
      </w:r>
      <w:proofErr w:type="spellEnd"/>
      <w:r w:rsidRPr="00DB76C1">
        <w:rPr>
          <w:sz w:val="24"/>
          <w:szCs w:val="24"/>
          <w:lang w:val="en-US"/>
        </w:rPr>
        <w:t xml:space="preserve"> Loos criteria were further amended, and currently a provision is immediately effective if it is </w:t>
      </w:r>
      <w:r w:rsidR="001C6A25" w:rsidRPr="00DB76C1">
        <w:rPr>
          <w:sz w:val="24"/>
          <w:szCs w:val="24"/>
          <w:lang w:val="en-US"/>
        </w:rPr>
        <w:t>(</w:t>
      </w:r>
      <w:r w:rsidR="00366662" w:rsidRPr="00DB76C1">
        <w:rPr>
          <w:sz w:val="24"/>
          <w:szCs w:val="24"/>
          <w:lang w:val="en-US"/>
        </w:rPr>
        <w:t>1</w:t>
      </w:r>
      <w:r w:rsidR="001C6A25" w:rsidRPr="00DB76C1">
        <w:rPr>
          <w:sz w:val="24"/>
          <w:szCs w:val="24"/>
          <w:lang w:val="en-US"/>
        </w:rPr>
        <w:t>)</w:t>
      </w:r>
      <w:r w:rsidRPr="00DB76C1">
        <w:rPr>
          <w:sz w:val="24"/>
          <w:szCs w:val="24"/>
          <w:lang w:val="en-US"/>
        </w:rPr>
        <w:t xml:space="preserve"> designed to confer rights on individuals, (</w:t>
      </w:r>
      <w:r w:rsidR="001C6A25" w:rsidRPr="00DB76C1">
        <w:rPr>
          <w:sz w:val="24"/>
          <w:szCs w:val="24"/>
          <w:lang w:val="en-US"/>
        </w:rPr>
        <w:t>2</w:t>
      </w:r>
      <w:r w:rsidRPr="00DB76C1">
        <w:rPr>
          <w:sz w:val="24"/>
          <w:szCs w:val="24"/>
          <w:lang w:val="en-US"/>
        </w:rPr>
        <w:t>) unambiguous, (</w:t>
      </w:r>
      <w:r w:rsidR="001C6A25" w:rsidRPr="00DB76C1">
        <w:rPr>
          <w:sz w:val="24"/>
          <w:szCs w:val="24"/>
          <w:lang w:val="en-US"/>
        </w:rPr>
        <w:t>3</w:t>
      </w:r>
      <w:r w:rsidRPr="00DB76C1">
        <w:rPr>
          <w:sz w:val="24"/>
          <w:szCs w:val="24"/>
          <w:lang w:val="en-US"/>
        </w:rPr>
        <w:t>) precise, and (</w:t>
      </w:r>
      <w:r w:rsidR="001C6A25" w:rsidRPr="00DB76C1">
        <w:rPr>
          <w:sz w:val="24"/>
          <w:szCs w:val="24"/>
          <w:lang w:val="en-US"/>
        </w:rPr>
        <w:t>4</w:t>
      </w:r>
      <w:r w:rsidRPr="00DB76C1">
        <w:rPr>
          <w:sz w:val="24"/>
          <w:szCs w:val="24"/>
          <w:lang w:val="en-US"/>
        </w:rPr>
        <w:t xml:space="preserve">) unconditional. Grad v </w:t>
      </w:r>
      <w:proofErr w:type="spellStart"/>
      <w:r w:rsidRPr="00DB76C1">
        <w:rPr>
          <w:sz w:val="24"/>
          <w:szCs w:val="24"/>
          <w:lang w:val="en-US"/>
        </w:rPr>
        <w:t>Finanzamt</w:t>
      </w:r>
      <w:proofErr w:type="spellEnd"/>
      <w:r w:rsidRPr="00DB76C1">
        <w:rPr>
          <w:sz w:val="24"/>
          <w:szCs w:val="24"/>
          <w:lang w:val="en-US"/>
        </w:rPr>
        <w:t xml:space="preserve"> </w:t>
      </w:r>
      <w:proofErr w:type="spellStart"/>
      <w:r w:rsidRPr="00DB76C1">
        <w:rPr>
          <w:sz w:val="24"/>
          <w:szCs w:val="24"/>
          <w:lang w:val="en-US"/>
        </w:rPr>
        <w:t>Traunstein</w:t>
      </w:r>
      <w:proofErr w:type="spellEnd"/>
      <w:r w:rsidRPr="00DB76C1">
        <w:rPr>
          <w:sz w:val="24"/>
          <w:szCs w:val="24"/>
          <w:lang w:val="en-US"/>
        </w:rPr>
        <w:t xml:space="preserve"> (9/70) [1970] E.C.R. 825 enlarged the definition of direct </w:t>
      </w:r>
      <w:r w:rsidR="00EC651D" w:rsidRPr="00DB76C1">
        <w:rPr>
          <w:sz w:val="24"/>
          <w:szCs w:val="24"/>
          <w:lang w:val="en-US"/>
        </w:rPr>
        <w:t>effect</w:t>
      </w:r>
      <w:r w:rsidRPr="00DB76C1">
        <w:rPr>
          <w:sz w:val="24"/>
          <w:szCs w:val="24"/>
          <w:lang w:val="en-US"/>
        </w:rPr>
        <w:t xml:space="preserve"> to include decisions, which were also found to be directly effective.</w:t>
      </w:r>
      <w:r w:rsidR="00244ACF" w:rsidRPr="00DB76C1">
        <w:rPr>
          <w:sz w:val="24"/>
          <w:szCs w:val="24"/>
        </w:rPr>
        <w:t xml:space="preserve">  </w:t>
      </w:r>
      <w:r w:rsidRPr="00DB76C1">
        <w:rPr>
          <w:sz w:val="24"/>
          <w:szCs w:val="24"/>
          <w:lang w:val="en-US"/>
        </w:rPr>
        <w:t xml:space="preserve">The CJEU then </w:t>
      </w:r>
      <w:proofErr w:type="spellStart"/>
      <w:r w:rsidRPr="00DB76C1">
        <w:rPr>
          <w:sz w:val="24"/>
          <w:szCs w:val="24"/>
          <w:lang w:val="en-US"/>
        </w:rPr>
        <w:t>recognised</w:t>
      </w:r>
      <w:proofErr w:type="spellEnd"/>
      <w:r w:rsidRPr="00DB76C1">
        <w:rPr>
          <w:sz w:val="24"/>
          <w:szCs w:val="24"/>
          <w:lang w:val="en-US"/>
        </w:rPr>
        <w:t xml:space="preserve"> that Directives could have direct effect in Van </w:t>
      </w:r>
      <w:proofErr w:type="spellStart"/>
      <w:r w:rsidRPr="00DB76C1">
        <w:rPr>
          <w:sz w:val="24"/>
          <w:szCs w:val="24"/>
          <w:lang w:val="en-US"/>
        </w:rPr>
        <w:t>Duyn</w:t>
      </w:r>
      <w:proofErr w:type="spellEnd"/>
      <w:r w:rsidRPr="00DB76C1">
        <w:rPr>
          <w:sz w:val="24"/>
          <w:szCs w:val="24"/>
          <w:lang w:val="en-US"/>
        </w:rPr>
        <w:t xml:space="preserve"> v Home Office (41/74) [1975] Ch. 358 and </w:t>
      </w:r>
      <w:proofErr w:type="spellStart"/>
      <w:r w:rsidRPr="00DB76C1">
        <w:rPr>
          <w:sz w:val="24"/>
          <w:szCs w:val="24"/>
          <w:lang w:val="en-US"/>
        </w:rPr>
        <w:t>Pubblico</w:t>
      </w:r>
      <w:proofErr w:type="spellEnd"/>
      <w:r w:rsidRPr="00DB76C1">
        <w:rPr>
          <w:sz w:val="24"/>
          <w:szCs w:val="24"/>
          <w:lang w:val="en-US"/>
        </w:rPr>
        <w:t xml:space="preserve"> </w:t>
      </w:r>
      <w:proofErr w:type="spellStart"/>
      <w:r w:rsidRPr="00DB76C1">
        <w:rPr>
          <w:sz w:val="24"/>
          <w:szCs w:val="24"/>
          <w:lang w:val="en-US"/>
        </w:rPr>
        <w:t>Ministero</w:t>
      </w:r>
      <w:proofErr w:type="spellEnd"/>
      <w:r w:rsidRPr="00DB76C1">
        <w:rPr>
          <w:sz w:val="24"/>
          <w:szCs w:val="24"/>
          <w:lang w:val="en-US"/>
        </w:rPr>
        <w:t xml:space="preserve"> v </w:t>
      </w:r>
      <w:proofErr w:type="spellStart"/>
      <w:r w:rsidRPr="00DB76C1">
        <w:rPr>
          <w:sz w:val="24"/>
          <w:szCs w:val="24"/>
          <w:lang w:val="en-US"/>
        </w:rPr>
        <w:t>Ratti</w:t>
      </w:r>
      <w:proofErr w:type="spellEnd"/>
      <w:r w:rsidRPr="00DB76C1">
        <w:rPr>
          <w:sz w:val="24"/>
          <w:szCs w:val="24"/>
          <w:lang w:val="en-US"/>
        </w:rPr>
        <w:t xml:space="preserve"> (148/78) [1979] E.C.R. 1629. </w:t>
      </w:r>
      <w:r w:rsidR="005B3D45" w:rsidRPr="00DB76C1">
        <w:rPr>
          <w:sz w:val="24"/>
          <w:szCs w:val="24"/>
          <w:lang w:val="en-US"/>
        </w:rPr>
        <w:t>(</w:t>
      </w:r>
      <w:proofErr w:type="spellStart"/>
      <w:r w:rsidR="005B3D45" w:rsidRPr="00DB76C1">
        <w:rPr>
          <w:sz w:val="24"/>
          <w:szCs w:val="24"/>
          <w:lang w:val="en-US"/>
        </w:rPr>
        <w:t>Polimac</w:t>
      </w:r>
      <w:proofErr w:type="spellEnd"/>
      <w:r w:rsidR="005B3D45" w:rsidRPr="00DB76C1">
        <w:rPr>
          <w:sz w:val="24"/>
          <w:szCs w:val="24"/>
          <w:lang w:val="en-US"/>
        </w:rPr>
        <w:t>, 2015).</w:t>
      </w:r>
      <w:r w:rsidR="00804805" w:rsidRPr="00DB76C1">
        <w:rPr>
          <w:rFonts w:ascii="Arial" w:eastAsia="Times New Roman" w:hAnsi="Arial" w:cs="Arial"/>
          <w:sz w:val="24"/>
          <w:szCs w:val="24"/>
          <w:lang w:val="it-IT" w:eastAsia="en-GB"/>
        </w:rPr>
        <w:t xml:space="preserve"> </w:t>
      </w:r>
      <w:bookmarkStart w:id="1" w:name="_Hlk101387016"/>
    </w:p>
    <w:bookmarkEnd w:id="1"/>
    <w:p w14:paraId="5E721E02" w14:textId="5A301722" w:rsidR="009F10A8" w:rsidRPr="00DB76C1" w:rsidRDefault="009F10A8" w:rsidP="0059178D">
      <w:pPr>
        <w:rPr>
          <w:rFonts w:ascii="Arial" w:eastAsia="Times New Roman" w:hAnsi="Arial" w:cs="Arial"/>
          <w:b/>
          <w:bCs/>
          <w:sz w:val="24"/>
          <w:szCs w:val="24"/>
          <w:lang w:val="it-IT" w:eastAsia="en-GB"/>
        </w:rPr>
      </w:pPr>
      <w:r w:rsidRPr="00DB76C1">
        <w:rPr>
          <w:sz w:val="24"/>
          <w:szCs w:val="24"/>
          <w:lang w:val="en-US"/>
        </w:rPr>
        <w:t xml:space="preserve">It was established in </w:t>
      </w:r>
      <w:proofErr w:type="spellStart"/>
      <w:r w:rsidRPr="00DB76C1">
        <w:rPr>
          <w:sz w:val="24"/>
          <w:szCs w:val="24"/>
          <w:lang w:val="en-US"/>
        </w:rPr>
        <w:t>Pubblico</w:t>
      </w:r>
      <w:proofErr w:type="spellEnd"/>
      <w:r w:rsidRPr="00DB76C1">
        <w:rPr>
          <w:sz w:val="24"/>
          <w:szCs w:val="24"/>
          <w:lang w:val="en-US"/>
        </w:rPr>
        <w:t xml:space="preserve"> </w:t>
      </w:r>
      <w:proofErr w:type="spellStart"/>
      <w:r w:rsidRPr="00DB76C1">
        <w:rPr>
          <w:sz w:val="24"/>
          <w:szCs w:val="24"/>
          <w:lang w:val="en-US"/>
        </w:rPr>
        <w:t>Ministero</w:t>
      </w:r>
      <w:proofErr w:type="spellEnd"/>
      <w:r w:rsidRPr="00DB76C1">
        <w:rPr>
          <w:sz w:val="24"/>
          <w:szCs w:val="24"/>
          <w:lang w:val="en-US"/>
        </w:rPr>
        <w:t xml:space="preserve"> v </w:t>
      </w:r>
      <w:proofErr w:type="spellStart"/>
      <w:r w:rsidRPr="00DB76C1">
        <w:rPr>
          <w:sz w:val="24"/>
          <w:szCs w:val="24"/>
          <w:lang w:val="en-US"/>
        </w:rPr>
        <w:t>Tullio</w:t>
      </w:r>
      <w:proofErr w:type="spellEnd"/>
      <w:r w:rsidRPr="00DB76C1">
        <w:rPr>
          <w:sz w:val="24"/>
          <w:szCs w:val="24"/>
          <w:lang w:val="en-US"/>
        </w:rPr>
        <w:t xml:space="preserve"> </w:t>
      </w:r>
      <w:proofErr w:type="spellStart"/>
      <w:r w:rsidRPr="00DB76C1">
        <w:rPr>
          <w:sz w:val="24"/>
          <w:szCs w:val="24"/>
          <w:lang w:val="en-US"/>
        </w:rPr>
        <w:t>Ratti</w:t>
      </w:r>
      <w:proofErr w:type="spellEnd"/>
      <w:r w:rsidRPr="00DB76C1">
        <w:rPr>
          <w:sz w:val="24"/>
          <w:szCs w:val="24"/>
          <w:lang w:val="en-US"/>
        </w:rPr>
        <w:t xml:space="preserve"> [1979] that a directive cannot have immediate effect if the time limit for its execution has not expired. Directives were only directly effective if the designated deadline for implementation by the Member State had passed. Individuals can rely on the vertical direct effect as a result.</w:t>
      </w:r>
      <w:r w:rsidR="00F93372" w:rsidRPr="00DB76C1">
        <w:rPr>
          <w:sz w:val="24"/>
          <w:szCs w:val="24"/>
        </w:rPr>
        <w:t xml:space="preserve"> </w:t>
      </w:r>
      <w:r w:rsidR="00F93372" w:rsidRPr="00DB76C1">
        <w:rPr>
          <w:sz w:val="24"/>
          <w:szCs w:val="24"/>
          <w:lang w:val="en-US"/>
        </w:rPr>
        <w:t>The theory of direct effect was developed by the European Court of Justice and is not mentioned in the Treaty.</w:t>
      </w:r>
      <w:r w:rsidR="00F93372" w:rsidRPr="00DB76C1">
        <w:rPr>
          <w:sz w:val="24"/>
          <w:szCs w:val="24"/>
        </w:rPr>
        <w:t xml:space="preserve">  (</w:t>
      </w:r>
      <w:proofErr w:type="spellStart"/>
      <w:r w:rsidR="00F93372" w:rsidRPr="00DB76C1">
        <w:rPr>
          <w:sz w:val="24"/>
          <w:szCs w:val="24"/>
        </w:rPr>
        <w:t>Stiernstrom</w:t>
      </w:r>
      <w:proofErr w:type="spellEnd"/>
      <w:r w:rsidR="00F93372" w:rsidRPr="00DB76C1">
        <w:rPr>
          <w:sz w:val="24"/>
          <w:szCs w:val="24"/>
        </w:rPr>
        <w:t xml:space="preserve">, Monnet and Schuman, 2005). </w:t>
      </w:r>
    </w:p>
    <w:p w14:paraId="01B7D5E7" w14:textId="4B3F8432" w:rsidR="00D63BE8" w:rsidRDefault="00314F77" w:rsidP="00BC372A">
      <w:pPr>
        <w:rPr>
          <w:sz w:val="24"/>
          <w:szCs w:val="24"/>
        </w:rPr>
      </w:pPr>
      <w:r w:rsidRPr="00DB76C1">
        <w:rPr>
          <w:sz w:val="24"/>
          <w:szCs w:val="24"/>
        </w:rPr>
        <w:t xml:space="preserve">This case, </w:t>
      </w:r>
      <w:proofErr w:type="gramStart"/>
      <w:r w:rsidRPr="00DB76C1">
        <w:rPr>
          <w:sz w:val="24"/>
          <w:szCs w:val="24"/>
        </w:rPr>
        <w:t>Foster</w:t>
      </w:r>
      <w:proofErr w:type="gramEnd"/>
      <w:r w:rsidRPr="00DB76C1">
        <w:rPr>
          <w:sz w:val="24"/>
          <w:szCs w:val="24"/>
        </w:rPr>
        <w:t xml:space="preserve"> v British Gas Plc, empowers individuals to sue the government in court. The Court's approach to the issue of vertical direct effect in later cases, the most important of which is </w:t>
      </w:r>
      <w:proofErr w:type="gramStart"/>
      <w:r w:rsidRPr="00DB76C1">
        <w:rPr>
          <w:sz w:val="24"/>
          <w:szCs w:val="24"/>
        </w:rPr>
        <w:t>Foster</w:t>
      </w:r>
      <w:proofErr w:type="gramEnd"/>
      <w:r w:rsidRPr="00DB76C1">
        <w:rPr>
          <w:sz w:val="24"/>
          <w:szCs w:val="24"/>
        </w:rPr>
        <w:t xml:space="preserve"> v British Gas Plc (C-188/89) [1991] 1 Q.B. 405, has weakened this distinction between public and private organisations. This case looked at whether a Directive may be </w:t>
      </w:r>
      <w:r w:rsidRPr="00DB76C1">
        <w:rPr>
          <w:sz w:val="24"/>
          <w:szCs w:val="24"/>
        </w:rPr>
        <w:lastRenderedPageBreak/>
        <w:t>enforced against British Gas, which had recently been privatis</w:t>
      </w:r>
      <w:r w:rsidR="00E55DF7">
        <w:rPr>
          <w:sz w:val="24"/>
          <w:szCs w:val="24"/>
        </w:rPr>
        <w:t xml:space="preserve">ed. In every case it is </w:t>
      </w:r>
      <w:r w:rsidR="00157F9F">
        <w:rPr>
          <w:sz w:val="24"/>
          <w:szCs w:val="24"/>
        </w:rPr>
        <w:t xml:space="preserve">of </w:t>
      </w:r>
      <w:r w:rsidR="00E55DF7">
        <w:rPr>
          <w:sz w:val="24"/>
          <w:szCs w:val="24"/>
        </w:rPr>
        <w:t xml:space="preserve">important to </w:t>
      </w:r>
      <w:r w:rsidR="00157F9F">
        <w:rPr>
          <w:sz w:val="24"/>
          <w:szCs w:val="24"/>
        </w:rPr>
        <w:t>assess</w:t>
      </w:r>
      <w:r w:rsidR="00E55DF7">
        <w:rPr>
          <w:sz w:val="24"/>
          <w:szCs w:val="24"/>
        </w:rPr>
        <w:t xml:space="preserve"> whether the nature</w:t>
      </w:r>
      <w:r w:rsidR="00157F9F">
        <w:rPr>
          <w:sz w:val="24"/>
          <w:szCs w:val="24"/>
        </w:rPr>
        <w:t>, general scheme and language of the provision in question are capable of having direct effects on the relations between individuals and the member state</w:t>
      </w:r>
      <w:r w:rsidR="005228DA" w:rsidRPr="005228DA">
        <w:t xml:space="preserve"> </w:t>
      </w:r>
      <w:r w:rsidR="005228DA" w:rsidRPr="005228DA">
        <w:rPr>
          <w:sz w:val="24"/>
          <w:szCs w:val="24"/>
        </w:rPr>
        <w:t>(Europa.eu, 2020)</w:t>
      </w:r>
      <w:r w:rsidR="00F57321">
        <w:rPr>
          <w:sz w:val="24"/>
          <w:szCs w:val="24"/>
        </w:rPr>
        <w:t xml:space="preserve">. </w:t>
      </w:r>
      <w:r w:rsidR="00C3690A" w:rsidRPr="00DB76C1">
        <w:rPr>
          <w:sz w:val="24"/>
          <w:szCs w:val="24"/>
        </w:rPr>
        <w:t xml:space="preserve">The CJEU extended Marshall's reasoning by declaring that Directives might be implemented not just against public or state agencies, but also against </w:t>
      </w:r>
      <w:proofErr w:type="spellStart"/>
      <w:r w:rsidR="00C3690A" w:rsidRPr="00DB76C1">
        <w:rPr>
          <w:sz w:val="24"/>
          <w:szCs w:val="24"/>
        </w:rPr>
        <w:t>any body</w:t>
      </w:r>
      <w:proofErr w:type="spellEnd"/>
      <w:r w:rsidR="00C3690A" w:rsidRPr="00DB76C1">
        <w:rPr>
          <w:sz w:val="24"/>
          <w:szCs w:val="24"/>
        </w:rPr>
        <w:t xml:space="preserve"> deemed to be </w:t>
      </w:r>
      <w:proofErr w:type="gramStart"/>
      <w:r w:rsidR="00C3690A" w:rsidRPr="00DB76C1">
        <w:rPr>
          <w:sz w:val="24"/>
          <w:szCs w:val="24"/>
        </w:rPr>
        <w:t>a</w:t>
      </w:r>
      <w:proofErr w:type="gramEnd"/>
      <w:r w:rsidR="00C3690A" w:rsidRPr="00DB76C1">
        <w:rPr>
          <w:sz w:val="24"/>
          <w:szCs w:val="24"/>
        </w:rPr>
        <w:t xml:space="preserve"> "emanation of the state."</w:t>
      </w:r>
      <w:r w:rsidR="00E82877" w:rsidRPr="00DB76C1">
        <w:rPr>
          <w:sz w:val="24"/>
          <w:szCs w:val="24"/>
        </w:rPr>
        <w:t xml:space="preserve"> </w:t>
      </w:r>
      <w:r w:rsidR="00EE4AC7" w:rsidRPr="00DB76C1">
        <w:rPr>
          <w:sz w:val="24"/>
          <w:szCs w:val="24"/>
        </w:rPr>
        <w:t xml:space="preserve">An emanation of the state was a body, regardless of its legal form, that was made responsible for providing a public service under the control of the State, pursuant to a measure adopted by the State, and had special powers for that purpose beyond those that resulted from the normal rules applicable in individual relationships. An organisation that demonstrated these characteristics was one of the types of bodies that the provisions of a Directive with direct effect might be used against. </w:t>
      </w:r>
      <w:r w:rsidR="0059178D" w:rsidRPr="00DB76C1">
        <w:rPr>
          <w:sz w:val="24"/>
          <w:szCs w:val="24"/>
        </w:rPr>
        <w:t>(Eaton, 2015).</w:t>
      </w:r>
      <w:r w:rsidR="00EE4AC7" w:rsidRPr="00DB76C1">
        <w:rPr>
          <w:sz w:val="24"/>
          <w:szCs w:val="24"/>
        </w:rPr>
        <w:t xml:space="preserve"> </w:t>
      </w:r>
    </w:p>
    <w:p w14:paraId="4FB8754E" w14:textId="7E89A625" w:rsidR="00BC372A" w:rsidRPr="00572D08" w:rsidRDefault="00866393" w:rsidP="00BC372A">
      <w:pPr>
        <w:rPr>
          <w:sz w:val="24"/>
          <w:szCs w:val="24"/>
        </w:rPr>
      </w:pPr>
      <w:r>
        <w:rPr>
          <w:sz w:val="24"/>
          <w:szCs w:val="24"/>
        </w:rPr>
        <w:t xml:space="preserve">The case </w:t>
      </w:r>
      <w:proofErr w:type="spellStart"/>
      <w:r>
        <w:rPr>
          <w:sz w:val="24"/>
          <w:szCs w:val="24"/>
        </w:rPr>
        <w:t>Defrenne</w:t>
      </w:r>
      <w:proofErr w:type="spellEnd"/>
      <w:r>
        <w:rPr>
          <w:sz w:val="24"/>
          <w:szCs w:val="24"/>
        </w:rPr>
        <w:t xml:space="preserve"> v Sabena (2) [1976] examines whether a person has the legal right to enforce against another </w:t>
      </w:r>
      <w:r w:rsidR="00572D08">
        <w:rPr>
          <w:sz w:val="24"/>
          <w:szCs w:val="24"/>
        </w:rPr>
        <w:t>person. The</w:t>
      </w:r>
      <w:r>
        <w:rPr>
          <w:sz w:val="24"/>
          <w:szCs w:val="24"/>
        </w:rPr>
        <w:t xml:space="preserve"> criteria were </w:t>
      </w:r>
      <w:r w:rsidR="00572D08">
        <w:rPr>
          <w:sz w:val="24"/>
          <w:szCs w:val="24"/>
        </w:rPr>
        <w:t>further</w:t>
      </w:r>
      <w:r>
        <w:rPr>
          <w:sz w:val="24"/>
          <w:szCs w:val="24"/>
        </w:rPr>
        <w:t xml:space="preserve"> relaxed in the case of </w:t>
      </w:r>
      <w:proofErr w:type="spellStart"/>
      <w:r>
        <w:rPr>
          <w:sz w:val="24"/>
          <w:szCs w:val="24"/>
        </w:rPr>
        <w:t>Defrenne</w:t>
      </w:r>
      <w:proofErr w:type="spellEnd"/>
      <w:r>
        <w:rPr>
          <w:sz w:val="24"/>
          <w:szCs w:val="24"/>
        </w:rPr>
        <w:t xml:space="preserve"> v SA </w:t>
      </w:r>
      <w:proofErr w:type="spellStart"/>
      <w:r>
        <w:rPr>
          <w:sz w:val="24"/>
          <w:szCs w:val="24"/>
        </w:rPr>
        <w:t>Belge</w:t>
      </w:r>
      <w:proofErr w:type="spellEnd"/>
      <w:r>
        <w:rPr>
          <w:sz w:val="24"/>
          <w:szCs w:val="24"/>
        </w:rPr>
        <w:t xml:space="preserve"> de Navigation </w:t>
      </w:r>
      <w:proofErr w:type="spellStart"/>
      <w:r w:rsidR="006C09D3">
        <w:rPr>
          <w:sz w:val="24"/>
          <w:szCs w:val="24"/>
        </w:rPr>
        <w:t>Aerienne</w:t>
      </w:r>
      <w:proofErr w:type="spellEnd"/>
      <w:r w:rsidR="006C09D3">
        <w:rPr>
          <w:sz w:val="24"/>
          <w:szCs w:val="24"/>
        </w:rPr>
        <w:t xml:space="preserve"> (Sabena) (149/77) [1978] E.C.R. 1365 in which Miss </w:t>
      </w:r>
      <w:proofErr w:type="spellStart"/>
      <w:r w:rsidR="006C09D3">
        <w:rPr>
          <w:sz w:val="24"/>
          <w:szCs w:val="24"/>
        </w:rPr>
        <w:t>Denfrenne</w:t>
      </w:r>
      <w:proofErr w:type="spellEnd"/>
      <w:r w:rsidR="006C09D3">
        <w:rPr>
          <w:sz w:val="24"/>
          <w:szCs w:val="24"/>
        </w:rPr>
        <w:t xml:space="preserve"> tried to rely on art</w:t>
      </w:r>
      <w:r w:rsidR="00C52904">
        <w:rPr>
          <w:sz w:val="24"/>
          <w:szCs w:val="24"/>
        </w:rPr>
        <w:t xml:space="preserve">, 119 EEC Treat, </w:t>
      </w:r>
      <w:proofErr w:type="spellStart"/>
      <w:r w:rsidR="00C52904">
        <w:rPr>
          <w:sz w:val="24"/>
          <w:szCs w:val="24"/>
        </w:rPr>
        <w:t>whichstates</w:t>
      </w:r>
      <w:proofErr w:type="spellEnd"/>
      <w:r w:rsidR="00C52904">
        <w:rPr>
          <w:sz w:val="24"/>
          <w:szCs w:val="24"/>
        </w:rPr>
        <w:t xml:space="preserve"> that each Member state shall </w:t>
      </w:r>
      <w:proofErr w:type="spellStart"/>
      <w:r w:rsidR="00C52904">
        <w:rPr>
          <w:sz w:val="24"/>
          <w:szCs w:val="24"/>
        </w:rPr>
        <w:t>ensureand</w:t>
      </w:r>
      <w:proofErr w:type="spellEnd"/>
      <w:r w:rsidR="00C52904">
        <w:rPr>
          <w:sz w:val="24"/>
          <w:szCs w:val="24"/>
        </w:rPr>
        <w:t xml:space="preserve"> maintain the application of the principle of equal work during the first stage and thereafter. This was hardly a negative nor a particularly precise requirement. Nonetheless, the Court determined that </w:t>
      </w:r>
      <w:r w:rsidR="00572D08">
        <w:rPr>
          <w:sz w:val="24"/>
          <w:szCs w:val="24"/>
        </w:rPr>
        <w:t>the Article had immediate effect (Eaton, 2015). T</w:t>
      </w:r>
      <w:r w:rsidR="00D06C69" w:rsidRPr="00DB76C1">
        <w:rPr>
          <w:sz w:val="24"/>
          <w:szCs w:val="24"/>
        </w:rPr>
        <w:t>he purpose of article 259 TFEU allows this case to be horizontal effective.</w:t>
      </w:r>
      <w:r w:rsidR="00A66295" w:rsidRPr="00DB76C1">
        <w:rPr>
          <w:sz w:val="24"/>
          <w:szCs w:val="24"/>
        </w:rPr>
        <w:t xml:space="preserve"> A horizontal direct effect can be seen in Marshall v Southampton Health Authority. It can't have a horizontal direct effect in this scenario because it's state versus state. </w:t>
      </w:r>
    </w:p>
    <w:p w14:paraId="3DE23B86" w14:textId="00A983DA" w:rsidR="001D0288" w:rsidRPr="007171FA" w:rsidRDefault="004B21C8" w:rsidP="008A67F1">
      <w:pPr>
        <w:rPr>
          <w:sz w:val="24"/>
          <w:szCs w:val="24"/>
        </w:rPr>
      </w:pPr>
      <w:r w:rsidRPr="00DB76C1">
        <w:rPr>
          <w:sz w:val="24"/>
          <w:szCs w:val="24"/>
        </w:rPr>
        <w:t>The impact of the CJEU's decision in Factortame I was that the national court was required to give a remedy even though it was not accessible under national law. (</w:t>
      </w:r>
      <w:proofErr w:type="spellStart"/>
      <w:r w:rsidRPr="00DB76C1">
        <w:rPr>
          <w:sz w:val="24"/>
          <w:szCs w:val="24"/>
        </w:rPr>
        <w:t>Polimac</w:t>
      </w:r>
      <w:proofErr w:type="spellEnd"/>
      <w:r w:rsidR="00572D08">
        <w:rPr>
          <w:sz w:val="24"/>
          <w:szCs w:val="24"/>
        </w:rPr>
        <w:t>, 2014)</w:t>
      </w:r>
      <w:r w:rsidR="007171FA">
        <w:rPr>
          <w:sz w:val="24"/>
          <w:szCs w:val="24"/>
        </w:rPr>
        <w:t xml:space="preserve">. </w:t>
      </w:r>
      <w:r w:rsidRPr="00DB76C1">
        <w:rPr>
          <w:sz w:val="24"/>
          <w:szCs w:val="24"/>
        </w:rPr>
        <w:t xml:space="preserve">Article 288 TFEU (ex art249 TEC) is a binding between individuals and states, as well as between individuals and individuals, and it is directly applicable to member states. </w:t>
      </w:r>
      <w:r w:rsidR="006A03D7" w:rsidRPr="00DB76C1">
        <w:rPr>
          <w:sz w:val="24"/>
          <w:szCs w:val="24"/>
        </w:rPr>
        <w:t>The courts have a duty to protect EU law in case C 252/00 Munoz (2002) ECR 17289 para 27. Everything that has a direct effect is a regulation. Before their laws apply to citizens residing in their nations, member states must first incorporate the directive into national law.</w:t>
      </w:r>
      <w:r w:rsidR="006E6CB6" w:rsidRPr="00DB76C1">
        <w:rPr>
          <w:sz w:val="24"/>
          <w:szCs w:val="24"/>
        </w:rPr>
        <w:t xml:space="preserve"> (</w:t>
      </w:r>
      <w:proofErr w:type="spellStart"/>
      <w:proofErr w:type="gramStart"/>
      <w:r w:rsidR="006E6CB6" w:rsidRPr="00DB76C1">
        <w:rPr>
          <w:sz w:val="24"/>
          <w:szCs w:val="24"/>
        </w:rPr>
        <w:t>officialblogunio</w:t>
      </w:r>
      <w:proofErr w:type="spellEnd"/>
      <w:proofErr w:type="gramEnd"/>
      <w:r w:rsidR="006E6CB6" w:rsidRPr="00DB76C1">
        <w:rPr>
          <w:sz w:val="24"/>
          <w:szCs w:val="24"/>
        </w:rPr>
        <w:t>, 2021)</w:t>
      </w:r>
      <w:r w:rsidR="006435C7" w:rsidRPr="00DB76C1">
        <w:rPr>
          <w:sz w:val="24"/>
          <w:szCs w:val="24"/>
        </w:rPr>
        <w:t>.</w:t>
      </w:r>
      <w:r w:rsidR="00D1321F" w:rsidRPr="00DB76C1">
        <w:rPr>
          <w:sz w:val="24"/>
          <w:szCs w:val="24"/>
        </w:rPr>
        <w:t xml:space="preserve"> </w:t>
      </w:r>
    </w:p>
    <w:p w14:paraId="5E2B5E23" w14:textId="731E1AA1" w:rsidR="0082086A" w:rsidRDefault="00A97867" w:rsidP="003E7428">
      <w:pPr>
        <w:rPr>
          <w:sz w:val="24"/>
          <w:szCs w:val="24"/>
          <w:lang w:val="it-IT"/>
        </w:rPr>
      </w:pPr>
      <w:r w:rsidRPr="00DB76C1">
        <w:rPr>
          <w:sz w:val="24"/>
          <w:szCs w:val="24"/>
          <w:lang w:val="it-IT"/>
        </w:rPr>
        <w:t xml:space="preserve">The CJEU confirms in Marleasing that corresponding interpretation will apply to private individual relationships. It further confirms that the responsibility on national courts to interpret national law in accordance with EU law does not apply just to provisions intended to transpose directives, but also to national legislation enacted prior to the directive in question. </w:t>
      </w:r>
      <w:bookmarkStart w:id="2" w:name="_Hlk102375455"/>
      <w:r w:rsidR="00F95517" w:rsidRPr="00F95517">
        <w:rPr>
          <w:sz w:val="24"/>
          <w:szCs w:val="24"/>
          <w:lang w:val="it-IT"/>
        </w:rPr>
        <w:t>Where Marleasing national courts were required to interpret national laws in full compliance with directives if at all conceivable, especially where, as in this case, the Member State regarded that pre-existing national legislation satisfied the directive's requirements, and where, in the alternative, national law could not be interpreted in accordance with the directive and senior management was thus deprived of the opportunity to recover lost wages, as seemed apparent from the ord</w:t>
      </w:r>
      <w:r w:rsidR="00F95517">
        <w:rPr>
          <w:sz w:val="24"/>
          <w:szCs w:val="24"/>
          <w:lang w:val="it-IT"/>
        </w:rPr>
        <w:t>er for reference,</w:t>
      </w:r>
      <w:r w:rsidR="009C3B42" w:rsidRPr="009C3B42">
        <w:t xml:space="preserve"> </w:t>
      </w:r>
      <w:r w:rsidR="009C3B42" w:rsidRPr="009C3B42">
        <w:rPr>
          <w:sz w:val="24"/>
          <w:szCs w:val="24"/>
          <w:lang w:val="it-IT"/>
        </w:rPr>
        <w:t>They were allowed to claim from the state under Francovich for damages caused as a result of the directive's improper implementation</w:t>
      </w:r>
      <w:bookmarkEnd w:id="2"/>
      <w:r w:rsidR="00AA620D">
        <w:rPr>
          <w:sz w:val="24"/>
          <w:szCs w:val="24"/>
          <w:lang w:val="it-IT"/>
        </w:rPr>
        <w:t xml:space="preserve">. </w:t>
      </w:r>
      <w:r w:rsidRPr="00DB76C1">
        <w:rPr>
          <w:sz w:val="24"/>
          <w:szCs w:val="24"/>
          <w:lang w:val="it-IT"/>
        </w:rPr>
        <w:t xml:space="preserve">In the case of Von Colson [1984], a member state failed to </w:t>
      </w:r>
      <w:r w:rsidRPr="00DB76C1">
        <w:rPr>
          <w:sz w:val="24"/>
          <w:szCs w:val="24"/>
          <w:lang w:val="it-IT"/>
        </w:rPr>
        <w:lastRenderedPageBreak/>
        <w:t xml:space="preserve">properly implement a directive, resulting in conflict between individuals and the state, indicating that the effect was indirect. </w:t>
      </w:r>
      <w:r w:rsidR="00C03766" w:rsidRPr="00DB76C1">
        <w:rPr>
          <w:sz w:val="24"/>
          <w:szCs w:val="24"/>
          <w:lang w:val="it-IT"/>
        </w:rPr>
        <w:t>(officialblogunio, 2021).</w:t>
      </w:r>
      <w:r w:rsidRPr="00DB76C1">
        <w:rPr>
          <w:sz w:val="24"/>
          <w:szCs w:val="24"/>
          <w:lang w:val="it-IT"/>
        </w:rPr>
        <w:t xml:space="preserve"> </w:t>
      </w:r>
    </w:p>
    <w:p w14:paraId="39AE56DC" w14:textId="62447ABB" w:rsidR="003E7428" w:rsidRPr="00DB76C1" w:rsidRDefault="003E7428" w:rsidP="003E7428">
      <w:pPr>
        <w:rPr>
          <w:sz w:val="24"/>
          <w:szCs w:val="24"/>
          <w:lang w:val="en-US"/>
        </w:rPr>
      </w:pPr>
      <w:r w:rsidRPr="00DB76C1">
        <w:rPr>
          <w:sz w:val="24"/>
          <w:szCs w:val="24"/>
          <w:lang w:val="en-US"/>
        </w:rPr>
        <w:t xml:space="preserve">Indirect effect is a feature of the European Union that permits member state courts to interpret EU legislation, whereas direct effect allows citizens to challenge courts of justice that are </w:t>
      </w:r>
      <w:r w:rsidR="007171FA" w:rsidRPr="00DB76C1">
        <w:rPr>
          <w:sz w:val="24"/>
          <w:szCs w:val="24"/>
          <w:lang w:val="en-US"/>
        </w:rPr>
        <w:t>recognized</w:t>
      </w:r>
      <w:r w:rsidRPr="00DB76C1">
        <w:rPr>
          <w:sz w:val="24"/>
          <w:szCs w:val="24"/>
          <w:lang w:val="en-US"/>
        </w:rPr>
        <w:t xml:space="preserve"> under EU law </w:t>
      </w:r>
      <w:r w:rsidR="00A93760" w:rsidRPr="00A93760">
        <w:rPr>
          <w:sz w:val="24"/>
          <w:szCs w:val="24"/>
          <w:lang w:val="en-US"/>
        </w:rPr>
        <w:t>The European Court of Justice has attempted to find a balance between national systems' autonomy in executing EU law and the need for effective and uniform EU law enforcement across all Member States. Although that provision gives Member States the freedom to choose the methods and means of ensuring that the directive is implemented, that freedom does not negate the obligation imposed on all Member States to which the directive is addressed to adopt, in their national legal systems, all the measures necessary to ensure that the directive is fully effective in accordance with the goal it seeks,' the Court said, referring to Article 288TFEU's third paragraph.</w:t>
      </w:r>
      <w:r w:rsidRPr="00DB76C1">
        <w:rPr>
          <w:sz w:val="24"/>
          <w:szCs w:val="24"/>
        </w:rPr>
        <w:t xml:space="preserve"> (</w:t>
      </w:r>
      <w:r w:rsidRPr="00DB76C1">
        <w:rPr>
          <w:i/>
          <w:iCs/>
          <w:sz w:val="24"/>
          <w:szCs w:val="24"/>
        </w:rPr>
        <w:t xml:space="preserve">Von Colson and </w:t>
      </w:r>
      <w:proofErr w:type="spellStart"/>
      <w:r w:rsidRPr="00DB76C1">
        <w:rPr>
          <w:i/>
          <w:iCs/>
          <w:sz w:val="24"/>
          <w:szCs w:val="24"/>
        </w:rPr>
        <w:t>Kamann</w:t>
      </w:r>
      <w:proofErr w:type="spellEnd"/>
      <w:r w:rsidRPr="00DB76C1">
        <w:rPr>
          <w:i/>
          <w:iCs/>
          <w:sz w:val="24"/>
          <w:szCs w:val="24"/>
        </w:rPr>
        <w:t xml:space="preserve"> v. Land Nordrhein-Westfalen</w:t>
      </w:r>
      <w:r w:rsidRPr="00DB76C1">
        <w:rPr>
          <w:sz w:val="24"/>
          <w:szCs w:val="24"/>
        </w:rPr>
        <w:t>,</w:t>
      </w:r>
      <w:r w:rsidR="00404544" w:rsidRPr="00DB76C1">
        <w:rPr>
          <w:sz w:val="24"/>
          <w:szCs w:val="24"/>
        </w:rPr>
        <w:t xml:space="preserve"> </w:t>
      </w:r>
      <w:r w:rsidRPr="00DB76C1">
        <w:rPr>
          <w:sz w:val="24"/>
          <w:szCs w:val="24"/>
        </w:rPr>
        <w:t xml:space="preserve">(EURWORK, 2011). </w:t>
      </w:r>
    </w:p>
    <w:p w14:paraId="564F49D7" w14:textId="1D918C82" w:rsidR="0016086A" w:rsidRPr="00404544" w:rsidRDefault="00167773" w:rsidP="0000159A">
      <w:pPr>
        <w:rPr>
          <w:sz w:val="24"/>
          <w:szCs w:val="24"/>
          <w:lang w:val="it-IT"/>
        </w:rPr>
      </w:pPr>
      <w:r w:rsidRPr="00DB76C1">
        <w:rPr>
          <w:sz w:val="24"/>
          <w:szCs w:val="24"/>
          <w:lang w:val="it-IT"/>
        </w:rPr>
        <w:t>Individuals who have suffered losses as a result of a member state's refusal to incorporate EU law into their national legal system may be entitled to compensation.</w:t>
      </w:r>
      <w:r w:rsidR="00D245DB" w:rsidRPr="00DB76C1">
        <w:rPr>
          <w:sz w:val="24"/>
          <w:szCs w:val="24"/>
        </w:rPr>
        <w:t xml:space="preserve"> </w:t>
      </w:r>
      <w:r w:rsidR="00D245DB" w:rsidRPr="00DB76C1">
        <w:rPr>
          <w:sz w:val="24"/>
          <w:szCs w:val="24"/>
          <w:lang w:val="it-IT"/>
        </w:rPr>
        <w:t>assuming three conditions are met: (1) the directive imposes rights on individuals, (2) the substance of those rights is obvious from the directive, and (3) there is a causal link between the state's failure to implement the directive and the loss experienced. (Tallberg, 2000).</w:t>
      </w:r>
      <w:r w:rsidR="00844393" w:rsidRPr="00DB76C1">
        <w:rPr>
          <w:sz w:val="24"/>
          <w:szCs w:val="24"/>
          <w:lang w:val="it-IT"/>
        </w:rPr>
        <w:t xml:space="preserve"> </w:t>
      </w:r>
    </w:p>
    <w:p w14:paraId="4A443717" w14:textId="1B3F39DA" w:rsidR="0000159A" w:rsidRPr="0038287C" w:rsidRDefault="008C57D0" w:rsidP="0000159A">
      <w:pPr>
        <w:rPr>
          <w:b/>
          <w:bCs/>
          <w:sz w:val="24"/>
          <w:szCs w:val="24"/>
          <w:lang w:val="it-IT"/>
        </w:rPr>
      </w:pPr>
      <w:r w:rsidRPr="0038287C">
        <w:rPr>
          <w:sz w:val="24"/>
          <w:szCs w:val="24"/>
          <w:lang w:val="it-IT"/>
        </w:rPr>
        <w:t xml:space="preserve">A argument occasionally found for denial of horizontal direct effect of Directives is that it would undermine the line between regulations and Directives, as in the case of Francovich v Italy [1991], where the member state failed to comply with community law requirements. This is because Directives would have legal effect even if they were not implemented in the Member States, blurring the distinction between regulations that are directly applicable and Directives that are not, according to the argument. However, the reasoning is unpersuasive. First, the vertical direct effect of Directives is equally valid insofar as it has force. As a result, it does not give a systematic basis for distinguishing between vertical and horizontal direct effects. Faccini Dori v Recreb (Dori v Recreb) (Dori v Recreb) (Dori </w:t>
      </w:r>
      <w:r w:rsidR="00E76ADF" w:rsidRPr="0038287C">
        <w:rPr>
          <w:sz w:val="24"/>
          <w:szCs w:val="24"/>
          <w:lang w:val="it-IT"/>
        </w:rPr>
        <w:t xml:space="preserve"> </w:t>
      </w:r>
      <w:r w:rsidR="00987812" w:rsidRPr="0038287C">
        <w:rPr>
          <w:sz w:val="24"/>
          <w:szCs w:val="24"/>
          <w:lang w:val="it-IT"/>
        </w:rPr>
        <w:t>(Craig, 2009).</w:t>
      </w:r>
      <w:r w:rsidR="00A008E1" w:rsidRPr="0038287C">
        <w:rPr>
          <w:b/>
          <w:bCs/>
          <w:sz w:val="24"/>
          <w:szCs w:val="24"/>
          <w:lang w:val="it-IT"/>
        </w:rPr>
        <w:t xml:space="preserve"> </w:t>
      </w:r>
    </w:p>
    <w:p w14:paraId="2C90EE60" w14:textId="297FF84A" w:rsidR="00882EA1" w:rsidRPr="0038287C" w:rsidRDefault="00112950" w:rsidP="00882EA1">
      <w:pPr>
        <w:rPr>
          <w:sz w:val="24"/>
          <w:szCs w:val="24"/>
        </w:rPr>
      </w:pPr>
      <w:r w:rsidRPr="0038287C">
        <w:rPr>
          <w:sz w:val="24"/>
          <w:szCs w:val="24"/>
        </w:rPr>
        <w:t xml:space="preserve">The notion of state culpability for violations of Community law is considered "inherent in the system of the EC Treaty" by the Court (Francovich). and it can be applied to any state organ's actions or omissions. Brasserie du </w:t>
      </w:r>
      <w:proofErr w:type="spellStart"/>
      <w:r w:rsidRPr="0038287C">
        <w:rPr>
          <w:sz w:val="24"/>
          <w:szCs w:val="24"/>
        </w:rPr>
        <w:t>Pecheur</w:t>
      </w:r>
      <w:proofErr w:type="spellEnd"/>
      <w:r w:rsidRPr="0038287C">
        <w:rPr>
          <w:sz w:val="24"/>
          <w:szCs w:val="24"/>
        </w:rPr>
        <w:t xml:space="preserve"> and Factortame, Cases C 46/93 and 48/93 (No.3)</w:t>
      </w:r>
      <w:r w:rsidR="001B09E5" w:rsidRPr="0038287C">
        <w:rPr>
          <w:sz w:val="24"/>
          <w:szCs w:val="24"/>
        </w:rPr>
        <w:t xml:space="preserve"> </w:t>
      </w:r>
      <w:r w:rsidR="001B09E5" w:rsidRPr="0038287C">
        <w:rPr>
          <w:sz w:val="24"/>
          <w:szCs w:val="24"/>
          <w:lang w:val="it-IT"/>
        </w:rPr>
        <w:t>a</w:t>
      </w:r>
      <w:r w:rsidR="0028296E" w:rsidRPr="0038287C">
        <w:rPr>
          <w:sz w:val="24"/>
          <w:szCs w:val="24"/>
          <w:lang w:val="it-IT"/>
        </w:rPr>
        <w:t xml:space="preserve">s a result, a single regime applies to all types of activities carried out by administrations and governments, local governments, and other public bodies. Konle v Austria, C-302/97 [1999] Public bodies under the E.C.R., Haim v Kassenzahn arztliche Vereinigung Nordrhein (Haim II) [2000], C-424/97 legislatures, and even judiciaries in the E.C.R. Kobler v Republic of Austria, C-224/01[2003] In the case of C-173/03, Traghetti del Medditeraneo (TDM) v Repubblica Italiana[2006], there was a breach of EU law, but it was done in good faith, so it was not serious; however, in the case of C-173/03, Traghetti del Medditeraneo (TDM) v Repubblica Italiana[2006], there was a breach of EU law, but it was done in good faith, so It was intended for the act of judicory to result in state culpability, according to the E.C.R. </w:t>
      </w:r>
      <w:r w:rsidR="008C46D7" w:rsidRPr="0038287C">
        <w:rPr>
          <w:sz w:val="24"/>
          <w:szCs w:val="24"/>
          <w:lang w:val="it-IT"/>
        </w:rPr>
        <w:t>(Granger, 2007)</w:t>
      </w:r>
      <w:r w:rsidR="002257B3" w:rsidRPr="0038287C">
        <w:rPr>
          <w:sz w:val="24"/>
          <w:szCs w:val="24"/>
          <w:lang w:val="it-IT"/>
        </w:rPr>
        <w:t xml:space="preserve">. Artical 276 TFEU </w:t>
      </w:r>
    </w:p>
    <w:p w14:paraId="52CFC6C5" w14:textId="77777777" w:rsidR="00AE345D" w:rsidRPr="0038287C" w:rsidRDefault="006435C7" w:rsidP="00DA5188">
      <w:pPr>
        <w:rPr>
          <w:sz w:val="24"/>
          <w:szCs w:val="24"/>
        </w:rPr>
      </w:pPr>
      <w:r w:rsidRPr="0038287C">
        <w:rPr>
          <w:sz w:val="24"/>
          <w:szCs w:val="24"/>
          <w:lang w:val="it-IT"/>
        </w:rPr>
        <w:lastRenderedPageBreak/>
        <w:t xml:space="preserve">In </w:t>
      </w:r>
      <w:r w:rsidR="00DA5188" w:rsidRPr="0038287C">
        <w:rPr>
          <w:sz w:val="24"/>
          <w:szCs w:val="24"/>
          <w:lang w:val="it-IT"/>
        </w:rPr>
        <w:t xml:space="preserve">Wagner v Miret [1993] </w:t>
      </w:r>
      <w:r w:rsidRPr="0038287C">
        <w:rPr>
          <w:sz w:val="24"/>
          <w:szCs w:val="24"/>
          <w:lang w:val="it-IT"/>
        </w:rPr>
        <w:t>the courts took a more stricter approach where as Von Colson is limited.</w:t>
      </w:r>
    </w:p>
    <w:p w14:paraId="35955DEF" w14:textId="1563F0B4" w:rsidR="00DA5188" w:rsidRPr="0038287C" w:rsidRDefault="00246EEB" w:rsidP="00DA5188">
      <w:pPr>
        <w:rPr>
          <w:sz w:val="24"/>
          <w:szCs w:val="24"/>
        </w:rPr>
      </w:pPr>
      <w:r w:rsidRPr="0038287C">
        <w:rPr>
          <w:sz w:val="24"/>
          <w:szCs w:val="24"/>
        </w:rPr>
        <w:t xml:space="preserve">Brasserie du </w:t>
      </w:r>
      <w:proofErr w:type="spellStart"/>
      <w:r w:rsidRPr="0038287C">
        <w:rPr>
          <w:sz w:val="24"/>
          <w:szCs w:val="24"/>
        </w:rPr>
        <w:t>Pécheur</w:t>
      </w:r>
      <w:proofErr w:type="spellEnd"/>
      <w:r w:rsidRPr="0038287C">
        <w:rPr>
          <w:sz w:val="24"/>
          <w:szCs w:val="24"/>
        </w:rPr>
        <w:t>/Factortame v Secretary of State for Transport III [1996] is a joined EU law case involving state accountability for legal violations in the European Union. The charge would be based on a link between the breach and the damage, with the breach being the more serious of the two. Identifying the criteria that determine whether it was voluntary or persistent. The Court stated that if a dispute involving Community law is before a national court and the only justification for not giving interim relief is a rule of national law, the national court must set aside its national law.</w:t>
      </w:r>
      <w:r w:rsidR="00265E2F" w:rsidRPr="0038287C">
        <w:rPr>
          <w:sz w:val="24"/>
          <w:szCs w:val="24"/>
        </w:rPr>
        <w:t xml:space="preserve"> The ECJ said that when a national</w:t>
      </w:r>
      <w:r w:rsidR="00265E2F" w:rsidRPr="00265E2F">
        <w:rPr>
          <w:sz w:val="28"/>
          <w:szCs w:val="28"/>
        </w:rPr>
        <w:t xml:space="preserve"> </w:t>
      </w:r>
      <w:r w:rsidR="00265E2F" w:rsidRPr="0038287C">
        <w:rPr>
          <w:sz w:val="24"/>
          <w:szCs w:val="24"/>
        </w:rPr>
        <w:t xml:space="preserve">court finds a rule of national law to be the main obstacle to the granting of interim relief in a dispute involving Community law, Community law requires that rule to be set aside. In </w:t>
      </w:r>
      <w:proofErr w:type="spellStart"/>
      <w:r w:rsidR="00265E2F" w:rsidRPr="0038287C">
        <w:rPr>
          <w:sz w:val="24"/>
          <w:szCs w:val="24"/>
        </w:rPr>
        <w:t>Simmenthal</w:t>
      </w:r>
      <w:proofErr w:type="spellEnd"/>
      <w:r w:rsidR="00265E2F" w:rsidRPr="0038287C">
        <w:rPr>
          <w:sz w:val="24"/>
          <w:szCs w:val="24"/>
        </w:rPr>
        <w:t xml:space="preserve"> II, the ECJ confirmed its previous decision, stating that directly relevant Community legislation renders any competing national law ineffective. Because the Act of Parliament was incompatible with the EC Treaty, the British court had to strike it down. In the United Kingdom, where parliamentary sovereignty is a basic constitutional value, Factortame had a significant impact.</w:t>
      </w:r>
      <w:r w:rsidR="007D665E" w:rsidRPr="0038287C">
        <w:rPr>
          <w:sz w:val="24"/>
          <w:szCs w:val="24"/>
        </w:rPr>
        <w:t xml:space="preserve"> (</w:t>
      </w:r>
      <w:proofErr w:type="spellStart"/>
      <w:r w:rsidR="007D665E" w:rsidRPr="0038287C">
        <w:rPr>
          <w:sz w:val="24"/>
          <w:szCs w:val="24"/>
        </w:rPr>
        <w:t>Stiernstrom</w:t>
      </w:r>
      <w:proofErr w:type="spellEnd"/>
      <w:r w:rsidR="007D665E" w:rsidRPr="0038287C">
        <w:rPr>
          <w:sz w:val="24"/>
          <w:szCs w:val="24"/>
        </w:rPr>
        <w:t>, Monnet and Schuman, 2005</w:t>
      </w:r>
      <w:r w:rsidR="00FE1417" w:rsidRPr="0038287C">
        <w:rPr>
          <w:sz w:val="24"/>
          <w:szCs w:val="24"/>
        </w:rPr>
        <w:t>).</w:t>
      </w:r>
      <w:r w:rsidR="00946757" w:rsidRPr="0038287C">
        <w:rPr>
          <w:sz w:val="24"/>
          <w:szCs w:val="24"/>
        </w:rPr>
        <w:t xml:space="preserve"> </w:t>
      </w:r>
    </w:p>
    <w:p w14:paraId="44398213" w14:textId="117DC0E2" w:rsidR="00B4242A" w:rsidRPr="00555D86" w:rsidRDefault="000447D2" w:rsidP="00DA5188">
      <w:pPr>
        <w:rPr>
          <w:sz w:val="24"/>
          <w:szCs w:val="24"/>
          <w:lang w:val="fr-FR"/>
        </w:rPr>
      </w:pPr>
      <w:r w:rsidRPr="0038287C">
        <w:rPr>
          <w:sz w:val="24"/>
          <w:szCs w:val="24"/>
          <w:lang w:val="fr-FR"/>
        </w:rPr>
        <w:t xml:space="preserve">Art 288 TFEU </w:t>
      </w:r>
      <w:proofErr w:type="spellStart"/>
      <w:r w:rsidR="000D3415" w:rsidRPr="0038287C">
        <w:rPr>
          <w:sz w:val="24"/>
          <w:szCs w:val="24"/>
          <w:lang w:val="fr-FR"/>
        </w:rPr>
        <w:t>is</w:t>
      </w:r>
      <w:proofErr w:type="spellEnd"/>
      <w:r w:rsidR="000D3415" w:rsidRPr="0038287C">
        <w:rPr>
          <w:sz w:val="24"/>
          <w:szCs w:val="24"/>
          <w:lang w:val="fr-FR"/>
        </w:rPr>
        <w:t xml:space="preserve"> a binding on directives.</w:t>
      </w:r>
      <w:r w:rsidR="00C055B6" w:rsidRPr="0038287C">
        <w:rPr>
          <w:sz w:val="24"/>
          <w:szCs w:val="24"/>
        </w:rPr>
        <w:t xml:space="preserve"> </w:t>
      </w:r>
      <w:r w:rsidR="00C055B6" w:rsidRPr="0038287C">
        <w:rPr>
          <w:sz w:val="24"/>
          <w:szCs w:val="24"/>
          <w:lang w:val="fr-FR"/>
        </w:rPr>
        <w:t>(</w:t>
      </w:r>
      <w:proofErr w:type="gramStart"/>
      <w:r w:rsidR="00C055B6" w:rsidRPr="0038287C">
        <w:rPr>
          <w:sz w:val="24"/>
          <w:szCs w:val="24"/>
          <w:lang w:val="fr-FR"/>
        </w:rPr>
        <w:t>eur-lex.europa.eu</w:t>
      </w:r>
      <w:proofErr w:type="gramEnd"/>
      <w:r w:rsidR="00C055B6" w:rsidRPr="0038287C">
        <w:rPr>
          <w:sz w:val="24"/>
          <w:szCs w:val="24"/>
          <w:lang w:val="fr-FR"/>
        </w:rPr>
        <w:t>, 201</w:t>
      </w:r>
      <w:r w:rsidR="00555D86">
        <w:rPr>
          <w:sz w:val="24"/>
          <w:szCs w:val="24"/>
          <w:lang w:val="fr-FR"/>
        </w:rPr>
        <w:t>6)</w:t>
      </w:r>
    </w:p>
    <w:p w14:paraId="2EECEFD1" w14:textId="61F0C61C" w:rsidR="00DA5188" w:rsidRPr="0038287C" w:rsidRDefault="00B4242A" w:rsidP="00DA5188">
      <w:pPr>
        <w:rPr>
          <w:sz w:val="24"/>
          <w:szCs w:val="24"/>
        </w:rPr>
      </w:pPr>
      <w:r w:rsidRPr="0038287C">
        <w:rPr>
          <w:sz w:val="24"/>
          <w:szCs w:val="24"/>
        </w:rPr>
        <w:t>Art. 4.3 TEU is a precise statement of the international law principle of good faith. a set of laws and concepts that provide a specific status for member states in judicial proceedings, conferring privileges not available to private individuals or public organisations.</w:t>
      </w:r>
      <w:r w:rsidR="000B2C20" w:rsidRPr="0038287C">
        <w:rPr>
          <w:sz w:val="24"/>
          <w:szCs w:val="24"/>
        </w:rPr>
        <w:t xml:space="preserve"> (Elgar, 2020)</w:t>
      </w:r>
      <w:r w:rsidRPr="0038287C">
        <w:rPr>
          <w:sz w:val="24"/>
          <w:szCs w:val="24"/>
        </w:rPr>
        <w:t xml:space="preserve"> </w:t>
      </w:r>
    </w:p>
    <w:p w14:paraId="0F253562" w14:textId="4DFB9FC9" w:rsidR="001610FB" w:rsidRPr="0038287C" w:rsidRDefault="006C3B3B" w:rsidP="00825725">
      <w:pPr>
        <w:rPr>
          <w:sz w:val="24"/>
          <w:szCs w:val="24"/>
        </w:rPr>
      </w:pPr>
      <w:r w:rsidRPr="0038287C">
        <w:rPr>
          <w:sz w:val="24"/>
          <w:szCs w:val="24"/>
        </w:rPr>
        <w:t xml:space="preserve">In the case of </w:t>
      </w:r>
      <w:proofErr w:type="spellStart"/>
      <w:r w:rsidRPr="0038287C">
        <w:rPr>
          <w:sz w:val="24"/>
          <w:szCs w:val="24"/>
        </w:rPr>
        <w:t>Francocich</w:t>
      </w:r>
      <w:proofErr w:type="spellEnd"/>
      <w:r w:rsidRPr="0038287C">
        <w:rPr>
          <w:sz w:val="24"/>
          <w:szCs w:val="24"/>
        </w:rPr>
        <w:t xml:space="preserve"> v Italy 1991 it was a </w:t>
      </w:r>
      <w:proofErr w:type="gramStart"/>
      <w:r w:rsidRPr="0038287C">
        <w:rPr>
          <w:sz w:val="24"/>
          <w:szCs w:val="24"/>
        </w:rPr>
        <w:t>horizontal  direct</w:t>
      </w:r>
      <w:proofErr w:type="gramEnd"/>
      <w:r w:rsidRPr="0038287C">
        <w:rPr>
          <w:sz w:val="24"/>
          <w:szCs w:val="24"/>
        </w:rPr>
        <w:t xml:space="preserve"> effect</w:t>
      </w:r>
      <w:r w:rsidR="00E152CF" w:rsidRPr="0038287C">
        <w:rPr>
          <w:sz w:val="24"/>
          <w:szCs w:val="24"/>
        </w:rPr>
        <w:t xml:space="preserve"> however there is no horizontal direct effect with directives only vertical </w:t>
      </w:r>
      <w:r w:rsidR="008C0FF6" w:rsidRPr="0038287C">
        <w:rPr>
          <w:sz w:val="24"/>
          <w:szCs w:val="24"/>
        </w:rPr>
        <w:t xml:space="preserve"> article </w:t>
      </w:r>
      <w:r w:rsidR="00825725" w:rsidRPr="0038287C">
        <w:rPr>
          <w:sz w:val="24"/>
          <w:szCs w:val="24"/>
        </w:rPr>
        <w:t xml:space="preserve">258 </w:t>
      </w:r>
      <w:r w:rsidR="008C0FF6" w:rsidRPr="0038287C">
        <w:rPr>
          <w:sz w:val="24"/>
          <w:szCs w:val="24"/>
        </w:rPr>
        <w:t xml:space="preserve">TFEU </w:t>
      </w:r>
      <w:r w:rsidR="00825725" w:rsidRPr="0038287C">
        <w:rPr>
          <w:sz w:val="24"/>
          <w:szCs w:val="24"/>
        </w:rPr>
        <w:t xml:space="preserve"> and implies to directives</w:t>
      </w:r>
      <w:r w:rsidR="00230D26" w:rsidRPr="0038287C">
        <w:rPr>
          <w:sz w:val="24"/>
          <w:szCs w:val="24"/>
        </w:rPr>
        <w:t xml:space="preserve"> as binding</w:t>
      </w:r>
      <w:r w:rsidR="00825725" w:rsidRPr="0038287C">
        <w:rPr>
          <w:sz w:val="24"/>
          <w:szCs w:val="24"/>
        </w:rPr>
        <w:t xml:space="preserve"> article 288 TFEU.</w:t>
      </w:r>
      <w:r w:rsidR="00E152CF" w:rsidRPr="0038287C">
        <w:rPr>
          <w:sz w:val="24"/>
          <w:szCs w:val="24"/>
        </w:rPr>
        <w:t xml:space="preserve">   </w:t>
      </w:r>
      <w:r w:rsidR="00C47A0E" w:rsidRPr="0038287C">
        <w:rPr>
          <w:sz w:val="24"/>
          <w:szCs w:val="24"/>
        </w:rPr>
        <w:t xml:space="preserve">EEC treaty </w:t>
      </w:r>
      <w:r w:rsidR="00825725" w:rsidRPr="0038287C">
        <w:rPr>
          <w:sz w:val="24"/>
          <w:szCs w:val="24"/>
        </w:rPr>
        <w:t xml:space="preserve">Article 4 (3) if the EU law tells the member state to do something they must do it and article 258 259 and 260 are there in case they don’t do what they are supposed to do. State </w:t>
      </w:r>
      <w:proofErr w:type="spellStart"/>
      <w:r w:rsidR="00825725" w:rsidRPr="0038287C">
        <w:rPr>
          <w:sz w:val="24"/>
          <w:szCs w:val="24"/>
        </w:rPr>
        <w:t>liablility</w:t>
      </w:r>
      <w:proofErr w:type="spellEnd"/>
      <w:r w:rsidR="00825725" w:rsidRPr="0038287C">
        <w:rPr>
          <w:sz w:val="24"/>
          <w:szCs w:val="24"/>
        </w:rPr>
        <w:t xml:space="preserve"> applies to </w:t>
      </w:r>
      <w:proofErr w:type="spellStart"/>
      <w:r w:rsidR="00825725" w:rsidRPr="0038287C">
        <w:rPr>
          <w:sz w:val="24"/>
          <w:szCs w:val="24"/>
        </w:rPr>
        <w:t>al</w:t>
      </w:r>
      <w:proofErr w:type="spellEnd"/>
      <w:r w:rsidR="00C47A0E" w:rsidRPr="0038287C">
        <w:rPr>
          <w:sz w:val="24"/>
          <w:szCs w:val="24"/>
        </w:rPr>
        <w:t xml:space="preserve"> forms of the EU law (</w:t>
      </w:r>
      <w:proofErr w:type="spellStart"/>
      <w:r w:rsidR="00C47A0E" w:rsidRPr="0038287C">
        <w:rPr>
          <w:sz w:val="24"/>
          <w:szCs w:val="24"/>
        </w:rPr>
        <w:t>factortame</w:t>
      </w:r>
      <w:proofErr w:type="spellEnd"/>
      <w:r w:rsidR="00C47A0E" w:rsidRPr="0038287C">
        <w:rPr>
          <w:sz w:val="24"/>
          <w:szCs w:val="24"/>
        </w:rPr>
        <w:t>).</w:t>
      </w:r>
      <w:r w:rsidR="00123E2A" w:rsidRPr="0038287C">
        <w:rPr>
          <w:sz w:val="24"/>
          <w:szCs w:val="24"/>
        </w:rPr>
        <w:t xml:space="preserve"> </w:t>
      </w:r>
      <w:r w:rsidR="00230D26" w:rsidRPr="0038287C">
        <w:rPr>
          <w:sz w:val="24"/>
          <w:szCs w:val="24"/>
        </w:rPr>
        <w:t xml:space="preserve">However </w:t>
      </w:r>
      <w:proofErr w:type="gramStart"/>
      <w:r w:rsidR="00230D26" w:rsidRPr="0038287C">
        <w:rPr>
          <w:sz w:val="24"/>
          <w:szCs w:val="24"/>
        </w:rPr>
        <w:t>directives  could</w:t>
      </w:r>
      <w:proofErr w:type="gramEnd"/>
      <w:r w:rsidR="00230D26" w:rsidRPr="0038287C">
        <w:rPr>
          <w:sz w:val="24"/>
          <w:szCs w:val="24"/>
        </w:rPr>
        <w:t xml:space="preserve"> be horizontal as in the case of Marshall v </w:t>
      </w:r>
      <w:proofErr w:type="spellStart"/>
      <w:r w:rsidR="00230D26" w:rsidRPr="0038287C">
        <w:rPr>
          <w:sz w:val="24"/>
          <w:szCs w:val="24"/>
        </w:rPr>
        <w:t>Southhamton</w:t>
      </w:r>
      <w:proofErr w:type="spellEnd"/>
      <w:r w:rsidR="00230D26" w:rsidRPr="0038287C">
        <w:rPr>
          <w:sz w:val="24"/>
          <w:szCs w:val="24"/>
        </w:rPr>
        <w:t xml:space="preserve"> 1986.</w:t>
      </w:r>
    </w:p>
    <w:p w14:paraId="75DD5B81" w14:textId="4A1ADE4B" w:rsidR="001244E0" w:rsidRPr="0038287C" w:rsidRDefault="00714DB1" w:rsidP="00825725">
      <w:pPr>
        <w:rPr>
          <w:color w:val="111111"/>
          <w:sz w:val="24"/>
          <w:szCs w:val="24"/>
          <w:shd w:val="clear" w:color="auto" w:fill="FFFFFF"/>
        </w:rPr>
      </w:pPr>
      <w:proofErr w:type="spellStart"/>
      <w:r w:rsidRPr="0038287C">
        <w:rPr>
          <w:sz w:val="24"/>
          <w:szCs w:val="24"/>
        </w:rPr>
        <w:t>Arcticle</w:t>
      </w:r>
      <w:proofErr w:type="spellEnd"/>
      <w:r w:rsidRPr="0038287C">
        <w:rPr>
          <w:sz w:val="24"/>
          <w:szCs w:val="24"/>
        </w:rPr>
        <w:t xml:space="preserve"> 258 </w:t>
      </w:r>
      <w:r w:rsidR="001610FB" w:rsidRPr="0038287C">
        <w:rPr>
          <w:sz w:val="24"/>
          <w:szCs w:val="24"/>
        </w:rPr>
        <w:t xml:space="preserve">can be used by the commission to enforce EU law or a member state could commence the enforcement procedure under </w:t>
      </w:r>
      <w:proofErr w:type="spellStart"/>
      <w:r w:rsidR="001610FB" w:rsidRPr="0038287C">
        <w:rPr>
          <w:sz w:val="24"/>
          <w:szCs w:val="24"/>
        </w:rPr>
        <w:t>artical</w:t>
      </w:r>
      <w:proofErr w:type="spellEnd"/>
      <w:r w:rsidR="001610FB" w:rsidRPr="0038287C">
        <w:rPr>
          <w:sz w:val="24"/>
          <w:szCs w:val="24"/>
        </w:rPr>
        <w:t xml:space="preserve"> 259 TFEU.</w:t>
      </w:r>
      <w:r w:rsidR="001244E0" w:rsidRPr="0038287C">
        <w:rPr>
          <w:color w:val="111111"/>
          <w:sz w:val="24"/>
          <w:szCs w:val="24"/>
          <w:shd w:val="clear" w:color="auto" w:fill="FFFFFF"/>
        </w:rPr>
        <w:t xml:space="preserve"> </w:t>
      </w:r>
    </w:p>
    <w:p w14:paraId="76CFE7EA" w14:textId="77777777" w:rsidR="00293D47" w:rsidRDefault="00293D47" w:rsidP="00825725">
      <w:pPr>
        <w:rPr>
          <w:color w:val="111111"/>
          <w:sz w:val="27"/>
          <w:szCs w:val="27"/>
          <w:shd w:val="clear" w:color="auto" w:fill="FFFFFF"/>
        </w:rPr>
      </w:pPr>
    </w:p>
    <w:p w14:paraId="3DF53412" w14:textId="77777777" w:rsidR="00293D47" w:rsidRDefault="00293D47" w:rsidP="00825725">
      <w:pPr>
        <w:rPr>
          <w:color w:val="111111"/>
          <w:sz w:val="27"/>
          <w:szCs w:val="27"/>
          <w:shd w:val="clear" w:color="auto" w:fill="FFFFFF"/>
        </w:rPr>
      </w:pPr>
    </w:p>
    <w:p w14:paraId="37FFE493" w14:textId="77777777" w:rsidR="00293D47" w:rsidRDefault="00293D47" w:rsidP="00825725">
      <w:pPr>
        <w:rPr>
          <w:color w:val="111111"/>
          <w:sz w:val="27"/>
          <w:szCs w:val="27"/>
          <w:shd w:val="clear" w:color="auto" w:fill="FFFFFF"/>
        </w:rPr>
      </w:pPr>
    </w:p>
    <w:p w14:paraId="7EA1608D" w14:textId="77777777" w:rsidR="004B21C8" w:rsidRDefault="004B21C8" w:rsidP="00825725">
      <w:pPr>
        <w:rPr>
          <w:color w:val="111111"/>
          <w:sz w:val="27"/>
          <w:szCs w:val="27"/>
          <w:shd w:val="clear" w:color="auto" w:fill="FFFFFF"/>
        </w:rPr>
      </w:pPr>
    </w:p>
    <w:p w14:paraId="38E659CB" w14:textId="77777777" w:rsidR="004B21C8" w:rsidRDefault="004B21C8" w:rsidP="00825725">
      <w:pPr>
        <w:rPr>
          <w:color w:val="111111"/>
          <w:sz w:val="27"/>
          <w:szCs w:val="27"/>
          <w:shd w:val="clear" w:color="auto" w:fill="FFFFFF"/>
        </w:rPr>
      </w:pPr>
    </w:p>
    <w:p w14:paraId="51ACEADC" w14:textId="77777777" w:rsidR="0057457A" w:rsidRDefault="0057457A" w:rsidP="00825725">
      <w:pPr>
        <w:rPr>
          <w:color w:val="111111"/>
          <w:sz w:val="27"/>
          <w:szCs w:val="27"/>
          <w:shd w:val="clear" w:color="auto" w:fill="FFFFFF"/>
        </w:rPr>
      </w:pPr>
    </w:p>
    <w:p w14:paraId="100B0A99" w14:textId="77777777" w:rsidR="00644F53" w:rsidRDefault="00644F53" w:rsidP="00825725">
      <w:pPr>
        <w:rPr>
          <w:color w:val="111111"/>
          <w:sz w:val="27"/>
          <w:szCs w:val="27"/>
          <w:shd w:val="clear" w:color="auto" w:fill="FFFFFF"/>
        </w:rPr>
      </w:pPr>
    </w:p>
    <w:p w14:paraId="757D8D6C" w14:textId="77777777" w:rsidR="00644F53" w:rsidRDefault="00644F53" w:rsidP="00825725">
      <w:pPr>
        <w:rPr>
          <w:color w:val="111111"/>
          <w:sz w:val="27"/>
          <w:szCs w:val="27"/>
          <w:shd w:val="clear" w:color="auto" w:fill="FFFFFF"/>
        </w:rPr>
      </w:pPr>
    </w:p>
    <w:p w14:paraId="69E06A94" w14:textId="77777777" w:rsidR="00644F53" w:rsidRDefault="00644F53" w:rsidP="00825725">
      <w:pPr>
        <w:rPr>
          <w:color w:val="111111"/>
          <w:sz w:val="27"/>
          <w:szCs w:val="27"/>
          <w:shd w:val="clear" w:color="auto" w:fill="FFFFFF"/>
        </w:rPr>
      </w:pPr>
    </w:p>
    <w:p w14:paraId="34888210" w14:textId="6CA75122" w:rsidR="00FB41DE" w:rsidRDefault="00293D47" w:rsidP="00825725">
      <w:r>
        <w:rPr>
          <w:color w:val="111111"/>
          <w:sz w:val="27"/>
          <w:szCs w:val="27"/>
          <w:shd w:val="clear" w:color="auto" w:fill="FFFFFF"/>
        </w:rPr>
        <w:t>Conclusion:</w:t>
      </w:r>
      <w:r w:rsidR="00FB41DE" w:rsidRPr="00FB41DE">
        <w:t xml:space="preserve"> </w:t>
      </w:r>
    </w:p>
    <w:p w14:paraId="15530C74" w14:textId="04BB725A" w:rsidR="00825725" w:rsidRPr="0038287C" w:rsidRDefault="00FB41DE" w:rsidP="00825725">
      <w:pPr>
        <w:rPr>
          <w:color w:val="111111"/>
          <w:sz w:val="24"/>
          <w:szCs w:val="24"/>
          <w:shd w:val="clear" w:color="auto" w:fill="FFFFFF"/>
        </w:rPr>
      </w:pPr>
      <w:r w:rsidRPr="0038287C">
        <w:rPr>
          <w:color w:val="111111"/>
          <w:sz w:val="24"/>
          <w:szCs w:val="24"/>
          <w:shd w:val="clear" w:color="auto" w:fill="FFFFFF"/>
        </w:rPr>
        <w:t xml:space="preserve">The establishment of the principle of direct impact has been a pillar of European integration, recognising EU citizens as a driving force in achieving the outcomes envisioned by the treaties and empowering them to maintain and grow their "legal inheritance," as Van </w:t>
      </w:r>
      <w:proofErr w:type="spellStart"/>
      <w:r w:rsidRPr="0038287C">
        <w:rPr>
          <w:color w:val="111111"/>
          <w:sz w:val="24"/>
          <w:szCs w:val="24"/>
          <w:shd w:val="clear" w:color="auto" w:fill="FFFFFF"/>
        </w:rPr>
        <w:t>Gend</w:t>
      </w:r>
      <w:proofErr w:type="spellEnd"/>
      <w:r w:rsidRPr="0038287C">
        <w:rPr>
          <w:color w:val="111111"/>
          <w:sz w:val="24"/>
          <w:szCs w:val="24"/>
          <w:shd w:val="clear" w:color="auto" w:fill="FFFFFF"/>
        </w:rPr>
        <w:t xml:space="preserve"> &amp; Loos put it.</w:t>
      </w:r>
      <w:r w:rsidR="001244E0" w:rsidRPr="0038287C">
        <w:rPr>
          <w:sz w:val="24"/>
          <w:szCs w:val="24"/>
        </w:rPr>
        <w:t xml:space="preserve"> (</w:t>
      </w:r>
      <w:proofErr w:type="spellStart"/>
      <w:proofErr w:type="gramStart"/>
      <w:r w:rsidR="001244E0" w:rsidRPr="0038287C">
        <w:rPr>
          <w:sz w:val="24"/>
          <w:szCs w:val="24"/>
        </w:rPr>
        <w:t>officialblogunio</w:t>
      </w:r>
      <w:proofErr w:type="spellEnd"/>
      <w:proofErr w:type="gramEnd"/>
      <w:r w:rsidR="001244E0" w:rsidRPr="0038287C">
        <w:rPr>
          <w:sz w:val="24"/>
          <w:szCs w:val="24"/>
        </w:rPr>
        <w:t>, 2021).</w:t>
      </w:r>
    </w:p>
    <w:p w14:paraId="014318D6" w14:textId="77777777" w:rsidR="001244E0" w:rsidRDefault="001244E0" w:rsidP="00825725">
      <w:pPr>
        <w:rPr>
          <w:sz w:val="28"/>
          <w:szCs w:val="28"/>
        </w:rPr>
      </w:pPr>
    </w:p>
    <w:p w14:paraId="3F43F5C3" w14:textId="6DF5CF6E" w:rsidR="006C3B3B" w:rsidRPr="008758C5" w:rsidRDefault="00825725" w:rsidP="00DA5188">
      <w:pPr>
        <w:rPr>
          <w:sz w:val="28"/>
          <w:szCs w:val="28"/>
          <w:lang w:val="fr-FR"/>
        </w:rPr>
      </w:pPr>
      <w:r>
        <w:rPr>
          <w:sz w:val="28"/>
          <w:szCs w:val="28"/>
          <w:lang w:val="fr-FR"/>
        </w:rPr>
        <w:t xml:space="preserve"> </w:t>
      </w:r>
    </w:p>
    <w:p w14:paraId="5FA8A3D2" w14:textId="77777777" w:rsidR="00820F1F" w:rsidRDefault="00820F1F" w:rsidP="008C5E0B">
      <w:pPr>
        <w:rPr>
          <w:sz w:val="28"/>
          <w:szCs w:val="28"/>
        </w:rPr>
      </w:pPr>
    </w:p>
    <w:p w14:paraId="18C89BF0" w14:textId="77777777" w:rsidR="005A117B" w:rsidRDefault="005A117B" w:rsidP="008C5E0B">
      <w:pPr>
        <w:rPr>
          <w:sz w:val="28"/>
          <w:szCs w:val="28"/>
          <w:lang w:val="en-US"/>
        </w:rPr>
      </w:pPr>
    </w:p>
    <w:p w14:paraId="695A07EE" w14:textId="77777777" w:rsidR="005A117B" w:rsidRDefault="005A117B" w:rsidP="008C5E0B">
      <w:pPr>
        <w:rPr>
          <w:sz w:val="28"/>
          <w:szCs w:val="28"/>
          <w:lang w:val="en-US"/>
        </w:rPr>
      </w:pPr>
    </w:p>
    <w:p w14:paraId="186CC02A" w14:textId="77777777" w:rsidR="005A117B" w:rsidRDefault="005A117B" w:rsidP="008C5E0B">
      <w:pPr>
        <w:rPr>
          <w:sz w:val="28"/>
          <w:szCs w:val="28"/>
          <w:lang w:val="en-US"/>
        </w:rPr>
      </w:pPr>
    </w:p>
    <w:p w14:paraId="79A6C6D0" w14:textId="77777777" w:rsidR="005A117B" w:rsidRDefault="005A117B" w:rsidP="008C5E0B">
      <w:pPr>
        <w:rPr>
          <w:sz w:val="28"/>
          <w:szCs w:val="28"/>
          <w:lang w:val="en-US"/>
        </w:rPr>
      </w:pPr>
    </w:p>
    <w:p w14:paraId="62FCF0E2" w14:textId="77777777" w:rsidR="005A117B" w:rsidRDefault="005A117B" w:rsidP="008C5E0B">
      <w:pPr>
        <w:rPr>
          <w:sz w:val="28"/>
          <w:szCs w:val="28"/>
          <w:lang w:val="en-US"/>
        </w:rPr>
      </w:pPr>
    </w:p>
    <w:p w14:paraId="74E742FF" w14:textId="77777777" w:rsidR="005A117B" w:rsidRDefault="005A117B" w:rsidP="008C5E0B">
      <w:pPr>
        <w:rPr>
          <w:sz w:val="28"/>
          <w:szCs w:val="28"/>
          <w:lang w:val="en-US"/>
        </w:rPr>
      </w:pPr>
    </w:p>
    <w:p w14:paraId="5AC7D1E3" w14:textId="77777777" w:rsidR="005A117B" w:rsidRDefault="005A117B" w:rsidP="008C5E0B">
      <w:pPr>
        <w:rPr>
          <w:sz w:val="28"/>
          <w:szCs w:val="28"/>
          <w:lang w:val="en-US"/>
        </w:rPr>
      </w:pPr>
    </w:p>
    <w:p w14:paraId="2DC4442B" w14:textId="77777777" w:rsidR="005A117B" w:rsidRDefault="005A117B" w:rsidP="008C5E0B">
      <w:pPr>
        <w:rPr>
          <w:sz w:val="28"/>
          <w:szCs w:val="28"/>
          <w:lang w:val="en-US"/>
        </w:rPr>
      </w:pPr>
    </w:p>
    <w:p w14:paraId="23D3FC91" w14:textId="77777777" w:rsidR="00CF61C9" w:rsidRDefault="00CF61C9" w:rsidP="008C5E0B">
      <w:pPr>
        <w:rPr>
          <w:sz w:val="28"/>
          <w:szCs w:val="28"/>
          <w:lang w:val="en-US"/>
        </w:rPr>
      </w:pPr>
    </w:p>
    <w:p w14:paraId="0AF19745" w14:textId="77777777" w:rsidR="00113D9F" w:rsidRDefault="00113D9F" w:rsidP="008C5E0B">
      <w:pPr>
        <w:rPr>
          <w:sz w:val="28"/>
          <w:szCs w:val="28"/>
          <w:lang w:val="en-US"/>
        </w:rPr>
      </w:pPr>
    </w:p>
    <w:p w14:paraId="5633566E" w14:textId="77777777" w:rsidR="00031404" w:rsidRDefault="00031404" w:rsidP="008C5E0B">
      <w:pPr>
        <w:rPr>
          <w:sz w:val="28"/>
          <w:szCs w:val="28"/>
          <w:lang w:val="en-US"/>
        </w:rPr>
      </w:pPr>
    </w:p>
    <w:p w14:paraId="2D417E6B" w14:textId="77777777" w:rsidR="00E5603A" w:rsidRDefault="00E5603A" w:rsidP="008C5E0B">
      <w:pPr>
        <w:rPr>
          <w:sz w:val="28"/>
          <w:szCs w:val="28"/>
          <w:lang w:val="en-US"/>
        </w:rPr>
      </w:pPr>
    </w:p>
    <w:p w14:paraId="1DB91870" w14:textId="77777777" w:rsidR="00E5603A" w:rsidRDefault="00E5603A" w:rsidP="008C5E0B">
      <w:pPr>
        <w:rPr>
          <w:sz w:val="28"/>
          <w:szCs w:val="28"/>
          <w:lang w:val="en-US"/>
        </w:rPr>
      </w:pPr>
    </w:p>
    <w:p w14:paraId="3A767E58" w14:textId="77777777" w:rsidR="00E5603A" w:rsidRDefault="00E5603A" w:rsidP="008C5E0B">
      <w:pPr>
        <w:rPr>
          <w:sz w:val="28"/>
          <w:szCs w:val="28"/>
          <w:lang w:val="en-US"/>
        </w:rPr>
      </w:pPr>
    </w:p>
    <w:p w14:paraId="341A547A" w14:textId="77777777" w:rsidR="00E5603A" w:rsidRDefault="00E5603A" w:rsidP="008C5E0B">
      <w:pPr>
        <w:rPr>
          <w:sz w:val="28"/>
          <w:szCs w:val="28"/>
          <w:lang w:val="en-US"/>
        </w:rPr>
      </w:pPr>
    </w:p>
    <w:p w14:paraId="17F35205" w14:textId="77777777" w:rsidR="00E5603A" w:rsidRDefault="00E5603A" w:rsidP="008C5E0B">
      <w:pPr>
        <w:rPr>
          <w:sz w:val="28"/>
          <w:szCs w:val="28"/>
          <w:lang w:val="en-US"/>
        </w:rPr>
      </w:pPr>
    </w:p>
    <w:p w14:paraId="0E93AD0F" w14:textId="77777777" w:rsidR="00E5603A" w:rsidRDefault="00E5603A" w:rsidP="008C5E0B">
      <w:pPr>
        <w:rPr>
          <w:sz w:val="28"/>
          <w:szCs w:val="28"/>
          <w:lang w:val="en-US"/>
        </w:rPr>
      </w:pPr>
    </w:p>
    <w:p w14:paraId="330816D7" w14:textId="77777777" w:rsidR="00E5603A" w:rsidRDefault="00E5603A" w:rsidP="008C5E0B">
      <w:pPr>
        <w:rPr>
          <w:sz w:val="28"/>
          <w:szCs w:val="28"/>
          <w:lang w:val="en-US"/>
        </w:rPr>
      </w:pPr>
    </w:p>
    <w:p w14:paraId="1CFE5BFD" w14:textId="77777777" w:rsidR="00E5603A" w:rsidRDefault="00E5603A" w:rsidP="008C5E0B">
      <w:pPr>
        <w:rPr>
          <w:sz w:val="28"/>
          <w:szCs w:val="28"/>
          <w:lang w:val="en-US"/>
        </w:rPr>
      </w:pPr>
    </w:p>
    <w:p w14:paraId="72469CE9" w14:textId="77777777" w:rsidR="00E5603A" w:rsidRDefault="00E5603A" w:rsidP="008C5E0B">
      <w:pPr>
        <w:rPr>
          <w:sz w:val="28"/>
          <w:szCs w:val="28"/>
          <w:lang w:val="en-US"/>
        </w:rPr>
      </w:pPr>
    </w:p>
    <w:p w14:paraId="5A67B646" w14:textId="651BB048" w:rsidR="00811281" w:rsidRDefault="008C5E0B" w:rsidP="008C5E0B">
      <w:pPr>
        <w:rPr>
          <w:sz w:val="28"/>
          <w:szCs w:val="28"/>
          <w:lang w:val="en-US"/>
        </w:rPr>
      </w:pPr>
      <w:r>
        <w:rPr>
          <w:sz w:val="28"/>
          <w:szCs w:val="28"/>
          <w:lang w:val="en-US"/>
        </w:rPr>
        <w:t>References</w:t>
      </w:r>
    </w:p>
    <w:p w14:paraId="1AB19213" w14:textId="78EF657B" w:rsidR="00B72B02" w:rsidRDefault="00811281" w:rsidP="008C5E0B">
      <w:pPr>
        <w:rPr>
          <w:sz w:val="28"/>
          <w:szCs w:val="28"/>
          <w:lang w:val="en-US"/>
        </w:rPr>
      </w:pPr>
      <w:r w:rsidRPr="00811281">
        <w:rPr>
          <w:sz w:val="28"/>
          <w:szCs w:val="28"/>
          <w:lang w:val="en-US"/>
        </w:rPr>
        <w:t xml:space="preserve">Craig, P. (2009b). The legal effect of Directives: policy, rules and exceptions Reprinted from European Law Review Issue 3, 2009 The legal effect of Directives: policy, rules and exceptions. www.academia.edu, [online] (03). Available at: </w:t>
      </w:r>
      <w:hyperlink r:id="rId4" w:history="1">
        <w:r w:rsidRPr="00F85C10">
          <w:rPr>
            <w:rStyle w:val="Hyperlink"/>
            <w:sz w:val="28"/>
            <w:szCs w:val="28"/>
            <w:lang w:val="en-US"/>
          </w:rPr>
          <w:t>https://www.academia.edu/5876210/The_legal_effect_of_Directives_policy_rules_and_exceptions_Reprinted_from_European_Law_Review_Issue_3_2009_The_legal_effect_of_Directives_policy_rules_and_exceptions</w:t>
        </w:r>
      </w:hyperlink>
      <w:r w:rsidRPr="00811281">
        <w:rPr>
          <w:sz w:val="28"/>
          <w:szCs w:val="28"/>
          <w:lang w:val="en-US"/>
        </w:rPr>
        <w:t>.</w:t>
      </w:r>
      <w:r>
        <w:rPr>
          <w:sz w:val="28"/>
          <w:szCs w:val="28"/>
          <w:lang w:val="en-US"/>
        </w:rPr>
        <w:t xml:space="preserve"> [Accessed 18 April 2022].</w:t>
      </w:r>
    </w:p>
    <w:p w14:paraId="4A1D6606" w14:textId="77777777" w:rsidR="000B2C20" w:rsidRDefault="00A86211" w:rsidP="008C5E0B">
      <w:pPr>
        <w:rPr>
          <w:sz w:val="28"/>
          <w:szCs w:val="28"/>
          <w:lang w:val="en-US"/>
        </w:rPr>
      </w:pPr>
      <w:r w:rsidRPr="00A86211">
        <w:rPr>
          <w:sz w:val="28"/>
          <w:szCs w:val="28"/>
          <w:lang w:val="en-US"/>
        </w:rPr>
        <w:t xml:space="preserve">Eaton, C. (2015). Direct Effect. [online] signon.thomsonreuters.com. Available at: </w:t>
      </w:r>
      <w:r>
        <w:rPr>
          <w:sz w:val="28"/>
          <w:szCs w:val="28"/>
          <w:lang w:val="en-US"/>
        </w:rPr>
        <w:t xml:space="preserve"> </w:t>
      </w:r>
      <w:hyperlink r:id="rId5" w:history="1">
        <w:r w:rsidRPr="00082CDD">
          <w:rPr>
            <w:rStyle w:val="Hyperlink"/>
            <w:sz w:val="28"/>
            <w:szCs w:val="28"/>
            <w:lang w:val="en-US"/>
          </w:rPr>
          <w:t>https://uk.westlaw.com/Document/IA4F5AEA0351411E48815D9CF510DD7B1/View/FullText.html?originationContext=document&amp;transitionType=DocumentItem&amp;ppcid=48c2df16556146cda4bce0d75a185abc&amp;contextData=(sc.Search)&amp;comp=wluk</w:t>
        </w:r>
      </w:hyperlink>
      <w:r>
        <w:rPr>
          <w:sz w:val="28"/>
          <w:szCs w:val="28"/>
          <w:lang w:val="en-US"/>
        </w:rPr>
        <w:t xml:space="preserve">  [</w:t>
      </w:r>
      <w:r w:rsidRPr="00A86211">
        <w:rPr>
          <w:sz w:val="28"/>
          <w:szCs w:val="28"/>
          <w:lang w:val="en-US"/>
        </w:rPr>
        <w:t>Accessed 16 Apr</w:t>
      </w:r>
      <w:r w:rsidR="006E6CB6">
        <w:rPr>
          <w:sz w:val="28"/>
          <w:szCs w:val="28"/>
          <w:lang w:val="en-US"/>
        </w:rPr>
        <w:t>il</w:t>
      </w:r>
      <w:r w:rsidRPr="00A86211">
        <w:rPr>
          <w:sz w:val="28"/>
          <w:szCs w:val="28"/>
          <w:lang w:val="en-US"/>
        </w:rPr>
        <w:t xml:space="preserve"> 2022].</w:t>
      </w:r>
      <w:r>
        <w:rPr>
          <w:sz w:val="28"/>
          <w:szCs w:val="28"/>
          <w:lang w:val="en-US"/>
        </w:rPr>
        <w:t xml:space="preserve"> </w:t>
      </w:r>
    </w:p>
    <w:p w14:paraId="2B2BB4E2" w14:textId="77777777" w:rsidR="00F57321" w:rsidRDefault="000B2C20" w:rsidP="008C5E0B">
      <w:r w:rsidRPr="000B2C20">
        <w:rPr>
          <w:sz w:val="28"/>
          <w:szCs w:val="28"/>
          <w:lang w:val="en-US"/>
        </w:rPr>
        <w:t xml:space="preserve">Elgar, E. (2020). Advanced Introduction to European Union Law. [online] www.e-elgar.com. Available at: </w:t>
      </w:r>
      <w:hyperlink r:id="rId6" w:history="1">
        <w:r w:rsidRPr="00956F6D">
          <w:rPr>
            <w:rStyle w:val="Hyperlink"/>
            <w:sz w:val="28"/>
            <w:szCs w:val="28"/>
            <w:lang w:val="en-US"/>
          </w:rPr>
          <w:t>https://www.e-elgar.com/shop/gbp/advanced-introduction-to-european-union-law-9781788119559.html</w:t>
        </w:r>
      </w:hyperlink>
      <w:r w:rsidRPr="000B2C20">
        <w:rPr>
          <w:sz w:val="28"/>
          <w:szCs w:val="28"/>
          <w:lang w:val="en-US"/>
        </w:rPr>
        <w:t>.</w:t>
      </w:r>
      <w:r>
        <w:rPr>
          <w:sz w:val="28"/>
          <w:szCs w:val="28"/>
          <w:lang w:val="en-US"/>
        </w:rPr>
        <w:t xml:space="preserve"> [Accessed 19 April 2022].</w:t>
      </w:r>
      <w:r w:rsidR="00F57321" w:rsidRPr="00F57321">
        <w:t xml:space="preserve"> </w:t>
      </w:r>
    </w:p>
    <w:p w14:paraId="080B9DFC" w14:textId="4EA7D598" w:rsidR="00A72094" w:rsidRDefault="00F57321" w:rsidP="008C5E0B">
      <w:pPr>
        <w:rPr>
          <w:sz w:val="28"/>
          <w:szCs w:val="28"/>
          <w:lang w:val="en-US"/>
        </w:rPr>
      </w:pPr>
      <w:r w:rsidRPr="00F57321">
        <w:rPr>
          <w:sz w:val="28"/>
          <w:szCs w:val="28"/>
          <w:lang w:val="en-US"/>
        </w:rPr>
        <w:t xml:space="preserve">Europa.eu. (2020). EUR-Lex - 61974CJ0041 - EN - EUR-Lex. [online] Available at: </w:t>
      </w:r>
      <w:hyperlink r:id="rId7" w:history="1">
        <w:r w:rsidRPr="00AB59AF">
          <w:rPr>
            <w:rStyle w:val="Hyperlink"/>
            <w:sz w:val="28"/>
            <w:szCs w:val="28"/>
            <w:lang w:val="en-US"/>
          </w:rPr>
          <w:t>https://eur-lex.europa.eu/legal-content/EN/TXT/?uri=CELEX%3A61974CJ0041</w:t>
        </w:r>
      </w:hyperlink>
      <w:r w:rsidRPr="00F57321">
        <w:rPr>
          <w:sz w:val="28"/>
          <w:szCs w:val="28"/>
          <w:lang w:val="en-US"/>
        </w:rPr>
        <w:t>.</w:t>
      </w:r>
      <w:r>
        <w:rPr>
          <w:sz w:val="28"/>
          <w:szCs w:val="28"/>
          <w:lang w:val="en-US"/>
        </w:rPr>
        <w:t xml:space="preserve"> [Accessed 2May 2022</w:t>
      </w:r>
      <w:proofErr w:type="gramStart"/>
      <w:r>
        <w:rPr>
          <w:sz w:val="28"/>
          <w:szCs w:val="28"/>
          <w:lang w:val="en-US"/>
        </w:rPr>
        <w:t>] .</w:t>
      </w:r>
      <w:proofErr w:type="gramEnd"/>
    </w:p>
    <w:p w14:paraId="107D6EC1" w14:textId="3689052C" w:rsidR="0077633D" w:rsidRDefault="00A72094" w:rsidP="008C5E0B">
      <w:pPr>
        <w:rPr>
          <w:sz w:val="28"/>
          <w:szCs w:val="28"/>
          <w:lang w:val="en-US"/>
        </w:rPr>
      </w:pPr>
      <w:r w:rsidRPr="00A72094">
        <w:rPr>
          <w:sz w:val="28"/>
          <w:szCs w:val="28"/>
          <w:lang w:val="en-US"/>
        </w:rPr>
        <w:t xml:space="preserve">EURWORK (2011). Remedies for infringements of EU law. [online] </w:t>
      </w:r>
      <w:proofErr w:type="spellStart"/>
      <w:r w:rsidRPr="00A72094">
        <w:rPr>
          <w:sz w:val="28"/>
          <w:szCs w:val="28"/>
          <w:lang w:val="en-US"/>
        </w:rPr>
        <w:t>Eurofound</w:t>
      </w:r>
      <w:proofErr w:type="spellEnd"/>
      <w:r w:rsidRPr="00A72094">
        <w:rPr>
          <w:sz w:val="28"/>
          <w:szCs w:val="28"/>
          <w:lang w:val="en-US"/>
        </w:rPr>
        <w:t xml:space="preserve">. Available at: </w:t>
      </w:r>
      <w:hyperlink r:id="rId8" w:history="1">
        <w:r w:rsidRPr="00E26B0E">
          <w:rPr>
            <w:rStyle w:val="Hyperlink"/>
            <w:sz w:val="28"/>
            <w:szCs w:val="28"/>
            <w:lang w:val="en-US"/>
          </w:rPr>
          <w:t>https://www.eurofound.europa.eu/observatories/eurwork/industrial-relations-dictionary/remedies-for-infringements-of-eu-law</w:t>
        </w:r>
      </w:hyperlink>
      <w:r w:rsidRPr="00A72094">
        <w:rPr>
          <w:sz w:val="28"/>
          <w:szCs w:val="28"/>
          <w:lang w:val="en-US"/>
        </w:rPr>
        <w:t>.</w:t>
      </w:r>
      <w:r>
        <w:rPr>
          <w:sz w:val="28"/>
          <w:szCs w:val="28"/>
          <w:lang w:val="en-US"/>
        </w:rPr>
        <w:t xml:space="preserve"> [Accessed 29April 2022]</w:t>
      </w:r>
    </w:p>
    <w:p w14:paraId="3FD555AE" w14:textId="29E05BF4" w:rsidR="003618D0" w:rsidRDefault="003618D0" w:rsidP="008C5E0B">
      <w:pPr>
        <w:rPr>
          <w:sz w:val="28"/>
          <w:szCs w:val="28"/>
          <w:lang w:val="en-US"/>
        </w:rPr>
      </w:pPr>
      <w:r w:rsidRPr="003618D0">
        <w:rPr>
          <w:sz w:val="28"/>
          <w:szCs w:val="28"/>
          <w:lang w:val="en-US"/>
        </w:rPr>
        <w:t xml:space="preserve">Granger, M.-P.F. (2007). ‘Francovich and the </w:t>
      </w:r>
      <w:r w:rsidR="00E546D1">
        <w:rPr>
          <w:sz w:val="28"/>
          <w:szCs w:val="28"/>
          <w:lang w:val="en-US"/>
        </w:rPr>
        <w:t>C</w:t>
      </w:r>
      <w:r w:rsidRPr="003618D0">
        <w:rPr>
          <w:sz w:val="28"/>
          <w:szCs w:val="28"/>
          <w:lang w:val="en-US"/>
        </w:rPr>
        <w:t xml:space="preserve">onstruction of a European </w:t>
      </w:r>
      <w:r w:rsidR="00E546D1">
        <w:rPr>
          <w:sz w:val="28"/>
          <w:szCs w:val="28"/>
          <w:lang w:val="en-US"/>
        </w:rPr>
        <w:t>A</w:t>
      </w:r>
      <w:r w:rsidRPr="003618D0">
        <w:rPr>
          <w:sz w:val="28"/>
          <w:szCs w:val="28"/>
          <w:lang w:val="en-US"/>
        </w:rPr>
        <w:t xml:space="preserve">dministrative jus </w:t>
      </w:r>
      <w:r w:rsidR="00E546D1">
        <w:rPr>
          <w:sz w:val="28"/>
          <w:szCs w:val="28"/>
          <w:lang w:val="en-US"/>
        </w:rPr>
        <w:t>C</w:t>
      </w:r>
      <w:r w:rsidRPr="003618D0">
        <w:rPr>
          <w:sz w:val="28"/>
          <w:szCs w:val="28"/>
          <w:lang w:val="en-US"/>
        </w:rPr>
        <w:t xml:space="preserve">ommune by </w:t>
      </w:r>
      <w:r w:rsidR="00E546D1">
        <w:rPr>
          <w:sz w:val="28"/>
          <w:szCs w:val="28"/>
          <w:lang w:val="en-US"/>
        </w:rPr>
        <w:t>N</w:t>
      </w:r>
      <w:r w:rsidRPr="003618D0">
        <w:rPr>
          <w:sz w:val="28"/>
          <w:szCs w:val="28"/>
          <w:lang w:val="en-US"/>
        </w:rPr>
        <w:t xml:space="preserve">ational </w:t>
      </w:r>
      <w:r w:rsidR="00E546D1">
        <w:rPr>
          <w:sz w:val="28"/>
          <w:szCs w:val="28"/>
          <w:lang w:val="en-US"/>
        </w:rPr>
        <w:t>C</w:t>
      </w:r>
      <w:r w:rsidRPr="003618D0">
        <w:rPr>
          <w:sz w:val="28"/>
          <w:szCs w:val="28"/>
          <w:lang w:val="en-US"/>
        </w:rPr>
        <w:t xml:space="preserve">ourts’. www.academia.edu. [online] Available at: </w:t>
      </w:r>
      <w:hyperlink r:id="rId9" w:history="1">
        <w:r w:rsidRPr="00F85C10">
          <w:rPr>
            <w:rStyle w:val="Hyperlink"/>
            <w:sz w:val="28"/>
            <w:szCs w:val="28"/>
            <w:lang w:val="en-US"/>
          </w:rPr>
          <w:t>https://www.academia.edu/10767069/Francovich_and_the_construction_of_</w:t>
        </w:r>
        <w:r w:rsidRPr="00F85C10">
          <w:rPr>
            <w:rStyle w:val="Hyperlink"/>
            <w:sz w:val="28"/>
            <w:szCs w:val="28"/>
            <w:lang w:val="en-US"/>
          </w:rPr>
          <w:lastRenderedPageBreak/>
          <w:t>a_European_administrative_jus_commune_by_national_courts_</w:t>
        </w:r>
      </w:hyperlink>
      <w:r>
        <w:rPr>
          <w:sz w:val="28"/>
          <w:szCs w:val="28"/>
          <w:lang w:val="en-US"/>
        </w:rPr>
        <w:t xml:space="preserve"> [Accessed 18 April 2022].</w:t>
      </w:r>
      <w:r w:rsidRPr="003618D0">
        <w:rPr>
          <w:sz w:val="28"/>
          <w:szCs w:val="28"/>
          <w:lang w:val="en-US"/>
        </w:rPr>
        <w:t xml:space="preserve"> </w:t>
      </w:r>
    </w:p>
    <w:p w14:paraId="40A703D6" w14:textId="60A3F1AA" w:rsidR="006E6CB6" w:rsidRDefault="00E546D1" w:rsidP="008C5E0B">
      <w:pPr>
        <w:rPr>
          <w:sz w:val="28"/>
          <w:szCs w:val="28"/>
          <w:lang w:val="en-US"/>
        </w:rPr>
      </w:pPr>
      <w:proofErr w:type="spellStart"/>
      <w:r>
        <w:rPr>
          <w:sz w:val="28"/>
          <w:szCs w:val="28"/>
          <w:lang w:val="en-US"/>
        </w:rPr>
        <w:t>O</w:t>
      </w:r>
      <w:r w:rsidR="006E6CB6" w:rsidRPr="006E6CB6">
        <w:rPr>
          <w:sz w:val="28"/>
          <w:szCs w:val="28"/>
          <w:lang w:val="en-US"/>
        </w:rPr>
        <w:t>fficialblogunio</w:t>
      </w:r>
      <w:proofErr w:type="spellEnd"/>
      <w:r w:rsidR="006E6CB6" w:rsidRPr="006E6CB6">
        <w:rPr>
          <w:sz w:val="28"/>
          <w:szCs w:val="28"/>
          <w:lang w:val="en-US"/>
        </w:rPr>
        <w:t xml:space="preserve"> (2021). The </w:t>
      </w:r>
      <w:r>
        <w:rPr>
          <w:sz w:val="28"/>
          <w:szCs w:val="28"/>
          <w:lang w:val="en-US"/>
        </w:rPr>
        <w:t>A</w:t>
      </w:r>
      <w:r w:rsidR="006E6CB6" w:rsidRPr="006E6CB6">
        <w:rPr>
          <w:sz w:val="28"/>
          <w:szCs w:val="28"/>
          <w:lang w:val="en-US"/>
        </w:rPr>
        <w:t xml:space="preserve">rchitecture of </w:t>
      </w:r>
      <w:r>
        <w:rPr>
          <w:sz w:val="28"/>
          <w:szCs w:val="28"/>
          <w:lang w:val="en-US"/>
        </w:rPr>
        <w:t>D</w:t>
      </w:r>
      <w:r w:rsidR="006E6CB6" w:rsidRPr="006E6CB6">
        <w:rPr>
          <w:sz w:val="28"/>
          <w:szCs w:val="28"/>
          <w:lang w:val="en-US"/>
        </w:rPr>
        <w:t xml:space="preserve">irect </w:t>
      </w:r>
      <w:r>
        <w:rPr>
          <w:sz w:val="28"/>
          <w:szCs w:val="28"/>
          <w:lang w:val="en-US"/>
        </w:rPr>
        <w:t>E</w:t>
      </w:r>
      <w:r w:rsidR="006E6CB6" w:rsidRPr="006E6CB6">
        <w:rPr>
          <w:sz w:val="28"/>
          <w:szCs w:val="28"/>
          <w:lang w:val="en-US"/>
        </w:rPr>
        <w:t xml:space="preserve">ffect: </w:t>
      </w:r>
      <w:proofErr w:type="gramStart"/>
      <w:r w:rsidR="006E6CB6" w:rsidRPr="006E6CB6">
        <w:rPr>
          <w:sz w:val="28"/>
          <w:szCs w:val="28"/>
          <w:lang w:val="en-US"/>
        </w:rPr>
        <w:t>an</w:t>
      </w:r>
      <w:proofErr w:type="gramEnd"/>
      <w:r w:rsidR="006E6CB6" w:rsidRPr="006E6CB6">
        <w:rPr>
          <w:sz w:val="28"/>
          <w:szCs w:val="28"/>
          <w:lang w:val="en-US"/>
        </w:rPr>
        <w:t xml:space="preserve"> </w:t>
      </w:r>
      <w:r>
        <w:rPr>
          <w:sz w:val="28"/>
          <w:szCs w:val="28"/>
          <w:lang w:val="en-US"/>
        </w:rPr>
        <w:t>I</w:t>
      </w:r>
      <w:r w:rsidR="006E6CB6" w:rsidRPr="006E6CB6">
        <w:rPr>
          <w:sz w:val="28"/>
          <w:szCs w:val="28"/>
          <w:lang w:val="en-US"/>
        </w:rPr>
        <w:t xml:space="preserve">ntroduction. [online] Official Blog of UNIO. Available at: </w:t>
      </w:r>
      <w:hyperlink r:id="rId10" w:anchor="_ftnref3" w:history="1">
        <w:r w:rsidR="006E6CB6" w:rsidRPr="00F85C10">
          <w:rPr>
            <w:rStyle w:val="Hyperlink"/>
            <w:sz w:val="28"/>
            <w:szCs w:val="28"/>
            <w:lang w:val="en-US"/>
          </w:rPr>
          <w:t>https://officialblogofunio.com/2021/06/22/the-architecture-of-direct-effect-an-introduction/#_ftnref3</w:t>
        </w:r>
      </w:hyperlink>
      <w:r w:rsidR="006E6CB6">
        <w:rPr>
          <w:sz w:val="28"/>
          <w:szCs w:val="28"/>
          <w:lang w:val="en-US"/>
        </w:rPr>
        <w:t xml:space="preserve"> [Accessed18 April 2022].</w:t>
      </w:r>
    </w:p>
    <w:p w14:paraId="2FC663E9" w14:textId="038BF81D" w:rsidR="00250FCE" w:rsidRPr="00E546D1" w:rsidRDefault="008C5E0B" w:rsidP="000856AB">
      <w:pPr>
        <w:rPr>
          <w:sz w:val="28"/>
          <w:szCs w:val="28"/>
          <w:lang w:val="en-US"/>
        </w:rPr>
      </w:pPr>
      <w:r w:rsidRPr="008C5E0B">
        <w:rPr>
          <w:sz w:val="28"/>
          <w:szCs w:val="28"/>
        </w:rPr>
        <w:t>Phelan, W. (20</w:t>
      </w:r>
      <w:r w:rsidR="00820F1F">
        <w:rPr>
          <w:sz w:val="28"/>
          <w:szCs w:val="28"/>
        </w:rPr>
        <w:t>20</w:t>
      </w:r>
      <w:r w:rsidRPr="008C5E0B">
        <w:rPr>
          <w:sz w:val="28"/>
          <w:szCs w:val="28"/>
        </w:rPr>
        <w:t xml:space="preserve">). </w:t>
      </w:r>
      <w:r w:rsidRPr="008C5E0B">
        <w:rPr>
          <w:i/>
          <w:iCs/>
          <w:sz w:val="28"/>
          <w:szCs w:val="28"/>
        </w:rPr>
        <w:t xml:space="preserve">Van </w:t>
      </w:r>
      <w:proofErr w:type="spellStart"/>
      <w:r w:rsidRPr="008C5E0B">
        <w:rPr>
          <w:i/>
          <w:iCs/>
          <w:sz w:val="28"/>
          <w:szCs w:val="28"/>
        </w:rPr>
        <w:t>Gend</w:t>
      </w:r>
      <w:proofErr w:type="spellEnd"/>
      <w:r w:rsidRPr="008C5E0B">
        <w:rPr>
          <w:i/>
          <w:iCs/>
          <w:sz w:val="28"/>
          <w:szCs w:val="28"/>
        </w:rPr>
        <w:t xml:space="preserve"> </w:t>
      </w:r>
      <w:proofErr w:type="spellStart"/>
      <w:r w:rsidRPr="008C5E0B">
        <w:rPr>
          <w:i/>
          <w:iCs/>
          <w:sz w:val="28"/>
          <w:szCs w:val="28"/>
        </w:rPr>
        <w:t>en</w:t>
      </w:r>
      <w:proofErr w:type="spellEnd"/>
      <w:r w:rsidRPr="008C5E0B">
        <w:rPr>
          <w:i/>
          <w:iCs/>
          <w:sz w:val="28"/>
          <w:szCs w:val="28"/>
        </w:rPr>
        <w:t xml:space="preserve"> Loos, 1963: Direct Effect</w:t>
      </w:r>
      <w:r w:rsidRPr="008C5E0B">
        <w:rPr>
          <w:sz w:val="28"/>
          <w:szCs w:val="28"/>
        </w:rPr>
        <w:t xml:space="preserve">. [online] Cambridge University Press. Available at: </w:t>
      </w:r>
      <w:hyperlink r:id="rId11" w:history="1">
        <w:r w:rsidRPr="007C211A">
          <w:rPr>
            <w:rStyle w:val="Hyperlink"/>
            <w:sz w:val="28"/>
            <w:szCs w:val="28"/>
          </w:rPr>
          <w:t>https://www.cambridge.org/core/books/abs/great-judgments-of-the-european-court-of-justice/van-gend-en-loos-1963/06041714C495D82049488BF2BD0488B7</w:t>
        </w:r>
      </w:hyperlink>
      <w:r>
        <w:rPr>
          <w:sz w:val="28"/>
          <w:szCs w:val="28"/>
        </w:rPr>
        <w:t xml:space="preserve"> </w:t>
      </w:r>
      <w:r w:rsidRPr="008C5E0B">
        <w:rPr>
          <w:sz w:val="28"/>
          <w:szCs w:val="28"/>
        </w:rPr>
        <w:t>[Accessed 14 Apr</w:t>
      </w:r>
      <w:r w:rsidR="00B72B02">
        <w:rPr>
          <w:sz w:val="28"/>
          <w:szCs w:val="28"/>
        </w:rPr>
        <w:t>il</w:t>
      </w:r>
      <w:r w:rsidRPr="008C5E0B">
        <w:rPr>
          <w:sz w:val="28"/>
          <w:szCs w:val="28"/>
        </w:rPr>
        <w:t xml:space="preserve"> 2022].</w:t>
      </w:r>
      <w:r w:rsidR="000856AB" w:rsidRPr="000856AB">
        <w:rPr>
          <w:rFonts w:eastAsia="Times New Roman"/>
          <w:lang w:eastAsia="en-GB"/>
        </w:rPr>
        <w:t xml:space="preserve"> </w:t>
      </w:r>
    </w:p>
    <w:p w14:paraId="7ADE7F9F" w14:textId="77777777" w:rsidR="001822C1" w:rsidRDefault="006D55CA" w:rsidP="000856AB">
      <w:proofErr w:type="spellStart"/>
      <w:r w:rsidRPr="006D55CA">
        <w:rPr>
          <w:rFonts w:eastAsia="Times New Roman"/>
          <w:sz w:val="28"/>
          <w:szCs w:val="28"/>
          <w:lang w:eastAsia="en-GB"/>
        </w:rPr>
        <w:t>Polimac</w:t>
      </w:r>
      <w:proofErr w:type="spellEnd"/>
      <w:r w:rsidRPr="006D55CA">
        <w:rPr>
          <w:rFonts w:eastAsia="Times New Roman"/>
          <w:sz w:val="28"/>
          <w:szCs w:val="28"/>
          <w:lang w:eastAsia="en-GB"/>
        </w:rPr>
        <w:t>, M. (2015). Directly Applicable. [online] signon.thomsonreuters.com. Available at:</w:t>
      </w:r>
      <w:r w:rsidRPr="006D55CA">
        <w:rPr>
          <w:rFonts w:eastAsia="Times New Roman"/>
          <w:lang w:eastAsia="en-GB"/>
        </w:rPr>
        <w:t xml:space="preserve"> </w:t>
      </w:r>
      <w:r>
        <w:rPr>
          <w:rFonts w:eastAsia="Times New Roman"/>
          <w:lang w:eastAsia="en-GB"/>
        </w:rPr>
        <w:t xml:space="preserve"> </w:t>
      </w:r>
      <w:hyperlink r:id="rId12" w:history="1">
        <w:r w:rsidRPr="006D55CA">
          <w:rPr>
            <w:rStyle w:val="Hyperlink"/>
            <w:rFonts w:eastAsia="Times New Roman"/>
            <w:sz w:val="28"/>
            <w:szCs w:val="28"/>
            <w:lang w:eastAsia="en-GB"/>
          </w:rPr>
          <w:t>https://uk.westlaw.com/Document/I69297090C7E111E49954A4F9E502350B/View/FullText.html?originationContext=document&amp;transitionType=DocumentItem&amp;ppcid=f189e4f082ca4390a610639177bd6b57&amp;contextData=(sc.Search)&amp;comp=wluk</w:t>
        </w:r>
      </w:hyperlink>
      <w:r w:rsidRPr="006D55CA">
        <w:rPr>
          <w:rFonts w:eastAsia="Times New Roman"/>
          <w:sz w:val="28"/>
          <w:szCs w:val="28"/>
          <w:lang w:eastAsia="en-GB"/>
        </w:rPr>
        <w:t xml:space="preserve">  [Accessed 16 Apr. 2022].</w:t>
      </w:r>
      <w:r w:rsidR="001822C1" w:rsidRPr="001822C1">
        <w:t xml:space="preserve"> </w:t>
      </w:r>
    </w:p>
    <w:p w14:paraId="0D7D080F" w14:textId="64972FA8" w:rsidR="001822C1" w:rsidRDefault="001822C1" w:rsidP="000856AB">
      <w:pPr>
        <w:rPr>
          <w:rFonts w:eastAsia="Times New Roman"/>
          <w:sz w:val="28"/>
          <w:szCs w:val="28"/>
          <w:lang w:eastAsia="en-GB"/>
        </w:rPr>
      </w:pPr>
      <w:proofErr w:type="spellStart"/>
      <w:r w:rsidRPr="001822C1">
        <w:rPr>
          <w:rFonts w:eastAsia="Times New Roman"/>
          <w:sz w:val="28"/>
          <w:szCs w:val="28"/>
          <w:lang w:eastAsia="en-GB"/>
        </w:rPr>
        <w:t>Polimac</w:t>
      </w:r>
      <w:proofErr w:type="spellEnd"/>
      <w:r w:rsidRPr="001822C1">
        <w:rPr>
          <w:rFonts w:eastAsia="Times New Roman"/>
          <w:sz w:val="28"/>
          <w:szCs w:val="28"/>
          <w:lang w:eastAsia="en-GB"/>
        </w:rPr>
        <w:t>, M. (2014). EU Law: Equivalence and Effectiveness. [online] signon.thomsonreuters.com. Available at:</w:t>
      </w:r>
      <w:r w:rsidR="00BC78A5" w:rsidRPr="00BC78A5">
        <w:t xml:space="preserve"> </w:t>
      </w:r>
      <w:hyperlink r:id="rId13" w:history="1">
        <w:r w:rsidR="00BC78A5" w:rsidRPr="00082CDD">
          <w:rPr>
            <w:rStyle w:val="Hyperlink"/>
            <w:rFonts w:eastAsia="Times New Roman"/>
            <w:sz w:val="28"/>
            <w:szCs w:val="28"/>
            <w:lang w:eastAsia="en-GB"/>
          </w:rPr>
          <w:t>https://uk.westlaw.com/Document/I827DA1503F5C11E49A42D5DC36F62A2E/View/FullText.html?originationContext=document&amp;transitionType=DocumentItem&amp;ppcid=47ab085ae56546e7a057b40bed3f9d5b&amp;contextData=(sc.Search)&amp;comp=wluk</w:t>
        </w:r>
      </w:hyperlink>
      <w:r w:rsidR="00BC78A5">
        <w:rPr>
          <w:rFonts w:eastAsia="Times New Roman"/>
          <w:sz w:val="28"/>
          <w:szCs w:val="28"/>
          <w:lang w:eastAsia="en-GB"/>
        </w:rPr>
        <w:t xml:space="preserve"> </w:t>
      </w:r>
      <w:r w:rsidRPr="001822C1">
        <w:rPr>
          <w:rFonts w:eastAsia="Times New Roman"/>
          <w:sz w:val="28"/>
          <w:szCs w:val="28"/>
          <w:lang w:eastAsia="en-GB"/>
        </w:rPr>
        <w:t>[Accessed 16 Apr. 2022].</w:t>
      </w:r>
      <w:r>
        <w:rPr>
          <w:rFonts w:eastAsia="Times New Roman"/>
          <w:sz w:val="28"/>
          <w:szCs w:val="28"/>
          <w:lang w:eastAsia="en-GB"/>
        </w:rPr>
        <w:t xml:space="preserve"> </w:t>
      </w:r>
    </w:p>
    <w:p w14:paraId="31AAF411" w14:textId="197FE9BA" w:rsidR="00E546D1" w:rsidRPr="00E546D1" w:rsidRDefault="000856AB" w:rsidP="000856AB">
      <w:pPr>
        <w:rPr>
          <w:rFonts w:eastAsia="Times New Roman"/>
          <w:lang w:eastAsia="en-GB"/>
        </w:rPr>
      </w:pPr>
      <w:r w:rsidRPr="000856AB">
        <w:rPr>
          <w:sz w:val="28"/>
          <w:szCs w:val="28"/>
        </w:rPr>
        <w:t xml:space="preserve">Rasmussen, M. (2012). </w:t>
      </w:r>
      <w:r w:rsidRPr="000856AB">
        <w:rPr>
          <w:i/>
          <w:iCs/>
          <w:sz w:val="28"/>
          <w:szCs w:val="28"/>
        </w:rPr>
        <w:t>Establishing a Constitutional Practice of European Law: The History of the Legal Service of the European Executive, 1952-65</w:t>
      </w:r>
      <w:r w:rsidRPr="000856AB">
        <w:rPr>
          <w:sz w:val="28"/>
          <w:szCs w:val="28"/>
        </w:rPr>
        <w:t xml:space="preserve">. [online] Uwtsd.ac.uk. Available at: </w:t>
      </w:r>
      <w:hyperlink r:id="rId14" w:history="1">
        <w:r w:rsidRPr="00E11D18">
          <w:rPr>
            <w:rStyle w:val="Hyperlink"/>
            <w:sz w:val="28"/>
            <w:szCs w:val="28"/>
          </w:rPr>
          <w:t>https://www-cambridge-org.ezproxy.uwtsd.ac.uk/core/services/aop-cambridge-core/content/view/AFBF4020ABAA6C3C5118B7DFE7D1DF07/S0960777312000252a.pdf/establishing-a-constitutional-practice-of-european-law-the-history-of-the-legal-service-of-the-european-executive-195265.pdf</w:t>
        </w:r>
      </w:hyperlink>
      <w:r>
        <w:rPr>
          <w:sz w:val="28"/>
          <w:szCs w:val="28"/>
        </w:rPr>
        <w:t xml:space="preserve">  [Accessed 15 April 2022].</w:t>
      </w:r>
      <w:r w:rsidR="0000159A" w:rsidRPr="0000159A">
        <w:t xml:space="preserve"> </w:t>
      </w:r>
    </w:p>
    <w:p w14:paraId="3A02780E" w14:textId="4902870F" w:rsidR="0000159A" w:rsidRPr="00E546D1" w:rsidRDefault="00E546D1" w:rsidP="000856AB">
      <w:pPr>
        <w:rPr>
          <w:sz w:val="28"/>
          <w:szCs w:val="28"/>
        </w:rPr>
      </w:pPr>
      <w:proofErr w:type="spellStart"/>
      <w:r w:rsidRPr="00E546D1">
        <w:rPr>
          <w:sz w:val="28"/>
          <w:szCs w:val="28"/>
        </w:rPr>
        <w:t>Stiernstrom</w:t>
      </w:r>
      <w:proofErr w:type="spellEnd"/>
      <w:r w:rsidRPr="00E546D1">
        <w:rPr>
          <w:sz w:val="28"/>
          <w:szCs w:val="28"/>
        </w:rPr>
        <w:t>, M., Monnet, J. and Schuman, R. (2005). The Relationship Between Community Law and National Law. Paper Series, [online] 5(33). Available at:</w:t>
      </w:r>
      <w:r w:rsidRPr="00E546D1">
        <w:t xml:space="preserve"> </w:t>
      </w:r>
      <w:hyperlink r:id="rId15" w:history="1">
        <w:r w:rsidRPr="00956F6D">
          <w:rPr>
            <w:rStyle w:val="Hyperlink"/>
          </w:rPr>
          <w:t>http://aei.pitt.edu/8162/1/Stiermstromfinal.pdf</w:t>
        </w:r>
      </w:hyperlink>
      <w:r w:rsidRPr="00E546D1">
        <w:t>.</w:t>
      </w:r>
      <w:r>
        <w:t xml:space="preserve"> </w:t>
      </w:r>
      <w:r w:rsidRPr="00E546D1">
        <w:rPr>
          <w:sz w:val="28"/>
          <w:szCs w:val="28"/>
        </w:rPr>
        <w:t>[Accessed 19 April 2022].</w:t>
      </w:r>
    </w:p>
    <w:p w14:paraId="4913B84D" w14:textId="703F484E" w:rsidR="000856AB" w:rsidRDefault="0000159A" w:rsidP="000856AB">
      <w:pPr>
        <w:rPr>
          <w:sz w:val="28"/>
          <w:szCs w:val="28"/>
        </w:rPr>
      </w:pPr>
      <w:proofErr w:type="spellStart"/>
      <w:r w:rsidRPr="0000159A">
        <w:rPr>
          <w:sz w:val="28"/>
          <w:szCs w:val="28"/>
        </w:rPr>
        <w:lastRenderedPageBreak/>
        <w:t>Tallberg</w:t>
      </w:r>
      <w:proofErr w:type="spellEnd"/>
      <w:r w:rsidRPr="0000159A">
        <w:rPr>
          <w:sz w:val="28"/>
          <w:szCs w:val="28"/>
        </w:rPr>
        <w:t xml:space="preserve">, J. (2000). Supranational </w:t>
      </w:r>
      <w:r w:rsidR="00E546D1">
        <w:rPr>
          <w:sz w:val="28"/>
          <w:szCs w:val="28"/>
        </w:rPr>
        <w:t>I</w:t>
      </w:r>
      <w:r w:rsidRPr="0000159A">
        <w:rPr>
          <w:sz w:val="28"/>
          <w:szCs w:val="28"/>
        </w:rPr>
        <w:t xml:space="preserve">nfluence in EU </w:t>
      </w:r>
      <w:r w:rsidR="00E546D1">
        <w:rPr>
          <w:sz w:val="28"/>
          <w:szCs w:val="28"/>
        </w:rPr>
        <w:t>E</w:t>
      </w:r>
      <w:r w:rsidRPr="0000159A">
        <w:rPr>
          <w:sz w:val="28"/>
          <w:szCs w:val="28"/>
        </w:rPr>
        <w:t xml:space="preserve">nforcement: the ECJ and the </w:t>
      </w:r>
      <w:r w:rsidR="00A42D4B">
        <w:rPr>
          <w:sz w:val="28"/>
          <w:szCs w:val="28"/>
        </w:rPr>
        <w:t>P</w:t>
      </w:r>
      <w:r w:rsidRPr="0000159A">
        <w:rPr>
          <w:sz w:val="28"/>
          <w:szCs w:val="28"/>
        </w:rPr>
        <w:t xml:space="preserve">rinciple of </w:t>
      </w:r>
      <w:r w:rsidR="00A42D4B">
        <w:rPr>
          <w:sz w:val="28"/>
          <w:szCs w:val="28"/>
        </w:rPr>
        <w:t>S</w:t>
      </w:r>
      <w:r w:rsidRPr="0000159A">
        <w:rPr>
          <w:sz w:val="28"/>
          <w:szCs w:val="28"/>
        </w:rPr>
        <w:t xml:space="preserve">tate </w:t>
      </w:r>
      <w:r w:rsidR="00A42D4B">
        <w:rPr>
          <w:sz w:val="28"/>
          <w:szCs w:val="28"/>
        </w:rPr>
        <w:t>L</w:t>
      </w:r>
      <w:r w:rsidRPr="0000159A">
        <w:rPr>
          <w:sz w:val="28"/>
          <w:szCs w:val="28"/>
        </w:rPr>
        <w:t xml:space="preserve">iability. Journal of European Public Policy, [online] 7(1), p.104. Available at: </w:t>
      </w:r>
      <w:hyperlink r:id="rId16" w:history="1">
        <w:r w:rsidR="00C026F5" w:rsidRPr="00F85C10">
          <w:rPr>
            <w:rStyle w:val="Hyperlink"/>
            <w:sz w:val="28"/>
            <w:szCs w:val="28"/>
          </w:rPr>
          <w:t>https://www.academia.edu/12133524/Supranational_influence_in_EU_enforcement_the_ECJ_and_the_principle_of_state_liability</w:t>
        </w:r>
      </w:hyperlink>
      <w:r w:rsidR="00C026F5">
        <w:rPr>
          <w:sz w:val="28"/>
          <w:szCs w:val="28"/>
        </w:rPr>
        <w:t xml:space="preserve"> </w:t>
      </w:r>
      <w:r w:rsidRPr="0000159A">
        <w:rPr>
          <w:sz w:val="28"/>
          <w:szCs w:val="28"/>
        </w:rPr>
        <w:t>[Accessed 18 Apr. 2022].</w:t>
      </w:r>
      <w:r>
        <w:rPr>
          <w:sz w:val="28"/>
          <w:szCs w:val="28"/>
        </w:rPr>
        <w:t xml:space="preserve"> </w:t>
      </w:r>
    </w:p>
    <w:p w14:paraId="10ECF23D" w14:textId="77777777" w:rsidR="00031404" w:rsidRDefault="00031404">
      <w:pPr>
        <w:rPr>
          <w:sz w:val="28"/>
          <w:szCs w:val="28"/>
          <w:lang w:val="en-US"/>
        </w:rPr>
      </w:pPr>
    </w:p>
    <w:p w14:paraId="56A5BBAC" w14:textId="0A87A5B6" w:rsidR="00310406" w:rsidRPr="0038287C" w:rsidRDefault="00311167">
      <w:pPr>
        <w:rPr>
          <w:sz w:val="28"/>
          <w:szCs w:val="28"/>
        </w:rPr>
      </w:pPr>
      <w:r>
        <w:rPr>
          <w:sz w:val="28"/>
          <w:szCs w:val="28"/>
          <w:lang w:val="en-US"/>
        </w:rPr>
        <w:t>Legislation</w:t>
      </w:r>
    </w:p>
    <w:p w14:paraId="2D30D015" w14:textId="15EC596C" w:rsidR="00311167" w:rsidRDefault="00311167">
      <w:pPr>
        <w:rPr>
          <w:sz w:val="28"/>
          <w:szCs w:val="28"/>
          <w:lang w:val="en-US"/>
        </w:rPr>
      </w:pPr>
      <w:r w:rsidRPr="00311167">
        <w:rPr>
          <w:sz w:val="28"/>
          <w:szCs w:val="28"/>
          <w:lang w:val="en-US"/>
        </w:rPr>
        <w:t>eur-lex.europa.eu.</w:t>
      </w:r>
      <w:r w:rsidR="00E1449C">
        <w:rPr>
          <w:sz w:val="28"/>
          <w:szCs w:val="28"/>
          <w:lang w:val="en-US"/>
        </w:rPr>
        <w:t xml:space="preserve"> (2016).</w:t>
      </w:r>
      <w:r w:rsidRPr="00311167">
        <w:rPr>
          <w:sz w:val="28"/>
          <w:szCs w:val="28"/>
          <w:lang w:val="en-US"/>
        </w:rPr>
        <w:t xml:space="preserve"> (n.d.). EUR-Lex - 12016E288 - EN - EUR-Lex. [online] Available at: </w:t>
      </w:r>
      <w:hyperlink r:id="rId17" w:history="1">
        <w:r w:rsidRPr="00956F6D">
          <w:rPr>
            <w:rStyle w:val="Hyperlink"/>
            <w:sz w:val="28"/>
            <w:szCs w:val="28"/>
            <w:lang w:val="en-US"/>
          </w:rPr>
          <w:t>https://eur-lex.europa.eu/eli/treaty/tfeu_2016/art_288/oj</w:t>
        </w:r>
      </w:hyperlink>
      <w:r w:rsidRPr="00311167">
        <w:rPr>
          <w:sz w:val="28"/>
          <w:szCs w:val="28"/>
          <w:lang w:val="en-US"/>
        </w:rPr>
        <w:t>.</w:t>
      </w:r>
      <w:r>
        <w:rPr>
          <w:sz w:val="28"/>
          <w:szCs w:val="28"/>
          <w:lang w:val="en-US"/>
        </w:rPr>
        <w:t xml:space="preserve"> [Accessed 19 April 2022].</w:t>
      </w:r>
    </w:p>
    <w:p w14:paraId="272F4264" w14:textId="5B12B05C" w:rsidR="0038287C" w:rsidRDefault="0038287C">
      <w:pPr>
        <w:rPr>
          <w:sz w:val="28"/>
          <w:szCs w:val="28"/>
          <w:lang w:val="en-US"/>
        </w:rPr>
      </w:pPr>
    </w:p>
    <w:p w14:paraId="77049A30" w14:textId="069C2704" w:rsidR="0038287C" w:rsidRDefault="0038287C">
      <w:pPr>
        <w:rPr>
          <w:sz w:val="28"/>
          <w:szCs w:val="28"/>
          <w:lang w:val="en-US"/>
        </w:rPr>
      </w:pPr>
    </w:p>
    <w:p w14:paraId="2795CFDC" w14:textId="77777777" w:rsidR="00D712D0" w:rsidRDefault="0038287C" w:rsidP="00D712D0">
      <w:pPr>
        <w:rPr>
          <w:rFonts w:ascii="Arial" w:hAnsi="Arial" w:cs="Arial"/>
          <w:b/>
          <w:bCs/>
          <w:color w:val="3D3D3D"/>
          <w:sz w:val="27"/>
          <w:szCs w:val="27"/>
          <w:shd w:val="clear" w:color="auto" w:fill="FFFFFF"/>
        </w:rPr>
      </w:pPr>
      <w:r w:rsidRPr="00D712D0">
        <w:rPr>
          <w:b/>
          <w:bCs/>
          <w:sz w:val="28"/>
          <w:szCs w:val="28"/>
          <w:lang w:val="en-US"/>
        </w:rPr>
        <w:t>Case law</w:t>
      </w:r>
      <w:r w:rsidR="003138AE" w:rsidRPr="00D712D0">
        <w:rPr>
          <w:rFonts w:ascii="Arial" w:hAnsi="Arial" w:cs="Arial"/>
          <w:b/>
          <w:bCs/>
          <w:color w:val="3D3D3D"/>
          <w:sz w:val="27"/>
          <w:szCs w:val="27"/>
          <w:shd w:val="clear" w:color="auto" w:fill="FFFFFF"/>
        </w:rPr>
        <w:t xml:space="preserve"> </w:t>
      </w:r>
    </w:p>
    <w:p w14:paraId="7113EB74" w14:textId="5DE4A4DE" w:rsidR="00D712D0" w:rsidRDefault="00D712D0" w:rsidP="00D712D0">
      <w:pPr>
        <w:rPr>
          <w:sz w:val="28"/>
          <w:szCs w:val="28"/>
          <w:lang w:val="en-US"/>
        </w:rPr>
      </w:pPr>
      <w:r>
        <w:rPr>
          <w:sz w:val="28"/>
          <w:szCs w:val="28"/>
          <w:lang w:val="en-US"/>
        </w:rPr>
        <w:t xml:space="preserve">Case </w:t>
      </w:r>
      <w:r w:rsidRPr="00073AD9">
        <w:rPr>
          <w:sz w:val="28"/>
          <w:szCs w:val="28"/>
          <w:lang w:val="en-US"/>
        </w:rPr>
        <w:t>C-188</w:t>
      </w:r>
      <w:r>
        <w:rPr>
          <w:sz w:val="28"/>
          <w:szCs w:val="28"/>
          <w:lang w:val="en-US"/>
        </w:rPr>
        <w:t xml:space="preserve"> </w:t>
      </w:r>
      <w:r w:rsidRPr="00073AD9">
        <w:rPr>
          <w:sz w:val="28"/>
          <w:szCs w:val="28"/>
          <w:lang w:val="en-US"/>
        </w:rPr>
        <w:t>/89</w:t>
      </w:r>
      <w:r>
        <w:rPr>
          <w:sz w:val="28"/>
          <w:szCs w:val="28"/>
          <w:lang w:val="en-US"/>
        </w:rPr>
        <w:t xml:space="preserve"> (1990) </w:t>
      </w:r>
      <w:r w:rsidRPr="00073AD9">
        <w:rPr>
          <w:sz w:val="28"/>
          <w:szCs w:val="28"/>
          <w:lang w:val="en-US"/>
        </w:rPr>
        <w:t>Foster v British Gas Plc</w:t>
      </w:r>
      <w:r>
        <w:rPr>
          <w:sz w:val="28"/>
          <w:szCs w:val="28"/>
          <w:lang w:val="en-US"/>
        </w:rPr>
        <w:t xml:space="preserve"> </w:t>
      </w:r>
    </w:p>
    <w:p w14:paraId="155CED1D" w14:textId="18C51A66" w:rsidR="00D712D0" w:rsidRPr="00D712D0" w:rsidRDefault="00D712D0" w:rsidP="00D712D0">
      <w:pPr>
        <w:rPr>
          <w:rFonts w:ascii="Arial" w:hAnsi="Arial" w:cs="Arial"/>
          <w:b/>
          <w:bCs/>
          <w:color w:val="3D3D3D"/>
          <w:sz w:val="27"/>
          <w:szCs w:val="27"/>
          <w:shd w:val="clear" w:color="auto" w:fill="FFFFFF"/>
        </w:rPr>
      </w:pPr>
      <w:r>
        <w:rPr>
          <w:sz w:val="28"/>
          <w:szCs w:val="28"/>
          <w:lang w:val="en-US"/>
        </w:rPr>
        <w:t>Case C¬</w:t>
      </w:r>
      <w:r w:rsidRPr="002C71A2">
        <w:rPr>
          <w:sz w:val="28"/>
          <w:szCs w:val="28"/>
          <w:lang w:val="en-US"/>
        </w:rPr>
        <w:t>6/90</w:t>
      </w:r>
      <w:r>
        <w:rPr>
          <w:sz w:val="28"/>
          <w:szCs w:val="28"/>
          <w:lang w:val="en-US"/>
        </w:rPr>
        <w:t xml:space="preserve"> (1991) </w:t>
      </w:r>
      <w:r w:rsidRPr="002C71A2">
        <w:rPr>
          <w:sz w:val="28"/>
          <w:szCs w:val="28"/>
          <w:lang w:val="en-US"/>
        </w:rPr>
        <w:t>Francovich v Italy</w:t>
      </w:r>
      <w:r>
        <w:rPr>
          <w:sz w:val="28"/>
          <w:szCs w:val="28"/>
          <w:lang w:val="en-US"/>
        </w:rPr>
        <w:t xml:space="preserve"> </w:t>
      </w:r>
    </w:p>
    <w:p w14:paraId="59E2AFEE" w14:textId="77777777" w:rsidR="00D712D0" w:rsidRDefault="00D712D0" w:rsidP="00D712D0">
      <w:pPr>
        <w:rPr>
          <w:sz w:val="28"/>
          <w:szCs w:val="28"/>
          <w:lang w:val="en-US"/>
        </w:rPr>
      </w:pPr>
      <w:proofErr w:type="spellStart"/>
      <w:r w:rsidRPr="002C71A2">
        <w:rPr>
          <w:sz w:val="28"/>
          <w:szCs w:val="28"/>
          <w:lang w:val="en-US"/>
        </w:rPr>
        <w:t>Bonifacti</w:t>
      </w:r>
      <w:proofErr w:type="spellEnd"/>
      <w:r w:rsidRPr="002C71A2">
        <w:rPr>
          <w:sz w:val="28"/>
          <w:szCs w:val="28"/>
          <w:lang w:val="en-US"/>
        </w:rPr>
        <w:t xml:space="preserve"> v Italy (C-9/90)</w:t>
      </w:r>
      <w:r w:rsidRPr="00D712D0">
        <w:rPr>
          <w:sz w:val="28"/>
          <w:szCs w:val="28"/>
          <w:lang w:val="en-US"/>
        </w:rPr>
        <w:t xml:space="preserve"> </w:t>
      </w:r>
    </w:p>
    <w:p w14:paraId="0D347199" w14:textId="77777777" w:rsidR="0039165C" w:rsidRDefault="00D712D0" w:rsidP="0039165C">
      <w:pPr>
        <w:rPr>
          <w:sz w:val="28"/>
          <w:szCs w:val="28"/>
          <w:lang w:val="en-US"/>
        </w:rPr>
      </w:pPr>
      <w:r>
        <w:rPr>
          <w:sz w:val="28"/>
          <w:szCs w:val="28"/>
          <w:lang w:val="en-US"/>
        </w:rPr>
        <w:t xml:space="preserve">Case C¬43/75 </w:t>
      </w:r>
      <w:r w:rsidRPr="00201475">
        <w:rPr>
          <w:sz w:val="28"/>
          <w:szCs w:val="28"/>
          <w:lang w:val="en-US"/>
        </w:rPr>
        <w:t xml:space="preserve">Gabrielle </w:t>
      </w:r>
      <w:proofErr w:type="spellStart"/>
      <w:r w:rsidRPr="00201475">
        <w:rPr>
          <w:sz w:val="28"/>
          <w:szCs w:val="28"/>
          <w:lang w:val="en-US"/>
        </w:rPr>
        <w:t>Defrenne</w:t>
      </w:r>
      <w:proofErr w:type="spellEnd"/>
      <w:r w:rsidRPr="00201475">
        <w:rPr>
          <w:sz w:val="28"/>
          <w:szCs w:val="28"/>
          <w:lang w:val="en-US"/>
        </w:rPr>
        <w:t xml:space="preserve"> v </w:t>
      </w:r>
      <w:proofErr w:type="spellStart"/>
      <w:r w:rsidRPr="00201475">
        <w:rPr>
          <w:sz w:val="28"/>
          <w:szCs w:val="28"/>
          <w:lang w:val="en-US"/>
        </w:rPr>
        <w:t>Societe</w:t>
      </w:r>
      <w:proofErr w:type="spellEnd"/>
      <w:r w:rsidRPr="00201475">
        <w:rPr>
          <w:sz w:val="28"/>
          <w:szCs w:val="28"/>
          <w:lang w:val="en-US"/>
        </w:rPr>
        <w:t xml:space="preserve"> Anonyme </w:t>
      </w:r>
      <w:proofErr w:type="spellStart"/>
      <w:r w:rsidRPr="00201475">
        <w:rPr>
          <w:sz w:val="28"/>
          <w:szCs w:val="28"/>
          <w:lang w:val="en-US"/>
        </w:rPr>
        <w:t>Belge</w:t>
      </w:r>
      <w:proofErr w:type="spellEnd"/>
      <w:r w:rsidRPr="00201475">
        <w:rPr>
          <w:sz w:val="28"/>
          <w:szCs w:val="28"/>
          <w:lang w:val="en-US"/>
        </w:rPr>
        <w:t xml:space="preserve"> de Navigation </w:t>
      </w:r>
      <w:proofErr w:type="spellStart"/>
      <w:r w:rsidRPr="00201475">
        <w:rPr>
          <w:sz w:val="28"/>
          <w:szCs w:val="28"/>
          <w:lang w:val="en-US"/>
        </w:rPr>
        <w:t>Aerienne</w:t>
      </w:r>
      <w:proofErr w:type="spellEnd"/>
      <w:r w:rsidRPr="00201475">
        <w:rPr>
          <w:sz w:val="28"/>
          <w:szCs w:val="28"/>
          <w:lang w:val="en-US"/>
        </w:rPr>
        <w:t xml:space="preserve"> (</w:t>
      </w:r>
      <w:proofErr w:type="gramStart"/>
      <w:r w:rsidRPr="00201475">
        <w:rPr>
          <w:sz w:val="28"/>
          <w:szCs w:val="28"/>
          <w:lang w:val="en-US"/>
        </w:rPr>
        <w:t>SABENA</w:t>
      </w:r>
      <w:r>
        <w:rPr>
          <w:sz w:val="28"/>
          <w:szCs w:val="28"/>
          <w:lang w:val="en-US"/>
        </w:rPr>
        <w:t xml:space="preserve"> </w:t>
      </w:r>
      <w:r w:rsidRPr="00201475">
        <w:rPr>
          <w:sz w:val="28"/>
          <w:szCs w:val="28"/>
          <w:lang w:val="en-US"/>
        </w:rPr>
        <w:t>)</w:t>
      </w:r>
      <w:proofErr w:type="gramEnd"/>
    </w:p>
    <w:p w14:paraId="4162D121" w14:textId="77777777" w:rsidR="0039165C" w:rsidRDefault="0039165C" w:rsidP="0039165C">
      <w:pPr>
        <w:rPr>
          <w:sz w:val="28"/>
          <w:szCs w:val="28"/>
          <w:lang w:val="en-US"/>
        </w:rPr>
      </w:pPr>
      <w:r>
        <w:rPr>
          <w:sz w:val="28"/>
          <w:szCs w:val="28"/>
          <w:lang w:val="en-US"/>
        </w:rPr>
        <w:t>Case C¬</w:t>
      </w:r>
      <w:r w:rsidRPr="00C81657">
        <w:rPr>
          <w:sz w:val="28"/>
          <w:szCs w:val="28"/>
          <w:lang w:val="en-US"/>
        </w:rPr>
        <w:t>106/89</w:t>
      </w:r>
      <w:r>
        <w:rPr>
          <w:sz w:val="28"/>
          <w:szCs w:val="28"/>
          <w:lang w:val="en-US"/>
        </w:rPr>
        <w:t xml:space="preserve"> </w:t>
      </w:r>
      <w:proofErr w:type="spellStart"/>
      <w:r w:rsidRPr="00C81657">
        <w:rPr>
          <w:sz w:val="28"/>
          <w:szCs w:val="28"/>
          <w:lang w:val="en-US"/>
        </w:rPr>
        <w:t>Marleasing</w:t>
      </w:r>
      <w:proofErr w:type="spellEnd"/>
      <w:r w:rsidRPr="00C81657">
        <w:rPr>
          <w:sz w:val="28"/>
          <w:szCs w:val="28"/>
          <w:lang w:val="en-US"/>
        </w:rPr>
        <w:t xml:space="preserve"> SA v La </w:t>
      </w:r>
      <w:proofErr w:type="spellStart"/>
      <w:r w:rsidRPr="00C81657">
        <w:rPr>
          <w:sz w:val="28"/>
          <w:szCs w:val="28"/>
          <w:lang w:val="en-US"/>
        </w:rPr>
        <w:t>Comercial</w:t>
      </w:r>
      <w:proofErr w:type="spellEnd"/>
      <w:r w:rsidRPr="00C81657">
        <w:rPr>
          <w:sz w:val="28"/>
          <w:szCs w:val="28"/>
          <w:lang w:val="en-US"/>
        </w:rPr>
        <w:t xml:space="preserve"> </w:t>
      </w:r>
      <w:proofErr w:type="spellStart"/>
      <w:r w:rsidRPr="00C81657">
        <w:rPr>
          <w:sz w:val="28"/>
          <w:szCs w:val="28"/>
          <w:lang w:val="en-US"/>
        </w:rPr>
        <w:t>Internacional</w:t>
      </w:r>
      <w:proofErr w:type="spellEnd"/>
      <w:r w:rsidRPr="00C81657">
        <w:rPr>
          <w:sz w:val="28"/>
          <w:szCs w:val="28"/>
          <w:lang w:val="en-US"/>
        </w:rPr>
        <w:t xml:space="preserve"> de </w:t>
      </w:r>
      <w:proofErr w:type="spellStart"/>
      <w:r w:rsidRPr="00C81657">
        <w:rPr>
          <w:sz w:val="28"/>
          <w:szCs w:val="28"/>
          <w:lang w:val="en-US"/>
        </w:rPr>
        <w:t>Alimentacion</w:t>
      </w:r>
      <w:proofErr w:type="spellEnd"/>
      <w:r w:rsidRPr="00C81657">
        <w:rPr>
          <w:sz w:val="28"/>
          <w:szCs w:val="28"/>
          <w:lang w:val="en-US"/>
        </w:rPr>
        <w:t xml:space="preserve"> SA</w:t>
      </w:r>
    </w:p>
    <w:p w14:paraId="339B8232" w14:textId="77777777" w:rsidR="0039165C" w:rsidRDefault="0039165C" w:rsidP="0039165C">
      <w:pPr>
        <w:rPr>
          <w:sz w:val="28"/>
          <w:szCs w:val="28"/>
          <w:lang w:val="en-US"/>
        </w:rPr>
      </w:pPr>
      <w:r>
        <w:rPr>
          <w:sz w:val="28"/>
          <w:szCs w:val="28"/>
        </w:rPr>
        <w:t>Case C¬</w:t>
      </w:r>
      <w:r w:rsidRPr="009F5EB8">
        <w:rPr>
          <w:sz w:val="28"/>
          <w:szCs w:val="28"/>
        </w:rPr>
        <w:t>152/84</w:t>
      </w:r>
      <w:r>
        <w:rPr>
          <w:sz w:val="28"/>
          <w:szCs w:val="28"/>
        </w:rPr>
        <w:t xml:space="preserve"> (1986) </w:t>
      </w:r>
      <w:r w:rsidRPr="009F5EB8">
        <w:rPr>
          <w:sz w:val="28"/>
          <w:szCs w:val="28"/>
          <w:lang w:val="en-US"/>
        </w:rPr>
        <w:t>Marshall v Southampton and South West Hampshire AHA</w:t>
      </w:r>
      <w:r>
        <w:rPr>
          <w:sz w:val="28"/>
          <w:szCs w:val="28"/>
          <w:lang w:val="en-US"/>
        </w:rPr>
        <w:t xml:space="preserve"> </w:t>
      </w:r>
    </w:p>
    <w:p w14:paraId="02DEE427" w14:textId="799DBE53" w:rsidR="0039165C" w:rsidRDefault="0039165C" w:rsidP="0039165C">
      <w:pPr>
        <w:rPr>
          <w:sz w:val="28"/>
          <w:szCs w:val="28"/>
          <w:lang w:val="en-US"/>
        </w:rPr>
      </w:pPr>
      <w:r>
        <w:rPr>
          <w:sz w:val="28"/>
          <w:szCs w:val="28"/>
          <w:lang w:val="en-US"/>
        </w:rPr>
        <w:t xml:space="preserve">Case C¬148/78 (1979) </w:t>
      </w:r>
      <w:proofErr w:type="spellStart"/>
      <w:r w:rsidRPr="004A6975">
        <w:rPr>
          <w:sz w:val="28"/>
          <w:szCs w:val="28"/>
          <w:lang w:val="en-US"/>
        </w:rPr>
        <w:t>Pubblico</w:t>
      </w:r>
      <w:proofErr w:type="spellEnd"/>
      <w:r w:rsidRPr="004A6975">
        <w:rPr>
          <w:sz w:val="28"/>
          <w:szCs w:val="28"/>
          <w:lang w:val="en-US"/>
        </w:rPr>
        <w:t xml:space="preserve"> </w:t>
      </w:r>
      <w:proofErr w:type="spellStart"/>
      <w:r w:rsidRPr="004A6975">
        <w:rPr>
          <w:sz w:val="28"/>
          <w:szCs w:val="28"/>
          <w:lang w:val="en-US"/>
        </w:rPr>
        <w:t>Ministero</w:t>
      </w:r>
      <w:proofErr w:type="spellEnd"/>
      <w:r w:rsidRPr="004A6975">
        <w:rPr>
          <w:sz w:val="28"/>
          <w:szCs w:val="28"/>
          <w:lang w:val="en-US"/>
        </w:rPr>
        <w:t xml:space="preserve"> v </w:t>
      </w:r>
      <w:proofErr w:type="spellStart"/>
      <w:r w:rsidRPr="004A6975">
        <w:rPr>
          <w:sz w:val="28"/>
          <w:szCs w:val="28"/>
          <w:lang w:val="en-US"/>
        </w:rPr>
        <w:t>Ratti</w:t>
      </w:r>
      <w:proofErr w:type="spellEnd"/>
      <w:r>
        <w:rPr>
          <w:sz w:val="28"/>
          <w:szCs w:val="28"/>
          <w:lang w:val="en-US"/>
        </w:rPr>
        <w:t xml:space="preserve">  </w:t>
      </w:r>
    </w:p>
    <w:p w14:paraId="6A999BCC" w14:textId="4EFDFA27" w:rsidR="003138AE" w:rsidRPr="0039165C" w:rsidRDefault="003138AE">
      <w:pPr>
        <w:rPr>
          <w:sz w:val="28"/>
          <w:szCs w:val="28"/>
          <w:lang w:val="en-US"/>
        </w:rPr>
      </w:pPr>
      <w:r w:rsidRPr="003138AE">
        <w:rPr>
          <w:sz w:val="28"/>
          <w:szCs w:val="28"/>
        </w:rPr>
        <w:t>Case C-334/92</w:t>
      </w:r>
      <w:r>
        <w:rPr>
          <w:sz w:val="28"/>
          <w:szCs w:val="28"/>
        </w:rPr>
        <w:t xml:space="preserve"> </w:t>
      </w:r>
      <w:r w:rsidRPr="003138AE">
        <w:rPr>
          <w:sz w:val="28"/>
          <w:szCs w:val="28"/>
        </w:rPr>
        <w:t xml:space="preserve">Teodoro Wagner </w:t>
      </w:r>
      <w:proofErr w:type="spellStart"/>
      <w:r w:rsidRPr="003138AE">
        <w:rPr>
          <w:sz w:val="28"/>
          <w:szCs w:val="28"/>
        </w:rPr>
        <w:t>Miret</w:t>
      </w:r>
      <w:proofErr w:type="spellEnd"/>
      <w:r w:rsidRPr="003138AE">
        <w:rPr>
          <w:sz w:val="28"/>
          <w:szCs w:val="28"/>
        </w:rPr>
        <w:t xml:space="preserve"> v </w:t>
      </w:r>
      <w:proofErr w:type="spellStart"/>
      <w:r w:rsidRPr="003138AE">
        <w:rPr>
          <w:sz w:val="28"/>
          <w:szCs w:val="28"/>
        </w:rPr>
        <w:t>Fondo</w:t>
      </w:r>
      <w:proofErr w:type="spellEnd"/>
      <w:r w:rsidRPr="003138AE">
        <w:rPr>
          <w:sz w:val="28"/>
          <w:szCs w:val="28"/>
        </w:rPr>
        <w:t xml:space="preserve"> de </w:t>
      </w:r>
      <w:proofErr w:type="spellStart"/>
      <w:r w:rsidRPr="003138AE">
        <w:rPr>
          <w:sz w:val="28"/>
          <w:szCs w:val="28"/>
        </w:rPr>
        <w:t>Garantía</w:t>
      </w:r>
      <w:proofErr w:type="spellEnd"/>
      <w:r w:rsidRPr="003138AE">
        <w:rPr>
          <w:sz w:val="28"/>
          <w:szCs w:val="28"/>
        </w:rPr>
        <w:t xml:space="preserve"> </w:t>
      </w:r>
      <w:proofErr w:type="spellStart"/>
      <w:r w:rsidRPr="003138AE">
        <w:rPr>
          <w:sz w:val="28"/>
          <w:szCs w:val="28"/>
        </w:rPr>
        <w:t>Salarial</w:t>
      </w:r>
      <w:proofErr w:type="spellEnd"/>
      <w:r>
        <w:rPr>
          <w:sz w:val="28"/>
          <w:szCs w:val="28"/>
        </w:rPr>
        <w:t xml:space="preserve"> </w:t>
      </w:r>
    </w:p>
    <w:p w14:paraId="75AC71B6" w14:textId="7E4E3B57" w:rsidR="00C81657" w:rsidRDefault="00C81657">
      <w:pPr>
        <w:rPr>
          <w:sz w:val="28"/>
          <w:szCs w:val="28"/>
          <w:lang w:val="en-US"/>
        </w:rPr>
      </w:pPr>
      <w:r>
        <w:rPr>
          <w:sz w:val="28"/>
          <w:szCs w:val="28"/>
          <w:lang w:val="en-US"/>
        </w:rPr>
        <w:t xml:space="preserve">Case </w:t>
      </w:r>
      <w:r w:rsidRPr="00C81657">
        <w:rPr>
          <w:sz w:val="28"/>
          <w:szCs w:val="28"/>
          <w:lang w:val="en-US"/>
        </w:rPr>
        <w:t>C</w:t>
      </w:r>
      <w:r w:rsidR="00A13796">
        <w:rPr>
          <w:sz w:val="28"/>
          <w:szCs w:val="28"/>
          <w:lang w:val="en-US"/>
        </w:rPr>
        <w:t>¬</w:t>
      </w:r>
      <w:r w:rsidRPr="00C81657">
        <w:rPr>
          <w:sz w:val="28"/>
          <w:szCs w:val="28"/>
          <w:lang w:val="en-US"/>
        </w:rPr>
        <w:t>26/62</w:t>
      </w:r>
      <w:r>
        <w:rPr>
          <w:sz w:val="28"/>
          <w:szCs w:val="28"/>
          <w:lang w:val="en-US"/>
        </w:rPr>
        <w:t xml:space="preserve"> </w:t>
      </w:r>
      <w:r w:rsidRPr="00C81657">
        <w:rPr>
          <w:sz w:val="28"/>
          <w:szCs w:val="28"/>
          <w:lang w:val="en-US"/>
        </w:rPr>
        <w:t xml:space="preserve">Van </w:t>
      </w:r>
      <w:proofErr w:type="spellStart"/>
      <w:r w:rsidRPr="00C81657">
        <w:rPr>
          <w:sz w:val="28"/>
          <w:szCs w:val="28"/>
          <w:lang w:val="en-US"/>
        </w:rPr>
        <w:t>Gend</w:t>
      </w:r>
      <w:proofErr w:type="spellEnd"/>
      <w:r w:rsidRPr="00C81657">
        <w:rPr>
          <w:sz w:val="28"/>
          <w:szCs w:val="28"/>
          <w:lang w:val="en-US"/>
        </w:rPr>
        <w:t xml:space="preserve"> </w:t>
      </w:r>
      <w:proofErr w:type="spellStart"/>
      <w:r w:rsidRPr="00C81657">
        <w:rPr>
          <w:sz w:val="28"/>
          <w:szCs w:val="28"/>
          <w:lang w:val="en-US"/>
        </w:rPr>
        <w:t>en</w:t>
      </w:r>
      <w:proofErr w:type="spellEnd"/>
      <w:r w:rsidRPr="00C81657">
        <w:rPr>
          <w:sz w:val="28"/>
          <w:szCs w:val="28"/>
          <w:lang w:val="en-US"/>
        </w:rPr>
        <w:t xml:space="preserve"> Loos v </w:t>
      </w:r>
      <w:proofErr w:type="spellStart"/>
      <w:r w:rsidRPr="00C81657">
        <w:rPr>
          <w:sz w:val="28"/>
          <w:szCs w:val="28"/>
          <w:lang w:val="en-US"/>
        </w:rPr>
        <w:t>Nederlandse</w:t>
      </w:r>
      <w:proofErr w:type="spellEnd"/>
      <w:r w:rsidRPr="00C81657">
        <w:rPr>
          <w:sz w:val="28"/>
          <w:szCs w:val="28"/>
          <w:lang w:val="en-US"/>
        </w:rPr>
        <w:t xml:space="preserve"> </w:t>
      </w:r>
      <w:proofErr w:type="spellStart"/>
      <w:r w:rsidRPr="00C81657">
        <w:rPr>
          <w:sz w:val="28"/>
          <w:szCs w:val="28"/>
          <w:lang w:val="en-US"/>
        </w:rPr>
        <w:t>Administratie</w:t>
      </w:r>
      <w:proofErr w:type="spellEnd"/>
      <w:r w:rsidRPr="00C81657">
        <w:rPr>
          <w:sz w:val="28"/>
          <w:szCs w:val="28"/>
          <w:lang w:val="en-US"/>
        </w:rPr>
        <w:t xml:space="preserve"> der </w:t>
      </w:r>
      <w:proofErr w:type="spellStart"/>
      <w:r w:rsidRPr="00C81657">
        <w:rPr>
          <w:sz w:val="28"/>
          <w:szCs w:val="28"/>
          <w:lang w:val="en-US"/>
        </w:rPr>
        <w:t>Belastingen</w:t>
      </w:r>
      <w:proofErr w:type="spellEnd"/>
      <w:r>
        <w:rPr>
          <w:sz w:val="28"/>
          <w:szCs w:val="28"/>
          <w:lang w:val="en-US"/>
        </w:rPr>
        <w:t xml:space="preserve"> </w:t>
      </w:r>
    </w:p>
    <w:p w14:paraId="319700FF" w14:textId="6C164AF8" w:rsidR="004A6975" w:rsidRPr="004A6975" w:rsidRDefault="004A6975" w:rsidP="004A6975">
      <w:pPr>
        <w:rPr>
          <w:sz w:val="28"/>
          <w:szCs w:val="28"/>
          <w:lang w:val="en-US"/>
        </w:rPr>
      </w:pPr>
      <w:r>
        <w:rPr>
          <w:sz w:val="28"/>
          <w:szCs w:val="28"/>
          <w:lang w:val="en-US"/>
        </w:rPr>
        <w:t>Case C¬</w:t>
      </w:r>
      <w:r w:rsidRPr="004A6975">
        <w:rPr>
          <w:sz w:val="28"/>
          <w:szCs w:val="28"/>
          <w:lang w:val="en-US"/>
        </w:rPr>
        <w:t>14/8</w:t>
      </w:r>
      <w:r w:rsidR="00F6349E">
        <w:rPr>
          <w:sz w:val="28"/>
          <w:szCs w:val="28"/>
          <w:lang w:val="en-US"/>
        </w:rPr>
        <w:t xml:space="preserve">3 (1984) </w:t>
      </w:r>
      <w:r w:rsidRPr="004A6975">
        <w:rPr>
          <w:sz w:val="28"/>
          <w:szCs w:val="28"/>
          <w:lang w:val="en-US"/>
        </w:rPr>
        <w:t xml:space="preserve">Von Colson v Land Nordrhein-Westfalen </w:t>
      </w:r>
    </w:p>
    <w:p w14:paraId="1B4B86BD" w14:textId="4C481A6D" w:rsidR="002C71A2" w:rsidRDefault="002C71A2" w:rsidP="004A6975">
      <w:pPr>
        <w:rPr>
          <w:sz w:val="28"/>
          <w:szCs w:val="28"/>
          <w:lang w:val="en-US"/>
        </w:rPr>
      </w:pPr>
    </w:p>
    <w:p w14:paraId="6B83DC68" w14:textId="77777777" w:rsidR="004A6975" w:rsidRDefault="004A6975">
      <w:pPr>
        <w:rPr>
          <w:sz w:val="28"/>
          <w:szCs w:val="28"/>
          <w:lang w:val="en-US"/>
        </w:rPr>
      </w:pPr>
    </w:p>
    <w:p w14:paraId="28816E76" w14:textId="77777777" w:rsidR="00073AD9" w:rsidRPr="009F5EB8" w:rsidRDefault="00073AD9">
      <w:pPr>
        <w:rPr>
          <w:sz w:val="28"/>
          <w:szCs w:val="28"/>
        </w:rPr>
      </w:pPr>
    </w:p>
    <w:p w14:paraId="4C11C611" w14:textId="77777777" w:rsidR="003138AE" w:rsidRPr="004422AE" w:rsidRDefault="003138AE">
      <w:pPr>
        <w:rPr>
          <w:sz w:val="28"/>
          <w:szCs w:val="28"/>
          <w:lang w:val="en-US"/>
        </w:rPr>
      </w:pPr>
    </w:p>
    <w:sectPr w:rsidR="003138AE" w:rsidRPr="004422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422AE"/>
    <w:rsid w:val="0000159A"/>
    <w:rsid w:val="00010ADD"/>
    <w:rsid w:val="00010B2B"/>
    <w:rsid w:val="000253B3"/>
    <w:rsid w:val="000267F8"/>
    <w:rsid w:val="00031404"/>
    <w:rsid w:val="0004189D"/>
    <w:rsid w:val="000447D2"/>
    <w:rsid w:val="000476A7"/>
    <w:rsid w:val="0005362F"/>
    <w:rsid w:val="00073AD9"/>
    <w:rsid w:val="000856AB"/>
    <w:rsid w:val="0008623A"/>
    <w:rsid w:val="000B2C20"/>
    <w:rsid w:val="000B7442"/>
    <w:rsid w:val="000D2D12"/>
    <w:rsid w:val="000D3415"/>
    <w:rsid w:val="000D5301"/>
    <w:rsid w:val="000F28F4"/>
    <w:rsid w:val="000F549C"/>
    <w:rsid w:val="00112950"/>
    <w:rsid w:val="00113D9F"/>
    <w:rsid w:val="00123E2A"/>
    <w:rsid w:val="001244E0"/>
    <w:rsid w:val="00130ACE"/>
    <w:rsid w:val="001543C0"/>
    <w:rsid w:val="00157F9F"/>
    <w:rsid w:val="0016086A"/>
    <w:rsid w:val="001610FB"/>
    <w:rsid w:val="00167773"/>
    <w:rsid w:val="001822C1"/>
    <w:rsid w:val="001B09E5"/>
    <w:rsid w:val="001C6A25"/>
    <w:rsid w:val="001C6F6F"/>
    <w:rsid w:val="001D0288"/>
    <w:rsid w:val="001E61D9"/>
    <w:rsid w:val="00201475"/>
    <w:rsid w:val="002257B3"/>
    <w:rsid w:val="00230D26"/>
    <w:rsid w:val="002320E9"/>
    <w:rsid w:val="00244ACF"/>
    <w:rsid w:val="00246EEB"/>
    <w:rsid w:val="00250FCE"/>
    <w:rsid w:val="00265E2F"/>
    <w:rsid w:val="0027515A"/>
    <w:rsid w:val="0028296E"/>
    <w:rsid w:val="00286C9A"/>
    <w:rsid w:val="00293D47"/>
    <w:rsid w:val="002A3A72"/>
    <w:rsid w:val="002C1970"/>
    <w:rsid w:val="002C71A2"/>
    <w:rsid w:val="002D2549"/>
    <w:rsid w:val="00304C3E"/>
    <w:rsid w:val="00310406"/>
    <w:rsid w:val="00311167"/>
    <w:rsid w:val="003138AE"/>
    <w:rsid w:val="0031427F"/>
    <w:rsid w:val="00314F77"/>
    <w:rsid w:val="00324449"/>
    <w:rsid w:val="003352CB"/>
    <w:rsid w:val="00355F2E"/>
    <w:rsid w:val="003618D0"/>
    <w:rsid w:val="00365A13"/>
    <w:rsid w:val="00366662"/>
    <w:rsid w:val="0038287C"/>
    <w:rsid w:val="0039165C"/>
    <w:rsid w:val="003A33EE"/>
    <w:rsid w:val="003B12B2"/>
    <w:rsid w:val="003E257E"/>
    <w:rsid w:val="003E7428"/>
    <w:rsid w:val="003F2DD1"/>
    <w:rsid w:val="00404544"/>
    <w:rsid w:val="004368BD"/>
    <w:rsid w:val="00437994"/>
    <w:rsid w:val="004422AE"/>
    <w:rsid w:val="00450793"/>
    <w:rsid w:val="004518CC"/>
    <w:rsid w:val="004807F6"/>
    <w:rsid w:val="004A6975"/>
    <w:rsid w:val="004B21C8"/>
    <w:rsid w:val="004C3CFF"/>
    <w:rsid w:val="005228DA"/>
    <w:rsid w:val="0053085A"/>
    <w:rsid w:val="00555D86"/>
    <w:rsid w:val="00571FD7"/>
    <w:rsid w:val="00572D08"/>
    <w:rsid w:val="0057457A"/>
    <w:rsid w:val="00575CC0"/>
    <w:rsid w:val="0059178D"/>
    <w:rsid w:val="005976DC"/>
    <w:rsid w:val="005A117B"/>
    <w:rsid w:val="005B3D45"/>
    <w:rsid w:val="006022DA"/>
    <w:rsid w:val="00603579"/>
    <w:rsid w:val="0064272B"/>
    <w:rsid w:val="006435C7"/>
    <w:rsid w:val="00644F53"/>
    <w:rsid w:val="006A03D7"/>
    <w:rsid w:val="006B3752"/>
    <w:rsid w:val="006C09D3"/>
    <w:rsid w:val="006C3B3B"/>
    <w:rsid w:val="006C4FDE"/>
    <w:rsid w:val="006D55CA"/>
    <w:rsid w:val="006E6A89"/>
    <w:rsid w:val="006E6CB6"/>
    <w:rsid w:val="006F31F3"/>
    <w:rsid w:val="00712355"/>
    <w:rsid w:val="00714DB1"/>
    <w:rsid w:val="007171FA"/>
    <w:rsid w:val="00726A07"/>
    <w:rsid w:val="00730532"/>
    <w:rsid w:val="00754531"/>
    <w:rsid w:val="00757710"/>
    <w:rsid w:val="007701FC"/>
    <w:rsid w:val="007705F4"/>
    <w:rsid w:val="0077633D"/>
    <w:rsid w:val="00776BAA"/>
    <w:rsid w:val="007951AD"/>
    <w:rsid w:val="007D665E"/>
    <w:rsid w:val="007E5337"/>
    <w:rsid w:val="007F6ACA"/>
    <w:rsid w:val="00804805"/>
    <w:rsid w:val="00811281"/>
    <w:rsid w:val="0082086A"/>
    <w:rsid w:val="00820F1F"/>
    <w:rsid w:val="00825725"/>
    <w:rsid w:val="00825A3C"/>
    <w:rsid w:val="00831A65"/>
    <w:rsid w:val="00836822"/>
    <w:rsid w:val="00844393"/>
    <w:rsid w:val="00866393"/>
    <w:rsid w:val="008727B9"/>
    <w:rsid w:val="008758C5"/>
    <w:rsid w:val="00882EA1"/>
    <w:rsid w:val="008864FB"/>
    <w:rsid w:val="008A3562"/>
    <w:rsid w:val="008A67F1"/>
    <w:rsid w:val="008C0FF6"/>
    <w:rsid w:val="008C46D7"/>
    <w:rsid w:val="008C57D0"/>
    <w:rsid w:val="008C5E0B"/>
    <w:rsid w:val="008D5ED5"/>
    <w:rsid w:val="0090307F"/>
    <w:rsid w:val="00912798"/>
    <w:rsid w:val="00942693"/>
    <w:rsid w:val="00946757"/>
    <w:rsid w:val="0097739F"/>
    <w:rsid w:val="00987812"/>
    <w:rsid w:val="009A3B9E"/>
    <w:rsid w:val="009C3B42"/>
    <w:rsid w:val="009D4EE2"/>
    <w:rsid w:val="009E32CD"/>
    <w:rsid w:val="009F10A8"/>
    <w:rsid w:val="009F3CB9"/>
    <w:rsid w:val="009F5EB8"/>
    <w:rsid w:val="00A004FA"/>
    <w:rsid w:val="00A008E1"/>
    <w:rsid w:val="00A13796"/>
    <w:rsid w:val="00A1765E"/>
    <w:rsid w:val="00A22AC5"/>
    <w:rsid w:val="00A308E5"/>
    <w:rsid w:val="00A37A66"/>
    <w:rsid w:val="00A42D4B"/>
    <w:rsid w:val="00A54536"/>
    <w:rsid w:val="00A61DED"/>
    <w:rsid w:val="00A66295"/>
    <w:rsid w:val="00A72094"/>
    <w:rsid w:val="00A722B9"/>
    <w:rsid w:val="00A76AE5"/>
    <w:rsid w:val="00A81F98"/>
    <w:rsid w:val="00A86211"/>
    <w:rsid w:val="00A92F71"/>
    <w:rsid w:val="00A93760"/>
    <w:rsid w:val="00A97867"/>
    <w:rsid w:val="00AA3478"/>
    <w:rsid w:val="00AA620D"/>
    <w:rsid w:val="00AD1912"/>
    <w:rsid w:val="00AD2E92"/>
    <w:rsid w:val="00AD4146"/>
    <w:rsid w:val="00AD50C7"/>
    <w:rsid w:val="00AE345D"/>
    <w:rsid w:val="00AF7B23"/>
    <w:rsid w:val="00B1115F"/>
    <w:rsid w:val="00B3598E"/>
    <w:rsid w:val="00B37B4C"/>
    <w:rsid w:val="00B4242A"/>
    <w:rsid w:val="00B44D12"/>
    <w:rsid w:val="00B72B02"/>
    <w:rsid w:val="00B80332"/>
    <w:rsid w:val="00B8397D"/>
    <w:rsid w:val="00B875C7"/>
    <w:rsid w:val="00BC372A"/>
    <w:rsid w:val="00BC78A5"/>
    <w:rsid w:val="00BE41BE"/>
    <w:rsid w:val="00BF3617"/>
    <w:rsid w:val="00C026F5"/>
    <w:rsid w:val="00C03766"/>
    <w:rsid w:val="00C055B6"/>
    <w:rsid w:val="00C12566"/>
    <w:rsid w:val="00C30765"/>
    <w:rsid w:val="00C3690A"/>
    <w:rsid w:val="00C4473B"/>
    <w:rsid w:val="00C47A0E"/>
    <w:rsid w:val="00C52904"/>
    <w:rsid w:val="00C55F8D"/>
    <w:rsid w:val="00C61FB4"/>
    <w:rsid w:val="00C6286B"/>
    <w:rsid w:val="00C74F0C"/>
    <w:rsid w:val="00C81657"/>
    <w:rsid w:val="00CC6E1E"/>
    <w:rsid w:val="00CD1493"/>
    <w:rsid w:val="00CF61C9"/>
    <w:rsid w:val="00D04EE1"/>
    <w:rsid w:val="00D06C69"/>
    <w:rsid w:val="00D07D34"/>
    <w:rsid w:val="00D1321F"/>
    <w:rsid w:val="00D20301"/>
    <w:rsid w:val="00D245DB"/>
    <w:rsid w:val="00D63BE8"/>
    <w:rsid w:val="00D712D0"/>
    <w:rsid w:val="00D72731"/>
    <w:rsid w:val="00D763F9"/>
    <w:rsid w:val="00D8113D"/>
    <w:rsid w:val="00D86294"/>
    <w:rsid w:val="00DA5188"/>
    <w:rsid w:val="00DB76C1"/>
    <w:rsid w:val="00DD29DC"/>
    <w:rsid w:val="00DE13C2"/>
    <w:rsid w:val="00DF68FC"/>
    <w:rsid w:val="00E1449C"/>
    <w:rsid w:val="00E152CF"/>
    <w:rsid w:val="00E433F3"/>
    <w:rsid w:val="00E546D1"/>
    <w:rsid w:val="00E54A1A"/>
    <w:rsid w:val="00E55DF7"/>
    <w:rsid w:val="00E5603A"/>
    <w:rsid w:val="00E56602"/>
    <w:rsid w:val="00E76ADF"/>
    <w:rsid w:val="00E82877"/>
    <w:rsid w:val="00EA1903"/>
    <w:rsid w:val="00EC651D"/>
    <w:rsid w:val="00EE4AC7"/>
    <w:rsid w:val="00EF6B88"/>
    <w:rsid w:val="00EF7223"/>
    <w:rsid w:val="00F57321"/>
    <w:rsid w:val="00F612A4"/>
    <w:rsid w:val="00F62BE4"/>
    <w:rsid w:val="00F6349E"/>
    <w:rsid w:val="00F73305"/>
    <w:rsid w:val="00F93372"/>
    <w:rsid w:val="00F95517"/>
    <w:rsid w:val="00FA6D3F"/>
    <w:rsid w:val="00FB41DE"/>
    <w:rsid w:val="00FD0822"/>
    <w:rsid w:val="00FE1417"/>
    <w:rsid w:val="00FF2A9E"/>
    <w:rsid w:val="00FF30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EBF87"/>
  <w15:docId w15:val="{191EB215-F9D1-4EF9-A374-DA19BD9A4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C5E0B"/>
    <w:rPr>
      <w:rFonts w:ascii="Times New Roman" w:hAnsi="Times New Roman" w:cs="Times New Roman"/>
      <w:sz w:val="24"/>
      <w:szCs w:val="24"/>
    </w:rPr>
  </w:style>
  <w:style w:type="character" w:styleId="Hyperlink">
    <w:name w:val="Hyperlink"/>
    <w:basedOn w:val="DefaultParagraphFont"/>
    <w:uiPriority w:val="99"/>
    <w:unhideWhenUsed/>
    <w:rsid w:val="008C5E0B"/>
    <w:rPr>
      <w:color w:val="0563C1" w:themeColor="hyperlink"/>
      <w:u w:val="single"/>
    </w:rPr>
  </w:style>
  <w:style w:type="character" w:styleId="UnresolvedMention">
    <w:name w:val="Unresolved Mention"/>
    <w:basedOn w:val="DefaultParagraphFont"/>
    <w:uiPriority w:val="99"/>
    <w:semiHidden/>
    <w:unhideWhenUsed/>
    <w:rsid w:val="008C5E0B"/>
    <w:rPr>
      <w:color w:val="605E5C"/>
      <w:shd w:val="clear" w:color="auto" w:fill="E1DFDD"/>
    </w:rPr>
  </w:style>
  <w:style w:type="character" w:styleId="FollowedHyperlink">
    <w:name w:val="FollowedHyperlink"/>
    <w:basedOn w:val="DefaultParagraphFont"/>
    <w:uiPriority w:val="99"/>
    <w:semiHidden/>
    <w:unhideWhenUsed/>
    <w:rsid w:val="00A9376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757620">
      <w:bodyDiv w:val="1"/>
      <w:marLeft w:val="0"/>
      <w:marRight w:val="0"/>
      <w:marTop w:val="0"/>
      <w:marBottom w:val="0"/>
      <w:divBdr>
        <w:top w:val="none" w:sz="0" w:space="0" w:color="auto"/>
        <w:left w:val="none" w:sz="0" w:space="0" w:color="auto"/>
        <w:bottom w:val="none" w:sz="0" w:space="0" w:color="auto"/>
        <w:right w:val="none" w:sz="0" w:space="0" w:color="auto"/>
      </w:divBdr>
    </w:div>
    <w:div w:id="369111344">
      <w:bodyDiv w:val="1"/>
      <w:marLeft w:val="0"/>
      <w:marRight w:val="0"/>
      <w:marTop w:val="0"/>
      <w:marBottom w:val="0"/>
      <w:divBdr>
        <w:top w:val="none" w:sz="0" w:space="0" w:color="auto"/>
        <w:left w:val="none" w:sz="0" w:space="0" w:color="auto"/>
        <w:bottom w:val="none" w:sz="0" w:space="0" w:color="auto"/>
        <w:right w:val="none" w:sz="0" w:space="0" w:color="auto"/>
      </w:divBdr>
    </w:div>
    <w:div w:id="528644444">
      <w:bodyDiv w:val="1"/>
      <w:marLeft w:val="0"/>
      <w:marRight w:val="0"/>
      <w:marTop w:val="0"/>
      <w:marBottom w:val="0"/>
      <w:divBdr>
        <w:top w:val="none" w:sz="0" w:space="0" w:color="auto"/>
        <w:left w:val="none" w:sz="0" w:space="0" w:color="auto"/>
        <w:bottom w:val="none" w:sz="0" w:space="0" w:color="auto"/>
        <w:right w:val="none" w:sz="0" w:space="0" w:color="auto"/>
      </w:divBdr>
    </w:div>
    <w:div w:id="629094465">
      <w:bodyDiv w:val="1"/>
      <w:marLeft w:val="0"/>
      <w:marRight w:val="0"/>
      <w:marTop w:val="0"/>
      <w:marBottom w:val="0"/>
      <w:divBdr>
        <w:top w:val="none" w:sz="0" w:space="0" w:color="auto"/>
        <w:left w:val="none" w:sz="0" w:space="0" w:color="auto"/>
        <w:bottom w:val="none" w:sz="0" w:space="0" w:color="auto"/>
        <w:right w:val="none" w:sz="0" w:space="0" w:color="auto"/>
      </w:divBdr>
    </w:div>
    <w:div w:id="709694562">
      <w:bodyDiv w:val="1"/>
      <w:marLeft w:val="0"/>
      <w:marRight w:val="0"/>
      <w:marTop w:val="0"/>
      <w:marBottom w:val="0"/>
      <w:divBdr>
        <w:top w:val="none" w:sz="0" w:space="0" w:color="auto"/>
        <w:left w:val="none" w:sz="0" w:space="0" w:color="auto"/>
        <w:bottom w:val="none" w:sz="0" w:space="0" w:color="auto"/>
        <w:right w:val="none" w:sz="0" w:space="0" w:color="auto"/>
      </w:divBdr>
    </w:div>
    <w:div w:id="721490635">
      <w:bodyDiv w:val="1"/>
      <w:marLeft w:val="0"/>
      <w:marRight w:val="0"/>
      <w:marTop w:val="0"/>
      <w:marBottom w:val="0"/>
      <w:divBdr>
        <w:top w:val="none" w:sz="0" w:space="0" w:color="auto"/>
        <w:left w:val="none" w:sz="0" w:space="0" w:color="auto"/>
        <w:bottom w:val="none" w:sz="0" w:space="0" w:color="auto"/>
        <w:right w:val="none" w:sz="0" w:space="0" w:color="auto"/>
      </w:divBdr>
      <w:divsChild>
        <w:div w:id="1900632872">
          <w:marLeft w:val="0"/>
          <w:marRight w:val="0"/>
          <w:marTop w:val="0"/>
          <w:marBottom w:val="0"/>
          <w:divBdr>
            <w:top w:val="none" w:sz="0" w:space="0" w:color="auto"/>
            <w:left w:val="none" w:sz="0" w:space="0" w:color="auto"/>
            <w:bottom w:val="none" w:sz="0" w:space="0" w:color="auto"/>
            <w:right w:val="none" w:sz="0" w:space="0" w:color="auto"/>
          </w:divBdr>
        </w:div>
      </w:divsChild>
    </w:div>
    <w:div w:id="770399005">
      <w:bodyDiv w:val="1"/>
      <w:marLeft w:val="0"/>
      <w:marRight w:val="0"/>
      <w:marTop w:val="0"/>
      <w:marBottom w:val="0"/>
      <w:divBdr>
        <w:top w:val="none" w:sz="0" w:space="0" w:color="auto"/>
        <w:left w:val="none" w:sz="0" w:space="0" w:color="auto"/>
        <w:bottom w:val="none" w:sz="0" w:space="0" w:color="auto"/>
        <w:right w:val="none" w:sz="0" w:space="0" w:color="auto"/>
      </w:divBdr>
      <w:divsChild>
        <w:div w:id="957683878">
          <w:marLeft w:val="0"/>
          <w:marRight w:val="0"/>
          <w:marTop w:val="0"/>
          <w:marBottom w:val="0"/>
          <w:divBdr>
            <w:top w:val="none" w:sz="0" w:space="0" w:color="auto"/>
            <w:left w:val="none" w:sz="0" w:space="0" w:color="auto"/>
            <w:bottom w:val="none" w:sz="0" w:space="0" w:color="auto"/>
            <w:right w:val="none" w:sz="0" w:space="0" w:color="auto"/>
          </w:divBdr>
        </w:div>
        <w:div w:id="975795777">
          <w:marLeft w:val="0"/>
          <w:marRight w:val="0"/>
          <w:marTop w:val="0"/>
          <w:marBottom w:val="0"/>
          <w:divBdr>
            <w:top w:val="none" w:sz="0" w:space="0" w:color="auto"/>
            <w:left w:val="none" w:sz="0" w:space="0" w:color="auto"/>
            <w:bottom w:val="none" w:sz="0" w:space="0" w:color="auto"/>
            <w:right w:val="none" w:sz="0" w:space="0" w:color="auto"/>
          </w:divBdr>
        </w:div>
        <w:div w:id="1348555803">
          <w:marLeft w:val="0"/>
          <w:marRight w:val="0"/>
          <w:marTop w:val="0"/>
          <w:marBottom w:val="0"/>
          <w:divBdr>
            <w:top w:val="none" w:sz="0" w:space="0" w:color="auto"/>
            <w:left w:val="none" w:sz="0" w:space="0" w:color="auto"/>
            <w:bottom w:val="none" w:sz="0" w:space="0" w:color="auto"/>
            <w:right w:val="none" w:sz="0" w:space="0" w:color="auto"/>
          </w:divBdr>
        </w:div>
      </w:divsChild>
    </w:div>
    <w:div w:id="1040742512">
      <w:bodyDiv w:val="1"/>
      <w:marLeft w:val="0"/>
      <w:marRight w:val="0"/>
      <w:marTop w:val="0"/>
      <w:marBottom w:val="0"/>
      <w:divBdr>
        <w:top w:val="none" w:sz="0" w:space="0" w:color="auto"/>
        <w:left w:val="none" w:sz="0" w:space="0" w:color="auto"/>
        <w:bottom w:val="none" w:sz="0" w:space="0" w:color="auto"/>
        <w:right w:val="none" w:sz="0" w:space="0" w:color="auto"/>
      </w:divBdr>
    </w:div>
    <w:div w:id="1138064181">
      <w:bodyDiv w:val="1"/>
      <w:marLeft w:val="0"/>
      <w:marRight w:val="0"/>
      <w:marTop w:val="0"/>
      <w:marBottom w:val="0"/>
      <w:divBdr>
        <w:top w:val="none" w:sz="0" w:space="0" w:color="auto"/>
        <w:left w:val="none" w:sz="0" w:space="0" w:color="auto"/>
        <w:bottom w:val="none" w:sz="0" w:space="0" w:color="auto"/>
        <w:right w:val="none" w:sz="0" w:space="0" w:color="auto"/>
      </w:divBdr>
    </w:div>
    <w:div w:id="1209487868">
      <w:bodyDiv w:val="1"/>
      <w:marLeft w:val="0"/>
      <w:marRight w:val="0"/>
      <w:marTop w:val="0"/>
      <w:marBottom w:val="0"/>
      <w:divBdr>
        <w:top w:val="none" w:sz="0" w:space="0" w:color="auto"/>
        <w:left w:val="none" w:sz="0" w:space="0" w:color="auto"/>
        <w:bottom w:val="none" w:sz="0" w:space="0" w:color="auto"/>
        <w:right w:val="none" w:sz="0" w:space="0" w:color="auto"/>
      </w:divBdr>
      <w:divsChild>
        <w:div w:id="187107467">
          <w:marLeft w:val="0"/>
          <w:marRight w:val="0"/>
          <w:marTop w:val="0"/>
          <w:marBottom w:val="0"/>
          <w:divBdr>
            <w:top w:val="none" w:sz="0" w:space="0" w:color="auto"/>
            <w:left w:val="none" w:sz="0" w:space="0" w:color="auto"/>
            <w:bottom w:val="none" w:sz="0" w:space="0" w:color="auto"/>
            <w:right w:val="none" w:sz="0" w:space="0" w:color="auto"/>
          </w:divBdr>
        </w:div>
      </w:divsChild>
    </w:div>
    <w:div w:id="1229419968">
      <w:bodyDiv w:val="1"/>
      <w:marLeft w:val="0"/>
      <w:marRight w:val="0"/>
      <w:marTop w:val="0"/>
      <w:marBottom w:val="0"/>
      <w:divBdr>
        <w:top w:val="none" w:sz="0" w:space="0" w:color="auto"/>
        <w:left w:val="none" w:sz="0" w:space="0" w:color="auto"/>
        <w:bottom w:val="none" w:sz="0" w:space="0" w:color="auto"/>
        <w:right w:val="none" w:sz="0" w:space="0" w:color="auto"/>
      </w:divBdr>
    </w:div>
    <w:div w:id="1373577369">
      <w:bodyDiv w:val="1"/>
      <w:marLeft w:val="0"/>
      <w:marRight w:val="0"/>
      <w:marTop w:val="0"/>
      <w:marBottom w:val="0"/>
      <w:divBdr>
        <w:top w:val="none" w:sz="0" w:space="0" w:color="auto"/>
        <w:left w:val="none" w:sz="0" w:space="0" w:color="auto"/>
        <w:bottom w:val="none" w:sz="0" w:space="0" w:color="auto"/>
        <w:right w:val="none" w:sz="0" w:space="0" w:color="auto"/>
      </w:divBdr>
      <w:divsChild>
        <w:div w:id="6755121">
          <w:marLeft w:val="0"/>
          <w:marRight w:val="0"/>
          <w:marTop w:val="0"/>
          <w:marBottom w:val="0"/>
          <w:divBdr>
            <w:top w:val="none" w:sz="0" w:space="0" w:color="auto"/>
            <w:left w:val="none" w:sz="0" w:space="0" w:color="auto"/>
            <w:bottom w:val="none" w:sz="0" w:space="0" w:color="auto"/>
            <w:right w:val="none" w:sz="0" w:space="0" w:color="auto"/>
          </w:divBdr>
        </w:div>
        <w:div w:id="237790291">
          <w:marLeft w:val="0"/>
          <w:marRight w:val="0"/>
          <w:marTop w:val="0"/>
          <w:marBottom w:val="0"/>
          <w:divBdr>
            <w:top w:val="none" w:sz="0" w:space="0" w:color="auto"/>
            <w:left w:val="none" w:sz="0" w:space="0" w:color="auto"/>
            <w:bottom w:val="none" w:sz="0" w:space="0" w:color="auto"/>
            <w:right w:val="none" w:sz="0" w:space="0" w:color="auto"/>
          </w:divBdr>
        </w:div>
        <w:div w:id="268202644">
          <w:marLeft w:val="0"/>
          <w:marRight w:val="0"/>
          <w:marTop w:val="0"/>
          <w:marBottom w:val="0"/>
          <w:divBdr>
            <w:top w:val="none" w:sz="0" w:space="0" w:color="auto"/>
            <w:left w:val="none" w:sz="0" w:space="0" w:color="auto"/>
            <w:bottom w:val="none" w:sz="0" w:space="0" w:color="auto"/>
            <w:right w:val="none" w:sz="0" w:space="0" w:color="auto"/>
          </w:divBdr>
        </w:div>
        <w:div w:id="444159617">
          <w:marLeft w:val="0"/>
          <w:marRight w:val="0"/>
          <w:marTop w:val="0"/>
          <w:marBottom w:val="0"/>
          <w:divBdr>
            <w:top w:val="none" w:sz="0" w:space="0" w:color="auto"/>
            <w:left w:val="none" w:sz="0" w:space="0" w:color="auto"/>
            <w:bottom w:val="none" w:sz="0" w:space="0" w:color="auto"/>
            <w:right w:val="none" w:sz="0" w:space="0" w:color="auto"/>
          </w:divBdr>
        </w:div>
        <w:div w:id="541095367">
          <w:marLeft w:val="0"/>
          <w:marRight w:val="0"/>
          <w:marTop w:val="0"/>
          <w:marBottom w:val="0"/>
          <w:divBdr>
            <w:top w:val="none" w:sz="0" w:space="0" w:color="auto"/>
            <w:left w:val="none" w:sz="0" w:space="0" w:color="auto"/>
            <w:bottom w:val="none" w:sz="0" w:space="0" w:color="auto"/>
            <w:right w:val="none" w:sz="0" w:space="0" w:color="auto"/>
          </w:divBdr>
        </w:div>
        <w:div w:id="809908020">
          <w:marLeft w:val="0"/>
          <w:marRight w:val="0"/>
          <w:marTop w:val="0"/>
          <w:marBottom w:val="0"/>
          <w:divBdr>
            <w:top w:val="none" w:sz="0" w:space="0" w:color="auto"/>
            <w:left w:val="none" w:sz="0" w:space="0" w:color="auto"/>
            <w:bottom w:val="none" w:sz="0" w:space="0" w:color="auto"/>
            <w:right w:val="none" w:sz="0" w:space="0" w:color="auto"/>
          </w:divBdr>
        </w:div>
        <w:div w:id="947928689">
          <w:marLeft w:val="0"/>
          <w:marRight w:val="0"/>
          <w:marTop w:val="0"/>
          <w:marBottom w:val="0"/>
          <w:divBdr>
            <w:top w:val="none" w:sz="0" w:space="0" w:color="auto"/>
            <w:left w:val="none" w:sz="0" w:space="0" w:color="auto"/>
            <w:bottom w:val="none" w:sz="0" w:space="0" w:color="auto"/>
            <w:right w:val="none" w:sz="0" w:space="0" w:color="auto"/>
          </w:divBdr>
        </w:div>
        <w:div w:id="1141386004">
          <w:marLeft w:val="0"/>
          <w:marRight w:val="0"/>
          <w:marTop w:val="0"/>
          <w:marBottom w:val="0"/>
          <w:divBdr>
            <w:top w:val="none" w:sz="0" w:space="0" w:color="auto"/>
            <w:left w:val="none" w:sz="0" w:space="0" w:color="auto"/>
            <w:bottom w:val="none" w:sz="0" w:space="0" w:color="auto"/>
            <w:right w:val="none" w:sz="0" w:space="0" w:color="auto"/>
          </w:divBdr>
        </w:div>
        <w:div w:id="1323848420">
          <w:marLeft w:val="0"/>
          <w:marRight w:val="0"/>
          <w:marTop w:val="0"/>
          <w:marBottom w:val="0"/>
          <w:divBdr>
            <w:top w:val="none" w:sz="0" w:space="0" w:color="auto"/>
            <w:left w:val="none" w:sz="0" w:space="0" w:color="auto"/>
            <w:bottom w:val="none" w:sz="0" w:space="0" w:color="auto"/>
            <w:right w:val="none" w:sz="0" w:space="0" w:color="auto"/>
          </w:divBdr>
        </w:div>
        <w:div w:id="1552111100">
          <w:marLeft w:val="0"/>
          <w:marRight w:val="0"/>
          <w:marTop w:val="0"/>
          <w:marBottom w:val="0"/>
          <w:divBdr>
            <w:top w:val="none" w:sz="0" w:space="0" w:color="auto"/>
            <w:left w:val="none" w:sz="0" w:space="0" w:color="auto"/>
            <w:bottom w:val="none" w:sz="0" w:space="0" w:color="auto"/>
            <w:right w:val="none" w:sz="0" w:space="0" w:color="auto"/>
          </w:divBdr>
        </w:div>
        <w:div w:id="1870416174">
          <w:marLeft w:val="0"/>
          <w:marRight w:val="0"/>
          <w:marTop w:val="0"/>
          <w:marBottom w:val="0"/>
          <w:divBdr>
            <w:top w:val="none" w:sz="0" w:space="0" w:color="auto"/>
            <w:left w:val="none" w:sz="0" w:space="0" w:color="auto"/>
            <w:bottom w:val="none" w:sz="0" w:space="0" w:color="auto"/>
            <w:right w:val="none" w:sz="0" w:space="0" w:color="auto"/>
          </w:divBdr>
        </w:div>
      </w:divsChild>
    </w:div>
    <w:div w:id="1441028419">
      <w:bodyDiv w:val="1"/>
      <w:marLeft w:val="0"/>
      <w:marRight w:val="0"/>
      <w:marTop w:val="0"/>
      <w:marBottom w:val="0"/>
      <w:divBdr>
        <w:top w:val="none" w:sz="0" w:space="0" w:color="auto"/>
        <w:left w:val="none" w:sz="0" w:space="0" w:color="auto"/>
        <w:bottom w:val="none" w:sz="0" w:space="0" w:color="auto"/>
        <w:right w:val="none" w:sz="0" w:space="0" w:color="auto"/>
      </w:divBdr>
    </w:div>
    <w:div w:id="2023629892">
      <w:bodyDiv w:val="1"/>
      <w:marLeft w:val="0"/>
      <w:marRight w:val="0"/>
      <w:marTop w:val="0"/>
      <w:marBottom w:val="0"/>
      <w:divBdr>
        <w:top w:val="none" w:sz="0" w:space="0" w:color="auto"/>
        <w:left w:val="none" w:sz="0" w:space="0" w:color="auto"/>
        <w:bottom w:val="none" w:sz="0" w:space="0" w:color="auto"/>
        <w:right w:val="none" w:sz="0" w:space="0" w:color="auto"/>
      </w:divBdr>
    </w:div>
    <w:div w:id="2025277827">
      <w:bodyDiv w:val="1"/>
      <w:marLeft w:val="0"/>
      <w:marRight w:val="0"/>
      <w:marTop w:val="0"/>
      <w:marBottom w:val="0"/>
      <w:divBdr>
        <w:top w:val="none" w:sz="0" w:space="0" w:color="auto"/>
        <w:left w:val="none" w:sz="0" w:space="0" w:color="auto"/>
        <w:bottom w:val="none" w:sz="0" w:space="0" w:color="auto"/>
        <w:right w:val="none" w:sz="0" w:space="0" w:color="auto"/>
      </w:divBdr>
    </w:div>
    <w:div w:id="2047832678">
      <w:bodyDiv w:val="1"/>
      <w:marLeft w:val="0"/>
      <w:marRight w:val="0"/>
      <w:marTop w:val="0"/>
      <w:marBottom w:val="0"/>
      <w:divBdr>
        <w:top w:val="none" w:sz="0" w:space="0" w:color="auto"/>
        <w:left w:val="none" w:sz="0" w:space="0" w:color="auto"/>
        <w:bottom w:val="none" w:sz="0" w:space="0" w:color="auto"/>
        <w:right w:val="none" w:sz="0" w:space="0" w:color="auto"/>
      </w:divBdr>
      <w:divsChild>
        <w:div w:id="1022240349">
          <w:marLeft w:val="0"/>
          <w:marRight w:val="0"/>
          <w:marTop w:val="0"/>
          <w:marBottom w:val="0"/>
          <w:divBdr>
            <w:top w:val="none" w:sz="0" w:space="0" w:color="auto"/>
            <w:left w:val="none" w:sz="0" w:space="0" w:color="auto"/>
            <w:bottom w:val="none" w:sz="0" w:space="0" w:color="auto"/>
            <w:right w:val="none" w:sz="0" w:space="0" w:color="auto"/>
          </w:divBdr>
        </w:div>
        <w:div w:id="1324705220">
          <w:marLeft w:val="0"/>
          <w:marRight w:val="0"/>
          <w:marTop w:val="0"/>
          <w:marBottom w:val="0"/>
          <w:divBdr>
            <w:top w:val="none" w:sz="0" w:space="0" w:color="auto"/>
            <w:left w:val="none" w:sz="0" w:space="0" w:color="auto"/>
            <w:bottom w:val="none" w:sz="0" w:space="0" w:color="auto"/>
            <w:right w:val="none" w:sz="0" w:space="0" w:color="auto"/>
          </w:divBdr>
        </w:div>
        <w:div w:id="160033726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eurofound.europa.eu/observatories/eurwork/industrial-relations-dictionary/remedies-for-infringements-of-eu-law" TargetMode="External"/><Relationship Id="rId13" Type="http://schemas.openxmlformats.org/officeDocument/2006/relationships/hyperlink" Target="https://uk.westlaw.com/Document/I827DA1503F5C11E49A42D5DC36F62A2E/View/FullText.html?originationContext=document&amp;transitionType=DocumentItem&amp;ppcid=47ab085ae56546e7a057b40bed3f9d5b&amp;contextData=(sc.Search)&amp;comp=wluk"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ur-lex.europa.eu/legal-content/EN/TXT/?uri=CELEX%3A61974CJ0041" TargetMode="External"/><Relationship Id="rId12" Type="http://schemas.openxmlformats.org/officeDocument/2006/relationships/hyperlink" Target="https://uk.westlaw.com/Document/I69297090C7E111E49954A4F9E502350B/View/FullText.html?originationContext=document&amp;transitionType=DocumentItem&amp;ppcid=f189e4f082ca4390a610639177bd6b57&amp;contextData=(sc.Search)&amp;comp=wluk" TargetMode="External"/><Relationship Id="rId17" Type="http://schemas.openxmlformats.org/officeDocument/2006/relationships/hyperlink" Target="https://eur-lex.europa.eu/eli/treaty/tfeu_2016/art_288/oj" TargetMode="External"/><Relationship Id="rId2" Type="http://schemas.openxmlformats.org/officeDocument/2006/relationships/settings" Target="settings.xml"/><Relationship Id="rId16" Type="http://schemas.openxmlformats.org/officeDocument/2006/relationships/hyperlink" Target="https://www.academia.edu/12133524/Supranational_influence_in_EU_enforcement_the_ECJ_and_the_principle_of_state_liability" TargetMode="External"/><Relationship Id="rId1" Type="http://schemas.openxmlformats.org/officeDocument/2006/relationships/styles" Target="styles.xml"/><Relationship Id="rId6" Type="http://schemas.openxmlformats.org/officeDocument/2006/relationships/hyperlink" Target="https://www.e-elgar.com/shop/gbp/advanced-introduction-to-european-union-law-9781788119559.html" TargetMode="External"/><Relationship Id="rId11" Type="http://schemas.openxmlformats.org/officeDocument/2006/relationships/hyperlink" Target="https://www.cambridge.org/core/books/abs/great-judgments-of-the-european-court-of-justice/van-gend-en-loos-1963/06041714C495D82049488BF2BD0488B7" TargetMode="External"/><Relationship Id="rId5" Type="http://schemas.openxmlformats.org/officeDocument/2006/relationships/hyperlink" Target="https://uk.westlaw.com/Document/IA4F5AEA0351411E48815D9CF510DD7B1/View/FullText.html?originationContext=document&amp;transitionType=DocumentItem&amp;ppcid=48c2df16556146cda4bce0d75a185abc&amp;contextData=(sc.Search)&amp;comp=wluk" TargetMode="External"/><Relationship Id="rId15" Type="http://schemas.openxmlformats.org/officeDocument/2006/relationships/hyperlink" Target="http://aei.pitt.edu/8162/1/Stiermstromfinal.pdf" TargetMode="External"/><Relationship Id="rId10" Type="http://schemas.openxmlformats.org/officeDocument/2006/relationships/hyperlink" Target="https://officialblogofunio.com/2021/06/22/the-architecture-of-direct-effect-an-introduction/" TargetMode="External"/><Relationship Id="rId19" Type="http://schemas.openxmlformats.org/officeDocument/2006/relationships/theme" Target="theme/theme1.xml"/><Relationship Id="rId4" Type="http://schemas.openxmlformats.org/officeDocument/2006/relationships/hyperlink" Target="https://www.academia.edu/5876210/The_legal_effect_of_Directives_policy_rules_and_exceptions_Reprinted_from_European_Law_Review_Issue_3_2009_The_legal_effect_of_Directives_policy_rules_and_exceptions" TargetMode="External"/><Relationship Id="rId9" Type="http://schemas.openxmlformats.org/officeDocument/2006/relationships/hyperlink" Target="https://www.academia.edu/10767069/Francovich_and_the_construction_of_a_European_administrative_jus_commune_by_national_courts_" TargetMode="External"/><Relationship Id="rId14" Type="http://schemas.openxmlformats.org/officeDocument/2006/relationships/hyperlink" Target="https://www-cambridge-org.ezproxy.uwtsd.ac.uk/core/services/aop-cambridge-core/content/view/AFBF4020ABAA6C3C5118B7DFE7D1DF07/S0960777312000252a.pdf/establishing-a-constitutional-practice-of-european-law-the-history-of-the-legal-service-of-the-european-executive-19526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3699</TotalTime>
  <Pages>8</Pages>
  <Words>3037</Words>
  <Characters>17311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Evans</dc:creator>
  <cp:keywords/>
  <dc:description/>
  <cp:lastModifiedBy>Beverly Evans</cp:lastModifiedBy>
  <cp:revision>6</cp:revision>
  <dcterms:created xsi:type="dcterms:W3CDTF">2022-03-17T21:49:00Z</dcterms:created>
  <dcterms:modified xsi:type="dcterms:W3CDTF">2022-05-03T05:58:00Z</dcterms:modified>
</cp:coreProperties>
</file>