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0FBF6" w14:textId="47967AC9" w:rsidR="00105835" w:rsidRPr="00B83278" w:rsidRDefault="00105835" w:rsidP="00105835">
      <w:pPr>
        <w:jc w:val="both"/>
        <w:rPr>
          <w:rFonts w:cstheme="minorHAnsi"/>
          <w:szCs w:val="24"/>
        </w:rPr>
      </w:pPr>
      <w:r w:rsidRPr="00B83278">
        <w:rPr>
          <w:rFonts w:cstheme="minorHAnsi"/>
          <w:noProof/>
          <w:szCs w:val="24"/>
        </w:rPr>
        <w:drawing>
          <wp:inline distT="0" distB="0" distL="0" distR="0" wp14:anchorId="0FF8FADA" wp14:editId="5DBC3B62">
            <wp:extent cx="3718560" cy="122682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8560" cy="1226820"/>
                    </a:xfrm>
                    <a:prstGeom prst="rect">
                      <a:avLst/>
                    </a:prstGeom>
                    <a:noFill/>
                    <a:ln>
                      <a:noFill/>
                    </a:ln>
                  </pic:spPr>
                </pic:pic>
              </a:graphicData>
            </a:graphic>
          </wp:inline>
        </w:drawing>
      </w:r>
    </w:p>
    <w:p w14:paraId="42FEB414" w14:textId="77777777" w:rsidR="00105835" w:rsidRPr="00B83278" w:rsidRDefault="00105835" w:rsidP="00105835">
      <w:pPr>
        <w:jc w:val="both"/>
        <w:rPr>
          <w:rFonts w:cstheme="minorHAnsi"/>
          <w:szCs w:val="24"/>
        </w:rPr>
      </w:pPr>
    </w:p>
    <w:p w14:paraId="404F4772" w14:textId="77777777" w:rsidR="00105835" w:rsidRPr="00B83278" w:rsidRDefault="00105835" w:rsidP="00105835">
      <w:pPr>
        <w:jc w:val="both"/>
        <w:rPr>
          <w:rFonts w:cstheme="minorHAnsi"/>
          <w:szCs w:val="24"/>
        </w:rPr>
      </w:pPr>
    </w:p>
    <w:p w14:paraId="3C74B4A2" w14:textId="77777777" w:rsidR="00105835" w:rsidRPr="00B83278" w:rsidRDefault="00105835" w:rsidP="00105835">
      <w:pPr>
        <w:jc w:val="both"/>
        <w:rPr>
          <w:rFonts w:cstheme="minorHAnsi"/>
          <w:szCs w:val="24"/>
        </w:rPr>
      </w:pPr>
    </w:p>
    <w:p w14:paraId="64428AFC" w14:textId="350F0B4B" w:rsidR="00105835" w:rsidRPr="00B83278" w:rsidRDefault="00105835" w:rsidP="00105835">
      <w:pPr>
        <w:jc w:val="both"/>
        <w:rPr>
          <w:rFonts w:cstheme="minorHAnsi"/>
          <w:szCs w:val="24"/>
        </w:rPr>
      </w:pPr>
      <w:r w:rsidRPr="00105835">
        <w:rPr>
          <w:rFonts w:cstheme="minorHAnsi"/>
          <w:szCs w:val="24"/>
        </w:rPr>
        <w:t>Banking Financial Management and Financial Markets</w:t>
      </w:r>
      <w:r>
        <w:rPr>
          <w:rFonts w:cstheme="minorHAnsi"/>
          <w:szCs w:val="24"/>
        </w:rPr>
        <w:t xml:space="preserve"> </w:t>
      </w:r>
      <w:r w:rsidRPr="00B83278">
        <w:rPr>
          <w:rFonts w:cstheme="minorHAnsi"/>
          <w:szCs w:val="24"/>
        </w:rPr>
        <w:t>LCMB70</w:t>
      </w:r>
      <w:r>
        <w:rPr>
          <w:rFonts w:cstheme="minorHAnsi"/>
          <w:szCs w:val="24"/>
        </w:rPr>
        <w:t>12</w:t>
      </w:r>
      <w:r w:rsidRPr="00B83278">
        <w:rPr>
          <w:rFonts w:cstheme="minorHAnsi"/>
          <w:szCs w:val="24"/>
        </w:rPr>
        <w:t xml:space="preserve"> - Assessment </w:t>
      </w:r>
    </w:p>
    <w:p w14:paraId="67DAC11B" w14:textId="37FBDAEB" w:rsidR="00105835" w:rsidRDefault="00105835" w:rsidP="00105835">
      <w:pPr>
        <w:jc w:val="both"/>
        <w:rPr>
          <w:rFonts w:cstheme="minorHAnsi"/>
          <w:szCs w:val="24"/>
        </w:rPr>
      </w:pPr>
    </w:p>
    <w:p w14:paraId="540A40D0" w14:textId="2865446E" w:rsidR="007806DB" w:rsidRDefault="007806DB" w:rsidP="00105835">
      <w:pPr>
        <w:jc w:val="both"/>
        <w:rPr>
          <w:rFonts w:cstheme="minorHAnsi"/>
          <w:szCs w:val="24"/>
        </w:rPr>
      </w:pPr>
    </w:p>
    <w:p w14:paraId="4FFEF3C5" w14:textId="02DAB52C" w:rsidR="007806DB" w:rsidRDefault="007806DB" w:rsidP="00105835">
      <w:pPr>
        <w:jc w:val="both"/>
        <w:rPr>
          <w:rFonts w:cstheme="minorHAnsi"/>
          <w:szCs w:val="24"/>
        </w:rPr>
      </w:pPr>
    </w:p>
    <w:p w14:paraId="1B64FBFA" w14:textId="77777777" w:rsidR="007806DB" w:rsidRPr="00B83278" w:rsidRDefault="007806DB" w:rsidP="00105835">
      <w:pPr>
        <w:jc w:val="both"/>
        <w:rPr>
          <w:rFonts w:cstheme="minorHAnsi"/>
          <w:szCs w:val="24"/>
        </w:rPr>
      </w:pPr>
    </w:p>
    <w:p w14:paraId="6B3EBD02" w14:textId="29BB42F1" w:rsidR="00105835" w:rsidRPr="00105835" w:rsidRDefault="00105835" w:rsidP="00105835">
      <w:pPr>
        <w:jc w:val="center"/>
        <w:rPr>
          <w:rFonts w:cstheme="minorHAnsi"/>
          <w:sz w:val="32"/>
          <w:szCs w:val="32"/>
        </w:rPr>
      </w:pPr>
      <w:r w:rsidRPr="00105835">
        <w:rPr>
          <w:rFonts w:cstheme="minorHAnsi"/>
          <w:b/>
          <w:bCs/>
          <w:sz w:val="40"/>
          <w:szCs w:val="40"/>
          <w:lang w:val="en-US"/>
        </w:rPr>
        <w:t>Financial stability of US after 2008 financial crisis</w:t>
      </w:r>
    </w:p>
    <w:p w14:paraId="60E5F195" w14:textId="77777777" w:rsidR="00105835" w:rsidRPr="00B83278" w:rsidRDefault="00105835" w:rsidP="00105835">
      <w:pPr>
        <w:jc w:val="both"/>
        <w:rPr>
          <w:rFonts w:cstheme="minorHAnsi"/>
          <w:szCs w:val="24"/>
        </w:rPr>
      </w:pPr>
    </w:p>
    <w:p w14:paraId="7071C4B5" w14:textId="77777777" w:rsidR="00105835" w:rsidRPr="00B83278" w:rsidRDefault="00105835" w:rsidP="00105835">
      <w:pPr>
        <w:jc w:val="both"/>
        <w:rPr>
          <w:rFonts w:cstheme="minorHAnsi"/>
          <w:szCs w:val="24"/>
        </w:rPr>
      </w:pPr>
    </w:p>
    <w:p w14:paraId="57943CF4" w14:textId="77777777" w:rsidR="00105835" w:rsidRPr="00B83278" w:rsidRDefault="00105835" w:rsidP="00105835">
      <w:pPr>
        <w:jc w:val="both"/>
        <w:rPr>
          <w:rFonts w:cstheme="minorHAnsi"/>
          <w:szCs w:val="24"/>
        </w:rPr>
      </w:pPr>
    </w:p>
    <w:p w14:paraId="6CF33760" w14:textId="77777777" w:rsidR="00105835" w:rsidRPr="00B83278" w:rsidRDefault="00105835" w:rsidP="00105835">
      <w:pPr>
        <w:jc w:val="both"/>
        <w:rPr>
          <w:rFonts w:cstheme="minorHAnsi"/>
          <w:szCs w:val="24"/>
        </w:rPr>
      </w:pPr>
    </w:p>
    <w:p w14:paraId="49A05CCE" w14:textId="0455DD6E" w:rsidR="00105835" w:rsidRDefault="00105835" w:rsidP="00105835">
      <w:pPr>
        <w:jc w:val="both"/>
        <w:rPr>
          <w:rFonts w:cstheme="minorHAnsi"/>
          <w:szCs w:val="24"/>
        </w:rPr>
      </w:pPr>
    </w:p>
    <w:p w14:paraId="6D1C77F2" w14:textId="78328332" w:rsidR="00105835" w:rsidRDefault="00105835" w:rsidP="00105835">
      <w:pPr>
        <w:jc w:val="both"/>
        <w:rPr>
          <w:rFonts w:cstheme="minorHAnsi"/>
          <w:szCs w:val="24"/>
        </w:rPr>
      </w:pPr>
    </w:p>
    <w:p w14:paraId="44E01C8F" w14:textId="64B47C7A" w:rsidR="00105835" w:rsidRDefault="00105835" w:rsidP="00105835">
      <w:pPr>
        <w:jc w:val="both"/>
        <w:rPr>
          <w:rFonts w:cstheme="minorHAnsi"/>
          <w:szCs w:val="24"/>
        </w:rPr>
      </w:pPr>
    </w:p>
    <w:p w14:paraId="7B184F0D" w14:textId="6E9D93CA" w:rsidR="00105835" w:rsidRDefault="00105835" w:rsidP="00105835">
      <w:pPr>
        <w:jc w:val="both"/>
        <w:rPr>
          <w:rFonts w:cstheme="minorHAnsi"/>
          <w:szCs w:val="24"/>
        </w:rPr>
      </w:pPr>
    </w:p>
    <w:p w14:paraId="2E3BA625" w14:textId="77777777" w:rsidR="00105835" w:rsidRPr="00B83278" w:rsidRDefault="00105835" w:rsidP="00105835">
      <w:pPr>
        <w:jc w:val="both"/>
        <w:rPr>
          <w:rFonts w:cstheme="minorHAnsi"/>
          <w:szCs w:val="24"/>
        </w:rPr>
      </w:pPr>
    </w:p>
    <w:p w14:paraId="2815194A" w14:textId="77777777" w:rsidR="00105835" w:rsidRPr="00B83278" w:rsidRDefault="00105835" w:rsidP="00105835">
      <w:pPr>
        <w:jc w:val="both"/>
        <w:rPr>
          <w:rFonts w:cstheme="minorHAnsi"/>
          <w:szCs w:val="24"/>
        </w:rPr>
      </w:pPr>
      <w:r w:rsidRPr="00B83278">
        <w:rPr>
          <w:rFonts w:cstheme="minorHAnsi"/>
          <w:szCs w:val="24"/>
        </w:rPr>
        <w:t>Student name: Cristina Georgiana Toma</w:t>
      </w:r>
    </w:p>
    <w:p w14:paraId="4C77E62D" w14:textId="77777777" w:rsidR="00105835" w:rsidRPr="00B83278" w:rsidRDefault="00105835" w:rsidP="00105835">
      <w:pPr>
        <w:jc w:val="both"/>
        <w:rPr>
          <w:rFonts w:cstheme="minorHAnsi"/>
          <w:szCs w:val="24"/>
        </w:rPr>
      </w:pPr>
      <w:r w:rsidRPr="00B83278">
        <w:rPr>
          <w:rFonts w:cstheme="minorHAnsi"/>
          <w:szCs w:val="24"/>
        </w:rPr>
        <w:t>Student number: 2013027</w:t>
      </w:r>
    </w:p>
    <w:p w14:paraId="2EC63254" w14:textId="363386BC" w:rsidR="00105835" w:rsidRDefault="00105835" w:rsidP="00105835">
      <w:pPr>
        <w:jc w:val="both"/>
        <w:rPr>
          <w:rFonts w:cstheme="minorHAnsi"/>
          <w:szCs w:val="24"/>
        </w:rPr>
      </w:pPr>
      <w:r w:rsidRPr="00B83278">
        <w:rPr>
          <w:rFonts w:cstheme="minorHAnsi"/>
          <w:szCs w:val="24"/>
        </w:rPr>
        <w:t xml:space="preserve">Lecturer: </w:t>
      </w:r>
      <w:r>
        <w:rPr>
          <w:rFonts w:cstheme="minorHAnsi"/>
          <w:szCs w:val="24"/>
        </w:rPr>
        <w:t xml:space="preserve">Isaiah </w:t>
      </w:r>
      <w:proofErr w:type="spellStart"/>
      <w:r>
        <w:rPr>
          <w:rFonts w:cstheme="minorHAnsi"/>
          <w:szCs w:val="24"/>
        </w:rPr>
        <w:t>Oino</w:t>
      </w:r>
      <w:proofErr w:type="spellEnd"/>
    </w:p>
    <w:p w14:paraId="71C49AA8" w14:textId="15FBF3A8" w:rsidR="00A058B1" w:rsidRPr="00B83278" w:rsidRDefault="00A058B1" w:rsidP="00105835">
      <w:pPr>
        <w:jc w:val="both"/>
        <w:rPr>
          <w:rFonts w:cstheme="minorHAnsi"/>
          <w:szCs w:val="24"/>
        </w:rPr>
      </w:pPr>
      <w:r>
        <w:rPr>
          <w:rFonts w:cstheme="minorHAnsi"/>
          <w:szCs w:val="24"/>
        </w:rPr>
        <w:t>Word count: 5229</w:t>
      </w:r>
    </w:p>
    <w:p w14:paraId="4D96C7E5" w14:textId="72F15678" w:rsidR="00C15C66" w:rsidRDefault="00C15C66">
      <w:pPr>
        <w:rPr>
          <w:rFonts w:asciiTheme="majorHAnsi" w:eastAsiaTheme="majorEastAsia" w:hAnsiTheme="majorHAnsi" w:cstheme="majorBidi"/>
          <w:color w:val="2F5496" w:themeColor="accent1" w:themeShade="BF"/>
          <w:sz w:val="32"/>
          <w:szCs w:val="32"/>
        </w:rPr>
      </w:pPr>
    </w:p>
    <w:p w14:paraId="2F8F378D" w14:textId="2452DCBD" w:rsidR="00105835" w:rsidRDefault="00105835">
      <w:pPr>
        <w:rPr>
          <w:rFonts w:asciiTheme="majorHAnsi" w:eastAsiaTheme="majorEastAsia" w:hAnsiTheme="majorHAnsi" w:cstheme="majorBidi"/>
          <w:color w:val="2F5496" w:themeColor="accent1" w:themeShade="BF"/>
          <w:sz w:val="32"/>
          <w:szCs w:val="32"/>
        </w:rPr>
      </w:pPr>
    </w:p>
    <w:p w14:paraId="1273ECF3" w14:textId="77777777" w:rsidR="00105835" w:rsidRDefault="00105835">
      <w:pPr>
        <w:rPr>
          <w:rFonts w:asciiTheme="majorHAnsi" w:eastAsiaTheme="majorEastAsia" w:hAnsiTheme="majorHAnsi" w:cstheme="majorBidi"/>
          <w:color w:val="2F5496" w:themeColor="accent1" w:themeShade="BF"/>
          <w:sz w:val="32"/>
          <w:szCs w:val="32"/>
        </w:rPr>
      </w:pPr>
    </w:p>
    <w:p w14:paraId="1076A561" w14:textId="77777777" w:rsidR="00105835" w:rsidRDefault="00105835">
      <w:pPr>
        <w:rPr>
          <w:rFonts w:asciiTheme="majorHAnsi" w:eastAsiaTheme="majorEastAsia" w:hAnsiTheme="majorHAnsi" w:cstheme="majorBidi"/>
          <w:color w:val="2F5496" w:themeColor="accent1" w:themeShade="BF"/>
          <w:sz w:val="32"/>
          <w:szCs w:val="32"/>
        </w:rPr>
      </w:pPr>
    </w:p>
    <w:sdt>
      <w:sdtPr>
        <w:rPr>
          <w:rFonts w:ascii="Times New Roman" w:eastAsiaTheme="minorHAnsi" w:hAnsi="Times New Roman" w:cstheme="minorBidi"/>
          <w:color w:val="auto"/>
          <w:sz w:val="24"/>
          <w:szCs w:val="22"/>
          <w:lang w:val="en-GB"/>
        </w:rPr>
        <w:id w:val="844979938"/>
        <w:docPartObj>
          <w:docPartGallery w:val="Table of Contents"/>
          <w:docPartUnique/>
        </w:docPartObj>
      </w:sdtPr>
      <w:sdtEndPr>
        <w:rPr>
          <w:b/>
          <w:bCs/>
          <w:noProof/>
        </w:rPr>
      </w:sdtEndPr>
      <w:sdtContent>
        <w:p w14:paraId="117FBD8E" w14:textId="2EF26315" w:rsidR="00C15C66" w:rsidRDefault="00C15C66">
          <w:pPr>
            <w:pStyle w:val="TOCHeading"/>
          </w:pPr>
          <w:r>
            <w:t>Table of Contents</w:t>
          </w:r>
        </w:p>
        <w:p w14:paraId="23CFD92C" w14:textId="77777777" w:rsidR="00C15C66" w:rsidRPr="00C15C66" w:rsidRDefault="00C15C66" w:rsidP="00C15C66">
          <w:pPr>
            <w:rPr>
              <w:lang w:val="en-US"/>
            </w:rPr>
          </w:pPr>
        </w:p>
        <w:p w14:paraId="41FBE976" w14:textId="4A0B5D39" w:rsidR="00C2715C" w:rsidRDefault="00C15C66">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1568084" w:history="1">
            <w:r w:rsidR="00C2715C" w:rsidRPr="00CA5CCB">
              <w:rPr>
                <w:rStyle w:val="Hyperlink"/>
                <w:noProof/>
              </w:rPr>
              <w:t>1.</w:t>
            </w:r>
            <w:r w:rsidR="00C2715C">
              <w:rPr>
                <w:rFonts w:asciiTheme="minorHAnsi" w:eastAsiaTheme="minorEastAsia" w:hAnsiTheme="minorHAnsi"/>
                <w:noProof/>
                <w:sz w:val="22"/>
                <w:lang w:eastAsia="en-GB"/>
              </w:rPr>
              <w:tab/>
            </w:r>
            <w:r w:rsidR="00C2715C" w:rsidRPr="00CA5CCB">
              <w:rPr>
                <w:rStyle w:val="Hyperlink"/>
                <w:noProof/>
              </w:rPr>
              <w:t>Introduction</w:t>
            </w:r>
            <w:r w:rsidR="00C2715C">
              <w:rPr>
                <w:noProof/>
                <w:webHidden/>
              </w:rPr>
              <w:tab/>
            </w:r>
            <w:r w:rsidR="00C2715C">
              <w:rPr>
                <w:noProof/>
                <w:webHidden/>
              </w:rPr>
              <w:fldChar w:fldCharType="begin"/>
            </w:r>
            <w:r w:rsidR="00C2715C">
              <w:rPr>
                <w:noProof/>
                <w:webHidden/>
              </w:rPr>
              <w:instrText xml:space="preserve"> PAGEREF _Toc71568084 \h </w:instrText>
            </w:r>
            <w:r w:rsidR="00C2715C">
              <w:rPr>
                <w:noProof/>
                <w:webHidden/>
              </w:rPr>
            </w:r>
            <w:r w:rsidR="00C2715C">
              <w:rPr>
                <w:noProof/>
                <w:webHidden/>
              </w:rPr>
              <w:fldChar w:fldCharType="separate"/>
            </w:r>
            <w:r w:rsidR="00C2715C">
              <w:rPr>
                <w:noProof/>
                <w:webHidden/>
              </w:rPr>
              <w:t>2</w:t>
            </w:r>
            <w:r w:rsidR="00C2715C">
              <w:rPr>
                <w:noProof/>
                <w:webHidden/>
              </w:rPr>
              <w:fldChar w:fldCharType="end"/>
            </w:r>
          </w:hyperlink>
        </w:p>
        <w:p w14:paraId="783836C6" w14:textId="1C3526C1" w:rsidR="00C2715C" w:rsidRDefault="00C2715C">
          <w:pPr>
            <w:pStyle w:val="TOC1"/>
            <w:tabs>
              <w:tab w:val="left" w:pos="440"/>
              <w:tab w:val="right" w:leader="dot" w:pos="9016"/>
            </w:tabs>
            <w:rPr>
              <w:rFonts w:asciiTheme="minorHAnsi" w:eastAsiaTheme="minorEastAsia" w:hAnsiTheme="minorHAnsi"/>
              <w:noProof/>
              <w:sz w:val="22"/>
              <w:lang w:eastAsia="en-GB"/>
            </w:rPr>
          </w:pPr>
          <w:hyperlink w:anchor="_Toc71568085" w:history="1">
            <w:r w:rsidRPr="00CA5CCB">
              <w:rPr>
                <w:rStyle w:val="Hyperlink"/>
                <w:noProof/>
              </w:rPr>
              <w:t>2.</w:t>
            </w:r>
            <w:r>
              <w:rPr>
                <w:rFonts w:asciiTheme="minorHAnsi" w:eastAsiaTheme="minorEastAsia" w:hAnsiTheme="minorHAnsi"/>
                <w:noProof/>
                <w:sz w:val="22"/>
                <w:lang w:eastAsia="en-GB"/>
              </w:rPr>
              <w:tab/>
            </w:r>
            <w:r w:rsidRPr="00CA5CCB">
              <w:rPr>
                <w:rStyle w:val="Hyperlink"/>
                <w:noProof/>
              </w:rPr>
              <w:t>Key laws and regulations that were enacted after the 2008 financial crisis by the US authorities</w:t>
            </w:r>
            <w:r>
              <w:rPr>
                <w:noProof/>
                <w:webHidden/>
              </w:rPr>
              <w:tab/>
            </w:r>
            <w:r>
              <w:rPr>
                <w:noProof/>
                <w:webHidden/>
              </w:rPr>
              <w:fldChar w:fldCharType="begin"/>
            </w:r>
            <w:r>
              <w:rPr>
                <w:noProof/>
                <w:webHidden/>
              </w:rPr>
              <w:instrText xml:space="preserve"> PAGEREF _Toc71568085 \h </w:instrText>
            </w:r>
            <w:r>
              <w:rPr>
                <w:noProof/>
                <w:webHidden/>
              </w:rPr>
            </w:r>
            <w:r>
              <w:rPr>
                <w:noProof/>
                <w:webHidden/>
              </w:rPr>
              <w:fldChar w:fldCharType="separate"/>
            </w:r>
            <w:r>
              <w:rPr>
                <w:noProof/>
                <w:webHidden/>
              </w:rPr>
              <w:t>2</w:t>
            </w:r>
            <w:r>
              <w:rPr>
                <w:noProof/>
                <w:webHidden/>
              </w:rPr>
              <w:fldChar w:fldCharType="end"/>
            </w:r>
          </w:hyperlink>
        </w:p>
        <w:p w14:paraId="1F9A31C8" w14:textId="4B014826" w:rsidR="00C2715C" w:rsidRDefault="00C2715C">
          <w:pPr>
            <w:pStyle w:val="TOC2"/>
            <w:tabs>
              <w:tab w:val="left" w:pos="880"/>
              <w:tab w:val="right" w:leader="dot" w:pos="9016"/>
            </w:tabs>
            <w:rPr>
              <w:rFonts w:asciiTheme="minorHAnsi" w:eastAsiaTheme="minorEastAsia" w:hAnsiTheme="minorHAnsi"/>
              <w:noProof/>
              <w:sz w:val="22"/>
              <w:lang w:eastAsia="en-GB"/>
            </w:rPr>
          </w:pPr>
          <w:hyperlink w:anchor="_Toc71568086" w:history="1">
            <w:r w:rsidRPr="00CA5CCB">
              <w:rPr>
                <w:rStyle w:val="Hyperlink"/>
                <w:noProof/>
              </w:rPr>
              <w:t>2.1.</w:t>
            </w:r>
            <w:r>
              <w:rPr>
                <w:rFonts w:asciiTheme="minorHAnsi" w:eastAsiaTheme="minorEastAsia" w:hAnsiTheme="minorHAnsi"/>
                <w:noProof/>
                <w:sz w:val="22"/>
                <w:lang w:eastAsia="en-GB"/>
              </w:rPr>
              <w:tab/>
            </w:r>
            <w:r w:rsidRPr="00CA5CCB">
              <w:rPr>
                <w:rStyle w:val="Hyperlink"/>
                <w:noProof/>
              </w:rPr>
              <w:t>Dodd-Frank Act</w:t>
            </w:r>
            <w:r>
              <w:rPr>
                <w:noProof/>
                <w:webHidden/>
              </w:rPr>
              <w:tab/>
            </w:r>
            <w:r>
              <w:rPr>
                <w:noProof/>
                <w:webHidden/>
              </w:rPr>
              <w:fldChar w:fldCharType="begin"/>
            </w:r>
            <w:r>
              <w:rPr>
                <w:noProof/>
                <w:webHidden/>
              </w:rPr>
              <w:instrText xml:space="preserve"> PAGEREF _Toc71568086 \h </w:instrText>
            </w:r>
            <w:r>
              <w:rPr>
                <w:noProof/>
                <w:webHidden/>
              </w:rPr>
            </w:r>
            <w:r>
              <w:rPr>
                <w:noProof/>
                <w:webHidden/>
              </w:rPr>
              <w:fldChar w:fldCharType="separate"/>
            </w:r>
            <w:r>
              <w:rPr>
                <w:noProof/>
                <w:webHidden/>
              </w:rPr>
              <w:t>3</w:t>
            </w:r>
            <w:r>
              <w:rPr>
                <w:noProof/>
                <w:webHidden/>
              </w:rPr>
              <w:fldChar w:fldCharType="end"/>
            </w:r>
          </w:hyperlink>
        </w:p>
        <w:p w14:paraId="79749633" w14:textId="7DD14FED" w:rsidR="00C2715C" w:rsidRDefault="00C2715C">
          <w:pPr>
            <w:pStyle w:val="TOC2"/>
            <w:tabs>
              <w:tab w:val="left" w:pos="880"/>
              <w:tab w:val="right" w:leader="dot" w:pos="9016"/>
            </w:tabs>
            <w:rPr>
              <w:rFonts w:asciiTheme="minorHAnsi" w:eastAsiaTheme="minorEastAsia" w:hAnsiTheme="minorHAnsi"/>
              <w:noProof/>
              <w:sz w:val="22"/>
              <w:lang w:eastAsia="en-GB"/>
            </w:rPr>
          </w:pPr>
          <w:hyperlink w:anchor="_Toc71568087" w:history="1">
            <w:r w:rsidRPr="00CA5CCB">
              <w:rPr>
                <w:rStyle w:val="Hyperlink"/>
                <w:noProof/>
              </w:rPr>
              <w:t>2.2.</w:t>
            </w:r>
            <w:r>
              <w:rPr>
                <w:rFonts w:asciiTheme="minorHAnsi" w:eastAsiaTheme="minorEastAsia" w:hAnsiTheme="minorHAnsi"/>
                <w:noProof/>
                <w:sz w:val="22"/>
                <w:lang w:eastAsia="en-GB"/>
              </w:rPr>
              <w:tab/>
            </w:r>
            <w:r w:rsidRPr="00CA5CCB">
              <w:rPr>
                <w:rStyle w:val="Hyperlink"/>
                <w:noProof/>
              </w:rPr>
              <w:t>Further Dodd-Frank Enactments</w:t>
            </w:r>
            <w:r>
              <w:rPr>
                <w:noProof/>
                <w:webHidden/>
              </w:rPr>
              <w:tab/>
            </w:r>
            <w:r>
              <w:rPr>
                <w:noProof/>
                <w:webHidden/>
              </w:rPr>
              <w:fldChar w:fldCharType="begin"/>
            </w:r>
            <w:r>
              <w:rPr>
                <w:noProof/>
                <w:webHidden/>
              </w:rPr>
              <w:instrText xml:space="preserve"> PAGEREF _Toc71568087 \h </w:instrText>
            </w:r>
            <w:r>
              <w:rPr>
                <w:noProof/>
                <w:webHidden/>
              </w:rPr>
            </w:r>
            <w:r>
              <w:rPr>
                <w:noProof/>
                <w:webHidden/>
              </w:rPr>
              <w:fldChar w:fldCharType="separate"/>
            </w:r>
            <w:r>
              <w:rPr>
                <w:noProof/>
                <w:webHidden/>
              </w:rPr>
              <w:t>4</w:t>
            </w:r>
            <w:r>
              <w:rPr>
                <w:noProof/>
                <w:webHidden/>
              </w:rPr>
              <w:fldChar w:fldCharType="end"/>
            </w:r>
          </w:hyperlink>
        </w:p>
        <w:p w14:paraId="08B32CD9" w14:textId="42377F85" w:rsidR="00C2715C" w:rsidRDefault="00C2715C">
          <w:pPr>
            <w:pStyle w:val="TOC2"/>
            <w:tabs>
              <w:tab w:val="left" w:pos="880"/>
              <w:tab w:val="right" w:leader="dot" w:pos="9016"/>
            </w:tabs>
            <w:rPr>
              <w:rFonts w:asciiTheme="minorHAnsi" w:eastAsiaTheme="minorEastAsia" w:hAnsiTheme="minorHAnsi"/>
              <w:noProof/>
              <w:sz w:val="22"/>
              <w:lang w:eastAsia="en-GB"/>
            </w:rPr>
          </w:pPr>
          <w:hyperlink w:anchor="_Toc71568088" w:history="1">
            <w:r w:rsidRPr="00CA5CCB">
              <w:rPr>
                <w:rStyle w:val="Hyperlink"/>
                <w:noProof/>
              </w:rPr>
              <w:t>2.3.</w:t>
            </w:r>
            <w:r>
              <w:rPr>
                <w:rFonts w:asciiTheme="minorHAnsi" w:eastAsiaTheme="minorEastAsia" w:hAnsiTheme="minorHAnsi"/>
                <w:noProof/>
                <w:sz w:val="22"/>
                <w:lang w:eastAsia="en-GB"/>
              </w:rPr>
              <w:tab/>
            </w:r>
            <w:r w:rsidRPr="00CA5CCB">
              <w:rPr>
                <w:rStyle w:val="Hyperlink"/>
                <w:noProof/>
              </w:rPr>
              <w:t>Rule of Volcker</w:t>
            </w:r>
            <w:r>
              <w:rPr>
                <w:noProof/>
                <w:webHidden/>
              </w:rPr>
              <w:tab/>
            </w:r>
            <w:r>
              <w:rPr>
                <w:noProof/>
                <w:webHidden/>
              </w:rPr>
              <w:fldChar w:fldCharType="begin"/>
            </w:r>
            <w:r>
              <w:rPr>
                <w:noProof/>
                <w:webHidden/>
              </w:rPr>
              <w:instrText xml:space="preserve"> PAGEREF _Toc71568088 \h </w:instrText>
            </w:r>
            <w:r>
              <w:rPr>
                <w:noProof/>
                <w:webHidden/>
              </w:rPr>
            </w:r>
            <w:r>
              <w:rPr>
                <w:noProof/>
                <w:webHidden/>
              </w:rPr>
              <w:fldChar w:fldCharType="separate"/>
            </w:r>
            <w:r>
              <w:rPr>
                <w:noProof/>
                <w:webHidden/>
              </w:rPr>
              <w:t>5</w:t>
            </w:r>
            <w:r>
              <w:rPr>
                <w:noProof/>
                <w:webHidden/>
              </w:rPr>
              <w:fldChar w:fldCharType="end"/>
            </w:r>
          </w:hyperlink>
        </w:p>
        <w:p w14:paraId="5CCC404B" w14:textId="587A39F8" w:rsidR="00C2715C" w:rsidRDefault="00C2715C">
          <w:pPr>
            <w:pStyle w:val="TOC2"/>
            <w:tabs>
              <w:tab w:val="left" w:pos="880"/>
              <w:tab w:val="right" w:leader="dot" w:pos="9016"/>
            </w:tabs>
            <w:rPr>
              <w:rFonts w:asciiTheme="minorHAnsi" w:eastAsiaTheme="minorEastAsia" w:hAnsiTheme="minorHAnsi"/>
              <w:noProof/>
              <w:sz w:val="22"/>
              <w:lang w:eastAsia="en-GB"/>
            </w:rPr>
          </w:pPr>
          <w:hyperlink w:anchor="_Toc71568089" w:history="1">
            <w:r w:rsidRPr="00CA5CCB">
              <w:rPr>
                <w:rStyle w:val="Hyperlink"/>
                <w:noProof/>
              </w:rPr>
              <w:t>2.4.</w:t>
            </w:r>
            <w:r>
              <w:rPr>
                <w:rFonts w:asciiTheme="minorHAnsi" w:eastAsiaTheme="minorEastAsia" w:hAnsiTheme="minorHAnsi"/>
                <w:noProof/>
                <w:sz w:val="22"/>
                <w:lang w:eastAsia="en-GB"/>
              </w:rPr>
              <w:tab/>
            </w:r>
            <w:r w:rsidRPr="00CA5CCB">
              <w:rPr>
                <w:rStyle w:val="Hyperlink"/>
                <w:noProof/>
              </w:rPr>
              <w:t>Federal Reserve</w:t>
            </w:r>
            <w:r>
              <w:rPr>
                <w:noProof/>
                <w:webHidden/>
              </w:rPr>
              <w:tab/>
            </w:r>
            <w:r>
              <w:rPr>
                <w:noProof/>
                <w:webHidden/>
              </w:rPr>
              <w:fldChar w:fldCharType="begin"/>
            </w:r>
            <w:r>
              <w:rPr>
                <w:noProof/>
                <w:webHidden/>
              </w:rPr>
              <w:instrText xml:space="preserve"> PAGEREF _Toc71568089 \h </w:instrText>
            </w:r>
            <w:r>
              <w:rPr>
                <w:noProof/>
                <w:webHidden/>
              </w:rPr>
            </w:r>
            <w:r>
              <w:rPr>
                <w:noProof/>
                <w:webHidden/>
              </w:rPr>
              <w:fldChar w:fldCharType="separate"/>
            </w:r>
            <w:r>
              <w:rPr>
                <w:noProof/>
                <w:webHidden/>
              </w:rPr>
              <w:t>5</w:t>
            </w:r>
            <w:r>
              <w:rPr>
                <w:noProof/>
                <w:webHidden/>
              </w:rPr>
              <w:fldChar w:fldCharType="end"/>
            </w:r>
          </w:hyperlink>
        </w:p>
        <w:p w14:paraId="22CB77AE" w14:textId="38F305A2" w:rsidR="00C2715C" w:rsidRDefault="00C2715C">
          <w:pPr>
            <w:pStyle w:val="TOC1"/>
            <w:tabs>
              <w:tab w:val="left" w:pos="440"/>
              <w:tab w:val="right" w:leader="dot" w:pos="9016"/>
            </w:tabs>
            <w:rPr>
              <w:rFonts w:asciiTheme="minorHAnsi" w:eastAsiaTheme="minorEastAsia" w:hAnsiTheme="minorHAnsi"/>
              <w:noProof/>
              <w:sz w:val="22"/>
              <w:lang w:eastAsia="en-GB"/>
            </w:rPr>
          </w:pPr>
          <w:hyperlink w:anchor="_Toc71568090" w:history="1">
            <w:r w:rsidRPr="00CA5CCB">
              <w:rPr>
                <w:rStyle w:val="Hyperlink"/>
                <w:noProof/>
              </w:rPr>
              <w:t>3.</w:t>
            </w:r>
            <w:r>
              <w:rPr>
                <w:rFonts w:asciiTheme="minorHAnsi" w:eastAsiaTheme="minorEastAsia" w:hAnsiTheme="minorHAnsi"/>
                <w:noProof/>
                <w:sz w:val="22"/>
                <w:lang w:eastAsia="en-GB"/>
              </w:rPr>
              <w:tab/>
            </w:r>
            <w:r w:rsidRPr="00CA5CCB">
              <w:rPr>
                <w:rStyle w:val="Hyperlink"/>
                <w:noProof/>
              </w:rPr>
              <w:t>Stability of the financial system after 2008 crisis</w:t>
            </w:r>
            <w:r>
              <w:rPr>
                <w:noProof/>
                <w:webHidden/>
              </w:rPr>
              <w:tab/>
            </w:r>
            <w:r>
              <w:rPr>
                <w:noProof/>
                <w:webHidden/>
              </w:rPr>
              <w:fldChar w:fldCharType="begin"/>
            </w:r>
            <w:r>
              <w:rPr>
                <w:noProof/>
                <w:webHidden/>
              </w:rPr>
              <w:instrText xml:space="preserve"> PAGEREF _Toc71568090 \h </w:instrText>
            </w:r>
            <w:r>
              <w:rPr>
                <w:noProof/>
                <w:webHidden/>
              </w:rPr>
            </w:r>
            <w:r>
              <w:rPr>
                <w:noProof/>
                <w:webHidden/>
              </w:rPr>
              <w:fldChar w:fldCharType="separate"/>
            </w:r>
            <w:r>
              <w:rPr>
                <w:noProof/>
                <w:webHidden/>
              </w:rPr>
              <w:t>7</w:t>
            </w:r>
            <w:r>
              <w:rPr>
                <w:noProof/>
                <w:webHidden/>
              </w:rPr>
              <w:fldChar w:fldCharType="end"/>
            </w:r>
          </w:hyperlink>
        </w:p>
        <w:p w14:paraId="72BB2068" w14:textId="0C8A5DB5" w:rsidR="00C2715C" w:rsidRDefault="00C2715C">
          <w:pPr>
            <w:pStyle w:val="TOC1"/>
            <w:tabs>
              <w:tab w:val="left" w:pos="440"/>
              <w:tab w:val="right" w:leader="dot" w:pos="9016"/>
            </w:tabs>
            <w:rPr>
              <w:rFonts w:asciiTheme="minorHAnsi" w:eastAsiaTheme="minorEastAsia" w:hAnsiTheme="minorHAnsi"/>
              <w:noProof/>
              <w:sz w:val="22"/>
              <w:lang w:eastAsia="en-GB"/>
            </w:rPr>
          </w:pPr>
          <w:hyperlink w:anchor="_Toc71568091" w:history="1">
            <w:r w:rsidRPr="00CA5CCB">
              <w:rPr>
                <w:rStyle w:val="Hyperlink"/>
                <w:noProof/>
              </w:rPr>
              <w:t>4.</w:t>
            </w:r>
            <w:r>
              <w:rPr>
                <w:rFonts w:asciiTheme="minorHAnsi" w:eastAsiaTheme="minorEastAsia" w:hAnsiTheme="minorHAnsi"/>
                <w:noProof/>
                <w:sz w:val="22"/>
                <w:lang w:eastAsia="en-GB"/>
              </w:rPr>
              <w:tab/>
            </w:r>
            <w:r w:rsidRPr="00CA5CCB">
              <w:rPr>
                <w:rStyle w:val="Hyperlink"/>
                <w:noProof/>
              </w:rPr>
              <w:t>JPMorgan Chase &amp; Co</w:t>
            </w:r>
            <w:r>
              <w:rPr>
                <w:noProof/>
                <w:webHidden/>
              </w:rPr>
              <w:tab/>
            </w:r>
            <w:r>
              <w:rPr>
                <w:noProof/>
                <w:webHidden/>
              </w:rPr>
              <w:fldChar w:fldCharType="begin"/>
            </w:r>
            <w:r>
              <w:rPr>
                <w:noProof/>
                <w:webHidden/>
              </w:rPr>
              <w:instrText xml:space="preserve"> PAGEREF _Toc71568091 \h </w:instrText>
            </w:r>
            <w:r>
              <w:rPr>
                <w:noProof/>
                <w:webHidden/>
              </w:rPr>
            </w:r>
            <w:r>
              <w:rPr>
                <w:noProof/>
                <w:webHidden/>
              </w:rPr>
              <w:fldChar w:fldCharType="separate"/>
            </w:r>
            <w:r>
              <w:rPr>
                <w:noProof/>
                <w:webHidden/>
              </w:rPr>
              <w:t>11</w:t>
            </w:r>
            <w:r>
              <w:rPr>
                <w:noProof/>
                <w:webHidden/>
              </w:rPr>
              <w:fldChar w:fldCharType="end"/>
            </w:r>
          </w:hyperlink>
        </w:p>
        <w:p w14:paraId="0FD71997" w14:textId="20E6AD4B" w:rsidR="00C2715C" w:rsidRDefault="00C2715C">
          <w:pPr>
            <w:pStyle w:val="TOC1"/>
            <w:tabs>
              <w:tab w:val="right" w:leader="dot" w:pos="9016"/>
            </w:tabs>
            <w:rPr>
              <w:rFonts w:asciiTheme="minorHAnsi" w:eastAsiaTheme="minorEastAsia" w:hAnsiTheme="minorHAnsi"/>
              <w:noProof/>
              <w:sz w:val="22"/>
              <w:lang w:eastAsia="en-GB"/>
            </w:rPr>
          </w:pPr>
          <w:hyperlink w:anchor="_Toc71568092" w:history="1">
            <w:r w:rsidRPr="00CA5CCB">
              <w:rPr>
                <w:rStyle w:val="Hyperlink"/>
                <w:noProof/>
              </w:rPr>
              <w:t>Conclusion</w:t>
            </w:r>
            <w:r>
              <w:rPr>
                <w:noProof/>
                <w:webHidden/>
              </w:rPr>
              <w:tab/>
            </w:r>
            <w:r>
              <w:rPr>
                <w:noProof/>
                <w:webHidden/>
              </w:rPr>
              <w:fldChar w:fldCharType="begin"/>
            </w:r>
            <w:r>
              <w:rPr>
                <w:noProof/>
                <w:webHidden/>
              </w:rPr>
              <w:instrText xml:space="preserve"> PAGEREF _Toc71568092 \h </w:instrText>
            </w:r>
            <w:r>
              <w:rPr>
                <w:noProof/>
                <w:webHidden/>
              </w:rPr>
            </w:r>
            <w:r>
              <w:rPr>
                <w:noProof/>
                <w:webHidden/>
              </w:rPr>
              <w:fldChar w:fldCharType="separate"/>
            </w:r>
            <w:r>
              <w:rPr>
                <w:noProof/>
                <w:webHidden/>
              </w:rPr>
              <w:t>14</w:t>
            </w:r>
            <w:r>
              <w:rPr>
                <w:noProof/>
                <w:webHidden/>
              </w:rPr>
              <w:fldChar w:fldCharType="end"/>
            </w:r>
          </w:hyperlink>
        </w:p>
        <w:p w14:paraId="49FD673C" w14:textId="0FC6B007" w:rsidR="00C2715C" w:rsidRDefault="00C2715C">
          <w:pPr>
            <w:pStyle w:val="TOC1"/>
            <w:tabs>
              <w:tab w:val="right" w:leader="dot" w:pos="9016"/>
            </w:tabs>
            <w:rPr>
              <w:rFonts w:asciiTheme="minorHAnsi" w:eastAsiaTheme="minorEastAsia" w:hAnsiTheme="minorHAnsi"/>
              <w:noProof/>
              <w:sz w:val="22"/>
              <w:lang w:eastAsia="en-GB"/>
            </w:rPr>
          </w:pPr>
          <w:hyperlink w:anchor="_Toc71568093" w:history="1">
            <w:r w:rsidRPr="00CA5CCB">
              <w:rPr>
                <w:rStyle w:val="Hyperlink"/>
                <w:noProof/>
              </w:rPr>
              <w:t>Bibliography</w:t>
            </w:r>
            <w:r>
              <w:rPr>
                <w:noProof/>
                <w:webHidden/>
              </w:rPr>
              <w:tab/>
            </w:r>
            <w:r>
              <w:rPr>
                <w:noProof/>
                <w:webHidden/>
              </w:rPr>
              <w:fldChar w:fldCharType="begin"/>
            </w:r>
            <w:r>
              <w:rPr>
                <w:noProof/>
                <w:webHidden/>
              </w:rPr>
              <w:instrText xml:space="preserve"> PAGEREF _Toc71568093 \h </w:instrText>
            </w:r>
            <w:r>
              <w:rPr>
                <w:noProof/>
                <w:webHidden/>
              </w:rPr>
            </w:r>
            <w:r>
              <w:rPr>
                <w:noProof/>
                <w:webHidden/>
              </w:rPr>
              <w:fldChar w:fldCharType="separate"/>
            </w:r>
            <w:r>
              <w:rPr>
                <w:noProof/>
                <w:webHidden/>
              </w:rPr>
              <w:t>15</w:t>
            </w:r>
            <w:r>
              <w:rPr>
                <w:noProof/>
                <w:webHidden/>
              </w:rPr>
              <w:fldChar w:fldCharType="end"/>
            </w:r>
          </w:hyperlink>
        </w:p>
        <w:p w14:paraId="6C97A32A" w14:textId="196E372D" w:rsidR="00C15C66" w:rsidRDefault="00C15C66">
          <w:r>
            <w:rPr>
              <w:b/>
              <w:bCs/>
              <w:noProof/>
            </w:rPr>
            <w:fldChar w:fldCharType="end"/>
          </w:r>
        </w:p>
      </w:sdtContent>
    </w:sdt>
    <w:p w14:paraId="0D622C8D" w14:textId="2826063F" w:rsidR="00C15C66" w:rsidRDefault="00C15C66" w:rsidP="00C15C66">
      <w:pPr>
        <w:pStyle w:val="Heading1"/>
        <w:jc w:val="both"/>
      </w:pPr>
    </w:p>
    <w:p w14:paraId="55CA7953" w14:textId="77777777" w:rsidR="00C15C66" w:rsidRPr="00C15C66" w:rsidRDefault="00C15C66" w:rsidP="00C15C66"/>
    <w:p w14:paraId="4BFFEB0F" w14:textId="77777777" w:rsidR="00C15C66" w:rsidRDefault="00C15C66">
      <w:pPr>
        <w:rPr>
          <w:rFonts w:asciiTheme="majorHAnsi" w:eastAsiaTheme="majorEastAsia" w:hAnsiTheme="majorHAnsi" w:cstheme="majorBidi"/>
          <w:color w:val="2F5496" w:themeColor="accent1" w:themeShade="BF"/>
          <w:sz w:val="32"/>
          <w:szCs w:val="32"/>
        </w:rPr>
      </w:pPr>
      <w:r>
        <w:br w:type="page"/>
      </w:r>
    </w:p>
    <w:p w14:paraId="7C1AF615" w14:textId="77777777" w:rsidR="00C15C66" w:rsidRDefault="00C15C66" w:rsidP="00C15C66">
      <w:pPr>
        <w:pStyle w:val="Heading1"/>
        <w:numPr>
          <w:ilvl w:val="0"/>
          <w:numId w:val="5"/>
        </w:numPr>
        <w:jc w:val="both"/>
      </w:pPr>
      <w:bookmarkStart w:id="0" w:name="_Toc69777978"/>
      <w:bookmarkStart w:id="1" w:name="_Toc71568084"/>
      <w:r w:rsidRPr="00CD67E6">
        <w:lastRenderedPageBreak/>
        <w:t>Introduction</w:t>
      </w:r>
      <w:bookmarkEnd w:id="0"/>
      <w:bookmarkEnd w:id="1"/>
    </w:p>
    <w:p w14:paraId="71992904" w14:textId="77777777" w:rsidR="00CD67E6" w:rsidRPr="00CD67E6" w:rsidRDefault="00CD67E6" w:rsidP="00C15C66">
      <w:pPr>
        <w:pStyle w:val="Heading1"/>
        <w:ind w:left="360"/>
        <w:jc w:val="both"/>
      </w:pPr>
    </w:p>
    <w:p w14:paraId="110EC51C" w14:textId="77777777" w:rsidR="00CD67E6" w:rsidRPr="00CD67E6" w:rsidRDefault="00CD67E6" w:rsidP="00293A7D">
      <w:pPr>
        <w:jc w:val="both"/>
      </w:pPr>
      <w:r w:rsidRPr="00CD67E6">
        <w:t xml:space="preserve">This assessment is based on 2008 financial crises of United States which collapses the overall financial system of the well-developed countries. </w:t>
      </w:r>
    </w:p>
    <w:p w14:paraId="7EAC8614" w14:textId="4CD467B3" w:rsidR="00CD67E6" w:rsidRPr="00CD67E6" w:rsidRDefault="00CD67E6" w:rsidP="00293A7D">
      <w:pPr>
        <w:jc w:val="both"/>
      </w:pPr>
      <w:r w:rsidRPr="00CD67E6">
        <w:t xml:space="preserve">A big financial system includes the financial markets and financial intermediaries. Financial intermediaries are being differentiated whether they ask for complete conditional contracts or partial contracts </w:t>
      </w:r>
      <w:sdt>
        <w:sdtPr>
          <w:id w:val="-1869906745"/>
          <w:citation/>
        </w:sdtPr>
        <w:sdtEndPr/>
        <w:sdtContent>
          <w:r w:rsidRPr="00CD67E6">
            <w:fldChar w:fldCharType="begin"/>
          </w:r>
          <w:r w:rsidRPr="00CD67E6">
            <w:rPr>
              <w:lang w:val="en-US"/>
            </w:rPr>
            <w:instrText xml:space="preserve"> CITATION All04 \l 1033 </w:instrText>
          </w:r>
          <w:r w:rsidRPr="00CD67E6">
            <w:fldChar w:fldCharType="separate"/>
          </w:r>
          <w:r w:rsidR="00B81B8B" w:rsidRPr="00B81B8B">
            <w:rPr>
              <w:noProof/>
              <w:lang w:val="en-US"/>
            </w:rPr>
            <w:t>(Allen &amp; Gale, 2004)</w:t>
          </w:r>
          <w:r w:rsidRPr="00CD67E6">
            <w:rPr>
              <w:lang w:val="en-US"/>
            </w:rPr>
            <w:fldChar w:fldCharType="end"/>
          </w:r>
        </w:sdtContent>
      </w:sdt>
      <w:r w:rsidRPr="00CD67E6">
        <w:t xml:space="preserve">. There are five types of financial intermediaries and they are as follows: banks, mutual funds, stock exchange, financial </w:t>
      </w:r>
      <w:proofErr w:type="gramStart"/>
      <w:r w:rsidRPr="00CD67E6">
        <w:t>advisors</w:t>
      </w:r>
      <w:proofErr w:type="gramEnd"/>
      <w:r w:rsidRPr="00CD67E6">
        <w:t xml:space="preserve"> and insurance companies. This assessment it will concentrate mostly on the banking sector.</w:t>
      </w:r>
    </w:p>
    <w:p w14:paraId="3BA0B556" w14:textId="04BA0BAC" w:rsidR="00CD67E6" w:rsidRPr="00CD67E6" w:rsidRDefault="00CD67E6" w:rsidP="00293A7D">
      <w:pPr>
        <w:jc w:val="both"/>
      </w:pPr>
      <w:r w:rsidRPr="00CD67E6">
        <w:t xml:space="preserve"> Usually, the banks are playing an essential part in the economy for offering a deal for the individuals that are trying to save some money. Moreover, they also have an essential part in funding the companies who want to invest and grow.  Both the loans and business financing are vital for supporting economic growth </w:t>
      </w:r>
      <w:sdt>
        <w:sdtPr>
          <w:id w:val="1459766093"/>
          <w:citation/>
        </w:sdtPr>
        <w:sdtEndPr/>
        <w:sdtContent>
          <w:r w:rsidRPr="00CD67E6">
            <w:fldChar w:fldCharType="begin"/>
          </w:r>
          <w:r w:rsidRPr="00CD67E6">
            <w:rPr>
              <w:lang w:val="en-US"/>
            </w:rPr>
            <w:instrText xml:space="preserve"> CITATION Eco21 \l 1033 </w:instrText>
          </w:r>
          <w:r w:rsidRPr="00CD67E6">
            <w:fldChar w:fldCharType="separate"/>
          </w:r>
          <w:r w:rsidR="00B81B8B" w:rsidRPr="00B81B8B">
            <w:rPr>
              <w:noProof/>
              <w:lang w:val="en-US"/>
            </w:rPr>
            <w:t>(Economics Help, n.d.)</w:t>
          </w:r>
          <w:r w:rsidRPr="00CD67E6">
            <w:rPr>
              <w:lang w:val="en-US"/>
            </w:rPr>
            <w:fldChar w:fldCharType="end"/>
          </w:r>
        </w:sdtContent>
      </w:sdt>
      <w:r w:rsidRPr="00CD67E6">
        <w:t>.</w:t>
      </w:r>
    </w:p>
    <w:p w14:paraId="1F5978B0" w14:textId="6D299081" w:rsidR="00CD67E6" w:rsidRPr="00CD67E6" w:rsidRDefault="00CD67E6" w:rsidP="00293A7D">
      <w:pPr>
        <w:jc w:val="both"/>
      </w:pPr>
      <w:r w:rsidRPr="00CD67E6">
        <w:t xml:space="preserve">The Financial Conduct Authority regulates the financial services industry in the UK. FCA role is to make sure that the markets perform correctly, for people, for companies, big and small, and for whole economy </w:t>
      </w:r>
      <w:sdt>
        <w:sdtPr>
          <w:id w:val="-879397875"/>
          <w:citation/>
        </w:sdtPr>
        <w:sdtEndPr/>
        <w:sdtContent>
          <w:r w:rsidRPr="00CD67E6">
            <w:fldChar w:fldCharType="begin"/>
          </w:r>
          <w:r w:rsidRPr="00CD67E6">
            <w:rPr>
              <w:lang w:val="en-US"/>
            </w:rPr>
            <w:instrText xml:space="preserve"> CITATION Fin20 \l 1033 </w:instrText>
          </w:r>
          <w:r w:rsidRPr="00CD67E6">
            <w:fldChar w:fldCharType="separate"/>
          </w:r>
          <w:r w:rsidR="00B81B8B" w:rsidRPr="00B81B8B">
            <w:rPr>
              <w:noProof/>
              <w:lang w:val="en-US"/>
            </w:rPr>
            <w:t>(Financial Conduct Authority, 2020)</w:t>
          </w:r>
          <w:r w:rsidRPr="00CD67E6">
            <w:rPr>
              <w:lang w:val="en-US"/>
            </w:rPr>
            <w:fldChar w:fldCharType="end"/>
          </w:r>
        </w:sdtContent>
      </w:sdt>
      <w:r w:rsidRPr="00CD67E6">
        <w:t>.</w:t>
      </w:r>
    </w:p>
    <w:p w14:paraId="4677C69D" w14:textId="623F9161" w:rsidR="00CD67E6" w:rsidRPr="00CD67E6" w:rsidRDefault="00CD67E6" w:rsidP="00293A7D">
      <w:pPr>
        <w:jc w:val="both"/>
      </w:pPr>
      <w:r w:rsidRPr="00CD67E6">
        <w:t xml:space="preserve">Agency theory is interested with the principal-agent challenge in the separation of the ownership and management of a company, between various suppliers of capital, and to differentiate the risk assessment, who is going to take the decisions and manage the roles in companies </w:t>
      </w:r>
      <w:sdt>
        <w:sdtPr>
          <w:id w:val="879056734"/>
          <w:citation/>
        </w:sdtPr>
        <w:sdtEndPr/>
        <w:sdtContent>
          <w:r w:rsidRPr="00CD67E6">
            <w:fldChar w:fldCharType="begin"/>
          </w:r>
          <w:r w:rsidRPr="00CD67E6">
            <w:rPr>
              <w:lang w:val="en-US"/>
            </w:rPr>
            <w:instrText xml:space="preserve"> CITATION Mor87 \l 1033 </w:instrText>
          </w:r>
          <w:r w:rsidRPr="00CD67E6">
            <w:fldChar w:fldCharType="separate"/>
          </w:r>
          <w:r w:rsidR="00B81B8B" w:rsidRPr="00B81B8B">
            <w:rPr>
              <w:noProof/>
              <w:lang w:val="en-US"/>
            </w:rPr>
            <w:t>(Morris, 1987)</w:t>
          </w:r>
          <w:r w:rsidRPr="00CD67E6">
            <w:rPr>
              <w:lang w:val="en-US"/>
            </w:rPr>
            <w:fldChar w:fldCharType="end"/>
          </w:r>
        </w:sdtContent>
      </w:sdt>
      <w:r w:rsidRPr="00CD67E6">
        <w:t>.</w:t>
      </w:r>
    </w:p>
    <w:p w14:paraId="7C0B443B" w14:textId="2B091A72" w:rsidR="00CD67E6" w:rsidRPr="00CD67E6" w:rsidRDefault="00CD67E6" w:rsidP="00293A7D">
      <w:pPr>
        <w:jc w:val="both"/>
      </w:pPr>
      <w:r w:rsidRPr="00CD67E6">
        <w:t xml:space="preserve">In 1970, in United States, banking was opened to everyone, and it turn out to be much more unstable, leading to the 2007-2009 crisis and Great Recession which looks a lot like the banking problems from the 1930 and the Great Depression </w:t>
      </w:r>
      <w:sdt>
        <w:sdtPr>
          <w:id w:val="-187144027"/>
          <w:citation/>
        </w:sdtPr>
        <w:sdtEndPr/>
        <w:sdtContent>
          <w:r w:rsidRPr="00CD67E6">
            <w:fldChar w:fldCharType="begin"/>
          </w:r>
          <w:r w:rsidRPr="00CD67E6">
            <w:rPr>
              <w:lang w:val="en-US"/>
            </w:rPr>
            <w:instrText xml:space="preserve"> CITATION Viv16 \l 1033 </w:instrText>
          </w:r>
          <w:r w:rsidRPr="00CD67E6">
            <w:fldChar w:fldCharType="separate"/>
          </w:r>
          <w:r w:rsidR="00B81B8B" w:rsidRPr="00B81B8B">
            <w:rPr>
              <w:noProof/>
              <w:lang w:val="en-US"/>
            </w:rPr>
            <w:t>(Vives, 2016)</w:t>
          </w:r>
          <w:r w:rsidRPr="00CD67E6">
            <w:rPr>
              <w:lang w:val="en-US"/>
            </w:rPr>
            <w:fldChar w:fldCharType="end"/>
          </w:r>
        </w:sdtContent>
      </w:sdt>
      <w:r w:rsidRPr="00CD67E6">
        <w:t>.</w:t>
      </w:r>
    </w:p>
    <w:p w14:paraId="57458B69" w14:textId="59E33B2F" w:rsidR="00CD67E6" w:rsidRDefault="00CD67E6" w:rsidP="00293A7D">
      <w:pPr>
        <w:jc w:val="both"/>
      </w:pPr>
      <w:r w:rsidRPr="00CD67E6">
        <w:t>Financial stability is all about developing a financial system that can operate in normal times and in financial crisis and can engage with everything that happens in the economy in every moment. It is hard to prevent businesses collapsing or preventing people or companies from losing money, however, it can help to build environments and work efficiently even with this kind of events.</w:t>
      </w:r>
    </w:p>
    <w:p w14:paraId="7D6258DB" w14:textId="77777777" w:rsidR="00985537" w:rsidRPr="00CD67E6" w:rsidRDefault="00985537" w:rsidP="00293A7D">
      <w:pPr>
        <w:jc w:val="both"/>
      </w:pPr>
    </w:p>
    <w:p w14:paraId="62C1511B" w14:textId="40F7C125" w:rsidR="00CD67E6" w:rsidRDefault="00CD67E6" w:rsidP="00C15C66">
      <w:pPr>
        <w:pStyle w:val="Heading1"/>
        <w:numPr>
          <w:ilvl w:val="0"/>
          <w:numId w:val="5"/>
        </w:numPr>
        <w:jc w:val="both"/>
      </w:pPr>
      <w:bookmarkStart w:id="2" w:name="_Toc71568085"/>
      <w:r w:rsidRPr="00CD67E6">
        <w:t>Key laws and regulations that were enacted after the 2008 financial crisis by the US authorities</w:t>
      </w:r>
      <w:bookmarkEnd w:id="2"/>
    </w:p>
    <w:p w14:paraId="7BB97E61" w14:textId="77777777" w:rsidR="00985537" w:rsidRPr="00985537" w:rsidRDefault="00985537" w:rsidP="00293A7D">
      <w:pPr>
        <w:jc w:val="both"/>
      </w:pPr>
    </w:p>
    <w:p w14:paraId="2D515203" w14:textId="180722D4" w:rsidR="00CD67E6" w:rsidRPr="00CD67E6" w:rsidRDefault="00CD67E6" w:rsidP="00293A7D">
      <w:pPr>
        <w:jc w:val="both"/>
      </w:pPr>
      <w:r w:rsidRPr="00CD67E6">
        <w:t xml:space="preserve">According to </w:t>
      </w:r>
      <w:sdt>
        <w:sdtPr>
          <w:id w:val="38634873"/>
          <w:citation/>
        </w:sdtPr>
        <w:sdtEndPr/>
        <w:sdtContent>
          <w:r w:rsidR="00D4714C">
            <w:fldChar w:fldCharType="begin"/>
          </w:r>
          <w:r w:rsidR="00D4714C">
            <w:rPr>
              <w:lang w:val="en-US"/>
            </w:rPr>
            <w:instrText xml:space="preserve"> CITATION Bor10 \l 1033 </w:instrText>
          </w:r>
          <w:r w:rsidR="00D4714C">
            <w:fldChar w:fldCharType="separate"/>
          </w:r>
          <w:r w:rsidR="00B81B8B" w:rsidRPr="00B81B8B">
            <w:rPr>
              <w:noProof/>
              <w:lang w:val="en-US"/>
            </w:rPr>
            <w:t>(Bordo &amp; Landon-Lane, 2010)</w:t>
          </w:r>
          <w:r w:rsidR="00D4714C">
            <w:fldChar w:fldCharType="end"/>
          </w:r>
        </w:sdtContent>
      </w:sdt>
      <w:r w:rsidRPr="00CD67E6">
        <w:t xml:space="preserve">, President Barack Obama and George W. Schubert passed several legislative and authoritative laws in response to the 2008 financial crisis of United States. The most controversial and influential are the Dodd-Frank Wall Street Reform Act and Consumer Protection key laws and regulations, which established a long list of measures to regulate consumer safety and financial industry activity </w:t>
      </w:r>
      <w:sdt>
        <w:sdtPr>
          <w:id w:val="-676264750"/>
          <w:citation/>
        </w:sdtPr>
        <w:sdtEndPr/>
        <w:sdtContent>
          <w:r w:rsidR="00FB6D3F">
            <w:fldChar w:fldCharType="begin"/>
          </w:r>
          <w:r w:rsidR="00FB6D3F">
            <w:rPr>
              <w:lang w:val="en-US"/>
            </w:rPr>
            <w:instrText xml:space="preserve"> CITATION Kac10 \l 1033 </w:instrText>
          </w:r>
          <w:r w:rsidR="00FB6D3F">
            <w:fldChar w:fldCharType="separate"/>
          </w:r>
          <w:r w:rsidR="00B81B8B" w:rsidRPr="00B81B8B">
            <w:rPr>
              <w:noProof/>
              <w:lang w:val="en-US"/>
            </w:rPr>
            <w:t>(Kacperczyk &amp; Schnabl, 2010)</w:t>
          </w:r>
          <w:r w:rsidR="00FB6D3F">
            <w:fldChar w:fldCharType="end"/>
          </w:r>
        </w:sdtContent>
      </w:sdt>
      <w:r w:rsidRPr="00CD67E6">
        <w:t xml:space="preserve">. Another notable piece of legislation is the “Emergency Economic Stabilization Act (EESA)”, which formed the “Troubled Asset Relief Program (TARP)” </w:t>
      </w:r>
      <w:sdt>
        <w:sdtPr>
          <w:id w:val="-1794505606"/>
          <w:citation/>
        </w:sdtPr>
        <w:sdtEndPr/>
        <w:sdtContent>
          <w:r w:rsidR="00FB6D3F">
            <w:fldChar w:fldCharType="begin"/>
          </w:r>
          <w:r w:rsidR="00FB6D3F">
            <w:rPr>
              <w:lang w:val="en-US"/>
            </w:rPr>
            <w:instrText xml:space="preserve"> CITATION Baj11 \l 1033 </w:instrText>
          </w:r>
          <w:r w:rsidR="00FB6D3F">
            <w:fldChar w:fldCharType="separate"/>
          </w:r>
          <w:r w:rsidR="00B81B8B" w:rsidRPr="00B81B8B">
            <w:rPr>
              <w:noProof/>
              <w:lang w:val="en-US"/>
            </w:rPr>
            <w:t>(Bajpai, 2011)</w:t>
          </w:r>
          <w:r w:rsidR="00FB6D3F">
            <w:fldChar w:fldCharType="end"/>
          </w:r>
        </w:sdtContent>
      </w:sdt>
      <w:r w:rsidRPr="00CD67E6">
        <w:t xml:space="preserve">. In </w:t>
      </w:r>
      <w:r w:rsidRPr="00CD67E6">
        <w:lastRenderedPageBreak/>
        <w:t xml:space="preserve">addition, the Federal Reserve took on various additional and novel responsibilities </w:t>
      </w:r>
      <w:sdt>
        <w:sdtPr>
          <w:id w:val="-1546515804"/>
          <w:citation/>
        </w:sdtPr>
        <w:sdtEndPr/>
        <w:sdtContent>
          <w:r w:rsidR="00FB6D3F">
            <w:fldChar w:fldCharType="begin"/>
          </w:r>
          <w:r w:rsidR="00FB6D3F">
            <w:rPr>
              <w:lang w:val="en-US"/>
            </w:rPr>
            <w:instrText xml:space="preserve"> CITATION Gab10 \l 1033 </w:instrText>
          </w:r>
          <w:r w:rsidR="00FB6D3F">
            <w:fldChar w:fldCharType="separate"/>
          </w:r>
          <w:r w:rsidR="00B81B8B" w:rsidRPr="00B81B8B">
            <w:rPr>
              <w:noProof/>
              <w:lang w:val="en-US"/>
            </w:rPr>
            <w:t>(Gabrieli, 2010)</w:t>
          </w:r>
          <w:r w:rsidR="00FB6D3F">
            <w:fldChar w:fldCharType="end"/>
          </w:r>
        </w:sdtContent>
      </w:sdt>
      <w:r w:rsidR="00857B1A">
        <w:t>.</w:t>
      </w:r>
    </w:p>
    <w:p w14:paraId="23C3F61D" w14:textId="77777777" w:rsidR="00CD67E6" w:rsidRPr="00CD67E6" w:rsidRDefault="00CD67E6" w:rsidP="00293A7D">
      <w:pPr>
        <w:jc w:val="both"/>
      </w:pPr>
    </w:p>
    <w:p w14:paraId="2FC572C7" w14:textId="1147179C" w:rsidR="00CD67E6" w:rsidRDefault="00CD67E6" w:rsidP="00C15C66">
      <w:pPr>
        <w:pStyle w:val="Heading2"/>
        <w:numPr>
          <w:ilvl w:val="1"/>
          <w:numId w:val="5"/>
        </w:numPr>
      </w:pPr>
      <w:bookmarkStart w:id="3" w:name="_Toc69777980"/>
      <w:bookmarkStart w:id="4" w:name="_Toc68042446"/>
      <w:bookmarkStart w:id="5" w:name="_Toc71568086"/>
      <w:r w:rsidRPr="00CD67E6">
        <w:t>Dodd-Frank Act</w:t>
      </w:r>
      <w:bookmarkEnd w:id="3"/>
      <w:bookmarkEnd w:id="4"/>
      <w:bookmarkEnd w:id="5"/>
    </w:p>
    <w:p w14:paraId="6F61639B" w14:textId="77777777" w:rsidR="00C15C66" w:rsidRPr="00C15C66" w:rsidRDefault="00C15C66" w:rsidP="00C15C66"/>
    <w:p w14:paraId="44D117A1" w14:textId="328243F9" w:rsidR="00CD67E6" w:rsidRPr="00CD67E6" w:rsidRDefault="00CD67E6" w:rsidP="00293A7D">
      <w:pPr>
        <w:jc w:val="both"/>
      </w:pPr>
      <w:r w:rsidRPr="00CD67E6">
        <w:t xml:space="preserve">As determined by </w:t>
      </w:r>
      <w:sdt>
        <w:sdtPr>
          <w:id w:val="-24637044"/>
          <w:citation/>
        </w:sdtPr>
        <w:sdtEndPr/>
        <w:sdtContent>
          <w:r w:rsidR="00B97971">
            <w:fldChar w:fldCharType="begin"/>
          </w:r>
          <w:r w:rsidR="00B97971">
            <w:rPr>
              <w:lang w:val="en-US"/>
            </w:rPr>
            <w:instrText xml:space="preserve"> CITATION Orh15 \l 1033 </w:instrText>
          </w:r>
          <w:r w:rsidR="00B97971">
            <w:fldChar w:fldCharType="separate"/>
          </w:r>
          <w:r w:rsidR="00B81B8B" w:rsidRPr="00B81B8B">
            <w:rPr>
              <w:noProof/>
              <w:lang w:val="en-US"/>
            </w:rPr>
            <w:t>(Orhangazi, 2015)</w:t>
          </w:r>
          <w:r w:rsidR="00B97971">
            <w:fldChar w:fldCharType="end"/>
          </w:r>
        </w:sdtContent>
      </w:sdt>
      <w:r w:rsidRPr="00CD67E6">
        <w:t xml:space="preserve">, the Dodd-Frank Act was enacted in July 2010 and introduced reforms to the United States financial sector. The Act expanded </w:t>
      </w:r>
      <w:proofErr w:type="gramStart"/>
      <w:r w:rsidRPr="00CD67E6">
        <w:t>a number of</w:t>
      </w:r>
      <w:proofErr w:type="gramEnd"/>
      <w:r w:rsidRPr="00CD67E6">
        <w:t xml:space="preserve"> important regulatory requirements and has already established standards for the securities markets and financial exchanges. It also created </w:t>
      </w:r>
      <w:proofErr w:type="gramStart"/>
      <w:r w:rsidRPr="00CD67E6">
        <w:t>a number of</w:t>
      </w:r>
      <w:proofErr w:type="gramEnd"/>
      <w:r w:rsidRPr="00CD67E6">
        <w:t xml:space="preserve"> new protections, such as the “Consumer Financial Protection Bureau (CFPB)”, which has turn out to be a significant organisation for monitoring and protecting the financial benefits and interests of US consumers.</w:t>
      </w:r>
    </w:p>
    <w:p w14:paraId="24846570" w14:textId="77777777" w:rsidR="00CD67E6" w:rsidRPr="00CD67E6" w:rsidRDefault="00CD67E6" w:rsidP="00293A7D">
      <w:pPr>
        <w:jc w:val="both"/>
      </w:pPr>
    </w:p>
    <w:p w14:paraId="06344D63" w14:textId="77777777" w:rsidR="00CD67E6" w:rsidRPr="00CD67E6" w:rsidRDefault="00CD67E6" w:rsidP="00293A7D">
      <w:pPr>
        <w:jc w:val="both"/>
      </w:pPr>
      <w:bookmarkStart w:id="6" w:name="_Toc69777981"/>
      <w:bookmarkStart w:id="7" w:name="_Toc68042447"/>
      <w:r w:rsidRPr="00CD67E6">
        <w:t>Financial Reporting, Securities, and Exchange</w:t>
      </w:r>
      <w:bookmarkEnd w:id="6"/>
      <w:bookmarkEnd w:id="7"/>
    </w:p>
    <w:p w14:paraId="1F897E52" w14:textId="175DD066" w:rsidR="00CD67E6" w:rsidRPr="00CD67E6" w:rsidRDefault="00CD67E6" w:rsidP="00293A7D">
      <w:pPr>
        <w:jc w:val="both"/>
      </w:pPr>
      <w:r w:rsidRPr="00CD67E6">
        <w:t xml:space="preserve">There are several important laws in the United States that structure the entire system of securities regulation, </w:t>
      </w:r>
      <w:proofErr w:type="gramStart"/>
      <w:r w:rsidRPr="00CD67E6">
        <w:t>disclosure</w:t>
      </w:r>
      <w:proofErr w:type="gramEnd"/>
      <w:r w:rsidRPr="00CD67E6">
        <w:t xml:space="preserve"> and transactions. Perhaps the most significant change since Dodd-Frank has been the adoption of the following rules </w:t>
      </w:r>
      <w:sdt>
        <w:sdtPr>
          <w:id w:val="-566500470"/>
          <w:citation/>
        </w:sdtPr>
        <w:sdtEndPr/>
        <w:sdtContent>
          <w:r w:rsidR="00B97971">
            <w:fldChar w:fldCharType="begin"/>
          </w:r>
          <w:r w:rsidR="00B97971">
            <w:rPr>
              <w:lang w:val="en-US"/>
            </w:rPr>
            <w:instrText xml:space="preserve"> CITATION Hop11 \l 1033 </w:instrText>
          </w:r>
          <w:r w:rsidR="00B97971">
            <w:fldChar w:fldCharType="separate"/>
          </w:r>
          <w:r w:rsidR="00B81B8B" w:rsidRPr="00B81B8B">
            <w:rPr>
              <w:noProof/>
              <w:lang w:val="en-US"/>
            </w:rPr>
            <w:t>(Hope, 2011)</w:t>
          </w:r>
          <w:r w:rsidR="00B97971">
            <w:fldChar w:fldCharType="end"/>
          </w:r>
        </w:sdtContent>
      </w:sdt>
    </w:p>
    <w:p w14:paraId="78BFE1D5" w14:textId="77777777" w:rsidR="00CD67E6" w:rsidRPr="00CD67E6" w:rsidRDefault="00CD67E6" w:rsidP="00293A7D">
      <w:pPr>
        <w:jc w:val="both"/>
      </w:pPr>
    </w:p>
    <w:p w14:paraId="7447A49B" w14:textId="77777777" w:rsidR="00CD67E6" w:rsidRPr="00CD67E6" w:rsidRDefault="00CD67E6" w:rsidP="00293A7D">
      <w:pPr>
        <w:jc w:val="both"/>
      </w:pPr>
      <w:bookmarkStart w:id="8" w:name="_Toc69777982"/>
      <w:bookmarkStart w:id="9" w:name="_Toc68042448"/>
      <w:r w:rsidRPr="00CD67E6">
        <w:t>1933: Securities Act</w:t>
      </w:r>
      <w:bookmarkEnd w:id="8"/>
      <w:bookmarkEnd w:id="9"/>
    </w:p>
    <w:p w14:paraId="7B82D4CD" w14:textId="09F6299A" w:rsidR="00CD67E6" w:rsidRPr="00CD67E6" w:rsidRDefault="00CD67E6" w:rsidP="00293A7D">
      <w:pPr>
        <w:jc w:val="both"/>
      </w:pPr>
      <w:r w:rsidRPr="00CD67E6">
        <w:t xml:space="preserve">The Dodd-Frank Act amended and revised Regulation D by excluding a small number of securities from registration </w:t>
      </w:r>
      <w:sdt>
        <w:sdtPr>
          <w:id w:val="-1688047399"/>
          <w:citation/>
        </w:sdtPr>
        <w:sdtEndPr/>
        <w:sdtContent>
          <w:r w:rsidR="00CB7AA0">
            <w:fldChar w:fldCharType="begin"/>
          </w:r>
          <w:r w:rsidR="00EB6451">
            <w:rPr>
              <w:lang w:val="en-US"/>
            </w:rPr>
            <w:instrText xml:space="preserve">CITATION Jef17 \l 1033 </w:instrText>
          </w:r>
          <w:r w:rsidR="00CB7AA0">
            <w:fldChar w:fldCharType="separate"/>
          </w:r>
          <w:r w:rsidR="00B81B8B" w:rsidRPr="00B81B8B">
            <w:rPr>
              <w:noProof/>
              <w:lang w:val="en-US"/>
            </w:rPr>
            <w:t>(Jefferies, 2017)</w:t>
          </w:r>
          <w:r w:rsidR="00CB7AA0">
            <w:fldChar w:fldCharType="end"/>
          </w:r>
        </w:sdtContent>
      </w:sdt>
      <w:r w:rsidRPr="00CD67E6">
        <w:t xml:space="preserve">. These exclusions are closely related to offerings of securities that are generally not available to accredited financiers or investors </w:t>
      </w:r>
      <w:sdt>
        <w:sdtPr>
          <w:id w:val="-809163537"/>
          <w:citation/>
        </w:sdtPr>
        <w:sdtEndPr/>
        <w:sdtContent>
          <w:r w:rsidR="00CB7AA0">
            <w:fldChar w:fldCharType="begin"/>
          </w:r>
          <w:r w:rsidR="00CB7AA0">
            <w:rPr>
              <w:lang w:val="en-US"/>
            </w:rPr>
            <w:instrText xml:space="preserve"> CITATION Pla17 \l 1033 </w:instrText>
          </w:r>
          <w:r w:rsidR="00CB7AA0">
            <w:fldChar w:fldCharType="separate"/>
          </w:r>
          <w:r w:rsidR="00B81B8B" w:rsidRPr="00B81B8B">
            <w:rPr>
              <w:noProof/>
              <w:lang w:val="en-US"/>
            </w:rPr>
            <w:t>(Plagborg‐Møller &amp; Holm, 2017)</w:t>
          </w:r>
          <w:r w:rsidR="00CB7AA0">
            <w:fldChar w:fldCharType="end"/>
          </w:r>
        </w:sdtContent>
      </w:sdt>
      <w:r w:rsidRPr="00CD67E6">
        <w:t xml:space="preserve">. However, the Dodd-Frank Act also used to adjust the definition of accredited financiers or investors to substantially eliminate the use of principal residence as a component of the financier’s total assets </w:t>
      </w:r>
      <w:sdt>
        <w:sdtPr>
          <w:id w:val="261414396"/>
          <w:citation/>
        </w:sdtPr>
        <w:sdtEndPr/>
        <w:sdtContent>
          <w:r w:rsidR="00CB7AA0">
            <w:fldChar w:fldCharType="begin"/>
          </w:r>
          <w:r w:rsidR="00CB7AA0">
            <w:rPr>
              <w:lang w:val="en-US"/>
            </w:rPr>
            <w:instrText xml:space="preserve"> CITATION Ach13 \l 1033 </w:instrText>
          </w:r>
          <w:r w:rsidR="00CB7AA0">
            <w:fldChar w:fldCharType="separate"/>
          </w:r>
          <w:r w:rsidR="00B81B8B" w:rsidRPr="00B81B8B">
            <w:rPr>
              <w:noProof/>
              <w:lang w:val="en-US"/>
            </w:rPr>
            <w:t>(Acharya, 2013)</w:t>
          </w:r>
          <w:r w:rsidR="00CB7AA0">
            <w:fldChar w:fldCharType="end"/>
          </w:r>
        </w:sdtContent>
      </w:sdt>
    </w:p>
    <w:p w14:paraId="652ABE79" w14:textId="77777777" w:rsidR="00CD67E6" w:rsidRPr="00CD67E6" w:rsidRDefault="00CD67E6" w:rsidP="00293A7D">
      <w:pPr>
        <w:jc w:val="both"/>
      </w:pPr>
    </w:p>
    <w:p w14:paraId="33DA077E" w14:textId="77777777" w:rsidR="00CD67E6" w:rsidRPr="00CD67E6" w:rsidRDefault="00CD67E6" w:rsidP="00293A7D">
      <w:pPr>
        <w:jc w:val="both"/>
      </w:pPr>
      <w:bookmarkStart w:id="10" w:name="_Toc69777983"/>
      <w:bookmarkStart w:id="11" w:name="_Toc68042449"/>
      <w:r w:rsidRPr="00CD67E6">
        <w:t>1934: Securities Exchange Act</w:t>
      </w:r>
      <w:bookmarkEnd w:id="10"/>
      <w:bookmarkEnd w:id="11"/>
    </w:p>
    <w:p w14:paraId="4E5E36F4" w14:textId="737E4D63" w:rsidR="00CD67E6" w:rsidRPr="00CD67E6" w:rsidRDefault="00CD67E6" w:rsidP="00293A7D">
      <w:pPr>
        <w:jc w:val="both"/>
      </w:pPr>
      <w:r w:rsidRPr="00CD67E6">
        <w:t xml:space="preserve">In this Act, Section 9 of the Dodd-Frank Act contains provisional statements requiring several changes to the “Securities Exchange Act of 1934” </w:t>
      </w:r>
      <w:sdt>
        <w:sdtPr>
          <w:id w:val="211007737"/>
          <w:citation/>
        </w:sdtPr>
        <w:sdtEndPr/>
        <w:sdtContent>
          <w:r w:rsidR="00CB7AA0">
            <w:fldChar w:fldCharType="begin"/>
          </w:r>
          <w:r w:rsidR="00CB7AA0">
            <w:rPr>
              <w:lang w:val="en-US"/>
            </w:rPr>
            <w:instrText xml:space="preserve"> CITATION Can12 \l 1033 </w:instrText>
          </w:r>
          <w:r w:rsidR="00CB7AA0">
            <w:fldChar w:fldCharType="separate"/>
          </w:r>
          <w:r w:rsidR="00B81B8B" w:rsidRPr="00B81B8B">
            <w:rPr>
              <w:noProof/>
              <w:lang w:val="en-US"/>
            </w:rPr>
            <w:t>(Canova &amp; Hickey, 2012)</w:t>
          </w:r>
          <w:r w:rsidR="00CB7AA0">
            <w:fldChar w:fldCharType="end"/>
          </w:r>
        </w:sdtContent>
      </w:sdt>
      <w:r w:rsidRPr="00CD67E6">
        <w:t xml:space="preserve">. Section 9 involves the establishment of the “Investor Advisory Committee (IAC)” and “Office of Investor Protection (OIP)”, as well as the appointment of an OIP Ombudsman. It provides for additional periodic reviews of inconsistent situations of investment firms and the issuance of general fund warnings, primarily through a newly created supervisory panel </w:t>
      </w:r>
      <w:sdt>
        <w:sdtPr>
          <w:id w:val="-2000576271"/>
          <w:citation/>
        </w:sdtPr>
        <w:sdtEndPr/>
        <w:sdtContent>
          <w:r w:rsidR="00CB7AA0">
            <w:fldChar w:fldCharType="begin"/>
          </w:r>
          <w:r w:rsidR="00CB7AA0">
            <w:rPr>
              <w:lang w:val="en-US"/>
            </w:rPr>
            <w:instrText xml:space="preserve"> CITATION Bar18 \l 1033 </w:instrText>
          </w:r>
          <w:r w:rsidR="00CB7AA0">
            <w:fldChar w:fldCharType="separate"/>
          </w:r>
          <w:r w:rsidR="00B81B8B" w:rsidRPr="00B81B8B">
            <w:rPr>
              <w:noProof/>
              <w:lang w:val="en-US"/>
            </w:rPr>
            <w:t>(Barnichon, et al., 2018)</w:t>
          </w:r>
          <w:r w:rsidR="00CB7AA0">
            <w:fldChar w:fldCharType="end"/>
          </w:r>
        </w:sdtContent>
      </w:sdt>
      <w:r w:rsidRPr="00CD67E6">
        <w:t xml:space="preserve">. Section 9 recompenses the 1934 Act on matters relating to liability, accountability, corporate governance, and executive remuneration </w:t>
      </w:r>
      <w:sdt>
        <w:sdtPr>
          <w:id w:val="1794243856"/>
          <w:citation/>
        </w:sdtPr>
        <w:sdtEndPr/>
        <w:sdtContent>
          <w:r w:rsidR="008D7F1C">
            <w:fldChar w:fldCharType="begin"/>
          </w:r>
          <w:r w:rsidR="008D7F1C">
            <w:rPr>
              <w:lang w:val="en-US"/>
            </w:rPr>
            <w:instrText xml:space="preserve"> CITATION Ana13 \l 1033 </w:instrText>
          </w:r>
          <w:r w:rsidR="008D7F1C">
            <w:fldChar w:fldCharType="separate"/>
          </w:r>
          <w:r w:rsidR="00B81B8B" w:rsidRPr="00B81B8B">
            <w:rPr>
              <w:noProof/>
              <w:lang w:val="en-US"/>
            </w:rPr>
            <w:t>(Anand, et al., 2013)</w:t>
          </w:r>
          <w:r w:rsidR="008D7F1C">
            <w:fldChar w:fldCharType="end"/>
          </w:r>
        </w:sdtContent>
      </w:sdt>
      <w:r w:rsidRPr="00CD67E6">
        <w:t xml:space="preserve">. Sections 939, 932 and 935 of Title 9 of the Dodd-Frank Act further revise the 1934 Act to improve regulation of credit rating agencies, including the creation of the Office of Credit Ratings under the “Securities and Exchange Commission (SEC)” for oversight </w:t>
      </w:r>
      <w:sdt>
        <w:sdtPr>
          <w:id w:val="-250431873"/>
          <w:citation/>
        </w:sdtPr>
        <w:sdtEndPr/>
        <w:sdtContent>
          <w:r w:rsidR="008D7F1C">
            <w:fldChar w:fldCharType="begin"/>
          </w:r>
          <w:r w:rsidR="008D7F1C">
            <w:rPr>
              <w:lang w:val="en-US"/>
            </w:rPr>
            <w:instrText xml:space="preserve"> CITATION Qui10 \l 1033 </w:instrText>
          </w:r>
          <w:r w:rsidR="008D7F1C">
            <w:fldChar w:fldCharType="separate"/>
          </w:r>
          <w:r w:rsidR="00B81B8B" w:rsidRPr="00B81B8B">
            <w:rPr>
              <w:noProof/>
              <w:lang w:val="en-US"/>
            </w:rPr>
            <w:t>(Quispe &amp; Rossini, 2010)</w:t>
          </w:r>
          <w:r w:rsidR="008D7F1C">
            <w:fldChar w:fldCharType="end"/>
          </w:r>
        </w:sdtContent>
      </w:sdt>
      <w:r w:rsidRPr="00CD67E6">
        <w:t xml:space="preserve">. Section 941 of Title 9 made significant improvements to the asset securitization measures of the 1934 Act, focusing on the securitization of mortgage loans </w:t>
      </w:r>
      <w:sdt>
        <w:sdtPr>
          <w:id w:val="-241488742"/>
          <w:citation/>
        </w:sdtPr>
        <w:sdtEndPr/>
        <w:sdtContent>
          <w:r w:rsidR="008D7F1C">
            <w:fldChar w:fldCharType="begin"/>
          </w:r>
          <w:r w:rsidR="008D7F1C">
            <w:rPr>
              <w:lang w:val="en-US"/>
            </w:rPr>
            <w:instrText xml:space="preserve"> CITATION San14 \l 1033 </w:instrText>
          </w:r>
          <w:r w:rsidR="008D7F1C">
            <w:fldChar w:fldCharType="separate"/>
          </w:r>
          <w:r w:rsidR="00B81B8B" w:rsidRPr="00B81B8B">
            <w:rPr>
              <w:noProof/>
              <w:lang w:val="en-US"/>
            </w:rPr>
            <w:t>(Sanchez, 2014)</w:t>
          </w:r>
          <w:r w:rsidR="008D7F1C">
            <w:fldChar w:fldCharType="end"/>
          </w:r>
        </w:sdtContent>
      </w:sdt>
    </w:p>
    <w:p w14:paraId="0F6F01BD" w14:textId="77777777" w:rsidR="00CD67E6" w:rsidRPr="00CD67E6" w:rsidRDefault="00CD67E6" w:rsidP="00293A7D">
      <w:pPr>
        <w:jc w:val="both"/>
      </w:pPr>
      <w:bookmarkStart w:id="12" w:name="_Toc69777984"/>
      <w:bookmarkStart w:id="13" w:name="_Toc68042450"/>
      <w:r w:rsidRPr="00CD67E6">
        <w:lastRenderedPageBreak/>
        <w:t>1940: Investment Company Act</w:t>
      </w:r>
      <w:bookmarkEnd w:id="12"/>
      <w:bookmarkEnd w:id="13"/>
    </w:p>
    <w:p w14:paraId="30A273FF" w14:textId="652A2634" w:rsidR="00CD67E6" w:rsidRPr="00CD67E6" w:rsidRDefault="00CD67E6" w:rsidP="00293A7D">
      <w:pPr>
        <w:jc w:val="both"/>
      </w:pPr>
      <w:r w:rsidRPr="00CD67E6">
        <w:t xml:space="preserve">The Dodd-Frank Act had minimal direct impact on investment agencies and the Investment Company Act of 1940, although the creation of new regulatory agencies and strengthening of existing ones, primarily the “Securities and Exchange Commission” left significant scope for tightening restrictions in areas such as disclosure policies and consumer protection </w:t>
      </w:r>
      <w:sdt>
        <w:sdtPr>
          <w:id w:val="-632642944"/>
          <w:citation/>
        </w:sdtPr>
        <w:sdtEndPr/>
        <w:sdtContent>
          <w:r w:rsidR="00516A18">
            <w:fldChar w:fldCharType="begin"/>
          </w:r>
          <w:r w:rsidR="00516A18">
            <w:rPr>
              <w:lang w:val="en-US"/>
            </w:rPr>
            <w:instrText xml:space="preserve"> CITATION Bal10 \l 1033 </w:instrText>
          </w:r>
          <w:r w:rsidR="00516A18">
            <w:fldChar w:fldCharType="separate"/>
          </w:r>
          <w:r w:rsidR="00B81B8B" w:rsidRPr="00B81B8B">
            <w:rPr>
              <w:noProof/>
              <w:lang w:val="en-US"/>
            </w:rPr>
            <w:t>(Ball, 2010)</w:t>
          </w:r>
          <w:r w:rsidR="00516A18">
            <w:fldChar w:fldCharType="end"/>
          </w:r>
        </w:sdtContent>
      </w:sdt>
      <w:r w:rsidR="00516A18" w:rsidRPr="00CD67E6">
        <w:t>.</w:t>
      </w:r>
    </w:p>
    <w:p w14:paraId="6348CA49" w14:textId="77777777" w:rsidR="00CD67E6" w:rsidRPr="00CD67E6" w:rsidRDefault="00CD67E6" w:rsidP="00293A7D">
      <w:pPr>
        <w:jc w:val="both"/>
      </w:pPr>
    </w:p>
    <w:p w14:paraId="7A854BC0" w14:textId="77777777" w:rsidR="00CD67E6" w:rsidRPr="00CD67E6" w:rsidRDefault="00CD67E6" w:rsidP="00293A7D">
      <w:pPr>
        <w:jc w:val="both"/>
      </w:pPr>
      <w:bookmarkStart w:id="14" w:name="_Toc69777985"/>
      <w:bookmarkStart w:id="15" w:name="_Toc68042451"/>
      <w:r w:rsidRPr="00CD67E6">
        <w:t>1940: Investment Advisers Act</w:t>
      </w:r>
      <w:bookmarkEnd w:id="14"/>
      <w:bookmarkEnd w:id="15"/>
      <w:r w:rsidRPr="00CD67E6">
        <w:t xml:space="preserve"> </w:t>
      </w:r>
    </w:p>
    <w:p w14:paraId="66B800E7" w14:textId="37220D43" w:rsidR="00CD67E6" w:rsidRPr="00CD67E6" w:rsidRDefault="00CD67E6" w:rsidP="00293A7D">
      <w:pPr>
        <w:jc w:val="both"/>
      </w:pPr>
      <w:r w:rsidRPr="00CD67E6">
        <w:t xml:space="preserve">The “Advisers Act of 1940” changed and reformed the overall requirements for registration as an investment adviser </w:t>
      </w:r>
      <w:sdt>
        <w:sdtPr>
          <w:id w:val="843822874"/>
          <w:citation/>
        </w:sdtPr>
        <w:sdtEndPr/>
        <w:sdtContent>
          <w:r w:rsidR="002E1058">
            <w:fldChar w:fldCharType="begin"/>
          </w:r>
          <w:r w:rsidR="002E1058">
            <w:rPr>
              <w:lang w:val="en-US"/>
            </w:rPr>
            <w:instrText xml:space="preserve"> CITATION Fer20 \l 1033 </w:instrText>
          </w:r>
          <w:r w:rsidR="002E1058">
            <w:fldChar w:fldCharType="separate"/>
          </w:r>
          <w:r w:rsidR="00B81B8B" w:rsidRPr="00B81B8B">
            <w:rPr>
              <w:noProof/>
              <w:lang w:val="en-US"/>
            </w:rPr>
            <w:t>(Fernández Sánchez, et al., 2020)</w:t>
          </w:r>
          <w:r w:rsidR="002E1058">
            <w:fldChar w:fldCharType="end"/>
          </w:r>
        </w:sdtContent>
      </w:sdt>
      <w:r w:rsidRPr="00CD67E6">
        <w:t xml:space="preserve">. This may affect hedge funds and independent investment advisers </w:t>
      </w:r>
      <w:sdt>
        <w:sdtPr>
          <w:id w:val="1323004870"/>
          <w:citation/>
        </w:sdtPr>
        <w:sdtEndPr/>
        <w:sdtContent>
          <w:r w:rsidR="002E1058">
            <w:fldChar w:fldCharType="begin"/>
          </w:r>
          <w:r w:rsidR="002E1058">
            <w:rPr>
              <w:lang w:val="en-US"/>
            </w:rPr>
            <w:instrText xml:space="preserve"> CITATION Elm16 \l 1033 </w:instrText>
          </w:r>
          <w:r w:rsidR="002E1058">
            <w:fldChar w:fldCharType="separate"/>
          </w:r>
          <w:r w:rsidR="00B81B8B" w:rsidRPr="00B81B8B">
            <w:rPr>
              <w:noProof/>
              <w:lang w:val="en-US"/>
            </w:rPr>
            <w:t>(Elmagrhi, et al., 2016)</w:t>
          </w:r>
          <w:r w:rsidR="002E1058">
            <w:fldChar w:fldCharType="end"/>
          </w:r>
        </w:sdtContent>
      </w:sdt>
      <w:r w:rsidRPr="00CD67E6">
        <w:t xml:space="preserve">. The revised rules changed the registration requirements to $100 million </w:t>
      </w:r>
      <w:sdt>
        <w:sdtPr>
          <w:id w:val="-771707109"/>
          <w:citation/>
        </w:sdtPr>
        <w:sdtEndPr/>
        <w:sdtContent>
          <w:r w:rsidR="00C46F9D">
            <w:fldChar w:fldCharType="begin"/>
          </w:r>
          <w:r w:rsidR="00C46F9D">
            <w:rPr>
              <w:lang w:val="en-US"/>
            </w:rPr>
            <w:instrText xml:space="preserve"> CITATION Fra12 \l 1033 </w:instrText>
          </w:r>
          <w:r w:rsidR="00C46F9D">
            <w:fldChar w:fldCharType="separate"/>
          </w:r>
          <w:r w:rsidR="00B81B8B" w:rsidRPr="00B81B8B">
            <w:rPr>
              <w:noProof/>
              <w:lang w:val="en-US"/>
            </w:rPr>
            <w:t>(Fratzscher, 2012)</w:t>
          </w:r>
          <w:r w:rsidR="00C46F9D">
            <w:fldChar w:fldCharType="end"/>
          </w:r>
        </w:sdtContent>
      </w:sdt>
      <w:r w:rsidRPr="00CD67E6">
        <w:t xml:space="preserve">. </w:t>
      </w:r>
    </w:p>
    <w:p w14:paraId="3C079D5F" w14:textId="77777777" w:rsidR="00CD67E6" w:rsidRPr="00CD67E6" w:rsidRDefault="00CD67E6" w:rsidP="00293A7D">
      <w:pPr>
        <w:jc w:val="both"/>
      </w:pPr>
    </w:p>
    <w:p w14:paraId="0B2D1E3B" w14:textId="77777777" w:rsidR="00CD67E6" w:rsidRPr="00CD67E6" w:rsidRDefault="00CD67E6" w:rsidP="00293A7D">
      <w:pPr>
        <w:jc w:val="both"/>
      </w:pPr>
      <w:bookmarkStart w:id="16" w:name="_Toc69777986"/>
      <w:bookmarkStart w:id="17" w:name="_Toc68042452"/>
      <w:r w:rsidRPr="00CD67E6">
        <w:t>2002: Sarbanes-Oxley Act</w:t>
      </w:r>
      <w:bookmarkEnd w:id="16"/>
      <w:bookmarkEnd w:id="17"/>
    </w:p>
    <w:p w14:paraId="5CED734E" w14:textId="5090615D" w:rsidR="00CD67E6" w:rsidRPr="00CD67E6" w:rsidRDefault="00CD67E6" w:rsidP="00293A7D">
      <w:pPr>
        <w:jc w:val="both"/>
      </w:pPr>
      <w:r w:rsidRPr="00CD67E6">
        <w:t xml:space="preserve">This act has been passed in 2002. In this Act, the Dodd-Frank Act adds new key laws and regulations for whistle-blowers’ protection </w:t>
      </w:r>
      <w:sdt>
        <w:sdtPr>
          <w:id w:val="404044279"/>
          <w:citation/>
        </w:sdtPr>
        <w:sdtEndPr/>
        <w:sdtContent>
          <w:r w:rsidR="00C46F9D">
            <w:fldChar w:fldCharType="begin"/>
          </w:r>
          <w:r w:rsidR="00C46F9D">
            <w:rPr>
              <w:lang w:val="en-US"/>
            </w:rPr>
            <w:instrText xml:space="preserve"> CITATION Orh15 \l 1033 </w:instrText>
          </w:r>
          <w:r w:rsidR="00C46F9D">
            <w:fldChar w:fldCharType="separate"/>
          </w:r>
          <w:r w:rsidR="00B81B8B" w:rsidRPr="00B81B8B">
            <w:rPr>
              <w:noProof/>
              <w:lang w:val="en-US"/>
            </w:rPr>
            <w:t>(Orhangazi, 2015)</w:t>
          </w:r>
          <w:r w:rsidR="00C46F9D">
            <w:fldChar w:fldCharType="end"/>
          </w:r>
        </w:sdtContent>
      </w:sdt>
      <w:r w:rsidRPr="00CD67E6">
        <w:t xml:space="preserve">. The new agreement makes providing data as a whistle-blower </w:t>
      </w:r>
      <w:proofErr w:type="gramStart"/>
      <w:r w:rsidRPr="00CD67E6">
        <w:t>actually attractive</w:t>
      </w:r>
      <w:proofErr w:type="gramEnd"/>
      <w:r w:rsidRPr="00CD67E6">
        <w:t xml:space="preserve"> and financially more advantageous </w:t>
      </w:r>
      <w:sdt>
        <w:sdtPr>
          <w:id w:val="881681106"/>
          <w:citation/>
        </w:sdtPr>
        <w:sdtEndPr/>
        <w:sdtContent>
          <w:r w:rsidR="00C46F9D">
            <w:fldChar w:fldCharType="begin"/>
          </w:r>
          <w:r w:rsidR="00C46F9D">
            <w:rPr>
              <w:lang w:val="en-US"/>
            </w:rPr>
            <w:instrText xml:space="preserve"> CITATION Bor10 \l 1033 </w:instrText>
          </w:r>
          <w:r w:rsidR="00C46F9D">
            <w:fldChar w:fldCharType="separate"/>
          </w:r>
          <w:r w:rsidR="00B81B8B" w:rsidRPr="00B81B8B">
            <w:rPr>
              <w:noProof/>
              <w:lang w:val="en-US"/>
            </w:rPr>
            <w:t>(Bordo &amp; Landon-Lane, 2010)</w:t>
          </w:r>
          <w:r w:rsidR="00C46F9D">
            <w:fldChar w:fldCharType="end"/>
          </w:r>
        </w:sdtContent>
      </w:sdt>
      <w:r w:rsidR="00C46F9D">
        <w:t>.</w:t>
      </w:r>
    </w:p>
    <w:p w14:paraId="1C6D682E" w14:textId="77777777" w:rsidR="00CD67E6" w:rsidRPr="00CD67E6" w:rsidRDefault="00CD67E6" w:rsidP="00293A7D">
      <w:pPr>
        <w:jc w:val="both"/>
      </w:pPr>
    </w:p>
    <w:p w14:paraId="2C427551" w14:textId="66C836DB" w:rsidR="00CD67E6" w:rsidRDefault="00CD67E6" w:rsidP="00C15C66">
      <w:pPr>
        <w:pStyle w:val="Heading2"/>
        <w:numPr>
          <w:ilvl w:val="1"/>
          <w:numId w:val="5"/>
        </w:numPr>
      </w:pPr>
      <w:bookmarkStart w:id="18" w:name="_Toc69777987"/>
      <w:bookmarkStart w:id="19" w:name="_Toc68042453"/>
      <w:bookmarkStart w:id="20" w:name="_Toc71568087"/>
      <w:r w:rsidRPr="00CD67E6">
        <w:t>Further Dodd-Frank Enactments</w:t>
      </w:r>
      <w:bookmarkEnd w:id="18"/>
      <w:bookmarkEnd w:id="19"/>
      <w:bookmarkEnd w:id="20"/>
    </w:p>
    <w:p w14:paraId="29ED4B92" w14:textId="77777777" w:rsidR="00EA3ABB" w:rsidRPr="00EA3ABB" w:rsidRDefault="00EA3ABB" w:rsidP="00EA3ABB"/>
    <w:p w14:paraId="0C9B7EA5" w14:textId="5C106DC2" w:rsidR="00CD67E6" w:rsidRPr="00CD67E6" w:rsidRDefault="00CD67E6" w:rsidP="00293A7D">
      <w:pPr>
        <w:jc w:val="both"/>
      </w:pPr>
      <w:r w:rsidRPr="00CD67E6">
        <w:t xml:space="preserve">In addition to amending and revising new prevailing or existing laws, Dodd-Frank also contains </w:t>
      </w:r>
      <w:proofErr w:type="gramStart"/>
      <w:r w:rsidRPr="00CD67E6">
        <w:t>a number of</w:t>
      </w:r>
      <w:proofErr w:type="gramEnd"/>
      <w:r w:rsidRPr="00CD67E6">
        <w:t xml:space="preserve"> separate provisions </w:t>
      </w:r>
      <w:sdt>
        <w:sdtPr>
          <w:id w:val="-138653681"/>
          <w:citation/>
        </w:sdtPr>
        <w:sdtEndPr/>
        <w:sdtContent>
          <w:r w:rsidR="00A40A8B">
            <w:fldChar w:fldCharType="begin"/>
          </w:r>
          <w:r w:rsidR="00A40A8B">
            <w:rPr>
              <w:lang w:val="en-US"/>
            </w:rPr>
            <w:instrText xml:space="preserve"> CITATION Poo10 \l 1033 </w:instrText>
          </w:r>
          <w:r w:rsidR="00A40A8B">
            <w:fldChar w:fldCharType="separate"/>
          </w:r>
          <w:r w:rsidR="00B81B8B" w:rsidRPr="00B81B8B">
            <w:rPr>
              <w:noProof/>
              <w:lang w:val="en-US"/>
            </w:rPr>
            <w:t>(Poole, 2010)</w:t>
          </w:r>
          <w:r w:rsidR="00A40A8B">
            <w:fldChar w:fldCharType="end"/>
          </w:r>
        </w:sdtContent>
      </w:sdt>
      <w:r w:rsidRPr="00CD67E6">
        <w:t>.</w:t>
      </w:r>
    </w:p>
    <w:p w14:paraId="445627BA" w14:textId="77777777" w:rsidR="00CD67E6" w:rsidRPr="00CD67E6" w:rsidRDefault="00CD67E6" w:rsidP="00293A7D">
      <w:pPr>
        <w:jc w:val="both"/>
      </w:pPr>
    </w:p>
    <w:p w14:paraId="383EF5B8" w14:textId="77777777" w:rsidR="00CD67E6" w:rsidRPr="00CD67E6" w:rsidRDefault="00CD67E6" w:rsidP="00293A7D">
      <w:pPr>
        <w:jc w:val="both"/>
      </w:pPr>
      <w:bookmarkStart w:id="21" w:name="_Toc69777988"/>
      <w:bookmarkStart w:id="22" w:name="_Toc68042454"/>
      <w:r w:rsidRPr="00CD67E6">
        <w:t>Financial Stability Oversight Council</w:t>
      </w:r>
      <w:bookmarkEnd w:id="21"/>
      <w:bookmarkEnd w:id="22"/>
    </w:p>
    <w:p w14:paraId="626563F1" w14:textId="49F9CB74" w:rsidR="00CD67E6" w:rsidRPr="00CD67E6" w:rsidRDefault="00CD67E6" w:rsidP="00293A7D">
      <w:pPr>
        <w:jc w:val="both"/>
      </w:pPr>
      <w:r w:rsidRPr="00CD67E6">
        <w:t xml:space="preserve">The “Financial Stability Oversight Council (FSOC)” is mentioned in a systematic legislative body of the Dodd-Frank Act </w:t>
      </w:r>
      <w:sdt>
        <w:sdtPr>
          <w:id w:val="208233821"/>
          <w:citation/>
        </w:sdtPr>
        <w:sdtEndPr/>
        <w:sdtContent>
          <w:r w:rsidR="00EB6451">
            <w:fldChar w:fldCharType="begin"/>
          </w:r>
          <w:r w:rsidR="00EB6451">
            <w:rPr>
              <w:lang w:val="en-US"/>
            </w:rPr>
            <w:instrText xml:space="preserve"> CITATION Kac10 \l 1033 </w:instrText>
          </w:r>
          <w:r w:rsidR="00EB6451">
            <w:fldChar w:fldCharType="separate"/>
          </w:r>
          <w:r w:rsidR="00B81B8B" w:rsidRPr="00B81B8B">
            <w:rPr>
              <w:noProof/>
              <w:lang w:val="en-US"/>
            </w:rPr>
            <w:t>(Kacperczyk &amp; Schnabl, 2010)</w:t>
          </w:r>
          <w:r w:rsidR="00EB6451">
            <w:fldChar w:fldCharType="end"/>
          </w:r>
        </w:sdtContent>
      </w:sdt>
      <w:r w:rsidRPr="00CD67E6">
        <w:t xml:space="preserve">. The creation of the FSOC is focused on enhancing fundamental risk factors </w:t>
      </w:r>
      <w:sdt>
        <w:sdtPr>
          <w:id w:val="123046013"/>
          <w:citation/>
        </w:sdtPr>
        <w:sdtEndPr/>
        <w:sdtContent>
          <w:r w:rsidR="00EB6451">
            <w:fldChar w:fldCharType="begin"/>
          </w:r>
          <w:r w:rsidR="00EB6451">
            <w:rPr>
              <w:lang w:val="en-US"/>
            </w:rPr>
            <w:instrText xml:space="preserve"> CITATION Baj11 \l 1033 </w:instrText>
          </w:r>
          <w:r w:rsidR="00EB6451">
            <w:fldChar w:fldCharType="separate"/>
          </w:r>
          <w:r w:rsidR="00B81B8B" w:rsidRPr="00B81B8B">
            <w:rPr>
              <w:noProof/>
              <w:lang w:val="en-US"/>
            </w:rPr>
            <w:t>(Bajpai, 2011)</w:t>
          </w:r>
          <w:r w:rsidR="00EB6451">
            <w:fldChar w:fldCharType="end"/>
          </w:r>
        </w:sdtContent>
      </w:sdt>
      <w:r w:rsidRPr="00CD67E6">
        <w:t xml:space="preserve">. Moreover, the primary function of the FSOC is to review certain “systemically important financial institutions (SIFIs)” that are deemed “too big to fail” </w:t>
      </w:r>
      <w:sdt>
        <w:sdtPr>
          <w:id w:val="-563721176"/>
          <w:citation/>
        </w:sdtPr>
        <w:sdtEndPr/>
        <w:sdtContent>
          <w:r w:rsidR="00EB6451">
            <w:fldChar w:fldCharType="begin"/>
          </w:r>
          <w:r w:rsidR="00EB6451">
            <w:rPr>
              <w:lang w:val="en-US"/>
            </w:rPr>
            <w:instrText xml:space="preserve"> CITATION Gab10 \l 1033 </w:instrText>
          </w:r>
          <w:r w:rsidR="00EB6451">
            <w:fldChar w:fldCharType="separate"/>
          </w:r>
          <w:r w:rsidR="00B81B8B" w:rsidRPr="00B81B8B">
            <w:rPr>
              <w:noProof/>
              <w:lang w:val="en-US"/>
            </w:rPr>
            <w:t>(Gabrieli, 2010)</w:t>
          </w:r>
          <w:r w:rsidR="00EB6451">
            <w:fldChar w:fldCharType="end"/>
          </w:r>
        </w:sdtContent>
      </w:sdt>
      <w:r w:rsidRPr="00CD67E6">
        <w:t xml:space="preserve">. One of the core objectives of FSOC is to empower to require audits and records of SIFI activities. The FSOC has the power to entail inspections and records of the business processes and activities of SFUs </w:t>
      </w:r>
      <w:sdt>
        <w:sdtPr>
          <w:id w:val="876742235"/>
          <w:citation/>
        </w:sdtPr>
        <w:sdtEndPr/>
        <w:sdtContent>
          <w:r w:rsidR="00EB6451">
            <w:fldChar w:fldCharType="begin"/>
          </w:r>
          <w:r w:rsidR="00EB6451">
            <w:rPr>
              <w:lang w:val="en-US"/>
            </w:rPr>
            <w:instrText xml:space="preserve"> CITATION Hop11 \l 1033 </w:instrText>
          </w:r>
          <w:r w:rsidR="00EB6451">
            <w:fldChar w:fldCharType="separate"/>
          </w:r>
          <w:r w:rsidR="00B81B8B" w:rsidRPr="00B81B8B">
            <w:rPr>
              <w:noProof/>
              <w:lang w:val="en-US"/>
            </w:rPr>
            <w:t>(Hope, 2011)</w:t>
          </w:r>
          <w:r w:rsidR="00EB6451">
            <w:fldChar w:fldCharType="end"/>
          </w:r>
        </w:sdtContent>
      </w:sdt>
      <w:r w:rsidR="00EB6451">
        <w:t xml:space="preserve">. </w:t>
      </w:r>
      <w:r w:rsidRPr="00CD67E6">
        <w:t xml:space="preserve">This may not only split or decide or convert these institutions to reduce the general damage to the economic state but also improve the economic values </w:t>
      </w:r>
      <w:sdt>
        <w:sdtPr>
          <w:id w:val="1748298528"/>
          <w:citation/>
        </w:sdtPr>
        <w:sdtEndPr/>
        <w:sdtContent>
          <w:r w:rsidR="00EB6451">
            <w:fldChar w:fldCharType="begin"/>
          </w:r>
          <w:r w:rsidR="00EB6451">
            <w:rPr>
              <w:lang w:val="en-US"/>
            </w:rPr>
            <w:instrText xml:space="preserve">CITATION Jef17 \l 1033 </w:instrText>
          </w:r>
          <w:r w:rsidR="00EB6451">
            <w:fldChar w:fldCharType="separate"/>
          </w:r>
          <w:r w:rsidR="00B81B8B" w:rsidRPr="00B81B8B">
            <w:rPr>
              <w:noProof/>
              <w:lang w:val="en-US"/>
            </w:rPr>
            <w:t>(Jefferies, 2017)</w:t>
          </w:r>
          <w:r w:rsidR="00EB6451">
            <w:fldChar w:fldCharType="end"/>
          </w:r>
        </w:sdtContent>
      </w:sdt>
      <w:r w:rsidRPr="00CD67E6">
        <w:t>.</w:t>
      </w:r>
    </w:p>
    <w:p w14:paraId="66B7F50E" w14:textId="2FDE7079" w:rsidR="00CD67E6" w:rsidRDefault="00CD67E6" w:rsidP="00293A7D">
      <w:pPr>
        <w:jc w:val="both"/>
      </w:pPr>
    </w:p>
    <w:p w14:paraId="038DAAAD" w14:textId="6CD964B8" w:rsidR="00EA3ABB" w:rsidRDefault="00EA3ABB" w:rsidP="00293A7D">
      <w:pPr>
        <w:jc w:val="both"/>
      </w:pPr>
    </w:p>
    <w:p w14:paraId="6AF9D7AF" w14:textId="77777777" w:rsidR="00EA3ABB" w:rsidRPr="00CD67E6" w:rsidRDefault="00EA3ABB" w:rsidP="00293A7D">
      <w:pPr>
        <w:jc w:val="both"/>
      </w:pPr>
    </w:p>
    <w:p w14:paraId="3A41187E" w14:textId="0F78FBFB" w:rsidR="00CD67E6" w:rsidRDefault="00CD67E6" w:rsidP="00C15C66">
      <w:pPr>
        <w:pStyle w:val="Heading2"/>
        <w:numPr>
          <w:ilvl w:val="1"/>
          <w:numId w:val="5"/>
        </w:numPr>
      </w:pPr>
      <w:bookmarkStart w:id="23" w:name="_Toc69777989"/>
      <w:bookmarkStart w:id="24" w:name="_Toc68042455"/>
      <w:bookmarkStart w:id="25" w:name="_Toc71568088"/>
      <w:r w:rsidRPr="00CD67E6">
        <w:lastRenderedPageBreak/>
        <w:t>Rule of Volcker</w:t>
      </w:r>
      <w:bookmarkEnd w:id="23"/>
      <w:bookmarkEnd w:id="24"/>
      <w:bookmarkEnd w:id="25"/>
    </w:p>
    <w:p w14:paraId="2F677ACA" w14:textId="77777777" w:rsidR="00EA3ABB" w:rsidRPr="00EA3ABB" w:rsidRDefault="00EA3ABB" w:rsidP="00EA3ABB"/>
    <w:p w14:paraId="6E555DA8" w14:textId="7D42703F" w:rsidR="00CD67E6" w:rsidRPr="00CD67E6" w:rsidRDefault="00CD67E6" w:rsidP="00293A7D">
      <w:pPr>
        <w:jc w:val="both"/>
      </w:pPr>
      <w:r w:rsidRPr="00CD67E6">
        <w:t xml:space="preserve">One of the features of Dodd-Frank, known as the Rule of Volcker, is intended to limit the projected investments </w:t>
      </w:r>
      <w:sdt>
        <w:sdtPr>
          <w:id w:val="788863413"/>
          <w:citation/>
        </w:sdtPr>
        <w:sdtEndPr/>
        <w:sdtContent>
          <w:r w:rsidR="00EB6451">
            <w:fldChar w:fldCharType="begin"/>
          </w:r>
          <w:r w:rsidR="00EB6451">
            <w:rPr>
              <w:lang w:val="en-US"/>
            </w:rPr>
            <w:instrText xml:space="preserve"> CITATION Pla17 \l 1033 </w:instrText>
          </w:r>
          <w:r w:rsidR="00EB6451">
            <w:fldChar w:fldCharType="separate"/>
          </w:r>
          <w:r w:rsidR="00B81B8B" w:rsidRPr="00B81B8B">
            <w:rPr>
              <w:noProof/>
              <w:lang w:val="en-US"/>
            </w:rPr>
            <w:t>(Plagborg‐Møller &amp; Holm, 2017)</w:t>
          </w:r>
          <w:r w:rsidR="00EB6451">
            <w:fldChar w:fldCharType="end"/>
          </w:r>
        </w:sdtContent>
      </w:sdt>
      <w:r w:rsidRPr="00CD67E6">
        <w:t xml:space="preserve">. For example, the Rule of Volcker was effectively used to prohibit proprietary trading in depository institutions and similarly reduced the number of trading privileges of restrictive traders in other large and outsized financial institutions </w:t>
      </w:r>
      <w:sdt>
        <w:sdtPr>
          <w:id w:val="-172113342"/>
          <w:citation/>
        </w:sdtPr>
        <w:sdtEndPr/>
        <w:sdtContent>
          <w:r w:rsidR="00317459">
            <w:fldChar w:fldCharType="begin"/>
          </w:r>
          <w:r w:rsidR="00317459">
            <w:rPr>
              <w:lang w:val="en-US"/>
            </w:rPr>
            <w:instrText xml:space="preserve"> CITATION Pla17 \l 1033 </w:instrText>
          </w:r>
          <w:r w:rsidR="00317459">
            <w:fldChar w:fldCharType="separate"/>
          </w:r>
          <w:r w:rsidR="00B81B8B" w:rsidRPr="00B81B8B">
            <w:rPr>
              <w:noProof/>
              <w:lang w:val="en-US"/>
            </w:rPr>
            <w:t>(Plagborg‐Møller &amp; Holm, 2017)</w:t>
          </w:r>
          <w:r w:rsidR="00317459">
            <w:fldChar w:fldCharType="end"/>
          </w:r>
        </w:sdtContent>
      </w:sdt>
      <w:r w:rsidRPr="00CD67E6">
        <w:t>.</w:t>
      </w:r>
    </w:p>
    <w:p w14:paraId="5BF6E599" w14:textId="77777777" w:rsidR="00CD67E6" w:rsidRPr="00CD67E6" w:rsidRDefault="00CD67E6" w:rsidP="00293A7D">
      <w:pPr>
        <w:jc w:val="both"/>
      </w:pPr>
    </w:p>
    <w:p w14:paraId="29D30A41" w14:textId="77777777" w:rsidR="00CD67E6" w:rsidRPr="00CD67E6" w:rsidRDefault="00CD67E6" w:rsidP="00293A7D">
      <w:pPr>
        <w:jc w:val="both"/>
      </w:pPr>
      <w:bookmarkStart w:id="26" w:name="_Toc69777990"/>
      <w:bookmarkStart w:id="27" w:name="_Toc68042456"/>
      <w:r w:rsidRPr="00CD67E6">
        <w:t>Consumer Financial Protection Bureau</w:t>
      </w:r>
      <w:bookmarkEnd w:id="26"/>
      <w:bookmarkEnd w:id="27"/>
    </w:p>
    <w:p w14:paraId="203D3A21" w14:textId="5F142370" w:rsidR="00CD67E6" w:rsidRPr="00CD67E6" w:rsidRDefault="00CD67E6" w:rsidP="00293A7D">
      <w:pPr>
        <w:jc w:val="both"/>
      </w:pPr>
      <w:r w:rsidRPr="00CD67E6">
        <w:t xml:space="preserve">CFPB was established by the Dodd-Frank Act to look after the financial products, market networks, and regulatory systems, and markets available to all US consumers. The main purpose of this is to manage all financial products, regulatory </w:t>
      </w:r>
      <w:proofErr w:type="gramStart"/>
      <w:r w:rsidRPr="00CD67E6">
        <w:t>systems</w:t>
      </w:r>
      <w:proofErr w:type="gramEnd"/>
      <w:r w:rsidRPr="00CD67E6">
        <w:t xml:space="preserve"> and markets available to US consumers </w:t>
      </w:r>
      <w:sdt>
        <w:sdtPr>
          <w:id w:val="-571728882"/>
          <w:citation/>
        </w:sdtPr>
        <w:sdtEndPr/>
        <w:sdtContent>
          <w:r w:rsidR="00D802FF">
            <w:fldChar w:fldCharType="begin"/>
          </w:r>
          <w:r w:rsidR="00D802FF">
            <w:rPr>
              <w:lang w:val="en-US"/>
            </w:rPr>
            <w:instrText xml:space="preserve"> CITATION Bar18 \l 1033 </w:instrText>
          </w:r>
          <w:r w:rsidR="00D802FF">
            <w:fldChar w:fldCharType="separate"/>
          </w:r>
          <w:r w:rsidR="00B81B8B" w:rsidRPr="00B81B8B">
            <w:rPr>
              <w:noProof/>
              <w:lang w:val="en-US"/>
            </w:rPr>
            <w:t>(Barnichon, et al., 2018)</w:t>
          </w:r>
          <w:r w:rsidR="00D802FF">
            <w:fldChar w:fldCharType="end"/>
          </w:r>
        </w:sdtContent>
      </w:sdt>
      <w:r w:rsidRPr="00CD67E6">
        <w:t xml:space="preserve">. As part of its mandate, CFPB provides </w:t>
      </w:r>
      <w:proofErr w:type="gramStart"/>
      <w:r w:rsidRPr="00CD67E6">
        <w:t>a number of</w:t>
      </w:r>
      <w:proofErr w:type="gramEnd"/>
      <w:r w:rsidRPr="00CD67E6">
        <w:t xml:space="preserve"> educational materials that require for the US consumers. It can also find undesirable practices through judicial confirmation in US courts </w:t>
      </w:r>
      <w:sdt>
        <w:sdtPr>
          <w:id w:val="1391843211"/>
          <w:citation/>
        </w:sdtPr>
        <w:sdtEndPr/>
        <w:sdtContent>
          <w:r w:rsidR="00D802FF">
            <w:fldChar w:fldCharType="begin"/>
          </w:r>
          <w:r w:rsidR="00D802FF">
            <w:rPr>
              <w:lang w:val="en-US"/>
            </w:rPr>
            <w:instrText xml:space="preserve"> CITATION Ana13 \l 1033 </w:instrText>
          </w:r>
          <w:r w:rsidR="00D802FF">
            <w:fldChar w:fldCharType="separate"/>
          </w:r>
          <w:r w:rsidR="00B81B8B" w:rsidRPr="00B81B8B">
            <w:rPr>
              <w:noProof/>
              <w:lang w:val="en-US"/>
            </w:rPr>
            <w:t>(Anand, et al., 2013)</w:t>
          </w:r>
          <w:r w:rsidR="00D802FF">
            <w:fldChar w:fldCharType="end"/>
          </w:r>
        </w:sdtContent>
      </w:sdt>
      <w:r w:rsidRPr="00CD67E6">
        <w:t>).</w:t>
      </w:r>
    </w:p>
    <w:p w14:paraId="67EBC7A5" w14:textId="77777777" w:rsidR="00CD67E6" w:rsidRPr="00CD67E6" w:rsidRDefault="00CD67E6" w:rsidP="00293A7D">
      <w:pPr>
        <w:jc w:val="both"/>
      </w:pPr>
    </w:p>
    <w:p w14:paraId="5B5705F7" w14:textId="77777777" w:rsidR="00CD67E6" w:rsidRPr="00CD67E6" w:rsidRDefault="00CD67E6" w:rsidP="00293A7D">
      <w:pPr>
        <w:jc w:val="both"/>
      </w:pPr>
      <w:bookmarkStart w:id="28" w:name="_Toc69777991"/>
      <w:bookmarkStart w:id="29" w:name="_Toc68042457"/>
      <w:r w:rsidRPr="00CD67E6">
        <w:t>Emergency Economic Stabilization Act</w:t>
      </w:r>
      <w:bookmarkEnd w:id="28"/>
      <w:bookmarkEnd w:id="29"/>
    </w:p>
    <w:p w14:paraId="348CCCB1" w14:textId="18E800BC" w:rsidR="00CD67E6" w:rsidRPr="00CD67E6" w:rsidRDefault="00CD67E6" w:rsidP="00293A7D">
      <w:pPr>
        <w:jc w:val="both"/>
      </w:pPr>
      <w:r w:rsidRPr="00CD67E6">
        <w:t xml:space="preserve">A separated Congress has approved the “Emergency Economic Stabilization Act”, which gave the “Treasury” about $710 billion to buy “distressed assets,” most of which were offerings of bank and mortgage-backed securities in October 2008 </w:t>
      </w:r>
      <w:sdt>
        <w:sdtPr>
          <w:id w:val="-449474954"/>
          <w:citation/>
        </w:sdtPr>
        <w:sdtEndPr/>
        <w:sdtContent>
          <w:r w:rsidR="00D802FF">
            <w:fldChar w:fldCharType="begin"/>
          </w:r>
          <w:r w:rsidR="00D802FF">
            <w:rPr>
              <w:lang w:val="en-US"/>
            </w:rPr>
            <w:instrText xml:space="preserve"> CITATION Qui10 \l 1033 </w:instrText>
          </w:r>
          <w:r w:rsidR="00D802FF">
            <w:fldChar w:fldCharType="separate"/>
          </w:r>
          <w:r w:rsidR="00B81B8B" w:rsidRPr="00B81B8B">
            <w:rPr>
              <w:noProof/>
              <w:lang w:val="en-US"/>
            </w:rPr>
            <w:t>(Quispe &amp; Rossini, 2010)</w:t>
          </w:r>
          <w:r w:rsidR="00D802FF">
            <w:fldChar w:fldCharType="end"/>
          </w:r>
        </w:sdtContent>
      </w:sdt>
      <w:r w:rsidRPr="00CD67E6">
        <w:t xml:space="preserve">. One of the programs entitled as “Troubled Asset Relief Program”, as it was called, ended up spending $427.5 billion to bail out institutions like Citigroup (C), Bank of America (BAC), General Motors (GM), American International Group (AIG), and JPMorgan (JPM) </w:t>
      </w:r>
      <w:sdt>
        <w:sdtPr>
          <w:id w:val="1461608242"/>
          <w:citation/>
        </w:sdtPr>
        <w:sdtEndPr/>
        <w:sdtContent>
          <w:r w:rsidR="00D802FF">
            <w:fldChar w:fldCharType="begin"/>
          </w:r>
          <w:r w:rsidR="00D802FF">
            <w:rPr>
              <w:lang w:val="en-US"/>
            </w:rPr>
            <w:instrText xml:space="preserve"> CITATION San14 \l 1033 </w:instrText>
          </w:r>
          <w:r w:rsidR="00D802FF">
            <w:fldChar w:fldCharType="separate"/>
          </w:r>
          <w:r w:rsidR="00B81B8B" w:rsidRPr="00B81B8B">
            <w:rPr>
              <w:noProof/>
              <w:lang w:val="en-US"/>
            </w:rPr>
            <w:t>(Sanchez, 2014)</w:t>
          </w:r>
          <w:r w:rsidR="00D802FF">
            <w:fldChar w:fldCharType="end"/>
          </w:r>
        </w:sdtContent>
      </w:sdt>
      <w:r w:rsidR="00D802FF">
        <w:t xml:space="preserve">. </w:t>
      </w:r>
      <w:r w:rsidRPr="00CD67E6">
        <w:t xml:space="preserve">It has been found that treasury recovered $445.8 billion from </w:t>
      </w:r>
      <w:proofErr w:type="gramStart"/>
      <w:r w:rsidRPr="00CD67E6">
        <w:t>all of</w:t>
      </w:r>
      <w:proofErr w:type="gramEnd"/>
      <w:r w:rsidRPr="00CD67E6">
        <w:t xml:space="preserve"> the listed TARP beneficiaries </w:t>
      </w:r>
      <w:sdt>
        <w:sdtPr>
          <w:id w:val="1767576211"/>
          <w:citation/>
        </w:sdtPr>
        <w:sdtEndPr/>
        <w:sdtContent>
          <w:r w:rsidR="00D802FF">
            <w:fldChar w:fldCharType="begin"/>
          </w:r>
          <w:r w:rsidR="00D802FF">
            <w:rPr>
              <w:lang w:val="en-US"/>
            </w:rPr>
            <w:instrText xml:space="preserve"> CITATION Bal10 \l 1033 </w:instrText>
          </w:r>
          <w:r w:rsidR="00D802FF">
            <w:fldChar w:fldCharType="separate"/>
          </w:r>
          <w:r w:rsidR="00B81B8B" w:rsidRPr="00B81B8B">
            <w:rPr>
              <w:noProof/>
              <w:lang w:val="en-US"/>
            </w:rPr>
            <w:t>(Ball, 2010)</w:t>
          </w:r>
          <w:r w:rsidR="00D802FF">
            <w:fldChar w:fldCharType="end"/>
          </w:r>
        </w:sdtContent>
      </w:sdt>
      <w:r w:rsidRPr="00CD67E6">
        <w:t>.</w:t>
      </w:r>
    </w:p>
    <w:p w14:paraId="189574BA" w14:textId="77777777" w:rsidR="00CD67E6" w:rsidRPr="00CD67E6" w:rsidRDefault="00CD67E6" w:rsidP="00293A7D">
      <w:pPr>
        <w:jc w:val="both"/>
      </w:pPr>
    </w:p>
    <w:p w14:paraId="38ABAF8E" w14:textId="5EFEEB2D" w:rsidR="00CD67E6" w:rsidRDefault="00CD67E6" w:rsidP="00C15C66">
      <w:pPr>
        <w:pStyle w:val="Heading2"/>
        <w:numPr>
          <w:ilvl w:val="1"/>
          <w:numId w:val="5"/>
        </w:numPr>
      </w:pPr>
      <w:bookmarkStart w:id="30" w:name="_Toc69777992"/>
      <w:bookmarkStart w:id="31" w:name="_Toc68042458"/>
      <w:bookmarkStart w:id="32" w:name="_Toc71568089"/>
      <w:r w:rsidRPr="00CD67E6">
        <w:t>Federal Reserve</w:t>
      </w:r>
      <w:bookmarkEnd w:id="30"/>
      <w:bookmarkEnd w:id="31"/>
      <w:bookmarkEnd w:id="32"/>
    </w:p>
    <w:p w14:paraId="7490F529" w14:textId="77777777" w:rsidR="008E61A6" w:rsidRPr="008E61A6" w:rsidRDefault="008E61A6" w:rsidP="008E61A6"/>
    <w:p w14:paraId="2D7AA5F7" w14:textId="54091AA8" w:rsidR="00CD67E6" w:rsidRPr="00CD67E6" w:rsidRDefault="009B3478" w:rsidP="00293A7D">
      <w:pPr>
        <w:jc w:val="both"/>
      </w:pPr>
      <w:r>
        <w:t xml:space="preserve">The study of </w:t>
      </w:r>
      <w:sdt>
        <w:sdtPr>
          <w:id w:val="-686213583"/>
          <w:citation/>
        </w:sdtPr>
        <w:sdtEndPr/>
        <w:sdtContent>
          <w:r>
            <w:fldChar w:fldCharType="begin"/>
          </w:r>
          <w:r>
            <w:rPr>
              <w:lang w:val="en-US"/>
            </w:rPr>
            <w:instrText xml:space="preserve"> CITATION San14 \l 1033 </w:instrText>
          </w:r>
          <w:r>
            <w:fldChar w:fldCharType="separate"/>
          </w:r>
          <w:r w:rsidR="00B81B8B" w:rsidRPr="00B81B8B">
            <w:rPr>
              <w:noProof/>
              <w:lang w:val="en-US"/>
            </w:rPr>
            <w:t>(Sanchez, 2014)</w:t>
          </w:r>
          <w:r>
            <w:fldChar w:fldCharType="end"/>
          </w:r>
        </w:sdtContent>
      </w:sdt>
      <w:r w:rsidR="00CD67E6" w:rsidRPr="00CD67E6">
        <w:t xml:space="preserve">, during and after the 2008 financial crisis, the Federal </w:t>
      </w:r>
      <w:r w:rsidRPr="00CD67E6">
        <w:t>Reserve has</w:t>
      </w:r>
      <w:r w:rsidR="00CD67E6" w:rsidRPr="00CD67E6">
        <w:t xml:space="preserve"> taken unnecessary steps to save both financial and economic markets. In addition to the targeted approach to monetary policy, the Fed implemented </w:t>
      </w:r>
      <w:proofErr w:type="gramStart"/>
      <w:r w:rsidR="00CD67E6" w:rsidRPr="00CD67E6">
        <w:t>a number of</w:t>
      </w:r>
      <w:proofErr w:type="gramEnd"/>
      <w:r w:rsidR="00CD67E6" w:rsidRPr="00CD67E6">
        <w:t xml:space="preserve"> unique reasoning tools to provide credit to various market sectors. These unique reasoning offices have, in a sense, become another standard for the emergency lending activities and Fed.</w:t>
      </w:r>
    </w:p>
    <w:p w14:paraId="553DC43A" w14:textId="662DC1CD" w:rsidR="00CD67E6" w:rsidRPr="00CD67E6" w:rsidRDefault="00CD67E6" w:rsidP="00293A7D">
      <w:pPr>
        <w:jc w:val="both"/>
      </w:pPr>
      <w:r w:rsidRPr="00CD67E6">
        <w:t>Furthermore, based on their own actions, the Fed is authorized by the Dodd-Frank Act to conduct routine stress tests of banks</w:t>
      </w:r>
      <w:r w:rsidR="0034225A">
        <w:t xml:space="preserve"> </w:t>
      </w:r>
      <w:sdt>
        <w:sdtPr>
          <w:id w:val="-2005266756"/>
          <w:citation/>
        </w:sdtPr>
        <w:sdtEndPr/>
        <w:sdtContent>
          <w:r w:rsidR="0034225A">
            <w:fldChar w:fldCharType="begin"/>
          </w:r>
          <w:r w:rsidR="0034225A">
            <w:rPr>
              <w:lang w:val="en-US"/>
            </w:rPr>
            <w:instrText xml:space="preserve"> CITATION San14 \l 1033 </w:instrText>
          </w:r>
          <w:r w:rsidR="0034225A">
            <w:fldChar w:fldCharType="separate"/>
          </w:r>
          <w:r w:rsidR="00B81B8B" w:rsidRPr="00B81B8B">
            <w:rPr>
              <w:noProof/>
              <w:lang w:val="en-US"/>
            </w:rPr>
            <w:t>(Sanchez, 2014)</w:t>
          </w:r>
          <w:r w:rsidR="0034225A">
            <w:fldChar w:fldCharType="end"/>
          </w:r>
        </w:sdtContent>
      </w:sdt>
      <w:r w:rsidRPr="00CD67E6">
        <w:t xml:space="preserve">. The Federal Reserve’s stress testing provisions in the Dodd-Frank Act are found primarily in Section 11 </w:t>
      </w:r>
      <w:sdt>
        <w:sdtPr>
          <w:id w:val="-575822561"/>
          <w:citation/>
        </w:sdtPr>
        <w:sdtEndPr/>
        <w:sdtContent>
          <w:r w:rsidR="0034225A">
            <w:fldChar w:fldCharType="begin"/>
          </w:r>
          <w:r w:rsidR="0034225A">
            <w:rPr>
              <w:lang w:val="en-US"/>
            </w:rPr>
            <w:instrText xml:space="preserve"> CITATION Bal10 \l 1033 </w:instrText>
          </w:r>
          <w:r w:rsidR="0034225A">
            <w:fldChar w:fldCharType="separate"/>
          </w:r>
          <w:r w:rsidR="00B81B8B" w:rsidRPr="00B81B8B">
            <w:rPr>
              <w:noProof/>
              <w:lang w:val="en-US"/>
            </w:rPr>
            <w:t>(Ball, 2010)</w:t>
          </w:r>
          <w:r w:rsidR="0034225A">
            <w:fldChar w:fldCharType="end"/>
          </w:r>
        </w:sdtContent>
      </w:sdt>
      <w:r w:rsidRPr="00CD67E6">
        <w:t xml:space="preserve">. Under the Dodd-Frank Act, the FR has conducted two sorts of stress tests each year </w:t>
      </w:r>
      <w:sdt>
        <w:sdtPr>
          <w:id w:val="1083580229"/>
          <w:citation/>
        </w:sdtPr>
        <w:sdtEndPr/>
        <w:sdtContent>
          <w:r w:rsidR="0034225A">
            <w:fldChar w:fldCharType="begin"/>
          </w:r>
          <w:r w:rsidR="0034225A">
            <w:rPr>
              <w:lang w:val="en-US"/>
            </w:rPr>
            <w:instrText xml:space="preserve"> CITATION Fer20 \l 1033 </w:instrText>
          </w:r>
          <w:r w:rsidR="0034225A">
            <w:fldChar w:fldCharType="separate"/>
          </w:r>
          <w:r w:rsidR="00B81B8B" w:rsidRPr="00B81B8B">
            <w:rPr>
              <w:noProof/>
              <w:lang w:val="en-US"/>
            </w:rPr>
            <w:t>(Fernández Sánchez, et al., 2020)</w:t>
          </w:r>
          <w:r w:rsidR="0034225A">
            <w:fldChar w:fldCharType="end"/>
          </w:r>
        </w:sdtContent>
      </w:sdt>
      <w:r w:rsidRPr="00CD67E6">
        <w:t>. The “Dodd-Frank Act Supervisory Stress Test</w:t>
      </w:r>
      <w:r w:rsidR="00264B90">
        <w:t>”</w:t>
      </w:r>
      <w:r w:rsidRPr="00CD67E6">
        <w:t xml:space="preserve"> (DFAST) and the “Comprehensive Capital Analysis and Review</w:t>
      </w:r>
      <w:r w:rsidR="00264B90">
        <w:t>”</w:t>
      </w:r>
      <w:r w:rsidRPr="00CD67E6">
        <w:t xml:space="preserve"> (CCAR) </w:t>
      </w:r>
      <w:sdt>
        <w:sdtPr>
          <w:id w:val="-213818575"/>
          <w:citation/>
        </w:sdtPr>
        <w:sdtEndPr/>
        <w:sdtContent>
          <w:r w:rsidR="0034225A">
            <w:fldChar w:fldCharType="begin"/>
          </w:r>
          <w:r w:rsidR="0034225A">
            <w:rPr>
              <w:lang w:val="en-US"/>
            </w:rPr>
            <w:instrText xml:space="preserve"> CITATION Elm16 \l 1033 </w:instrText>
          </w:r>
          <w:r w:rsidR="0034225A">
            <w:fldChar w:fldCharType="separate"/>
          </w:r>
          <w:r w:rsidR="00B81B8B" w:rsidRPr="00B81B8B">
            <w:rPr>
              <w:noProof/>
              <w:lang w:val="en-US"/>
            </w:rPr>
            <w:t>(Elmagrhi, et al., 2016)</w:t>
          </w:r>
          <w:r w:rsidR="0034225A">
            <w:fldChar w:fldCharType="end"/>
          </w:r>
        </w:sdtContent>
      </w:sdt>
      <w:r w:rsidRPr="00CD67E6">
        <w:t>.</w:t>
      </w:r>
    </w:p>
    <w:p w14:paraId="3D9DDA8F" w14:textId="4A7D2AAD" w:rsidR="00CD67E6" w:rsidRPr="00CD67E6" w:rsidRDefault="00CD67E6" w:rsidP="00293A7D">
      <w:pPr>
        <w:jc w:val="both"/>
      </w:pPr>
      <w:r w:rsidRPr="00CD67E6">
        <w:lastRenderedPageBreak/>
        <w:t xml:space="preserve">Dodd-Frank introduced </w:t>
      </w:r>
      <w:proofErr w:type="gramStart"/>
      <w:r w:rsidRPr="00CD67E6">
        <w:t>a number of</w:t>
      </w:r>
      <w:proofErr w:type="gramEnd"/>
      <w:r w:rsidRPr="00CD67E6">
        <w:t xml:space="preserve"> important changes to both administrative and legal rules governing securities financing, investment structure as well as corporate governance </w:t>
      </w:r>
      <w:sdt>
        <w:sdtPr>
          <w:id w:val="-1998799101"/>
          <w:citation/>
        </w:sdtPr>
        <w:sdtEndPr/>
        <w:sdtContent>
          <w:r w:rsidR="00036A8A">
            <w:fldChar w:fldCharType="begin"/>
          </w:r>
          <w:r w:rsidR="00036A8A">
            <w:rPr>
              <w:lang w:val="en-US"/>
            </w:rPr>
            <w:instrText xml:space="preserve"> CITATION Fra12 \l 1033 </w:instrText>
          </w:r>
          <w:r w:rsidR="00036A8A">
            <w:fldChar w:fldCharType="separate"/>
          </w:r>
          <w:r w:rsidR="00B81B8B" w:rsidRPr="00B81B8B">
            <w:rPr>
              <w:noProof/>
              <w:lang w:val="en-US"/>
            </w:rPr>
            <w:t>(Fratzscher, 2012)</w:t>
          </w:r>
          <w:r w:rsidR="00036A8A">
            <w:fldChar w:fldCharType="end"/>
          </w:r>
        </w:sdtContent>
      </w:sdt>
      <w:r w:rsidRPr="00CD67E6">
        <w:t xml:space="preserve">. It also sought to expand consumer protections. In addition, the Dodd-Frank Act created broad opportunities for the banking industry, including supervision of systemically important institutions, regulation of all bank holding companies, and regulation of lending, especially mortgage lending </w:t>
      </w:r>
      <w:sdt>
        <w:sdtPr>
          <w:id w:val="-1607033288"/>
          <w:citation/>
        </w:sdtPr>
        <w:sdtEndPr/>
        <w:sdtContent>
          <w:r w:rsidR="00036A8A">
            <w:fldChar w:fldCharType="begin"/>
          </w:r>
          <w:r w:rsidR="00036A8A">
            <w:rPr>
              <w:lang w:val="en-US"/>
            </w:rPr>
            <w:instrText xml:space="preserve"> CITATION Cha08 \l 1033 </w:instrText>
          </w:r>
          <w:r w:rsidR="00036A8A">
            <w:fldChar w:fldCharType="separate"/>
          </w:r>
          <w:r w:rsidR="00B81B8B" w:rsidRPr="00B81B8B">
            <w:rPr>
              <w:noProof/>
              <w:lang w:val="en-US"/>
            </w:rPr>
            <w:t>(Chari, et al., 2008)</w:t>
          </w:r>
          <w:r w:rsidR="00036A8A">
            <w:fldChar w:fldCharType="end"/>
          </w:r>
        </w:sdtContent>
      </w:sdt>
      <w:r w:rsidRPr="00CD67E6">
        <w:t>).</w:t>
      </w:r>
    </w:p>
    <w:p w14:paraId="6BD67298" w14:textId="6E5BEFFB" w:rsidR="00CD67E6" w:rsidRPr="00CD67E6" w:rsidRDefault="00CD67E6" w:rsidP="00293A7D">
      <w:pPr>
        <w:jc w:val="both"/>
      </w:pPr>
      <w:r w:rsidRPr="00CD67E6">
        <w:t xml:space="preserve">President Donald Trump signed into law the “Regulatory Relief, Economic Growth” and “Consumer Protection Act” in the mid of 2018 </w:t>
      </w:r>
      <w:sdt>
        <w:sdtPr>
          <w:id w:val="-255143317"/>
          <w:citation/>
        </w:sdtPr>
        <w:sdtEndPr/>
        <w:sdtContent>
          <w:r w:rsidR="00036A8A">
            <w:fldChar w:fldCharType="begin"/>
          </w:r>
          <w:r w:rsidR="00036A8A">
            <w:rPr>
              <w:lang w:val="en-US"/>
            </w:rPr>
            <w:instrText xml:space="preserve"> CITATION Bar18 \l 1033 </w:instrText>
          </w:r>
          <w:r w:rsidR="00036A8A">
            <w:fldChar w:fldCharType="separate"/>
          </w:r>
          <w:r w:rsidR="00B81B8B" w:rsidRPr="00B81B8B">
            <w:rPr>
              <w:noProof/>
              <w:lang w:val="en-US"/>
            </w:rPr>
            <w:t>(Barnichon, et al., 2018)</w:t>
          </w:r>
          <w:r w:rsidR="00036A8A">
            <w:fldChar w:fldCharType="end"/>
          </w:r>
        </w:sdtContent>
      </w:sdt>
      <w:r w:rsidRPr="00CD67E6">
        <w:t xml:space="preserve">. The Act alleviates many of the administrative obligations imposed on banks under the Dodd-Frank Act, primarily by expanding the inception at which banks can avail themselves of broader paper-based administrative obligations </w:t>
      </w:r>
      <w:sdt>
        <w:sdtPr>
          <w:id w:val="642863642"/>
          <w:citation/>
        </w:sdtPr>
        <w:sdtEndPr/>
        <w:sdtContent>
          <w:r w:rsidR="004B2C04">
            <w:fldChar w:fldCharType="begin"/>
          </w:r>
          <w:r w:rsidR="004B2C04">
            <w:rPr>
              <w:lang w:val="en-US"/>
            </w:rPr>
            <w:instrText xml:space="preserve"> CITATION Orh15 \l 1033 </w:instrText>
          </w:r>
          <w:r w:rsidR="004B2C04">
            <w:fldChar w:fldCharType="separate"/>
          </w:r>
          <w:r w:rsidR="00B81B8B" w:rsidRPr="00B81B8B">
            <w:rPr>
              <w:noProof/>
              <w:lang w:val="en-US"/>
            </w:rPr>
            <w:t>(Orhangazi, 2015)</w:t>
          </w:r>
          <w:r w:rsidR="004B2C04">
            <w:fldChar w:fldCharType="end"/>
          </w:r>
        </w:sdtContent>
      </w:sdt>
      <w:r w:rsidR="004B2C04">
        <w:t xml:space="preserve">. </w:t>
      </w:r>
      <w:r w:rsidRPr="00CD67E6">
        <w:t xml:space="preserve">The limit has been raised from $50 million to $250 million </w:t>
      </w:r>
      <w:sdt>
        <w:sdtPr>
          <w:id w:val="1474182449"/>
          <w:citation/>
        </w:sdtPr>
        <w:sdtEndPr/>
        <w:sdtContent>
          <w:r w:rsidR="004B2C04">
            <w:fldChar w:fldCharType="begin"/>
          </w:r>
          <w:r w:rsidR="004B2C04">
            <w:rPr>
              <w:lang w:val="en-US"/>
            </w:rPr>
            <w:instrText xml:space="preserve"> CITATION Fer20 \l 1033 </w:instrText>
          </w:r>
          <w:r w:rsidR="004B2C04">
            <w:fldChar w:fldCharType="separate"/>
          </w:r>
          <w:r w:rsidR="00B81B8B" w:rsidRPr="00B81B8B">
            <w:rPr>
              <w:noProof/>
              <w:lang w:val="en-US"/>
            </w:rPr>
            <w:t>(Fernández Sánchez, et al., 2020)</w:t>
          </w:r>
          <w:r w:rsidR="004B2C04">
            <w:fldChar w:fldCharType="end"/>
          </w:r>
        </w:sdtContent>
      </w:sdt>
      <w:r w:rsidRPr="00CD67E6">
        <w:t>.</w:t>
      </w:r>
    </w:p>
    <w:p w14:paraId="1CF71879" w14:textId="77777777" w:rsidR="00CD67E6" w:rsidRPr="00CD67E6" w:rsidRDefault="00CD67E6" w:rsidP="00293A7D">
      <w:pPr>
        <w:jc w:val="both"/>
      </w:pPr>
    </w:p>
    <w:p w14:paraId="4E72991F" w14:textId="77777777" w:rsidR="00CD67E6" w:rsidRPr="00CD67E6" w:rsidRDefault="00CD67E6" w:rsidP="00293A7D">
      <w:pPr>
        <w:jc w:val="both"/>
      </w:pPr>
      <w:bookmarkStart w:id="33" w:name="_Toc69777993"/>
      <w:bookmarkStart w:id="34" w:name="_Toc68042459"/>
      <w:r w:rsidRPr="00CD67E6">
        <w:t>Emergency Responses to Control Financial Crises</w:t>
      </w:r>
      <w:bookmarkEnd w:id="33"/>
      <w:bookmarkEnd w:id="34"/>
    </w:p>
    <w:p w14:paraId="1D6918D3" w14:textId="02E0BE1D" w:rsidR="00CD67E6" w:rsidRPr="00CD67E6" w:rsidRDefault="00CD67E6" w:rsidP="00293A7D">
      <w:pPr>
        <w:jc w:val="both"/>
      </w:pPr>
      <w:r w:rsidRPr="00CD67E6">
        <w:t xml:space="preserve">This phase provides an overview of the programmes planned and implemented by the U.S. government to contain the 2008 financial panic. In these emergency responses, a descriptive analysis has been performed based on proposed programs and implemented by the United States that can be found in the Davis Polk Handbook on the Financial Crisis </w:t>
      </w:r>
      <w:sdt>
        <w:sdtPr>
          <w:id w:val="-39132590"/>
          <w:citation/>
        </w:sdtPr>
        <w:sdtEndPr/>
        <w:sdtContent>
          <w:r w:rsidR="004B2C04">
            <w:fldChar w:fldCharType="begin"/>
          </w:r>
          <w:r w:rsidR="004B2C04">
            <w:rPr>
              <w:lang w:val="en-US"/>
            </w:rPr>
            <w:instrText xml:space="preserve"> CITATION Qui10 \l 1033 </w:instrText>
          </w:r>
          <w:r w:rsidR="004B2C04">
            <w:fldChar w:fldCharType="separate"/>
          </w:r>
          <w:r w:rsidR="00B81B8B" w:rsidRPr="00B81B8B">
            <w:rPr>
              <w:noProof/>
              <w:lang w:val="en-US"/>
            </w:rPr>
            <w:t>(Quispe &amp; Rossini, 2010)</w:t>
          </w:r>
          <w:r w:rsidR="004B2C04">
            <w:fldChar w:fldCharType="end"/>
          </w:r>
        </w:sdtContent>
      </w:sdt>
      <w:r w:rsidRPr="00CD67E6">
        <w:t>.</w:t>
      </w:r>
    </w:p>
    <w:p w14:paraId="63EA12F8" w14:textId="612C4B19" w:rsidR="00CD67E6" w:rsidRPr="00CD67E6" w:rsidRDefault="00CD67E6" w:rsidP="00293A7D">
      <w:pPr>
        <w:jc w:val="both"/>
      </w:pPr>
      <w:r w:rsidRPr="00CD67E6">
        <w:t xml:space="preserve">The U.S. financial panic programme consisted mainly of the following measures </w:t>
      </w:r>
      <w:sdt>
        <w:sdtPr>
          <w:id w:val="-859424183"/>
          <w:citation/>
        </w:sdtPr>
        <w:sdtEndPr/>
        <w:sdtContent>
          <w:r w:rsidR="004B2C04">
            <w:fldChar w:fldCharType="begin"/>
          </w:r>
          <w:r w:rsidR="004B2C04">
            <w:rPr>
              <w:lang w:val="en-US"/>
            </w:rPr>
            <w:instrText xml:space="preserve"> CITATION Can12 \l 1033 </w:instrText>
          </w:r>
          <w:r w:rsidR="004B2C04">
            <w:fldChar w:fldCharType="separate"/>
          </w:r>
          <w:r w:rsidR="00B81B8B" w:rsidRPr="00B81B8B">
            <w:rPr>
              <w:noProof/>
              <w:lang w:val="en-US"/>
            </w:rPr>
            <w:t>(Canova &amp; Hickey, 2012)</w:t>
          </w:r>
          <w:r w:rsidR="004B2C04">
            <w:fldChar w:fldCharType="end"/>
          </w:r>
        </w:sdtContent>
      </w:sdt>
      <w:r w:rsidRPr="00CD67E6">
        <w:t>.</w:t>
      </w:r>
    </w:p>
    <w:p w14:paraId="25E69667" w14:textId="1D0F1C3E" w:rsidR="00CD67E6" w:rsidRPr="00CD67E6" w:rsidRDefault="00CD67E6" w:rsidP="00293A7D">
      <w:pPr>
        <w:jc w:val="both"/>
      </w:pPr>
      <w:r w:rsidRPr="00CD67E6">
        <w:t>The “Troubled Asset Relief Program” (TARP) administered by the Treasury Department under the “Emergency Economic Stabilization Act of 2008</w:t>
      </w:r>
      <w:r w:rsidR="00264B90">
        <w:t>”</w:t>
      </w:r>
      <w:r w:rsidRPr="00CD67E6">
        <w:t xml:space="preserve"> (EESA), as amended, and the American Recovery and Reinvestment Act of 2009 (ARRA) </w:t>
      </w:r>
      <w:sdt>
        <w:sdtPr>
          <w:id w:val="1664346140"/>
          <w:citation/>
        </w:sdtPr>
        <w:sdtEndPr/>
        <w:sdtContent>
          <w:r w:rsidR="00332E02">
            <w:fldChar w:fldCharType="begin"/>
          </w:r>
          <w:r w:rsidR="00332E02">
            <w:rPr>
              <w:lang w:val="en-US"/>
            </w:rPr>
            <w:instrText xml:space="preserve"> CITATION Wil08 \l 1033 </w:instrText>
          </w:r>
          <w:r w:rsidR="00332E02">
            <w:fldChar w:fldCharType="separate"/>
          </w:r>
          <w:r w:rsidR="00B81B8B" w:rsidRPr="00B81B8B">
            <w:rPr>
              <w:noProof/>
              <w:lang w:val="en-US"/>
            </w:rPr>
            <w:t>(Wilmarth Jr, 2008)</w:t>
          </w:r>
          <w:r w:rsidR="00332E02">
            <w:fldChar w:fldCharType="end"/>
          </w:r>
        </w:sdtContent>
      </w:sdt>
      <w:r w:rsidRPr="00CD67E6">
        <w:t>.</w:t>
      </w:r>
    </w:p>
    <w:p w14:paraId="1A24ACE3" w14:textId="5BB184D9" w:rsidR="00CD67E6" w:rsidRPr="00CD67E6" w:rsidRDefault="00CD67E6" w:rsidP="00293A7D">
      <w:pPr>
        <w:jc w:val="both"/>
      </w:pPr>
      <w:r w:rsidRPr="00CD67E6">
        <w:t xml:space="preserve">There are various programmes administered under the umbrella of Federal Reserve Act (FRA). Also, these programmes are regulated under this traditional authority over the commercial bank credit assessment window and Section 13 of the Federal Reserve Act </w:t>
      </w:r>
      <w:sdt>
        <w:sdtPr>
          <w:id w:val="-1819804370"/>
          <w:citation/>
        </w:sdtPr>
        <w:sdtEndPr/>
        <w:sdtContent>
          <w:r w:rsidR="00332E02">
            <w:fldChar w:fldCharType="begin"/>
          </w:r>
          <w:r w:rsidR="00332E02">
            <w:rPr>
              <w:lang w:val="en-US"/>
            </w:rPr>
            <w:instrText xml:space="preserve"> CITATION Bar18 \l 1033 </w:instrText>
          </w:r>
          <w:r w:rsidR="00332E02">
            <w:fldChar w:fldCharType="separate"/>
          </w:r>
          <w:r w:rsidR="00B81B8B" w:rsidRPr="00B81B8B">
            <w:rPr>
              <w:noProof/>
              <w:lang w:val="en-US"/>
            </w:rPr>
            <w:t>(Barnichon, et al., 2018)</w:t>
          </w:r>
          <w:r w:rsidR="00332E02">
            <w:fldChar w:fldCharType="end"/>
          </w:r>
        </w:sdtContent>
      </w:sdt>
      <w:r w:rsidRPr="00CD67E6">
        <w:t>.</w:t>
      </w:r>
    </w:p>
    <w:p w14:paraId="0C092E2D" w14:textId="3D2B271C" w:rsidR="00CD67E6" w:rsidRPr="00CD67E6" w:rsidRDefault="00CD67E6" w:rsidP="00293A7D">
      <w:pPr>
        <w:jc w:val="both"/>
      </w:pPr>
      <w:r w:rsidRPr="00CD67E6">
        <w:t>The use of the “Deposit Insurance Fund</w:t>
      </w:r>
      <w:r w:rsidR="00264B90">
        <w:t>”</w:t>
      </w:r>
      <w:r w:rsidRPr="00CD67E6">
        <w:t xml:space="preserve"> (DIF) to provide critical support to the banking structure, comprises of the treatment of troubled and failed banks, the temporary expansion of deposit insurance to $260,000 per person in the Fund, and the implementation of the “Temporary Liquidity Guarantee Program” (TLGP) </w:t>
      </w:r>
      <w:sdt>
        <w:sdtPr>
          <w:id w:val="-464589482"/>
          <w:citation/>
        </w:sdtPr>
        <w:sdtEndPr/>
        <w:sdtContent>
          <w:r w:rsidR="00332E02">
            <w:fldChar w:fldCharType="begin"/>
          </w:r>
          <w:r w:rsidR="00332E02">
            <w:rPr>
              <w:lang w:val="en-US"/>
            </w:rPr>
            <w:instrText xml:space="preserve"> CITATION Hea18 \l 1033 </w:instrText>
          </w:r>
          <w:r w:rsidR="00332E02">
            <w:fldChar w:fldCharType="separate"/>
          </w:r>
          <w:r w:rsidR="00B81B8B" w:rsidRPr="00B81B8B">
            <w:rPr>
              <w:noProof/>
              <w:lang w:val="en-US"/>
            </w:rPr>
            <w:t>(Hearit, 2018)</w:t>
          </w:r>
          <w:r w:rsidR="00332E02">
            <w:fldChar w:fldCharType="end"/>
          </w:r>
        </w:sdtContent>
      </w:sdt>
      <w:r w:rsidRPr="00CD67E6">
        <w:t xml:space="preserve">. </w:t>
      </w:r>
    </w:p>
    <w:p w14:paraId="1CC7F587" w14:textId="4F406BC4" w:rsidR="00293A7D" w:rsidRPr="00CD67E6" w:rsidRDefault="00CD67E6" w:rsidP="00293A7D">
      <w:pPr>
        <w:jc w:val="both"/>
      </w:pPr>
      <w:r w:rsidRPr="00CD67E6">
        <w:t xml:space="preserve">Treasury’s bailout of Freddie Mac and Fannie Mae under the authority of the “Housing and Economic Recovery Act” (HERA) of 2008 </w:t>
      </w:r>
      <w:sdt>
        <w:sdtPr>
          <w:id w:val="982980123"/>
          <w:citation/>
        </w:sdtPr>
        <w:sdtEndPr/>
        <w:sdtContent>
          <w:r w:rsidR="00332E02">
            <w:fldChar w:fldCharType="begin"/>
          </w:r>
          <w:r w:rsidR="00332E02">
            <w:rPr>
              <w:lang w:val="en-US"/>
            </w:rPr>
            <w:instrText xml:space="preserve"> CITATION Cha08 \l 1033 </w:instrText>
          </w:r>
          <w:r w:rsidR="00332E02">
            <w:fldChar w:fldCharType="separate"/>
          </w:r>
          <w:r w:rsidR="00B81B8B" w:rsidRPr="00B81B8B">
            <w:rPr>
              <w:noProof/>
              <w:lang w:val="en-US"/>
            </w:rPr>
            <w:t>(Chari, et al., 2008)</w:t>
          </w:r>
          <w:r w:rsidR="00332E02">
            <w:fldChar w:fldCharType="end"/>
          </w:r>
        </w:sdtContent>
      </w:sdt>
      <w:r w:rsidR="00332E02">
        <w:t>.</w:t>
      </w:r>
    </w:p>
    <w:p w14:paraId="22021E47" w14:textId="133A6478" w:rsidR="00CD67E6" w:rsidRDefault="00CD67E6" w:rsidP="00293A7D">
      <w:pPr>
        <w:jc w:val="both"/>
      </w:pPr>
    </w:p>
    <w:p w14:paraId="422D0265" w14:textId="53C1BC60" w:rsidR="00D34743" w:rsidRDefault="00D34743" w:rsidP="00293A7D">
      <w:pPr>
        <w:jc w:val="both"/>
      </w:pPr>
    </w:p>
    <w:p w14:paraId="4A6486FE" w14:textId="4BECAA83" w:rsidR="00D34743" w:rsidRDefault="00D34743" w:rsidP="00293A7D">
      <w:pPr>
        <w:jc w:val="both"/>
      </w:pPr>
    </w:p>
    <w:p w14:paraId="5156339D" w14:textId="77777777" w:rsidR="00D34743" w:rsidRPr="00CD67E6" w:rsidRDefault="00D34743" w:rsidP="00293A7D">
      <w:pPr>
        <w:jc w:val="both"/>
      </w:pPr>
    </w:p>
    <w:p w14:paraId="3178AE0F" w14:textId="20B72082" w:rsidR="00CD67E6" w:rsidRDefault="00B17832" w:rsidP="00C15C66">
      <w:pPr>
        <w:pStyle w:val="Heading1"/>
        <w:numPr>
          <w:ilvl w:val="0"/>
          <w:numId w:val="5"/>
        </w:numPr>
        <w:jc w:val="both"/>
      </w:pPr>
      <w:bookmarkStart w:id="35" w:name="_Toc71568090"/>
      <w:r>
        <w:lastRenderedPageBreak/>
        <w:t>Stability of the financial system after 2008 crisis</w:t>
      </w:r>
      <w:bookmarkEnd w:id="35"/>
    </w:p>
    <w:p w14:paraId="4D2F60F9" w14:textId="77777777" w:rsidR="00E355FE" w:rsidRDefault="00E355FE" w:rsidP="00293A7D">
      <w:pPr>
        <w:jc w:val="both"/>
      </w:pPr>
    </w:p>
    <w:p w14:paraId="7DBA3F8D" w14:textId="4A4FFE0E" w:rsidR="00CD67E6" w:rsidRPr="00CD67E6" w:rsidRDefault="00CD67E6" w:rsidP="00293A7D">
      <w:pPr>
        <w:jc w:val="both"/>
      </w:pPr>
      <w:r w:rsidRPr="00CD67E6">
        <w:t xml:space="preserve">Developing countries have been affected by the crisis in developed countries, characterised by low levels of economic development, rising </w:t>
      </w:r>
      <w:proofErr w:type="gramStart"/>
      <w:r w:rsidRPr="00CD67E6">
        <w:t>unemployment</w:t>
      </w:r>
      <w:proofErr w:type="gramEnd"/>
      <w:r w:rsidRPr="00CD67E6">
        <w:t xml:space="preserve"> and poverty, and shifting imbalances </w:t>
      </w:r>
      <w:sdt>
        <w:sdtPr>
          <w:id w:val="-794751841"/>
          <w:citation/>
        </w:sdtPr>
        <w:sdtEndPr/>
        <w:sdtContent>
          <w:r w:rsidR="00B40733">
            <w:fldChar w:fldCharType="begin"/>
          </w:r>
          <w:r w:rsidR="00B40733">
            <w:rPr>
              <w:lang w:val="en-US"/>
            </w:rPr>
            <w:instrText xml:space="preserve"> CITATION Bor10 \l 1033 </w:instrText>
          </w:r>
          <w:r w:rsidR="00B40733">
            <w:fldChar w:fldCharType="separate"/>
          </w:r>
          <w:r w:rsidR="00B81B8B" w:rsidRPr="00B81B8B">
            <w:rPr>
              <w:noProof/>
              <w:lang w:val="en-US"/>
            </w:rPr>
            <w:t>(Bordo &amp; Landon-Lane, 2010)</w:t>
          </w:r>
          <w:r w:rsidR="00B40733">
            <w:fldChar w:fldCharType="end"/>
          </w:r>
        </w:sdtContent>
      </w:sdt>
      <w:r w:rsidRPr="00CD67E6">
        <w:t xml:space="preserve">. The different transmission channels associated with the crisis have also affected developing countries differently and, moreover, according to their vulnerability to certain channels </w:t>
      </w:r>
      <w:sdt>
        <w:sdtPr>
          <w:id w:val="-1205096463"/>
          <w:citation/>
        </w:sdtPr>
        <w:sdtEndPr/>
        <w:sdtContent>
          <w:r w:rsidR="00B40733">
            <w:fldChar w:fldCharType="begin"/>
          </w:r>
          <w:r w:rsidR="00B40733">
            <w:rPr>
              <w:lang w:val="en-US"/>
            </w:rPr>
            <w:instrText xml:space="preserve"> CITATION Orh15 \l 1033 </w:instrText>
          </w:r>
          <w:r w:rsidR="00B40733">
            <w:fldChar w:fldCharType="separate"/>
          </w:r>
          <w:r w:rsidR="00B81B8B" w:rsidRPr="00B81B8B">
            <w:rPr>
              <w:noProof/>
              <w:lang w:val="en-US"/>
            </w:rPr>
            <w:t>(Orhangazi, 2015)</w:t>
          </w:r>
          <w:r w:rsidR="00B40733">
            <w:fldChar w:fldCharType="end"/>
          </w:r>
        </w:sdtContent>
      </w:sdt>
      <w:r w:rsidRPr="00CD67E6">
        <w:t xml:space="preserve">. The emerging economies of Central and Eastern Europe are post-socialist countries that have succeeded in their transition to a market economy </w:t>
      </w:r>
      <w:sdt>
        <w:sdtPr>
          <w:id w:val="117580765"/>
          <w:citation/>
        </w:sdtPr>
        <w:sdtEndPr/>
        <w:sdtContent>
          <w:r w:rsidR="00B40733">
            <w:fldChar w:fldCharType="begin"/>
          </w:r>
          <w:r w:rsidR="00B40733">
            <w:rPr>
              <w:lang w:val="en-US"/>
            </w:rPr>
            <w:instrText xml:space="preserve"> CITATION Elm16 \l 1033 </w:instrText>
          </w:r>
          <w:r w:rsidR="00B40733">
            <w:fldChar w:fldCharType="separate"/>
          </w:r>
          <w:r w:rsidR="00B81B8B" w:rsidRPr="00B81B8B">
            <w:rPr>
              <w:noProof/>
              <w:lang w:val="en-US"/>
            </w:rPr>
            <w:t>(Elmagrhi, et al., 2016)</w:t>
          </w:r>
          <w:r w:rsidR="00B40733">
            <w:fldChar w:fldCharType="end"/>
          </w:r>
        </w:sdtContent>
      </w:sdt>
      <w:r w:rsidR="00B40733">
        <w:t xml:space="preserve">. </w:t>
      </w:r>
      <w:r w:rsidRPr="00CD67E6">
        <w:t xml:space="preserve">We review some financial developments in the 16 post-socialist countries between 1989 and 2010 and discuss the impact of the progress process and the actual crises experienced by the former socialist countries </w:t>
      </w:r>
      <w:sdt>
        <w:sdtPr>
          <w:id w:val="-670647084"/>
          <w:citation/>
        </w:sdtPr>
        <w:sdtEndPr/>
        <w:sdtContent>
          <w:r w:rsidR="00B40733">
            <w:fldChar w:fldCharType="begin"/>
          </w:r>
          <w:r w:rsidR="00B40733">
            <w:rPr>
              <w:lang w:val="en-US"/>
            </w:rPr>
            <w:instrText xml:space="preserve"> CITATION Poo10 \l 1033 </w:instrText>
          </w:r>
          <w:r w:rsidR="00B40733">
            <w:fldChar w:fldCharType="separate"/>
          </w:r>
          <w:r w:rsidR="00B81B8B" w:rsidRPr="00B81B8B">
            <w:rPr>
              <w:noProof/>
              <w:lang w:val="en-US"/>
            </w:rPr>
            <w:t>(Poole, 2010)</w:t>
          </w:r>
          <w:r w:rsidR="00B40733">
            <w:fldChar w:fldCharType="end"/>
          </w:r>
        </w:sdtContent>
      </w:sdt>
      <w:r w:rsidR="00B40733">
        <w:t>.</w:t>
      </w:r>
    </w:p>
    <w:p w14:paraId="6D24F6B6" w14:textId="62AB693D" w:rsidR="00CD67E6" w:rsidRPr="00CD67E6" w:rsidRDefault="00CD67E6" w:rsidP="00293A7D">
      <w:pPr>
        <w:jc w:val="both"/>
      </w:pPr>
      <w:r w:rsidRPr="00CD67E6">
        <w:t>Crises can start anywhere in the world and can become global to the extent that a problem in one country has all the signs of being exported to different countries through different channels such as companies, forms of money, investments, derivatives.</w:t>
      </w:r>
    </w:p>
    <w:p w14:paraId="3E1992F0" w14:textId="67B6DA65" w:rsidR="00CD67E6" w:rsidRPr="00CD67E6" w:rsidRDefault="00CD67E6" w:rsidP="00293A7D">
      <w:pPr>
        <w:jc w:val="both"/>
      </w:pPr>
      <w:r w:rsidRPr="00CD67E6">
        <w:t xml:space="preserve">The rapid spread of the crisis from the United States to several large and small countries shows that the interconnectedness between economies is increasing due to the strong globalisation of markets, including financial globalisation </w:t>
      </w:r>
      <w:sdt>
        <w:sdtPr>
          <w:id w:val="-1447225860"/>
          <w:citation/>
        </w:sdtPr>
        <w:sdtEndPr/>
        <w:sdtContent>
          <w:r w:rsidR="006C0D05">
            <w:fldChar w:fldCharType="begin"/>
          </w:r>
          <w:r w:rsidR="006C0D05">
            <w:rPr>
              <w:lang w:val="en-US"/>
            </w:rPr>
            <w:instrText xml:space="preserve"> CITATION Bar18 \l 1033 </w:instrText>
          </w:r>
          <w:r w:rsidR="006C0D05">
            <w:fldChar w:fldCharType="separate"/>
          </w:r>
          <w:r w:rsidR="00B81B8B" w:rsidRPr="00B81B8B">
            <w:rPr>
              <w:noProof/>
              <w:lang w:val="en-US"/>
            </w:rPr>
            <w:t>(Barnichon, et al., 2018)</w:t>
          </w:r>
          <w:r w:rsidR="006C0D05">
            <w:fldChar w:fldCharType="end"/>
          </w:r>
        </w:sdtContent>
      </w:sdt>
      <w:r w:rsidRPr="00CD67E6">
        <w:t xml:space="preserve">. In this situation, the financial base of a country is seen as an obstacle that the entire economy must overcome through its close interaction with the national and international Zaman financial base </w:t>
      </w:r>
      <w:sdt>
        <w:sdtPr>
          <w:id w:val="-1732071875"/>
          <w:citation/>
        </w:sdtPr>
        <w:sdtEndPr/>
        <w:sdtContent>
          <w:r w:rsidR="006C0D05">
            <w:fldChar w:fldCharType="begin"/>
          </w:r>
          <w:r w:rsidR="006C0D05">
            <w:rPr>
              <w:lang w:val="en-US"/>
            </w:rPr>
            <w:instrText xml:space="preserve"> CITATION Ana13 \l 1033 </w:instrText>
          </w:r>
          <w:r w:rsidR="006C0D05">
            <w:fldChar w:fldCharType="separate"/>
          </w:r>
          <w:r w:rsidR="00B81B8B" w:rsidRPr="00B81B8B">
            <w:rPr>
              <w:noProof/>
              <w:lang w:val="en-US"/>
            </w:rPr>
            <w:t>(Anand, et al., 2013)</w:t>
          </w:r>
          <w:r w:rsidR="006C0D05">
            <w:fldChar w:fldCharType="end"/>
          </w:r>
        </w:sdtContent>
      </w:sdt>
      <w:r w:rsidRPr="00CD67E6">
        <w:t xml:space="preserve">. Therefore, the current crisis, although originating in the United States, is spreading with great speed around the world, affecting the real economy, economic development, unemployment and thus having unintended side effects on the international and national financial system </w:t>
      </w:r>
      <w:sdt>
        <w:sdtPr>
          <w:id w:val="-2093696379"/>
          <w:citation/>
        </w:sdtPr>
        <w:sdtEndPr/>
        <w:sdtContent>
          <w:r w:rsidR="006C0D05">
            <w:fldChar w:fldCharType="begin"/>
          </w:r>
          <w:r w:rsidR="006C0D05">
            <w:rPr>
              <w:lang w:val="en-US"/>
            </w:rPr>
            <w:instrText xml:space="preserve"> CITATION Qui10 \l 1033 </w:instrText>
          </w:r>
          <w:r w:rsidR="006C0D05">
            <w:fldChar w:fldCharType="separate"/>
          </w:r>
          <w:r w:rsidR="00B81B8B" w:rsidRPr="00B81B8B">
            <w:rPr>
              <w:noProof/>
              <w:lang w:val="en-US"/>
            </w:rPr>
            <w:t>(Quispe &amp; Rossini, 2010)</w:t>
          </w:r>
          <w:r w:rsidR="006C0D05">
            <w:fldChar w:fldCharType="end"/>
          </w:r>
        </w:sdtContent>
      </w:sdt>
      <w:r w:rsidRPr="00CD67E6">
        <w:t>.</w:t>
      </w:r>
    </w:p>
    <w:p w14:paraId="7626CD89" w14:textId="131518F4" w:rsidR="00CD67E6" w:rsidRPr="00CD67E6" w:rsidRDefault="00CD67E6" w:rsidP="00293A7D">
      <w:pPr>
        <w:jc w:val="both"/>
      </w:pPr>
      <w:r w:rsidRPr="00CD67E6">
        <w:t xml:space="preserve">The current crisis originated in the US but spread rapidly around the world, affecting the real economy, unemployment, and economic development with secondary implications for the international and national financial system </w:t>
      </w:r>
      <w:sdt>
        <w:sdtPr>
          <w:id w:val="1807350245"/>
          <w:citation/>
        </w:sdtPr>
        <w:sdtEndPr/>
        <w:sdtContent>
          <w:r w:rsidR="006C0D05">
            <w:fldChar w:fldCharType="begin"/>
          </w:r>
          <w:r w:rsidR="006C0D05">
            <w:rPr>
              <w:lang w:val="en-US"/>
            </w:rPr>
            <w:instrText xml:space="preserve"> CITATION Kac10 \l 1033 </w:instrText>
          </w:r>
          <w:r w:rsidR="006C0D05">
            <w:fldChar w:fldCharType="separate"/>
          </w:r>
          <w:r w:rsidR="00B81B8B" w:rsidRPr="00B81B8B">
            <w:rPr>
              <w:noProof/>
              <w:lang w:val="en-US"/>
            </w:rPr>
            <w:t>(Kacperczyk &amp; Schnabl, 2010)</w:t>
          </w:r>
          <w:r w:rsidR="006C0D05">
            <w:fldChar w:fldCharType="end"/>
          </w:r>
        </w:sdtContent>
      </w:sdt>
      <w:r w:rsidRPr="00CD67E6">
        <w:t xml:space="preserve">. It has been recorded that this crisis was not only limited to financial </w:t>
      </w:r>
      <w:r w:rsidR="006C0D05" w:rsidRPr="00CD67E6">
        <w:t>markets but</w:t>
      </w:r>
      <w:r w:rsidRPr="00CD67E6">
        <w:t xml:space="preserve"> has had a severe impact on actual and real economic position, causing the largest global recession since the Great Depression, which some commentators consider far greater than the crisis of 29-33 </w:t>
      </w:r>
      <w:sdt>
        <w:sdtPr>
          <w:id w:val="-1148891761"/>
          <w:citation/>
        </w:sdtPr>
        <w:sdtEndPr/>
        <w:sdtContent>
          <w:r w:rsidR="006C0D05">
            <w:fldChar w:fldCharType="begin"/>
          </w:r>
          <w:r w:rsidR="006C0D05">
            <w:rPr>
              <w:lang w:val="en-US"/>
            </w:rPr>
            <w:instrText xml:space="preserve"> CITATION Baj11 \l 1033 </w:instrText>
          </w:r>
          <w:r w:rsidR="006C0D05">
            <w:fldChar w:fldCharType="separate"/>
          </w:r>
          <w:r w:rsidR="00B81B8B" w:rsidRPr="00B81B8B">
            <w:rPr>
              <w:noProof/>
              <w:lang w:val="en-US"/>
            </w:rPr>
            <w:t>(Bajpai, 2011)</w:t>
          </w:r>
          <w:r w:rsidR="006C0D05">
            <w:fldChar w:fldCharType="end"/>
          </w:r>
        </w:sdtContent>
      </w:sdt>
      <w:r w:rsidRPr="00CD67E6">
        <w:t xml:space="preserve">. </w:t>
      </w:r>
    </w:p>
    <w:p w14:paraId="74FE3DA2" w14:textId="56A7A179" w:rsidR="00CD67E6" w:rsidRPr="00CD67E6" w:rsidRDefault="00CD67E6" w:rsidP="00293A7D">
      <w:pPr>
        <w:jc w:val="both"/>
      </w:pPr>
      <w:r w:rsidRPr="00CD67E6">
        <w:t xml:space="preserve">A series of corrective measures that began in 2004 anticipated the crisis, but few financial experts foresaw its enormous scale. The Federal Reserve raised the federal funds rate from 1.25% to 5.25%, which inevitably led to an increase in subprime loan defaults (ARD) </w:t>
      </w:r>
      <w:sdt>
        <w:sdtPr>
          <w:id w:val="-77365661"/>
          <w:citation/>
        </w:sdtPr>
        <w:sdtEndPr/>
        <w:sdtContent>
          <w:r w:rsidR="003B50C6">
            <w:fldChar w:fldCharType="begin"/>
          </w:r>
          <w:r w:rsidR="003B50C6">
            <w:rPr>
              <w:lang w:val="en-US"/>
            </w:rPr>
            <w:instrText xml:space="preserve"> CITATION Jef17 \l 1033 </w:instrText>
          </w:r>
          <w:r w:rsidR="003B50C6">
            <w:fldChar w:fldCharType="separate"/>
          </w:r>
          <w:r w:rsidR="00B81B8B" w:rsidRPr="00B81B8B">
            <w:rPr>
              <w:noProof/>
              <w:lang w:val="en-US"/>
            </w:rPr>
            <w:t>(Jefferies, 2017)</w:t>
          </w:r>
          <w:r w:rsidR="003B50C6">
            <w:fldChar w:fldCharType="end"/>
          </w:r>
        </w:sdtContent>
      </w:sdt>
      <w:r w:rsidRPr="00CD67E6">
        <w:t xml:space="preserve">. Although higher interest rates played a role, home sales and thus home values began to decline in 2005 when the housing market became saturated </w:t>
      </w:r>
      <w:sdt>
        <w:sdtPr>
          <w:id w:val="1153575560"/>
          <w:citation/>
        </w:sdtPr>
        <w:sdtEndPr/>
        <w:sdtContent>
          <w:r w:rsidR="003B50C6">
            <w:fldChar w:fldCharType="begin"/>
          </w:r>
          <w:r w:rsidR="003B50C6">
            <w:rPr>
              <w:lang w:val="en-US"/>
            </w:rPr>
            <w:instrText xml:space="preserve"> CITATION San14 \l 1033 </w:instrText>
          </w:r>
          <w:r w:rsidR="003B50C6">
            <w:fldChar w:fldCharType="separate"/>
          </w:r>
          <w:r w:rsidR="00B81B8B" w:rsidRPr="00B81B8B">
            <w:rPr>
              <w:noProof/>
              <w:lang w:val="en-US"/>
            </w:rPr>
            <w:t>(Sanchez, 2014)</w:t>
          </w:r>
          <w:r w:rsidR="003B50C6">
            <w:fldChar w:fldCharType="end"/>
          </w:r>
        </w:sdtContent>
      </w:sdt>
      <w:r w:rsidRPr="00CD67E6">
        <w:t xml:space="preserve">. Many subprime mortgage holders could not protect themselves by buying, </w:t>
      </w:r>
      <w:proofErr w:type="gramStart"/>
      <w:r w:rsidRPr="00CD67E6">
        <w:t>refinancing</w:t>
      </w:r>
      <w:proofErr w:type="gramEnd"/>
      <w:r w:rsidRPr="00CD67E6">
        <w:t xml:space="preserve"> or selling their homes because there were few buyers and many mortgage holders owed more than their homes were worth</w:t>
      </w:r>
      <w:sdt>
        <w:sdtPr>
          <w:id w:val="1147554006"/>
          <w:citation/>
        </w:sdtPr>
        <w:sdtEndPr/>
        <w:sdtContent>
          <w:r w:rsidR="00CE1518">
            <w:fldChar w:fldCharType="begin"/>
          </w:r>
          <w:r w:rsidR="00CE1518">
            <w:rPr>
              <w:lang w:val="en-US"/>
            </w:rPr>
            <w:instrText xml:space="preserve"> CITATION Bai15 \l 1033 </w:instrText>
          </w:r>
          <w:r w:rsidR="00CE1518">
            <w:fldChar w:fldCharType="separate"/>
          </w:r>
          <w:r w:rsidR="00B81B8B">
            <w:rPr>
              <w:noProof/>
              <w:lang w:val="en-US"/>
            </w:rPr>
            <w:t xml:space="preserve"> </w:t>
          </w:r>
          <w:r w:rsidR="00B81B8B" w:rsidRPr="00B81B8B">
            <w:rPr>
              <w:noProof/>
              <w:lang w:val="en-US"/>
            </w:rPr>
            <w:t>(Baily, et al., 2015)</w:t>
          </w:r>
          <w:r w:rsidR="00CE1518">
            <w:fldChar w:fldCharType="end"/>
          </w:r>
        </w:sdtContent>
      </w:sdt>
      <w:r w:rsidRPr="00CD67E6">
        <w:t xml:space="preserve">. </w:t>
      </w:r>
    </w:p>
    <w:p w14:paraId="588F5886" w14:textId="65262550" w:rsidR="00CD67E6" w:rsidRPr="00CD67E6" w:rsidRDefault="00CD67E6" w:rsidP="00293A7D">
      <w:pPr>
        <w:jc w:val="both"/>
      </w:pPr>
      <w:r w:rsidRPr="00CD67E6">
        <w:t xml:space="preserve">As the number of subprime borrowers increased and house prices continued to fall, the value of MBS issued on subprime mortgages declined, negatively affecting the structure of many banks and companies </w:t>
      </w:r>
      <w:sdt>
        <w:sdtPr>
          <w:id w:val="-142747443"/>
          <w:citation/>
        </w:sdtPr>
        <w:sdtEndPr/>
        <w:sdtContent>
          <w:r w:rsidR="00CE1518">
            <w:fldChar w:fldCharType="begin"/>
          </w:r>
          <w:r w:rsidR="00CE1518">
            <w:rPr>
              <w:lang w:val="en-US"/>
            </w:rPr>
            <w:instrText xml:space="preserve"> CITATION Kac10 \l 1033 </w:instrText>
          </w:r>
          <w:r w:rsidR="00CE1518">
            <w:fldChar w:fldCharType="separate"/>
          </w:r>
          <w:r w:rsidR="00B81B8B" w:rsidRPr="00B81B8B">
            <w:rPr>
              <w:noProof/>
              <w:lang w:val="en-US"/>
            </w:rPr>
            <w:t>(Kacperczyk &amp; Schnabl, 2010)</w:t>
          </w:r>
          <w:r w:rsidR="00CE1518">
            <w:fldChar w:fldCharType="end"/>
          </w:r>
        </w:sdtContent>
      </w:sdt>
      <w:r w:rsidRPr="00CD67E6">
        <w:t xml:space="preserve">. Although MBS bonds issued in the US housing market were also traded in other countries where the housing bubble had formed, so that the American problem had a direct global impact, many experts believed that the problem </w:t>
      </w:r>
      <w:r w:rsidRPr="00CD67E6">
        <w:lastRenderedPageBreak/>
        <w:t xml:space="preserve">was not as bad as it seemed and that the damage to the financial markets was manageable </w:t>
      </w:r>
      <w:sdt>
        <w:sdtPr>
          <w:id w:val="1970627669"/>
          <w:citation/>
        </w:sdtPr>
        <w:sdtEndPr/>
        <w:sdtContent>
          <w:r w:rsidR="00CE1518">
            <w:fldChar w:fldCharType="begin"/>
          </w:r>
          <w:r w:rsidR="00CE1518">
            <w:rPr>
              <w:lang w:val="en-US"/>
            </w:rPr>
            <w:instrText xml:space="preserve"> CITATION Ana13 \l 1033 </w:instrText>
          </w:r>
          <w:r w:rsidR="00CE1518">
            <w:fldChar w:fldCharType="separate"/>
          </w:r>
          <w:r w:rsidR="00B81B8B" w:rsidRPr="00B81B8B">
            <w:rPr>
              <w:noProof/>
              <w:lang w:val="en-US"/>
            </w:rPr>
            <w:t>(Anand, et al., 2013)</w:t>
          </w:r>
          <w:r w:rsidR="00CE1518">
            <w:fldChar w:fldCharType="end"/>
          </w:r>
        </w:sdtContent>
      </w:sdt>
      <w:r w:rsidR="00CE1518">
        <w:t>.</w:t>
      </w:r>
    </w:p>
    <w:p w14:paraId="0E440372" w14:textId="4F6CAF2C" w:rsidR="00CD67E6" w:rsidRPr="00CD67E6" w:rsidRDefault="00CD67E6" w:rsidP="00293A7D">
      <w:pPr>
        <w:jc w:val="both"/>
      </w:pPr>
      <w:r w:rsidRPr="00CD67E6">
        <w:t xml:space="preserve">By 2007, the precipitous decline in MBS values had so distressed many banks, private equity and mortgage lenders that some large companies liquidated investment funds that had invested in MBS </w:t>
      </w:r>
      <w:sdt>
        <w:sdtPr>
          <w:id w:val="812222655"/>
          <w:citation/>
        </w:sdtPr>
        <w:sdtEndPr/>
        <w:sdtContent>
          <w:r w:rsidR="00CE1518">
            <w:fldChar w:fldCharType="begin"/>
          </w:r>
          <w:r w:rsidR="00CE1518">
            <w:rPr>
              <w:lang w:val="en-US"/>
            </w:rPr>
            <w:instrText xml:space="preserve"> CITATION Bar18 \l 1033 </w:instrText>
          </w:r>
          <w:r w:rsidR="00CE1518">
            <w:fldChar w:fldCharType="separate"/>
          </w:r>
          <w:r w:rsidR="00B81B8B" w:rsidRPr="00B81B8B">
            <w:rPr>
              <w:noProof/>
              <w:lang w:val="en-US"/>
            </w:rPr>
            <w:t>(Barnichon, et al., 2018)</w:t>
          </w:r>
          <w:r w:rsidR="00CE1518">
            <w:fldChar w:fldCharType="end"/>
          </w:r>
        </w:sdtContent>
      </w:sdt>
      <w:r w:rsidRPr="00CD67E6">
        <w:t xml:space="preserve">, borrowed from the government, sought mergers with healthy companies or filed for bankruptcy </w:t>
      </w:r>
      <w:sdt>
        <w:sdtPr>
          <w:id w:val="-1579666866"/>
          <w:citation/>
        </w:sdtPr>
        <w:sdtEndPr/>
        <w:sdtContent>
          <w:r w:rsidR="00CE1518">
            <w:fldChar w:fldCharType="begin"/>
          </w:r>
          <w:r w:rsidR="00CE1518">
            <w:rPr>
              <w:lang w:val="en-US"/>
            </w:rPr>
            <w:instrText xml:space="preserve"> CITATION Can12 \l 1033 </w:instrText>
          </w:r>
          <w:r w:rsidR="00CE1518">
            <w:fldChar w:fldCharType="separate"/>
          </w:r>
          <w:r w:rsidR="00B81B8B" w:rsidRPr="00B81B8B">
            <w:rPr>
              <w:noProof/>
              <w:lang w:val="en-US"/>
            </w:rPr>
            <w:t>(Canova &amp; Hickey, 2012)</w:t>
          </w:r>
          <w:r w:rsidR="00CE1518">
            <w:fldChar w:fldCharType="end"/>
          </w:r>
        </w:sdtContent>
      </w:sdt>
      <w:r w:rsidRPr="00CD67E6">
        <w:t xml:space="preserve">. The situation worsened to the point that even those companies that were not directly at risk incurred billions of dollars in losses because the MBS invested in them were downgraded to toxic assets by the rating agencies </w:t>
      </w:r>
      <w:sdt>
        <w:sdtPr>
          <w:id w:val="406430002"/>
          <w:citation/>
        </w:sdtPr>
        <w:sdtEndPr/>
        <w:sdtContent>
          <w:r w:rsidR="00CE1518">
            <w:fldChar w:fldCharType="begin"/>
          </w:r>
          <w:r w:rsidR="00CE1518">
            <w:rPr>
              <w:lang w:val="en-US"/>
            </w:rPr>
            <w:instrText xml:space="preserve"> CITATION Qui10 \l 1033 </w:instrText>
          </w:r>
          <w:r w:rsidR="00CE1518">
            <w:fldChar w:fldCharType="separate"/>
          </w:r>
          <w:r w:rsidR="00B81B8B" w:rsidRPr="00B81B8B">
            <w:rPr>
              <w:noProof/>
              <w:lang w:val="en-US"/>
            </w:rPr>
            <w:t>(Quispe &amp; Rossini, 2010)</w:t>
          </w:r>
          <w:r w:rsidR="00CE1518">
            <w:fldChar w:fldCharType="end"/>
          </w:r>
        </w:sdtContent>
      </w:sdt>
      <w:r w:rsidRPr="00CD67E6">
        <w:t xml:space="preserve">. These financial institutions were accused of being in a predicament when their operating costs were paid by the banks whose </w:t>
      </w:r>
      <w:proofErr w:type="gramStart"/>
      <w:r w:rsidRPr="00CD67E6">
        <w:t>debt</w:t>
      </w:r>
      <w:proofErr w:type="gramEnd"/>
      <w:r w:rsidRPr="00CD67E6">
        <w:t xml:space="preserve"> they were supposed to protect </w:t>
      </w:r>
      <w:sdt>
        <w:sdtPr>
          <w:id w:val="-856651369"/>
          <w:citation/>
        </w:sdtPr>
        <w:sdtEndPr/>
        <w:sdtContent>
          <w:r w:rsidR="00CE1518">
            <w:fldChar w:fldCharType="begin"/>
          </w:r>
          <w:r w:rsidR="00CE1518">
            <w:rPr>
              <w:lang w:val="en-US"/>
            </w:rPr>
            <w:instrText xml:space="preserve"> CITATION Bor10 \l 1033 </w:instrText>
          </w:r>
          <w:r w:rsidR="00CE1518">
            <w:fldChar w:fldCharType="separate"/>
          </w:r>
          <w:r w:rsidR="00B81B8B" w:rsidRPr="00B81B8B">
            <w:rPr>
              <w:noProof/>
              <w:lang w:val="en-US"/>
            </w:rPr>
            <w:t>(Bordo &amp; Landon-Lane, 2010)</w:t>
          </w:r>
          <w:r w:rsidR="00CE1518">
            <w:fldChar w:fldCharType="end"/>
          </w:r>
        </w:sdtContent>
      </w:sdt>
      <w:r w:rsidRPr="00CD67E6">
        <w:t xml:space="preserve">. </w:t>
      </w:r>
    </w:p>
    <w:p w14:paraId="0D18EC06" w14:textId="3A2820DF" w:rsidR="00CD67E6" w:rsidRPr="00CD67E6" w:rsidRDefault="00CD67E6" w:rsidP="00293A7D">
      <w:pPr>
        <w:jc w:val="both"/>
      </w:pPr>
      <w:r w:rsidRPr="00CD67E6">
        <w:t xml:space="preserve">According to experts, this financial report was the original reason for awarding deceptively high ratings to some MBS </w:t>
      </w:r>
      <w:sdt>
        <w:sdtPr>
          <w:id w:val="1585103663"/>
          <w:citation/>
        </w:sdtPr>
        <w:sdtEndPr/>
        <w:sdtContent>
          <w:r w:rsidR="000924A4">
            <w:fldChar w:fldCharType="begin"/>
          </w:r>
          <w:r w:rsidR="000924A4">
            <w:rPr>
              <w:lang w:val="en-US"/>
            </w:rPr>
            <w:instrText xml:space="preserve"> CITATION Cha08 \l 1033 </w:instrText>
          </w:r>
          <w:r w:rsidR="000924A4">
            <w:fldChar w:fldCharType="separate"/>
          </w:r>
          <w:r w:rsidR="00B81B8B" w:rsidRPr="00B81B8B">
            <w:rPr>
              <w:noProof/>
              <w:lang w:val="en-US"/>
            </w:rPr>
            <w:t>(Chari, et al., 2008)</w:t>
          </w:r>
          <w:r w:rsidR="000924A4">
            <w:fldChar w:fldCharType="end"/>
          </w:r>
        </w:sdtContent>
      </w:sdt>
      <w:r w:rsidRPr="00CD67E6">
        <w:t xml:space="preserve">. Notably in 2007, New Century Financial, one of the largest and considerable prime banks, applied for financial assistance and shortly thereafter many subprime banks failed </w:t>
      </w:r>
      <w:sdt>
        <w:sdtPr>
          <w:id w:val="2013873059"/>
          <w:citation/>
        </w:sdtPr>
        <w:sdtEndPr/>
        <w:sdtContent>
          <w:r w:rsidR="000924A4">
            <w:fldChar w:fldCharType="begin"/>
          </w:r>
          <w:r w:rsidR="000924A4">
            <w:rPr>
              <w:lang w:val="en-US"/>
            </w:rPr>
            <w:instrText xml:space="preserve"> CITATION Fer20 \l 1033 </w:instrText>
          </w:r>
          <w:r w:rsidR="000924A4">
            <w:fldChar w:fldCharType="separate"/>
          </w:r>
          <w:r w:rsidR="00B81B8B" w:rsidRPr="00B81B8B">
            <w:rPr>
              <w:noProof/>
              <w:lang w:val="en-US"/>
            </w:rPr>
            <w:t>(Fernández Sánchez, et al., 2020)</w:t>
          </w:r>
          <w:r w:rsidR="000924A4">
            <w:fldChar w:fldCharType="end"/>
          </w:r>
        </w:sdtContent>
      </w:sdt>
      <w:r w:rsidRPr="00CD67E6">
        <w:t xml:space="preserve">. The continued inability to finance subprime mortgages through the sale of MBS forced banks to stop lending to subprime customers </w:t>
      </w:r>
      <w:sdt>
        <w:sdtPr>
          <w:id w:val="842433463"/>
          <w:citation/>
        </w:sdtPr>
        <w:sdtEndPr/>
        <w:sdtContent>
          <w:r w:rsidR="000924A4">
            <w:fldChar w:fldCharType="begin"/>
          </w:r>
          <w:r w:rsidR="000924A4">
            <w:rPr>
              <w:lang w:val="en-US"/>
            </w:rPr>
            <w:instrText xml:space="preserve"> CITATION Fra12 \l 1033 </w:instrText>
          </w:r>
          <w:r w:rsidR="000924A4">
            <w:fldChar w:fldCharType="separate"/>
          </w:r>
          <w:r w:rsidR="00B81B8B" w:rsidRPr="00B81B8B">
            <w:rPr>
              <w:noProof/>
              <w:lang w:val="en-US"/>
            </w:rPr>
            <w:t>(Fratzscher, 2012)</w:t>
          </w:r>
          <w:r w:rsidR="000924A4">
            <w:fldChar w:fldCharType="end"/>
          </w:r>
        </w:sdtContent>
      </w:sdt>
      <w:r w:rsidRPr="00CD67E6">
        <w:t xml:space="preserve">, further reducing home sales and spending and discouraging even the best FICO buyers from purchasing homes, further reducing sales and spending </w:t>
      </w:r>
      <w:sdt>
        <w:sdtPr>
          <w:id w:val="-2057540342"/>
          <w:citation/>
        </w:sdtPr>
        <w:sdtEndPr/>
        <w:sdtContent>
          <w:r w:rsidR="000924A4">
            <w:fldChar w:fldCharType="begin"/>
          </w:r>
          <w:r w:rsidR="000924A4">
            <w:rPr>
              <w:lang w:val="en-US"/>
            </w:rPr>
            <w:instrText xml:space="preserve"> CITATION Bor10 \l 1033 </w:instrText>
          </w:r>
          <w:r w:rsidR="000924A4">
            <w:fldChar w:fldCharType="separate"/>
          </w:r>
          <w:r w:rsidR="00B81B8B" w:rsidRPr="00B81B8B">
            <w:rPr>
              <w:noProof/>
              <w:lang w:val="en-US"/>
            </w:rPr>
            <w:t>(Bordo &amp; Landon-Lane, 2010)</w:t>
          </w:r>
          <w:r w:rsidR="000924A4">
            <w:fldChar w:fldCharType="end"/>
          </w:r>
        </w:sdtContent>
      </w:sdt>
      <w:r w:rsidRPr="00CD67E6">
        <w:t xml:space="preserve">. In August, BNP Paribas, France’s largest bank, announced that it had suffered billions in losses </w:t>
      </w:r>
      <w:sdt>
        <w:sdtPr>
          <w:id w:val="1023294471"/>
          <w:citation/>
        </w:sdtPr>
        <w:sdtEndPr/>
        <w:sdtContent>
          <w:r w:rsidR="000924A4">
            <w:fldChar w:fldCharType="begin"/>
          </w:r>
          <w:r w:rsidR="000924A4">
            <w:rPr>
              <w:lang w:val="en-US"/>
            </w:rPr>
            <w:instrText xml:space="preserve"> CITATION Fer20 \l 1033 </w:instrText>
          </w:r>
          <w:r w:rsidR="000924A4">
            <w:fldChar w:fldCharType="separate"/>
          </w:r>
          <w:r w:rsidR="00B81B8B" w:rsidRPr="00B81B8B">
            <w:rPr>
              <w:noProof/>
              <w:lang w:val="en-US"/>
            </w:rPr>
            <w:t>(Fernández Sánchez, et al., 2020)</w:t>
          </w:r>
          <w:r w:rsidR="000924A4">
            <w:fldChar w:fldCharType="end"/>
          </w:r>
        </w:sdtContent>
      </w:sdt>
      <w:r w:rsidRPr="00CD67E6">
        <w:t xml:space="preserve">, and another major US firm, American Home Mortgage Investment Corp. filed for bankruptcy </w:t>
      </w:r>
      <w:sdt>
        <w:sdtPr>
          <w:id w:val="720939501"/>
          <w:citation/>
        </w:sdtPr>
        <w:sdtEndPr/>
        <w:sdtContent>
          <w:r w:rsidR="000924A4">
            <w:fldChar w:fldCharType="begin"/>
          </w:r>
          <w:r w:rsidR="000924A4">
            <w:rPr>
              <w:lang w:val="en-US"/>
            </w:rPr>
            <w:instrText xml:space="preserve"> CITATION Bor10 \l 1033 </w:instrText>
          </w:r>
          <w:r w:rsidR="000924A4">
            <w:fldChar w:fldCharType="separate"/>
          </w:r>
          <w:r w:rsidR="00B81B8B" w:rsidRPr="00B81B8B">
            <w:rPr>
              <w:noProof/>
              <w:lang w:val="en-US"/>
            </w:rPr>
            <w:t>(Bordo &amp; Landon-Lane, 2010)</w:t>
          </w:r>
          <w:r w:rsidR="000924A4">
            <w:fldChar w:fldCharType="end"/>
          </w:r>
        </w:sdtContent>
      </w:sdt>
      <w:r w:rsidR="000924A4">
        <w:t>.</w:t>
      </w:r>
    </w:p>
    <w:p w14:paraId="102356DC" w14:textId="77777777" w:rsidR="00CD67E6" w:rsidRPr="00CD67E6" w:rsidRDefault="00CD67E6" w:rsidP="00293A7D">
      <w:pPr>
        <w:jc w:val="both"/>
        <w:rPr>
          <w:b/>
          <w:i/>
        </w:rPr>
      </w:pPr>
    </w:p>
    <w:p w14:paraId="36C7DDA2" w14:textId="77777777" w:rsidR="00CD67E6" w:rsidRPr="00CD67E6" w:rsidRDefault="00CD67E6" w:rsidP="00293A7D">
      <w:pPr>
        <w:jc w:val="both"/>
        <w:rPr>
          <w:b/>
        </w:rPr>
      </w:pPr>
      <w:bookmarkStart w:id="36" w:name="_Toc69777997"/>
      <w:bookmarkStart w:id="37" w:name="_Toc68042463"/>
      <w:r w:rsidRPr="00CD67E6">
        <w:rPr>
          <w:b/>
        </w:rPr>
        <w:t>Financial Stability Oversight Council</w:t>
      </w:r>
      <w:bookmarkEnd w:id="36"/>
      <w:bookmarkEnd w:id="37"/>
    </w:p>
    <w:p w14:paraId="2C8E7408" w14:textId="5F1B54D6" w:rsidR="00CD67E6" w:rsidRPr="00CD67E6" w:rsidRDefault="00CD67E6" w:rsidP="00293A7D">
      <w:pPr>
        <w:jc w:val="both"/>
      </w:pPr>
      <w:r w:rsidRPr="00CD67E6">
        <w:t xml:space="preserve">The purpose of the Council is to identify threats to US financial stability that may arise from significant financial difficulties, </w:t>
      </w:r>
      <w:proofErr w:type="gramStart"/>
      <w:r w:rsidRPr="00CD67E6">
        <w:t>failures</w:t>
      </w:r>
      <w:proofErr w:type="gramEnd"/>
      <w:r w:rsidRPr="00CD67E6">
        <w:t xml:space="preserve"> or ongoing operations of large holdings of interconnected banks or non-bank financial institutions, or that may arise from threats to off-market financial management. Similarly, the Commission must promote market discipline and respond to dangers in U.S. financial markets </w:t>
      </w:r>
      <w:sdt>
        <w:sdtPr>
          <w:id w:val="1437408161"/>
          <w:citation/>
        </w:sdtPr>
        <w:sdtEndPr/>
        <w:sdtContent>
          <w:r w:rsidR="00D813FC">
            <w:fldChar w:fldCharType="begin"/>
          </w:r>
          <w:r w:rsidR="00D813FC">
            <w:rPr>
              <w:lang w:val="en-US"/>
            </w:rPr>
            <w:instrText xml:space="preserve"> CITATION Can12 \l 1033 </w:instrText>
          </w:r>
          <w:r w:rsidR="00D813FC">
            <w:fldChar w:fldCharType="separate"/>
          </w:r>
          <w:r w:rsidR="00B81B8B" w:rsidRPr="00B81B8B">
            <w:rPr>
              <w:noProof/>
              <w:lang w:val="en-US"/>
            </w:rPr>
            <w:t>(Canova &amp; Hickey, 2012)</w:t>
          </w:r>
          <w:r w:rsidR="00D813FC">
            <w:fldChar w:fldCharType="end"/>
          </w:r>
        </w:sdtContent>
      </w:sdt>
      <w:r w:rsidRPr="00CD67E6">
        <w:t>.</w:t>
      </w:r>
    </w:p>
    <w:p w14:paraId="70062B1F" w14:textId="2E322AEB" w:rsidR="00CD67E6" w:rsidRPr="00CD67E6" w:rsidRDefault="00CD67E6" w:rsidP="00293A7D">
      <w:pPr>
        <w:jc w:val="both"/>
      </w:pPr>
      <w:r w:rsidRPr="00CD67E6">
        <w:t xml:space="preserve">The Commission is authorized to identify systemically important nonbank financial institutions, financial practices or activities, financial market service providers, and facility, remittance, and reimbursement processes. Bank holding companies with total consolidated assets having average of $52 billion or more are considered systemically important; no designation is required </w:t>
      </w:r>
      <w:sdt>
        <w:sdtPr>
          <w:id w:val="1313447678"/>
          <w:citation/>
        </w:sdtPr>
        <w:sdtEndPr/>
        <w:sdtContent>
          <w:r w:rsidR="00D813FC">
            <w:fldChar w:fldCharType="begin"/>
          </w:r>
          <w:r w:rsidR="00D813FC">
            <w:rPr>
              <w:lang w:val="en-US"/>
            </w:rPr>
            <w:instrText xml:space="preserve"> CITATION Pla17 \l 1033 </w:instrText>
          </w:r>
          <w:r w:rsidR="00D813FC">
            <w:fldChar w:fldCharType="separate"/>
          </w:r>
          <w:r w:rsidR="00B81B8B" w:rsidRPr="00B81B8B">
            <w:rPr>
              <w:noProof/>
              <w:lang w:val="en-US"/>
            </w:rPr>
            <w:t>(Plagborg‐Møller &amp; Holm, 2017)</w:t>
          </w:r>
          <w:r w:rsidR="00D813FC">
            <w:fldChar w:fldCharType="end"/>
          </w:r>
        </w:sdtContent>
      </w:sdt>
      <w:r w:rsidRPr="00CD67E6">
        <w:t xml:space="preserve">. The Act refers to the category of nonbank financial institutions, which are defined as “nonbank financial institutions regulated by the Federal Reserve System” </w:t>
      </w:r>
      <w:sdt>
        <w:sdtPr>
          <w:id w:val="383444286"/>
          <w:citation/>
        </w:sdtPr>
        <w:sdtEndPr/>
        <w:sdtContent>
          <w:r w:rsidR="00D813FC">
            <w:fldChar w:fldCharType="begin"/>
          </w:r>
          <w:r w:rsidR="00D813FC">
            <w:rPr>
              <w:lang w:val="en-US"/>
            </w:rPr>
            <w:instrText xml:space="preserve"> CITATION Ach13 \l 1033 </w:instrText>
          </w:r>
          <w:r w:rsidR="00D813FC">
            <w:fldChar w:fldCharType="separate"/>
          </w:r>
          <w:r w:rsidR="00B81B8B" w:rsidRPr="00B81B8B">
            <w:rPr>
              <w:noProof/>
              <w:lang w:val="en-US"/>
            </w:rPr>
            <w:t>(Acharya, 2013)</w:t>
          </w:r>
          <w:r w:rsidR="00D813FC">
            <w:fldChar w:fldCharType="end"/>
          </w:r>
        </w:sdtContent>
      </w:sdt>
      <w:r w:rsidRPr="00CD67E6">
        <w:t xml:space="preserve">. In this section, researchers refer to them as “systemically important nonbank financial institutions” and to bank holding companies with assets of $52 billion or more as “systemically important institutions” </w:t>
      </w:r>
      <w:sdt>
        <w:sdtPr>
          <w:id w:val="889008508"/>
          <w:citation/>
        </w:sdtPr>
        <w:sdtEndPr/>
        <w:sdtContent>
          <w:r w:rsidR="00D813FC">
            <w:fldChar w:fldCharType="begin"/>
          </w:r>
          <w:r w:rsidR="00D813FC">
            <w:rPr>
              <w:lang w:val="en-US"/>
            </w:rPr>
            <w:instrText xml:space="preserve"> CITATION Can12 \l 1033 </w:instrText>
          </w:r>
          <w:r w:rsidR="00D813FC">
            <w:fldChar w:fldCharType="separate"/>
          </w:r>
          <w:r w:rsidR="00B81B8B" w:rsidRPr="00B81B8B">
            <w:rPr>
              <w:noProof/>
              <w:lang w:val="en-US"/>
            </w:rPr>
            <w:t>(Canova &amp; Hickey, 2012)</w:t>
          </w:r>
          <w:r w:rsidR="00D813FC">
            <w:fldChar w:fldCharType="end"/>
          </w:r>
        </w:sdtContent>
      </w:sdt>
      <w:r w:rsidRPr="00CD67E6">
        <w:t>.</w:t>
      </w:r>
    </w:p>
    <w:p w14:paraId="37B14AC2" w14:textId="77777777" w:rsidR="00CD67E6" w:rsidRPr="00CD67E6" w:rsidRDefault="00CD67E6" w:rsidP="00293A7D">
      <w:pPr>
        <w:jc w:val="both"/>
      </w:pPr>
    </w:p>
    <w:p w14:paraId="278DD01E" w14:textId="77777777" w:rsidR="00CD67E6" w:rsidRPr="00CD67E6" w:rsidRDefault="00CD67E6" w:rsidP="00293A7D">
      <w:pPr>
        <w:jc w:val="both"/>
      </w:pPr>
      <w:bookmarkStart w:id="38" w:name="_Toc69778001"/>
      <w:bookmarkStart w:id="39" w:name="_Toc68042467"/>
      <w:r w:rsidRPr="00CD67E6">
        <w:t>Endorsing Standards: Recommendations</w:t>
      </w:r>
      <w:bookmarkEnd w:id="38"/>
      <w:bookmarkEnd w:id="39"/>
    </w:p>
    <w:p w14:paraId="0675C7FF" w14:textId="641C5E1F" w:rsidR="00CD67E6" w:rsidRPr="00CD67E6" w:rsidRDefault="00CD67E6" w:rsidP="00293A7D">
      <w:pPr>
        <w:jc w:val="both"/>
      </w:pPr>
      <w:r w:rsidRPr="00CD67E6">
        <w:t xml:space="preserve">The Board is sanctioned to make commendations to the Federal Reserve Board on the establishment and refinement of appropriate prudential standards for systemically important </w:t>
      </w:r>
      <w:r w:rsidRPr="00CD67E6">
        <w:lastRenderedPageBreak/>
        <w:t xml:space="preserve">institutions and on the need for disclosure and reporting to prevent or mitigate potential harm to U.S. financial stability that could result from the significant financial distress, failure, or ongoing operations of such institutions </w:t>
      </w:r>
      <w:sdt>
        <w:sdtPr>
          <w:id w:val="927467219"/>
          <w:citation/>
        </w:sdtPr>
        <w:sdtEndPr/>
        <w:sdtContent>
          <w:r w:rsidR="00D813FC">
            <w:fldChar w:fldCharType="begin"/>
          </w:r>
          <w:r w:rsidR="00D813FC">
            <w:rPr>
              <w:lang w:val="en-US"/>
            </w:rPr>
            <w:instrText xml:space="preserve"> CITATION Pla17 \l 1033 </w:instrText>
          </w:r>
          <w:r w:rsidR="00D813FC">
            <w:fldChar w:fldCharType="separate"/>
          </w:r>
          <w:r w:rsidR="00B81B8B" w:rsidRPr="00B81B8B">
            <w:rPr>
              <w:noProof/>
              <w:lang w:val="en-US"/>
            </w:rPr>
            <w:t>(Plagborg‐Møller &amp; Holm, 2017)</w:t>
          </w:r>
          <w:r w:rsidR="00D813FC">
            <w:fldChar w:fldCharType="end"/>
          </w:r>
        </w:sdtContent>
      </w:sdt>
      <w:r w:rsidRPr="00CD67E6">
        <w:t xml:space="preserve">. The Federal Reserve should take these recommendations into account when approving extensions to prudential regulation </w:t>
      </w:r>
      <w:sdt>
        <w:sdtPr>
          <w:id w:val="1770353434"/>
          <w:citation/>
        </w:sdtPr>
        <w:sdtEndPr/>
        <w:sdtContent>
          <w:r w:rsidR="00D813FC">
            <w:fldChar w:fldCharType="begin"/>
          </w:r>
          <w:r w:rsidR="00D813FC">
            <w:rPr>
              <w:lang w:val="en-US"/>
            </w:rPr>
            <w:instrText xml:space="preserve"> CITATION Can12 \l 1033 </w:instrText>
          </w:r>
          <w:r w:rsidR="00D813FC">
            <w:fldChar w:fldCharType="separate"/>
          </w:r>
          <w:r w:rsidR="00B81B8B" w:rsidRPr="00B81B8B">
            <w:rPr>
              <w:noProof/>
              <w:lang w:val="en-US"/>
            </w:rPr>
            <w:t>(Canova &amp; Hickey, 2012)</w:t>
          </w:r>
          <w:r w:rsidR="00D813FC">
            <w:fldChar w:fldCharType="end"/>
          </w:r>
        </w:sdtContent>
      </w:sdt>
      <w:r w:rsidRPr="00CD67E6">
        <w:t xml:space="preserve">. The Commission may also make recommendations to apply more stringent standards and safeguards to financial activities and practices if it determines that the expansion, </w:t>
      </w:r>
      <w:proofErr w:type="gramStart"/>
      <w:r w:rsidRPr="00CD67E6">
        <w:t>scale</w:t>
      </w:r>
      <w:proofErr w:type="gramEnd"/>
      <w:r w:rsidRPr="00CD67E6">
        <w:t xml:space="preserve"> or interconnectedness of activities may create or exacerbate significant liquidity risk, credit or other problems </w:t>
      </w:r>
      <w:sdt>
        <w:sdtPr>
          <w:id w:val="-153382072"/>
          <w:citation/>
        </w:sdtPr>
        <w:sdtEndPr/>
        <w:sdtContent>
          <w:r w:rsidR="00D813FC">
            <w:fldChar w:fldCharType="begin"/>
          </w:r>
          <w:r w:rsidR="00D813FC">
            <w:rPr>
              <w:lang w:val="en-US"/>
            </w:rPr>
            <w:instrText xml:space="preserve"> CITATION Kac10 \l 1033 </w:instrText>
          </w:r>
          <w:r w:rsidR="00D813FC">
            <w:fldChar w:fldCharType="separate"/>
          </w:r>
          <w:r w:rsidR="00B81B8B" w:rsidRPr="00B81B8B">
            <w:rPr>
              <w:noProof/>
              <w:lang w:val="en-US"/>
            </w:rPr>
            <w:t>(Kacperczyk &amp; Schnabl, 2010)</w:t>
          </w:r>
          <w:r w:rsidR="00D813FC">
            <w:fldChar w:fldCharType="end"/>
          </w:r>
        </w:sdtContent>
      </w:sdt>
      <w:r w:rsidRPr="00CD67E6">
        <w:t>.</w:t>
      </w:r>
    </w:p>
    <w:p w14:paraId="6F8644D8" w14:textId="77777777" w:rsidR="00CD67E6" w:rsidRPr="00CD67E6" w:rsidRDefault="00CD67E6" w:rsidP="00293A7D">
      <w:pPr>
        <w:jc w:val="both"/>
      </w:pPr>
    </w:p>
    <w:p w14:paraId="0D0C100D" w14:textId="77777777" w:rsidR="00CD67E6" w:rsidRPr="00CD67E6" w:rsidRDefault="00CD67E6" w:rsidP="00293A7D">
      <w:pPr>
        <w:jc w:val="both"/>
        <w:rPr>
          <w:b/>
        </w:rPr>
      </w:pPr>
      <w:bookmarkStart w:id="40" w:name="_Toc69778002"/>
      <w:bookmarkStart w:id="41" w:name="_Toc68042468"/>
      <w:r w:rsidRPr="00CD67E6">
        <w:rPr>
          <w:b/>
        </w:rPr>
        <w:t>Systemic Risk Regulatory Structure</w:t>
      </w:r>
      <w:bookmarkEnd w:id="40"/>
      <w:bookmarkEnd w:id="41"/>
    </w:p>
    <w:p w14:paraId="22D086AF" w14:textId="77777777" w:rsidR="00CD67E6" w:rsidRPr="00CD67E6" w:rsidRDefault="00CD67E6" w:rsidP="00293A7D">
      <w:pPr>
        <w:jc w:val="both"/>
      </w:pPr>
      <w:bookmarkStart w:id="42" w:name="_Toc69778003"/>
      <w:bookmarkStart w:id="43" w:name="_Toc68042469"/>
      <w:r w:rsidRPr="00CD67E6">
        <w:t>Non-Bank Financial Companies: Systemically Important</w:t>
      </w:r>
      <w:bookmarkEnd w:id="42"/>
      <w:bookmarkEnd w:id="43"/>
    </w:p>
    <w:p w14:paraId="34CBB7C0" w14:textId="310FE5C7" w:rsidR="00CD67E6" w:rsidRPr="00CD67E6" w:rsidRDefault="00CD67E6" w:rsidP="00293A7D">
      <w:pPr>
        <w:jc w:val="both"/>
      </w:pPr>
      <w:r w:rsidRPr="00CD67E6">
        <w:t xml:space="preserve">This Act defines a “non-bank financial institution” as any entity primarily engaged in financial activities, other than a bank holding company or an entity that qualifies as a bank holding company </w:t>
      </w:r>
      <w:sdt>
        <w:sdtPr>
          <w:id w:val="-866067394"/>
          <w:citation/>
        </w:sdtPr>
        <w:sdtEndPr/>
        <w:sdtContent>
          <w:r w:rsidR="00B1793F">
            <w:fldChar w:fldCharType="begin"/>
          </w:r>
          <w:r w:rsidR="00B1793F">
            <w:rPr>
              <w:lang w:val="en-US"/>
            </w:rPr>
            <w:instrText xml:space="preserve"> CITATION Baj11 \l 1033 </w:instrText>
          </w:r>
          <w:r w:rsidR="00B1793F">
            <w:fldChar w:fldCharType="separate"/>
          </w:r>
          <w:r w:rsidR="00B81B8B" w:rsidRPr="00B81B8B">
            <w:rPr>
              <w:noProof/>
              <w:lang w:val="en-US"/>
            </w:rPr>
            <w:t>(Bajpai, 2011)</w:t>
          </w:r>
          <w:r w:rsidR="00B1793F">
            <w:fldChar w:fldCharType="end"/>
          </w:r>
        </w:sdtContent>
      </w:sdt>
      <w:r w:rsidRPr="00CD67E6">
        <w:t xml:space="preserve">. The Board is responsible for identifying systemically important non-bank financial institutions that, under the Act, may pose a risk to financial stability because the entity may be experiencing significant financial difficulties or in connection with its ongoing operations. Subsequent interaction steps added considerations about the organisation’s current activities that expanded the range of organisations that can be classified as systemically important </w:t>
      </w:r>
      <w:sdt>
        <w:sdtPr>
          <w:id w:val="-1677419226"/>
          <w:citation/>
        </w:sdtPr>
        <w:sdtEndPr/>
        <w:sdtContent>
          <w:r w:rsidR="00B1793F">
            <w:fldChar w:fldCharType="begin"/>
          </w:r>
          <w:r w:rsidR="00B1793F">
            <w:rPr>
              <w:lang w:val="en-US"/>
            </w:rPr>
            <w:instrText xml:space="preserve"> CITATION Gab10 \l 1033 </w:instrText>
          </w:r>
          <w:r w:rsidR="00B1793F">
            <w:fldChar w:fldCharType="separate"/>
          </w:r>
          <w:r w:rsidR="00B81B8B" w:rsidRPr="00B81B8B">
            <w:rPr>
              <w:noProof/>
              <w:lang w:val="en-US"/>
            </w:rPr>
            <w:t>(Gabrieli, 2010)</w:t>
          </w:r>
          <w:r w:rsidR="00B1793F">
            <w:fldChar w:fldCharType="end"/>
          </w:r>
        </w:sdtContent>
      </w:sdt>
      <w:r w:rsidRPr="00CD67E6">
        <w:t>.</w:t>
      </w:r>
    </w:p>
    <w:p w14:paraId="065501DE" w14:textId="77777777" w:rsidR="00CD67E6" w:rsidRPr="00CD67E6" w:rsidRDefault="00CD67E6" w:rsidP="00293A7D">
      <w:pPr>
        <w:jc w:val="both"/>
      </w:pPr>
    </w:p>
    <w:p w14:paraId="06354F35" w14:textId="77777777" w:rsidR="00CD67E6" w:rsidRPr="00CD67E6" w:rsidRDefault="00CD67E6" w:rsidP="00293A7D">
      <w:pPr>
        <w:jc w:val="both"/>
      </w:pPr>
      <w:bookmarkStart w:id="44" w:name="_Toc69778004"/>
      <w:bookmarkStart w:id="45" w:name="_Toc68042470"/>
      <w:r w:rsidRPr="00CD67E6">
        <w:t>Bank Holding Companies: Systemically Important</w:t>
      </w:r>
      <w:bookmarkEnd w:id="44"/>
      <w:bookmarkEnd w:id="45"/>
    </w:p>
    <w:p w14:paraId="462C6883" w14:textId="749F180F" w:rsidR="00CD67E6" w:rsidRDefault="00CD67E6" w:rsidP="00293A7D">
      <w:pPr>
        <w:jc w:val="both"/>
      </w:pPr>
      <w:r w:rsidRPr="00CD67E6">
        <w:t xml:space="preserve">As a result, bank holding companies with total assets of $50 billion or more must meet expanded prudential standards </w:t>
      </w:r>
      <w:sdt>
        <w:sdtPr>
          <w:id w:val="-1150361819"/>
          <w:citation/>
        </w:sdtPr>
        <w:sdtEndPr/>
        <w:sdtContent>
          <w:r w:rsidR="00B1793F">
            <w:fldChar w:fldCharType="begin"/>
          </w:r>
          <w:r w:rsidR="00B1793F">
            <w:rPr>
              <w:lang w:val="en-US"/>
            </w:rPr>
            <w:instrText xml:space="preserve"> CITATION Kac10 \l 1033 </w:instrText>
          </w:r>
          <w:r w:rsidR="00B1793F">
            <w:fldChar w:fldCharType="separate"/>
          </w:r>
          <w:r w:rsidR="00B81B8B" w:rsidRPr="00B81B8B">
            <w:rPr>
              <w:noProof/>
              <w:lang w:val="en-US"/>
            </w:rPr>
            <w:t>(Kacperczyk &amp; Schnabl, 2010)</w:t>
          </w:r>
          <w:r w:rsidR="00B1793F">
            <w:fldChar w:fldCharType="end"/>
          </w:r>
        </w:sdtContent>
      </w:sdt>
      <w:r w:rsidRPr="00CD67E6">
        <w:t xml:space="preserve">. No action by the Federal Reserve Board or the Board of Governors is required </w:t>
      </w:r>
      <w:sdt>
        <w:sdtPr>
          <w:id w:val="-1837601757"/>
          <w:citation/>
        </w:sdtPr>
        <w:sdtEndPr/>
        <w:sdtContent>
          <w:r w:rsidR="00B1793F">
            <w:fldChar w:fldCharType="begin"/>
          </w:r>
          <w:r w:rsidR="00B1793F">
            <w:rPr>
              <w:lang w:val="en-US"/>
            </w:rPr>
            <w:instrText xml:space="preserve"> CITATION Gab10 \l 1033 </w:instrText>
          </w:r>
          <w:r w:rsidR="00B1793F">
            <w:fldChar w:fldCharType="separate"/>
          </w:r>
          <w:r w:rsidR="00B81B8B" w:rsidRPr="00B81B8B">
            <w:rPr>
              <w:noProof/>
              <w:lang w:val="en-US"/>
            </w:rPr>
            <w:t>(Gabrieli, 2010)</w:t>
          </w:r>
          <w:r w:rsidR="00B1793F">
            <w:fldChar w:fldCharType="end"/>
          </w:r>
        </w:sdtContent>
      </w:sdt>
      <w:r w:rsidRPr="00CD67E6">
        <w:t xml:space="preserve">. There is currently no way to lower the $50 billion limit </w:t>
      </w:r>
      <w:sdt>
        <w:sdtPr>
          <w:id w:val="1496372191"/>
          <w:citation/>
        </w:sdtPr>
        <w:sdtEndPr/>
        <w:sdtContent>
          <w:r w:rsidR="00B1793F">
            <w:fldChar w:fldCharType="begin"/>
          </w:r>
          <w:r w:rsidR="00B1793F">
            <w:rPr>
              <w:lang w:val="en-US"/>
            </w:rPr>
            <w:instrText xml:space="preserve"> CITATION Poo10 \l 1033 </w:instrText>
          </w:r>
          <w:r w:rsidR="00B1793F">
            <w:fldChar w:fldCharType="separate"/>
          </w:r>
          <w:r w:rsidR="00B81B8B" w:rsidRPr="00B81B8B">
            <w:rPr>
              <w:noProof/>
              <w:lang w:val="en-US"/>
            </w:rPr>
            <w:t>(Poole, 2010)</w:t>
          </w:r>
          <w:r w:rsidR="00B1793F">
            <w:fldChar w:fldCharType="end"/>
          </w:r>
        </w:sdtContent>
      </w:sdt>
      <w:r w:rsidRPr="00CD67E6">
        <w:t xml:space="preserve">. The Federal Reserve </w:t>
      </w:r>
      <w:proofErr w:type="gramStart"/>
      <w:r w:rsidRPr="00CD67E6">
        <w:t>has the ability to</w:t>
      </w:r>
      <w:proofErr w:type="gramEnd"/>
      <w:r w:rsidRPr="00CD67E6">
        <w:t xml:space="preserve"> raise the limit, and the Board of Governors may recommend such action, but only with respect to the use of unanticipated capital requirements, specific programs, public borrowing announcements, rate limits, increased public disclosure, and immediate debt limits. The Federal Reserve may not increase the limits for hazardous capital requirements, exposure limits, liquidity requirements, and general hazardous executor requirements </w:t>
      </w:r>
      <w:sdt>
        <w:sdtPr>
          <w:id w:val="1721401302"/>
          <w:citation/>
        </w:sdtPr>
        <w:sdtEndPr/>
        <w:sdtContent>
          <w:r w:rsidR="00B1793F">
            <w:fldChar w:fldCharType="begin"/>
          </w:r>
          <w:r w:rsidR="00B1793F">
            <w:rPr>
              <w:lang w:val="en-US"/>
            </w:rPr>
            <w:instrText xml:space="preserve"> CITATION Hop11 \l 1033 </w:instrText>
          </w:r>
          <w:r w:rsidR="00B1793F">
            <w:fldChar w:fldCharType="separate"/>
          </w:r>
          <w:r w:rsidR="00B81B8B" w:rsidRPr="00B81B8B">
            <w:rPr>
              <w:noProof/>
              <w:lang w:val="en-US"/>
            </w:rPr>
            <w:t>(Hope, 2011)</w:t>
          </w:r>
          <w:r w:rsidR="00B1793F">
            <w:fldChar w:fldCharType="end"/>
          </w:r>
        </w:sdtContent>
      </w:sdt>
      <w:r w:rsidRPr="00CD67E6">
        <w:t xml:space="preserve">. As of March 31, 2010, 36 bank holding companies nationwide have exceeded the $50 billion limit </w:t>
      </w:r>
      <w:sdt>
        <w:sdtPr>
          <w:id w:val="242000200"/>
          <w:citation/>
        </w:sdtPr>
        <w:sdtEndPr/>
        <w:sdtContent>
          <w:r w:rsidR="00164B6F">
            <w:fldChar w:fldCharType="begin"/>
          </w:r>
          <w:r w:rsidR="00164B6F">
            <w:rPr>
              <w:lang w:val="en-US"/>
            </w:rPr>
            <w:instrText xml:space="preserve"> CITATION Baj11 \l 1033 </w:instrText>
          </w:r>
          <w:r w:rsidR="00164B6F">
            <w:fldChar w:fldCharType="separate"/>
          </w:r>
          <w:r w:rsidR="00B81B8B" w:rsidRPr="00B81B8B">
            <w:rPr>
              <w:noProof/>
              <w:lang w:val="en-US"/>
            </w:rPr>
            <w:t>(Bajpai, 2011)</w:t>
          </w:r>
          <w:r w:rsidR="00164B6F">
            <w:fldChar w:fldCharType="end"/>
          </w:r>
        </w:sdtContent>
      </w:sdt>
      <w:r w:rsidRPr="00CD67E6">
        <w:t>.</w:t>
      </w:r>
    </w:p>
    <w:p w14:paraId="4B4DE34E" w14:textId="089EE15B" w:rsidR="00E355FE" w:rsidRPr="00CD67E6" w:rsidRDefault="009D62A6" w:rsidP="00293A7D">
      <w:pPr>
        <w:jc w:val="both"/>
      </w:pPr>
      <w:r w:rsidRPr="00E355FE">
        <w:t xml:space="preserve">According </w:t>
      </w:r>
      <w:r w:rsidRPr="00E355FE">
        <w:t xml:space="preserve">to </w:t>
      </w:r>
      <w:r>
        <w:t>some</w:t>
      </w:r>
      <w:r w:rsidRPr="00E355FE">
        <w:t xml:space="preserve"> simulations</w:t>
      </w:r>
      <w:r>
        <w:t>,</w:t>
      </w:r>
      <w:r w:rsidRPr="00E355FE">
        <w:t xml:space="preserve"> </w:t>
      </w:r>
      <w:r>
        <w:t>b</w:t>
      </w:r>
      <w:r w:rsidR="00E355FE" w:rsidRPr="00E355FE">
        <w:t>y intensifying</w:t>
      </w:r>
      <w:r>
        <w:t xml:space="preserve"> the</w:t>
      </w:r>
      <w:r w:rsidR="00E355FE" w:rsidRPr="00E355FE">
        <w:t xml:space="preserve"> </w:t>
      </w:r>
      <w:r>
        <w:t>regulations</w:t>
      </w:r>
      <w:r w:rsidR="00E355FE" w:rsidRPr="00E355FE">
        <w:t xml:space="preserve"> on bank activities, </w:t>
      </w:r>
      <w:r w:rsidRPr="00E355FE">
        <w:t>various</w:t>
      </w:r>
      <w:r w:rsidR="00E355FE" w:rsidRPr="00E355FE">
        <w:t xml:space="preserve"> countries increased</w:t>
      </w:r>
      <w:r>
        <w:t xml:space="preserve"> their</w:t>
      </w:r>
      <w:r w:rsidR="00E355FE" w:rsidRPr="00E355FE">
        <w:t xml:space="preserve"> banking-system fragility. The</w:t>
      </w:r>
      <w:r w:rsidR="0014048B">
        <w:t xml:space="preserve"> results of the</w:t>
      </w:r>
      <w:r w:rsidR="00E355FE" w:rsidRPr="00E355FE">
        <w:t xml:space="preserve"> simulations </w:t>
      </w:r>
      <w:r w:rsidR="0014048B" w:rsidRPr="00E355FE">
        <w:t>imply</w:t>
      </w:r>
      <w:r w:rsidR="00E355FE" w:rsidRPr="00E355FE">
        <w:t xml:space="preserve"> that Argentina, Korea, and Russia </w:t>
      </w:r>
      <w:r w:rsidR="0014048B" w:rsidRPr="00E355FE">
        <w:t>enacted</w:t>
      </w:r>
      <w:r w:rsidR="00E355FE" w:rsidRPr="00E355FE">
        <w:t xml:space="preserve"> </w:t>
      </w:r>
      <w:r w:rsidR="0014048B" w:rsidRPr="00E355FE">
        <w:t>further</w:t>
      </w:r>
      <w:r w:rsidR="00E355FE" w:rsidRPr="00E355FE">
        <w:t xml:space="preserve"> restrictions on bank activities and these </w:t>
      </w:r>
      <w:r w:rsidR="0014048B">
        <w:t>measures</w:t>
      </w:r>
      <w:r w:rsidR="00E355FE" w:rsidRPr="00E355FE">
        <w:t xml:space="preserve"> will </w:t>
      </w:r>
      <w:r w:rsidR="0014048B" w:rsidRPr="00E355FE">
        <w:t>raise</w:t>
      </w:r>
      <w:r w:rsidR="00E355FE" w:rsidRPr="00E355FE">
        <w:t xml:space="preserve"> the </w:t>
      </w:r>
      <w:r w:rsidR="0014048B" w:rsidRPr="00E355FE">
        <w:t>possibility</w:t>
      </w:r>
      <w:r w:rsidR="00E355FE" w:rsidRPr="00E355FE">
        <w:t xml:space="preserve"> of a crisis by between 20% and 40%.</w:t>
      </w:r>
      <w:r w:rsidR="0014048B">
        <w:t xml:space="preserve"> On the other hand,</w:t>
      </w:r>
      <w:r w:rsidR="00E355FE">
        <w:t xml:space="preserve"> </w:t>
      </w:r>
      <w:r w:rsidR="0014048B" w:rsidRPr="00E355FE">
        <w:t xml:space="preserve">other </w:t>
      </w:r>
      <w:r w:rsidR="00E355FE" w:rsidRPr="00E355FE">
        <w:t xml:space="preserve">countries </w:t>
      </w:r>
      <w:r w:rsidR="0014048B" w:rsidRPr="00E355FE">
        <w:t>eased</w:t>
      </w:r>
      <w:r w:rsidR="00E355FE" w:rsidRPr="00E355FE">
        <w:t xml:space="preserve"> </w:t>
      </w:r>
      <w:r w:rsidR="0014048B">
        <w:t xml:space="preserve">on the </w:t>
      </w:r>
      <w:r w:rsidR="00E355FE" w:rsidRPr="00E355FE">
        <w:t>restrictions on</w:t>
      </w:r>
      <w:r w:rsidR="0014048B">
        <w:t xml:space="preserve"> the</w:t>
      </w:r>
      <w:r w:rsidR="00E355FE" w:rsidRPr="00E355FE">
        <w:t xml:space="preserve"> bank activities, </w:t>
      </w:r>
      <w:r w:rsidR="0014048B" w:rsidRPr="00E355FE">
        <w:t>letting</w:t>
      </w:r>
      <w:r w:rsidR="00E355FE" w:rsidRPr="00E355FE">
        <w:t xml:space="preserve"> banks to </w:t>
      </w:r>
      <w:r w:rsidR="0014048B" w:rsidRPr="00E355FE">
        <w:t>vary</w:t>
      </w:r>
      <w:r w:rsidR="00E355FE" w:rsidRPr="00E355FE">
        <w:t xml:space="preserve"> income flows with positive effects on</w:t>
      </w:r>
      <w:r w:rsidR="0014048B">
        <w:t xml:space="preserve"> the stability of the</w:t>
      </w:r>
      <w:r w:rsidR="00E355FE" w:rsidRPr="00E355FE">
        <w:t xml:space="preserve"> banking-system</w:t>
      </w:r>
      <w:r w:rsidR="00E355FE">
        <w:t>.</w:t>
      </w:r>
      <w:r w:rsidR="00E355FE">
        <w:t xml:space="preserve"> Japan, UK, and U</w:t>
      </w:r>
      <w:r w:rsidR="006E5CA2">
        <w:t>S</w:t>
      </w:r>
      <w:r w:rsidR="00E355FE">
        <w:t xml:space="preserve"> </w:t>
      </w:r>
      <w:r w:rsidR="006E5CA2">
        <w:t>as well</w:t>
      </w:r>
      <w:r w:rsidR="00E355FE">
        <w:t xml:space="preserve"> </w:t>
      </w:r>
      <w:r w:rsidR="006E5CA2">
        <w:t>lowered</w:t>
      </w:r>
      <w:r w:rsidR="00E355FE">
        <w:t xml:space="preserve"> </w:t>
      </w:r>
      <w:r w:rsidR="006E5CA2">
        <w:t>their activity</w:t>
      </w:r>
      <w:r w:rsidR="00E355FE">
        <w:t xml:space="preserve"> restrictions, </w:t>
      </w:r>
      <w:r w:rsidR="006E5CA2">
        <w:t>give it a</w:t>
      </w:r>
      <w:r w:rsidR="00E355FE">
        <w:t xml:space="preserve"> boost to stability</w:t>
      </w:r>
      <w:r w:rsidR="00E355FE">
        <w:t xml:space="preserve"> </w:t>
      </w:r>
      <w:sdt>
        <w:sdtPr>
          <w:id w:val="823707496"/>
          <w:citation/>
        </w:sdtPr>
        <w:sdtContent>
          <w:r w:rsidR="008B5A6B">
            <w:fldChar w:fldCharType="begin"/>
          </w:r>
          <w:r w:rsidR="008B5A6B">
            <w:rPr>
              <w:lang w:val="en-US"/>
            </w:rPr>
            <w:instrText xml:space="preserve"> CITATION Bar08 \l 1033 </w:instrText>
          </w:r>
          <w:r w:rsidR="008B5A6B">
            <w:fldChar w:fldCharType="separate"/>
          </w:r>
          <w:r w:rsidR="00B81B8B" w:rsidRPr="00B81B8B">
            <w:rPr>
              <w:noProof/>
              <w:lang w:val="en-US"/>
            </w:rPr>
            <w:t>(Barth, et al., 2008)</w:t>
          </w:r>
          <w:r w:rsidR="008B5A6B">
            <w:fldChar w:fldCharType="end"/>
          </w:r>
        </w:sdtContent>
      </w:sdt>
      <w:r w:rsidR="00E355FE">
        <w:t>.</w:t>
      </w:r>
    </w:p>
    <w:p w14:paraId="05771C6E" w14:textId="701ED159" w:rsidR="00293A7D" w:rsidRPr="00CD67E6" w:rsidRDefault="00293A7D" w:rsidP="00293A7D">
      <w:pPr>
        <w:jc w:val="both"/>
      </w:pPr>
      <w:r w:rsidRPr="00CD67E6">
        <w:t xml:space="preserve">In 2010, the “Basel Committee on Banking Supervision” published Basel III Accord, which is about the international financial regulations that worked through the financial crisis of 2007-2009 </w:t>
      </w:r>
      <w:sdt>
        <w:sdtPr>
          <w:id w:val="262811791"/>
          <w:citation/>
        </w:sdtPr>
        <w:sdtEndPr/>
        <w:sdtContent>
          <w:r w:rsidRPr="00CD67E6">
            <w:fldChar w:fldCharType="begin"/>
          </w:r>
          <w:r w:rsidRPr="00985537">
            <w:rPr>
              <w:lang w:val="en-US"/>
            </w:rPr>
            <w:instrText xml:space="preserve"> CITATION Lyn12 \l 1033 </w:instrText>
          </w:r>
          <w:r w:rsidRPr="00CD67E6">
            <w:fldChar w:fldCharType="separate"/>
          </w:r>
          <w:r w:rsidR="00B81B8B" w:rsidRPr="00B81B8B">
            <w:rPr>
              <w:noProof/>
              <w:lang w:val="en-US"/>
            </w:rPr>
            <w:t>(Lyngen, 2012)</w:t>
          </w:r>
          <w:r w:rsidRPr="00CD67E6">
            <w:fldChar w:fldCharType="end"/>
          </w:r>
        </w:sdtContent>
      </w:sdt>
      <w:r w:rsidRPr="00CD67E6">
        <w:t>.</w:t>
      </w:r>
    </w:p>
    <w:p w14:paraId="458A5CC9" w14:textId="35867A9A" w:rsidR="00293A7D" w:rsidRPr="00CD67E6" w:rsidRDefault="00293A7D" w:rsidP="00293A7D">
      <w:pPr>
        <w:jc w:val="both"/>
      </w:pPr>
      <w:r w:rsidRPr="00CD67E6">
        <w:lastRenderedPageBreak/>
        <w:t xml:space="preserve">The purpose of the new rules is to encourage the strength of the banking system and enhance the competence to deal with the shocks that can arise from the financial pressure. The new rules are set up to strengthen the bank capital and demand that banks have a bigger capital for a certain amount of assets and increase the coverage of bank assets </w:t>
      </w:r>
      <w:sdt>
        <w:sdtPr>
          <w:id w:val="397873754"/>
          <w:citation/>
        </w:sdtPr>
        <w:sdtEndPr/>
        <w:sdtContent>
          <w:r w:rsidRPr="00CD67E6">
            <w:fldChar w:fldCharType="begin"/>
          </w:r>
          <w:r w:rsidRPr="00985537">
            <w:rPr>
              <w:lang w:val="en-US"/>
            </w:rPr>
            <w:instrText xml:space="preserve"> CITATION Cos11 \l 1033 </w:instrText>
          </w:r>
          <w:r w:rsidRPr="00CD67E6">
            <w:fldChar w:fldCharType="separate"/>
          </w:r>
          <w:r w:rsidR="00B81B8B" w:rsidRPr="00B81B8B">
            <w:rPr>
              <w:noProof/>
              <w:lang w:val="en-US"/>
            </w:rPr>
            <w:t>(Cosimano &amp; Hakura, 2011)</w:t>
          </w:r>
          <w:r w:rsidRPr="00CD67E6">
            <w:fldChar w:fldCharType="end"/>
          </w:r>
        </w:sdtContent>
      </w:sdt>
      <w:r w:rsidRPr="00CD67E6">
        <w:t xml:space="preserve">. </w:t>
      </w:r>
    </w:p>
    <w:p w14:paraId="68166708" w14:textId="483F30A4" w:rsidR="00293A7D" w:rsidRPr="00CD67E6" w:rsidRDefault="00293A7D" w:rsidP="00293A7D">
      <w:pPr>
        <w:jc w:val="both"/>
      </w:pPr>
      <w:r w:rsidRPr="00CD67E6">
        <w:t xml:space="preserve">When raising bank’s capital requirements, will raise the marginal cost of financing, and this will lead to an increase in the lending rates. Generalized method of moments valuations suggest that this would make the banks to raise their loaning rates by 16 basis points, which will trigger a decrease of the loans by 1.3 percent in the future </w:t>
      </w:r>
      <w:sdt>
        <w:sdtPr>
          <w:id w:val="-1783023584"/>
          <w:citation/>
        </w:sdtPr>
        <w:sdtEndPr/>
        <w:sdtContent>
          <w:r w:rsidRPr="00CD67E6">
            <w:fldChar w:fldCharType="begin"/>
          </w:r>
          <w:r w:rsidRPr="00985537">
            <w:rPr>
              <w:lang w:val="en-US"/>
            </w:rPr>
            <w:instrText xml:space="preserve"> CITATION Cos11 \l 1033 </w:instrText>
          </w:r>
          <w:r w:rsidRPr="00CD67E6">
            <w:fldChar w:fldCharType="separate"/>
          </w:r>
          <w:r w:rsidR="00B81B8B" w:rsidRPr="00B81B8B">
            <w:rPr>
              <w:noProof/>
              <w:lang w:val="en-US"/>
            </w:rPr>
            <w:t>(Cosimano &amp; Hakura, 2011)</w:t>
          </w:r>
          <w:r w:rsidRPr="00CD67E6">
            <w:fldChar w:fldCharType="end"/>
          </w:r>
        </w:sdtContent>
      </w:sdt>
      <w:r w:rsidRPr="00CD67E6">
        <w:t>.</w:t>
      </w:r>
    </w:p>
    <w:p w14:paraId="3E7B79D8" w14:textId="1DC80998" w:rsidR="00293A7D" w:rsidRPr="00CD67E6" w:rsidRDefault="00293A7D" w:rsidP="00293A7D">
      <w:pPr>
        <w:jc w:val="both"/>
      </w:pPr>
      <w:r w:rsidRPr="00CD67E6">
        <w:t xml:space="preserve">Basel III regulations are extremely discussed by everyone in the financial </w:t>
      </w:r>
      <w:proofErr w:type="gramStart"/>
      <w:r w:rsidRPr="00CD67E6">
        <w:t>sectors</w:t>
      </w:r>
      <w:proofErr w:type="gramEnd"/>
      <w:r w:rsidRPr="00CD67E6">
        <w:t xml:space="preserve"> and they have different opinions. Some will say that this regulation will bring positive economic benefits among banks all due to the increase of the capital requirements that will reduce the leverage and the risk of bank insolvencies</w:t>
      </w:r>
      <w:sdt>
        <w:sdtPr>
          <w:id w:val="1372342298"/>
          <w:citation/>
        </w:sdtPr>
        <w:sdtEndPr/>
        <w:sdtContent>
          <w:r w:rsidRPr="00CD67E6">
            <w:fldChar w:fldCharType="begin"/>
          </w:r>
          <w:r w:rsidRPr="00985537">
            <w:rPr>
              <w:lang w:val="en-US"/>
            </w:rPr>
            <w:instrText xml:space="preserve"> CITATION Adm10 \l 1033 </w:instrText>
          </w:r>
          <w:r w:rsidRPr="00CD67E6">
            <w:fldChar w:fldCharType="separate"/>
          </w:r>
          <w:r w:rsidR="00B81B8B">
            <w:rPr>
              <w:noProof/>
              <w:lang w:val="en-US"/>
            </w:rPr>
            <w:t xml:space="preserve"> </w:t>
          </w:r>
          <w:r w:rsidR="00B81B8B" w:rsidRPr="00B81B8B">
            <w:rPr>
              <w:noProof/>
              <w:lang w:val="en-US"/>
            </w:rPr>
            <w:t>(Admati, et al., 2010)</w:t>
          </w:r>
          <w:r w:rsidRPr="00CD67E6">
            <w:fldChar w:fldCharType="end"/>
          </w:r>
        </w:sdtContent>
      </w:sdt>
      <w:r w:rsidRPr="00CD67E6">
        <w:t>.</w:t>
      </w:r>
    </w:p>
    <w:p w14:paraId="21FE2871" w14:textId="5107241C" w:rsidR="00293A7D" w:rsidRPr="00CD67E6" w:rsidRDefault="00293A7D" w:rsidP="00293A7D">
      <w:pPr>
        <w:jc w:val="both"/>
      </w:pPr>
      <w:r w:rsidRPr="00CD67E6">
        <w:t>On the other hand, some will argue that there could be considerable costs of implementing a system that requires higher capital. Moreover, banks will raise their interest on lending, and this could lead to a decrease of the loans and affect the economy recovery</w:t>
      </w:r>
      <w:sdt>
        <w:sdtPr>
          <w:id w:val="-1595167192"/>
          <w:citation/>
        </w:sdtPr>
        <w:sdtEndPr/>
        <w:sdtContent>
          <w:r w:rsidRPr="00CD67E6">
            <w:fldChar w:fldCharType="begin"/>
          </w:r>
          <w:r w:rsidRPr="00985537">
            <w:rPr>
              <w:lang w:val="en-US"/>
            </w:rPr>
            <w:instrText xml:space="preserve"> CITATION Cos11 \l 1033 </w:instrText>
          </w:r>
          <w:r w:rsidRPr="00CD67E6">
            <w:fldChar w:fldCharType="separate"/>
          </w:r>
          <w:r w:rsidR="00B81B8B">
            <w:rPr>
              <w:noProof/>
              <w:lang w:val="en-US"/>
            </w:rPr>
            <w:t xml:space="preserve"> </w:t>
          </w:r>
          <w:r w:rsidR="00B81B8B" w:rsidRPr="00B81B8B">
            <w:rPr>
              <w:noProof/>
              <w:lang w:val="en-US"/>
            </w:rPr>
            <w:t>(Cosimano &amp; Hakura, 2011)</w:t>
          </w:r>
          <w:r w:rsidRPr="00CD67E6">
            <w:fldChar w:fldCharType="end"/>
          </w:r>
        </w:sdtContent>
      </w:sdt>
      <w:r w:rsidRPr="00CD67E6">
        <w:t>.</w:t>
      </w:r>
    </w:p>
    <w:p w14:paraId="2E6229C7" w14:textId="77777777" w:rsidR="00293A7D" w:rsidRPr="00CD67E6" w:rsidRDefault="00293A7D" w:rsidP="00293A7D">
      <w:pPr>
        <w:jc w:val="both"/>
      </w:pPr>
      <w:r w:rsidRPr="00CD67E6">
        <w:t>The</w:t>
      </w:r>
      <w:r>
        <w:t xml:space="preserve"> Basel</w:t>
      </w:r>
      <w:r w:rsidRPr="00CD67E6">
        <w:t xml:space="preserve"> Committee is initiating phase-in measures to implement the Liquidity Coverage Ratio to help certify that banks can meet the requirements through reasonable methods, and at the same time they are lending to the market.</w:t>
      </w:r>
    </w:p>
    <w:p w14:paraId="06E99003" w14:textId="4D8AACBA" w:rsidR="00293A7D" w:rsidRDefault="00293A7D" w:rsidP="00293A7D">
      <w:pPr>
        <w:jc w:val="both"/>
      </w:pPr>
      <w:r w:rsidRPr="00CD67E6">
        <w:t xml:space="preserve">Precisely, the Liquidity Coverage Ratio will be established as proposed on 1 January 2015, however the minimum requirement will start with 60% and increase in every year until 1 January 2019 to get to 100% </w:t>
      </w:r>
      <w:sdt>
        <w:sdtPr>
          <w:id w:val="-1561700140"/>
          <w:citation/>
        </w:sdtPr>
        <w:sdtEndPr/>
        <w:sdtContent>
          <w:r w:rsidRPr="00CD67E6">
            <w:fldChar w:fldCharType="begin"/>
          </w:r>
          <w:r w:rsidRPr="00985537">
            <w:rPr>
              <w:lang w:val="en-US"/>
            </w:rPr>
            <w:instrText xml:space="preserve"> CITATION Ban13 \l 1033 </w:instrText>
          </w:r>
          <w:r w:rsidRPr="00CD67E6">
            <w:fldChar w:fldCharType="separate"/>
          </w:r>
          <w:r w:rsidR="00B81B8B" w:rsidRPr="00B81B8B">
            <w:rPr>
              <w:noProof/>
              <w:lang w:val="en-US"/>
            </w:rPr>
            <w:t>(Bank for International Settlements, 2013)</w:t>
          </w:r>
          <w:r w:rsidRPr="00CD67E6">
            <w:fldChar w:fldCharType="end"/>
          </w:r>
        </w:sdtContent>
      </w:sdt>
      <w:r w:rsidRPr="00CD67E6">
        <w:t>.</w:t>
      </w:r>
    </w:p>
    <w:p w14:paraId="494678F7" w14:textId="77777777" w:rsidR="00293A7D" w:rsidRPr="00CD67E6" w:rsidRDefault="00293A7D" w:rsidP="00293A7D">
      <w:pPr>
        <w:ind w:left="360"/>
        <w:jc w:val="both"/>
      </w:pPr>
    </w:p>
    <w:p w14:paraId="2F9B6636" w14:textId="77777777" w:rsidR="00293A7D" w:rsidRPr="00CD67E6" w:rsidRDefault="00293A7D" w:rsidP="00293A7D">
      <w:pPr>
        <w:ind w:left="360"/>
        <w:jc w:val="both"/>
      </w:pPr>
      <w:r w:rsidRPr="00CD67E6">
        <w:t xml:space="preserve">Table 1: Implementation of the </w:t>
      </w:r>
      <w:bookmarkStart w:id="46" w:name="_Hlk71380013"/>
      <w:r w:rsidRPr="00CD67E6">
        <w:t xml:space="preserve">Liquidity Coverage Ratio </w:t>
      </w:r>
      <w:bookmarkEnd w:id="46"/>
      <w:r w:rsidRPr="00CD67E6">
        <w:t>between 2015-2019</w:t>
      </w:r>
    </w:p>
    <w:tbl>
      <w:tblPr>
        <w:tblStyle w:val="TableGrid"/>
        <w:tblW w:w="9488" w:type="dxa"/>
        <w:jc w:val="center"/>
        <w:tblLook w:val="04A0" w:firstRow="1" w:lastRow="0" w:firstColumn="1" w:lastColumn="0" w:noHBand="0" w:noVBand="1"/>
      </w:tblPr>
      <w:tblGrid>
        <w:gridCol w:w="1669"/>
        <w:gridCol w:w="1563"/>
        <w:gridCol w:w="1564"/>
        <w:gridCol w:w="1564"/>
        <w:gridCol w:w="1564"/>
        <w:gridCol w:w="1564"/>
      </w:tblGrid>
      <w:tr w:rsidR="00293A7D" w:rsidRPr="00CD67E6" w14:paraId="276466A9" w14:textId="77777777" w:rsidTr="00D34743">
        <w:trPr>
          <w:trHeight w:val="1097"/>
          <w:jc w:val="center"/>
        </w:trPr>
        <w:tc>
          <w:tcPr>
            <w:tcW w:w="1669" w:type="dxa"/>
          </w:tcPr>
          <w:p w14:paraId="77ACEE38" w14:textId="77777777" w:rsidR="00293A7D" w:rsidRPr="00CD67E6" w:rsidRDefault="00293A7D" w:rsidP="00C11578">
            <w:pPr>
              <w:ind w:left="360"/>
              <w:jc w:val="center"/>
            </w:pPr>
          </w:p>
        </w:tc>
        <w:tc>
          <w:tcPr>
            <w:tcW w:w="1563" w:type="dxa"/>
          </w:tcPr>
          <w:p w14:paraId="403BDAEC" w14:textId="77777777" w:rsidR="00293A7D" w:rsidRPr="00C11578" w:rsidRDefault="00293A7D" w:rsidP="00C11578">
            <w:pPr>
              <w:ind w:left="360"/>
              <w:jc w:val="center"/>
              <w:rPr>
                <w:b/>
                <w:bCs/>
              </w:rPr>
            </w:pPr>
            <w:r w:rsidRPr="00C11578">
              <w:rPr>
                <w:b/>
                <w:bCs/>
              </w:rPr>
              <w:t>1 January</w:t>
            </w:r>
          </w:p>
          <w:p w14:paraId="534A5DE2" w14:textId="77777777" w:rsidR="00293A7D" w:rsidRPr="00C11578" w:rsidRDefault="00293A7D" w:rsidP="00C11578">
            <w:pPr>
              <w:ind w:left="360"/>
              <w:jc w:val="center"/>
              <w:rPr>
                <w:b/>
                <w:bCs/>
              </w:rPr>
            </w:pPr>
            <w:r w:rsidRPr="00C11578">
              <w:rPr>
                <w:b/>
                <w:bCs/>
              </w:rPr>
              <w:t>2015</w:t>
            </w:r>
          </w:p>
        </w:tc>
        <w:tc>
          <w:tcPr>
            <w:tcW w:w="1564" w:type="dxa"/>
          </w:tcPr>
          <w:p w14:paraId="6700923F" w14:textId="77777777" w:rsidR="00293A7D" w:rsidRPr="00C11578" w:rsidRDefault="00293A7D" w:rsidP="00C11578">
            <w:pPr>
              <w:ind w:left="360"/>
              <w:jc w:val="center"/>
              <w:rPr>
                <w:b/>
                <w:bCs/>
              </w:rPr>
            </w:pPr>
            <w:r w:rsidRPr="00C11578">
              <w:rPr>
                <w:b/>
                <w:bCs/>
              </w:rPr>
              <w:t>1 January</w:t>
            </w:r>
          </w:p>
          <w:p w14:paraId="1BF7715A" w14:textId="77777777" w:rsidR="00293A7D" w:rsidRPr="00C11578" w:rsidRDefault="00293A7D" w:rsidP="00C11578">
            <w:pPr>
              <w:ind w:left="360"/>
              <w:jc w:val="center"/>
              <w:rPr>
                <w:b/>
                <w:bCs/>
              </w:rPr>
            </w:pPr>
            <w:r w:rsidRPr="00C11578">
              <w:rPr>
                <w:b/>
                <w:bCs/>
              </w:rPr>
              <w:t>2016</w:t>
            </w:r>
          </w:p>
        </w:tc>
        <w:tc>
          <w:tcPr>
            <w:tcW w:w="1564" w:type="dxa"/>
          </w:tcPr>
          <w:p w14:paraId="7EC443D6" w14:textId="77777777" w:rsidR="00293A7D" w:rsidRPr="00C11578" w:rsidRDefault="00293A7D" w:rsidP="00C11578">
            <w:pPr>
              <w:ind w:left="360"/>
              <w:jc w:val="center"/>
              <w:rPr>
                <w:b/>
                <w:bCs/>
              </w:rPr>
            </w:pPr>
            <w:r w:rsidRPr="00C11578">
              <w:rPr>
                <w:b/>
                <w:bCs/>
              </w:rPr>
              <w:t>1 January</w:t>
            </w:r>
          </w:p>
          <w:p w14:paraId="4A6B6725" w14:textId="77777777" w:rsidR="00293A7D" w:rsidRPr="00C11578" w:rsidRDefault="00293A7D" w:rsidP="00C11578">
            <w:pPr>
              <w:ind w:left="360"/>
              <w:jc w:val="center"/>
              <w:rPr>
                <w:b/>
                <w:bCs/>
              </w:rPr>
            </w:pPr>
            <w:r w:rsidRPr="00C11578">
              <w:rPr>
                <w:b/>
                <w:bCs/>
              </w:rPr>
              <w:t>2017</w:t>
            </w:r>
          </w:p>
        </w:tc>
        <w:tc>
          <w:tcPr>
            <w:tcW w:w="1564" w:type="dxa"/>
          </w:tcPr>
          <w:p w14:paraId="1560E0C4" w14:textId="77777777" w:rsidR="00293A7D" w:rsidRPr="00C11578" w:rsidRDefault="00293A7D" w:rsidP="00C11578">
            <w:pPr>
              <w:ind w:left="360"/>
              <w:jc w:val="center"/>
              <w:rPr>
                <w:b/>
                <w:bCs/>
              </w:rPr>
            </w:pPr>
            <w:r w:rsidRPr="00C11578">
              <w:rPr>
                <w:b/>
                <w:bCs/>
              </w:rPr>
              <w:t>1 January</w:t>
            </w:r>
          </w:p>
          <w:p w14:paraId="409B8F60" w14:textId="77777777" w:rsidR="00293A7D" w:rsidRPr="00C11578" w:rsidRDefault="00293A7D" w:rsidP="00C11578">
            <w:pPr>
              <w:ind w:left="360"/>
              <w:jc w:val="center"/>
              <w:rPr>
                <w:b/>
                <w:bCs/>
              </w:rPr>
            </w:pPr>
            <w:r w:rsidRPr="00C11578">
              <w:rPr>
                <w:b/>
                <w:bCs/>
              </w:rPr>
              <w:t>2018</w:t>
            </w:r>
          </w:p>
        </w:tc>
        <w:tc>
          <w:tcPr>
            <w:tcW w:w="1564" w:type="dxa"/>
          </w:tcPr>
          <w:p w14:paraId="2AD83D5A" w14:textId="77777777" w:rsidR="00293A7D" w:rsidRPr="00C11578" w:rsidRDefault="00293A7D" w:rsidP="00C11578">
            <w:pPr>
              <w:ind w:left="360"/>
              <w:jc w:val="center"/>
              <w:rPr>
                <w:b/>
                <w:bCs/>
              </w:rPr>
            </w:pPr>
            <w:r w:rsidRPr="00C11578">
              <w:rPr>
                <w:b/>
                <w:bCs/>
              </w:rPr>
              <w:t>1 January</w:t>
            </w:r>
          </w:p>
          <w:p w14:paraId="44B6799D" w14:textId="77777777" w:rsidR="00293A7D" w:rsidRPr="00C11578" w:rsidRDefault="00293A7D" w:rsidP="00C11578">
            <w:pPr>
              <w:ind w:left="360"/>
              <w:jc w:val="center"/>
              <w:rPr>
                <w:b/>
                <w:bCs/>
              </w:rPr>
            </w:pPr>
            <w:r w:rsidRPr="00C11578">
              <w:rPr>
                <w:b/>
                <w:bCs/>
              </w:rPr>
              <w:t>2019</w:t>
            </w:r>
          </w:p>
        </w:tc>
      </w:tr>
      <w:tr w:rsidR="00293A7D" w:rsidRPr="00CD67E6" w14:paraId="28C2D904" w14:textId="77777777" w:rsidTr="00D34743">
        <w:trPr>
          <w:trHeight w:val="1097"/>
          <w:jc w:val="center"/>
        </w:trPr>
        <w:tc>
          <w:tcPr>
            <w:tcW w:w="1669" w:type="dxa"/>
          </w:tcPr>
          <w:p w14:paraId="51C32714" w14:textId="77777777" w:rsidR="00293A7D" w:rsidRPr="00C11578" w:rsidRDefault="00293A7D" w:rsidP="00C11578">
            <w:pPr>
              <w:ind w:left="360"/>
              <w:jc w:val="center"/>
              <w:rPr>
                <w:b/>
                <w:bCs/>
              </w:rPr>
            </w:pPr>
            <w:r w:rsidRPr="00C11578">
              <w:rPr>
                <w:b/>
                <w:bCs/>
              </w:rPr>
              <w:t>Minimum</w:t>
            </w:r>
          </w:p>
          <w:p w14:paraId="46BF0142" w14:textId="77777777" w:rsidR="00293A7D" w:rsidRPr="00CD67E6" w:rsidRDefault="00293A7D" w:rsidP="00C11578">
            <w:pPr>
              <w:ind w:left="360"/>
              <w:jc w:val="center"/>
            </w:pPr>
            <w:r w:rsidRPr="00C11578">
              <w:rPr>
                <w:b/>
                <w:bCs/>
              </w:rPr>
              <w:t>LCR</w:t>
            </w:r>
          </w:p>
        </w:tc>
        <w:tc>
          <w:tcPr>
            <w:tcW w:w="1563" w:type="dxa"/>
          </w:tcPr>
          <w:p w14:paraId="0AEB41FC" w14:textId="77777777" w:rsidR="00D34743" w:rsidRDefault="00D34743" w:rsidP="00C11578">
            <w:pPr>
              <w:ind w:left="360"/>
              <w:jc w:val="center"/>
            </w:pPr>
          </w:p>
          <w:p w14:paraId="28A01666" w14:textId="66775456" w:rsidR="00293A7D" w:rsidRPr="00CD67E6" w:rsidRDefault="00293A7D" w:rsidP="00C11578">
            <w:pPr>
              <w:ind w:left="360"/>
              <w:jc w:val="center"/>
            </w:pPr>
            <w:r w:rsidRPr="00CD67E6">
              <w:t>60%</w:t>
            </w:r>
          </w:p>
        </w:tc>
        <w:tc>
          <w:tcPr>
            <w:tcW w:w="1564" w:type="dxa"/>
          </w:tcPr>
          <w:p w14:paraId="3A8F1E0D" w14:textId="77777777" w:rsidR="00D34743" w:rsidRDefault="00D34743" w:rsidP="00C11578">
            <w:pPr>
              <w:ind w:left="360"/>
              <w:jc w:val="center"/>
            </w:pPr>
          </w:p>
          <w:p w14:paraId="2087FD3B" w14:textId="7E4F12BF" w:rsidR="00293A7D" w:rsidRPr="00CD67E6" w:rsidRDefault="00293A7D" w:rsidP="00C11578">
            <w:pPr>
              <w:ind w:left="360"/>
              <w:jc w:val="center"/>
            </w:pPr>
            <w:r w:rsidRPr="00CD67E6">
              <w:t>70%</w:t>
            </w:r>
          </w:p>
        </w:tc>
        <w:tc>
          <w:tcPr>
            <w:tcW w:w="1564" w:type="dxa"/>
          </w:tcPr>
          <w:p w14:paraId="2640DC25" w14:textId="77777777" w:rsidR="00D34743" w:rsidRDefault="00D34743" w:rsidP="00C11578">
            <w:pPr>
              <w:ind w:left="360"/>
              <w:jc w:val="center"/>
            </w:pPr>
          </w:p>
          <w:p w14:paraId="1C0A806D" w14:textId="1F80AB85" w:rsidR="00293A7D" w:rsidRPr="00CD67E6" w:rsidRDefault="00293A7D" w:rsidP="00C11578">
            <w:pPr>
              <w:ind w:left="360"/>
              <w:jc w:val="center"/>
            </w:pPr>
            <w:r w:rsidRPr="00CD67E6">
              <w:t>80%</w:t>
            </w:r>
          </w:p>
        </w:tc>
        <w:tc>
          <w:tcPr>
            <w:tcW w:w="1564" w:type="dxa"/>
          </w:tcPr>
          <w:p w14:paraId="35DBC55B" w14:textId="77777777" w:rsidR="00D34743" w:rsidRDefault="00D34743" w:rsidP="00C11578">
            <w:pPr>
              <w:ind w:left="360"/>
              <w:jc w:val="center"/>
            </w:pPr>
          </w:p>
          <w:p w14:paraId="59ED8DB8" w14:textId="214A2E37" w:rsidR="00293A7D" w:rsidRPr="00CD67E6" w:rsidRDefault="00293A7D" w:rsidP="00C11578">
            <w:pPr>
              <w:ind w:left="360"/>
              <w:jc w:val="center"/>
            </w:pPr>
            <w:r w:rsidRPr="00CD67E6">
              <w:t>90%</w:t>
            </w:r>
          </w:p>
        </w:tc>
        <w:tc>
          <w:tcPr>
            <w:tcW w:w="1564" w:type="dxa"/>
          </w:tcPr>
          <w:p w14:paraId="62F6731C" w14:textId="77777777" w:rsidR="00D34743" w:rsidRDefault="00D34743" w:rsidP="00C11578">
            <w:pPr>
              <w:ind w:left="360"/>
              <w:jc w:val="center"/>
            </w:pPr>
          </w:p>
          <w:p w14:paraId="0962A78F" w14:textId="4B2EF193" w:rsidR="00293A7D" w:rsidRPr="00CD67E6" w:rsidRDefault="00293A7D" w:rsidP="00C11578">
            <w:pPr>
              <w:ind w:left="360"/>
              <w:jc w:val="center"/>
            </w:pPr>
            <w:r w:rsidRPr="00CD67E6">
              <w:t>100%</w:t>
            </w:r>
          </w:p>
        </w:tc>
      </w:tr>
    </w:tbl>
    <w:p w14:paraId="560C2D8B" w14:textId="51B26B31" w:rsidR="00293A7D" w:rsidRDefault="00293A7D" w:rsidP="00293A7D">
      <w:pPr>
        <w:pStyle w:val="ListParagraph"/>
        <w:jc w:val="both"/>
      </w:pPr>
      <w:r w:rsidRPr="00CD67E6">
        <w:t xml:space="preserve">Source: </w:t>
      </w:r>
      <w:sdt>
        <w:sdtPr>
          <w:id w:val="-212352501"/>
          <w:citation/>
        </w:sdtPr>
        <w:sdtEndPr/>
        <w:sdtContent>
          <w:r w:rsidRPr="00CD67E6">
            <w:fldChar w:fldCharType="begin"/>
          </w:r>
          <w:r w:rsidRPr="00985537">
            <w:rPr>
              <w:lang w:val="en-US"/>
            </w:rPr>
            <w:instrText xml:space="preserve"> CITATION Ban13 \l 1033 </w:instrText>
          </w:r>
          <w:r w:rsidRPr="00CD67E6">
            <w:fldChar w:fldCharType="separate"/>
          </w:r>
          <w:r w:rsidR="00B81B8B" w:rsidRPr="00B81B8B">
            <w:rPr>
              <w:noProof/>
              <w:lang w:val="en-US"/>
            </w:rPr>
            <w:t>(Bank for International Settlements, 2013)</w:t>
          </w:r>
          <w:r w:rsidRPr="00CD67E6">
            <w:fldChar w:fldCharType="end"/>
          </w:r>
        </w:sdtContent>
      </w:sdt>
    </w:p>
    <w:p w14:paraId="1E0850F5" w14:textId="2F51E943" w:rsidR="00EF3523" w:rsidRDefault="00EF3523" w:rsidP="00293A7D">
      <w:pPr>
        <w:pStyle w:val="ListParagraph"/>
        <w:jc w:val="both"/>
      </w:pPr>
    </w:p>
    <w:p w14:paraId="746E7818" w14:textId="4D0218DE" w:rsidR="00EF3523" w:rsidRDefault="00EF3523" w:rsidP="00293A7D">
      <w:pPr>
        <w:pStyle w:val="ListParagraph"/>
        <w:jc w:val="both"/>
      </w:pPr>
    </w:p>
    <w:p w14:paraId="6480E911" w14:textId="1AD6BB26" w:rsidR="00EF3523" w:rsidRDefault="00EF3523" w:rsidP="00EF3523">
      <w:pPr>
        <w:jc w:val="both"/>
      </w:pPr>
      <w:r w:rsidRPr="00EF3523">
        <w:t xml:space="preserve">After the </w:t>
      </w:r>
      <w:r>
        <w:t>Great Recession</w:t>
      </w:r>
      <w:r w:rsidRPr="00EF3523">
        <w:t xml:space="preserve">, </w:t>
      </w:r>
      <w:r w:rsidRPr="00EF3523">
        <w:t>wide-reaching</w:t>
      </w:r>
      <w:r w:rsidRPr="00EF3523">
        <w:t xml:space="preserve"> regulators</w:t>
      </w:r>
      <w:r w:rsidRPr="00EF3523">
        <w:t xml:space="preserve"> </w:t>
      </w:r>
      <w:r w:rsidRPr="00EF3523">
        <w:t xml:space="preserve">took </w:t>
      </w:r>
      <w:r w:rsidRPr="00EF3523">
        <w:t>measures</w:t>
      </w:r>
      <w:r w:rsidRPr="00EF3523">
        <w:t xml:space="preserve"> to </w:t>
      </w:r>
      <w:r w:rsidRPr="00EF3523">
        <w:t>improve</w:t>
      </w:r>
      <w:r>
        <w:t xml:space="preserve"> and prepare</w:t>
      </w:r>
      <w:r w:rsidRPr="00EF3523">
        <w:t xml:space="preserve"> banks </w:t>
      </w:r>
      <w:r>
        <w:t>for</w:t>
      </w:r>
      <w:r w:rsidR="003578E3">
        <w:t xml:space="preserve"> other</w:t>
      </w:r>
      <w:r w:rsidRPr="00EF3523">
        <w:t xml:space="preserve"> </w:t>
      </w:r>
      <w:r w:rsidR="003578E3" w:rsidRPr="00EF3523">
        <w:t>potential</w:t>
      </w:r>
      <w:r w:rsidRPr="00EF3523">
        <w:t xml:space="preserve"> shocks. The Tier 1 capital ratio has </w:t>
      </w:r>
      <w:r w:rsidR="003578E3" w:rsidRPr="00EF3523">
        <w:t>increased</w:t>
      </w:r>
      <w:r w:rsidR="003578E3">
        <w:t xml:space="preserve"> from 2007 to 2017 with 11%. In 2007</w:t>
      </w:r>
      <w:r w:rsidRPr="00EF3523">
        <w:t xml:space="preserve"> </w:t>
      </w:r>
      <w:r w:rsidR="003578E3" w:rsidRPr="00EF3523">
        <w:t>US and European banks</w:t>
      </w:r>
      <w:r w:rsidR="003578E3">
        <w:t xml:space="preserve"> average</w:t>
      </w:r>
      <w:r w:rsidR="003578E3" w:rsidRPr="00EF3523">
        <w:t xml:space="preserve"> </w:t>
      </w:r>
      <w:r w:rsidR="003578E3">
        <w:t>was</w:t>
      </w:r>
      <w:r w:rsidRPr="00EF3523">
        <w:t xml:space="preserve"> 4</w:t>
      </w:r>
      <w:r w:rsidR="003578E3">
        <w:t>%</w:t>
      </w:r>
      <w:r w:rsidRPr="00EF3523">
        <w:t xml:space="preserve"> </w:t>
      </w:r>
      <w:r w:rsidR="003578E3">
        <w:t>and</w:t>
      </w:r>
      <w:r w:rsidRPr="00EF3523">
        <w:t xml:space="preserve"> </w:t>
      </w:r>
      <w:r w:rsidR="003578E3">
        <w:t>2017 reached 15%</w:t>
      </w:r>
      <w:r w:rsidRPr="00EF3523">
        <w:t xml:space="preserve">. </w:t>
      </w:r>
      <w:r w:rsidR="003578E3">
        <w:t>The bigger banks</w:t>
      </w:r>
      <w:r w:rsidRPr="00EF3523">
        <w:t xml:space="preserve"> must h</w:t>
      </w:r>
      <w:r w:rsidR="003578E3">
        <w:t>ave</w:t>
      </w:r>
      <w:r w:rsidRPr="00EF3523">
        <w:t xml:space="preserve"> an additional capital buffer, and</w:t>
      </w:r>
      <w:r w:rsidR="003578E3">
        <w:t xml:space="preserve"> moreover,</w:t>
      </w:r>
      <w:r w:rsidRPr="00EF3523">
        <w:t xml:space="preserve"> all banks</w:t>
      </w:r>
      <w:r w:rsidR="003578E3">
        <w:t xml:space="preserve"> should</w:t>
      </w:r>
      <w:r w:rsidRPr="00EF3523">
        <w:t xml:space="preserve"> now h</w:t>
      </w:r>
      <w:r w:rsidR="003578E3">
        <w:t>ave</w:t>
      </w:r>
      <w:r w:rsidRPr="00EF3523">
        <w:t xml:space="preserve"> a minimum amount of liquid assets</w:t>
      </w:r>
      <w:r>
        <w:t xml:space="preserve"> </w:t>
      </w:r>
      <w:sdt>
        <w:sdtPr>
          <w:id w:val="-2130690211"/>
          <w:citation/>
        </w:sdtPr>
        <w:sdtContent>
          <w:r>
            <w:fldChar w:fldCharType="begin"/>
          </w:r>
          <w:r>
            <w:rPr>
              <w:lang w:val="en-US"/>
            </w:rPr>
            <w:instrText xml:space="preserve"> CITATION McK18 \l 1033 </w:instrText>
          </w:r>
          <w:r>
            <w:fldChar w:fldCharType="separate"/>
          </w:r>
          <w:r w:rsidR="00B81B8B" w:rsidRPr="00B81B8B">
            <w:rPr>
              <w:noProof/>
              <w:lang w:val="en-US"/>
            </w:rPr>
            <w:t>(McKinsey Global Institute, 2018)</w:t>
          </w:r>
          <w:r>
            <w:fldChar w:fldCharType="end"/>
          </w:r>
        </w:sdtContent>
      </w:sdt>
      <w:r w:rsidRPr="00EF3523">
        <w:t>.</w:t>
      </w:r>
      <w:r w:rsidR="00C4682C">
        <w:t xml:space="preserve"> Therefore, banks are now safer, however they are not as profitable as before.</w:t>
      </w:r>
    </w:p>
    <w:p w14:paraId="20330DCD" w14:textId="77777777" w:rsidR="00856CB0" w:rsidRDefault="00856CB0" w:rsidP="00D34743">
      <w:pPr>
        <w:jc w:val="both"/>
      </w:pPr>
    </w:p>
    <w:p w14:paraId="5CA6D86B" w14:textId="298811B9" w:rsidR="00702442" w:rsidRPr="00CD67E6" w:rsidRDefault="00702442" w:rsidP="00781851">
      <w:pPr>
        <w:ind w:firstLine="720"/>
        <w:jc w:val="both"/>
      </w:pPr>
      <w:r>
        <w:lastRenderedPageBreak/>
        <w:t>Graphic 1: Global financial performance</w:t>
      </w:r>
      <w:r w:rsidR="0017347D">
        <w:t xml:space="preserve"> of banks</w:t>
      </w:r>
    </w:p>
    <w:p w14:paraId="2C3C0517" w14:textId="1F8C8557" w:rsidR="00293A7D" w:rsidRDefault="00702442" w:rsidP="00293A7D">
      <w:pPr>
        <w:jc w:val="both"/>
        <w:rPr>
          <w:b/>
          <w:i/>
        </w:rPr>
      </w:pPr>
      <w:r>
        <w:rPr>
          <w:b/>
          <w:i/>
          <w:noProof/>
        </w:rPr>
        <w:drawing>
          <wp:inline distT="0" distB="0" distL="0" distR="0" wp14:anchorId="6CE4102D" wp14:editId="29F92B5C">
            <wp:extent cx="5731510" cy="3785870"/>
            <wp:effectExtent l="0" t="0" r="2540" b="508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785870"/>
                    </a:xfrm>
                    <a:prstGeom prst="rect">
                      <a:avLst/>
                    </a:prstGeom>
                  </pic:spPr>
                </pic:pic>
              </a:graphicData>
            </a:graphic>
          </wp:inline>
        </w:drawing>
      </w:r>
    </w:p>
    <w:p w14:paraId="2DC249FE" w14:textId="12243E48" w:rsidR="00CD67E6" w:rsidRDefault="00702442" w:rsidP="00DF2F62">
      <w:pPr>
        <w:spacing w:after="0" w:line="360" w:lineRule="auto"/>
        <w:ind w:firstLine="720"/>
        <w:contextualSpacing/>
        <w:jc w:val="both"/>
        <w:rPr>
          <w:rFonts w:cs="Times New Roman"/>
          <w:bCs/>
          <w:szCs w:val="24"/>
        </w:rPr>
      </w:pPr>
      <w:r w:rsidRPr="00702442">
        <w:rPr>
          <w:rFonts w:cs="Times New Roman"/>
          <w:bCs/>
          <w:szCs w:val="24"/>
        </w:rPr>
        <w:t xml:space="preserve">Source: </w:t>
      </w:r>
      <w:sdt>
        <w:sdtPr>
          <w:rPr>
            <w:rFonts w:cs="Times New Roman"/>
            <w:bCs/>
            <w:szCs w:val="24"/>
          </w:rPr>
          <w:id w:val="-1673172673"/>
          <w:citation/>
        </w:sdtPr>
        <w:sdtContent>
          <w:r>
            <w:rPr>
              <w:rFonts w:cs="Times New Roman"/>
              <w:bCs/>
              <w:szCs w:val="24"/>
            </w:rPr>
            <w:fldChar w:fldCharType="begin"/>
          </w:r>
          <w:r>
            <w:rPr>
              <w:rFonts w:cs="Times New Roman"/>
              <w:bCs/>
              <w:szCs w:val="24"/>
              <w:lang w:val="en-US"/>
            </w:rPr>
            <w:instrText xml:space="preserve"> CITATION McK18 \l 1033 </w:instrText>
          </w:r>
          <w:r>
            <w:rPr>
              <w:rFonts w:cs="Times New Roman"/>
              <w:bCs/>
              <w:szCs w:val="24"/>
            </w:rPr>
            <w:fldChar w:fldCharType="separate"/>
          </w:r>
          <w:r w:rsidR="00B81B8B" w:rsidRPr="00B81B8B">
            <w:rPr>
              <w:rFonts w:cs="Times New Roman"/>
              <w:noProof/>
              <w:szCs w:val="24"/>
              <w:lang w:val="en-US"/>
            </w:rPr>
            <w:t>(McKinsey Global Institute, 2018)</w:t>
          </w:r>
          <w:r>
            <w:rPr>
              <w:rFonts w:cs="Times New Roman"/>
              <w:bCs/>
              <w:szCs w:val="24"/>
            </w:rPr>
            <w:fldChar w:fldCharType="end"/>
          </w:r>
        </w:sdtContent>
      </w:sdt>
    </w:p>
    <w:p w14:paraId="6AB9CF8D" w14:textId="77777777" w:rsidR="00D34743" w:rsidRDefault="00D34743" w:rsidP="00293A7D">
      <w:pPr>
        <w:spacing w:after="0" w:line="360" w:lineRule="auto"/>
        <w:contextualSpacing/>
        <w:jc w:val="both"/>
        <w:rPr>
          <w:rFonts w:cs="Times New Roman"/>
          <w:bCs/>
          <w:szCs w:val="24"/>
        </w:rPr>
      </w:pPr>
    </w:p>
    <w:p w14:paraId="7765DCC6" w14:textId="36F68FF2" w:rsidR="004E765A" w:rsidRDefault="004E765A" w:rsidP="00293A7D">
      <w:pPr>
        <w:spacing w:after="0" w:line="360" w:lineRule="auto"/>
        <w:contextualSpacing/>
        <w:jc w:val="both"/>
        <w:rPr>
          <w:rFonts w:cs="Times New Roman"/>
          <w:bCs/>
          <w:szCs w:val="24"/>
        </w:rPr>
      </w:pPr>
      <w:r>
        <w:rPr>
          <w:rFonts w:cs="Times New Roman"/>
          <w:bCs/>
          <w:szCs w:val="24"/>
        </w:rPr>
        <w:t xml:space="preserve">As it can be seen in Graphic 1, banks did not recover after the Great Recession as it was expected. Basil III measures helped the banks to recover, but they did not </w:t>
      </w:r>
      <w:r w:rsidR="003B4E0B">
        <w:rPr>
          <w:rFonts w:cs="Times New Roman"/>
          <w:bCs/>
          <w:szCs w:val="24"/>
        </w:rPr>
        <w:t>reach</w:t>
      </w:r>
      <w:r>
        <w:rPr>
          <w:rFonts w:cs="Times New Roman"/>
          <w:bCs/>
          <w:szCs w:val="24"/>
        </w:rPr>
        <w:t xml:space="preserve"> the numbers from before of 2008.</w:t>
      </w:r>
      <w:r w:rsidR="003B4E0B">
        <w:rPr>
          <w:rFonts w:cs="Times New Roman"/>
          <w:bCs/>
          <w:szCs w:val="24"/>
        </w:rPr>
        <w:t xml:space="preserve"> Return on Equity for banks in 2017 is less than half since the Great Recession, with an average of the last couple of years of 4.4% compared with 7.9% for US banks</w:t>
      </w:r>
      <w:sdt>
        <w:sdtPr>
          <w:rPr>
            <w:rFonts w:cs="Times New Roman"/>
            <w:bCs/>
            <w:szCs w:val="24"/>
          </w:rPr>
          <w:id w:val="-965651104"/>
          <w:citation/>
        </w:sdtPr>
        <w:sdtContent>
          <w:r w:rsidR="003B4E0B">
            <w:rPr>
              <w:rFonts w:cs="Times New Roman"/>
              <w:bCs/>
              <w:szCs w:val="24"/>
            </w:rPr>
            <w:fldChar w:fldCharType="begin"/>
          </w:r>
          <w:r w:rsidR="003B4E0B">
            <w:rPr>
              <w:rFonts w:cs="Times New Roman"/>
              <w:bCs/>
              <w:szCs w:val="24"/>
              <w:lang w:val="en-US"/>
            </w:rPr>
            <w:instrText xml:space="preserve"> CITATION McK18 \l 1033 </w:instrText>
          </w:r>
          <w:r w:rsidR="003B4E0B">
            <w:rPr>
              <w:rFonts w:cs="Times New Roman"/>
              <w:bCs/>
              <w:szCs w:val="24"/>
            </w:rPr>
            <w:fldChar w:fldCharType="separate"/>
          </w:r>
          <w:r w:rsidR="00B81B8B">
            <w:rPr>
              <w:rFonts w:cs="Times New Roman"/>
              <w:bCs/>
              <w:noProof/>
              <w:szCs w:val="24"/>
              <w:lang w:val="en-US"/>
            </w:rPr>
            <w:t xml:space="preserve"> </w:t>
          </w:r>
          <w:r w:rsidR="00B81B8B" w:rsidRPr="00B81B8B">
            <w:rPr>
              <w:rFonts w:cs="Times New Roman"/>
              <w:noProof/>
              <w:szCs w:val="24"/>
              <w:lang w:val="en-US"/>
            </w:rPr>
            <w:t>(McKinsey Global Institute, 2018)</w:t>
          </w:r>
          <w:r w:rsidR="003B4E0B">
            <w:rPr>
              <w:rFonts w:cs="Times New Roman"/>
              <w:bCs/>
              <w:szCs w:val="24"/>
            </w:rPr>
            <w:fldChar w:fldCharType="end"/>
          </w:r>
        </w:sdtContent>
      </w:sdt>
      <w:r w:rsidR="003B4E0B">
        <w:rPr>
          <w:rFonts w:cs="Times New Roman"/>
          <w:bCs/>
          <w:szCs w:val="24"/>
        </w:rPr>
        <w:t xml:space="preserve">. </w:t>
      </w:r>
    </w:p>
    <w:p w14:paraId="6FAD0776" w14:textId="77777777" w:rsidR="00D34743" w:rsidRPr="00702442" w:rsidRDefault="00D34743" w:rsidP="00293A7D">
      <w:pPr>
        <w:spacing w:after="0" w:line="360" w:lineRule="auto"/>
        <w:contextualSpacing/>
        <w:jc w:val="both"/>
        <w:rPr>
          <w:rFonts w:cs="Times New Roman"/>
          <w:bCs/>
          <w:szCs w:val="24"/>
        </w:rPr>
      </w:pPr>
    </w:p>
    <w:p w14:paraId="119D5E7B" w14:textId="1AC0B0F6" w:rsidR="00CD67E6" w:rsidRDefault="00CD67E6" w:rsidP="00C15C66">
      <w:pPr>
        <w:pStyle w:val="Heading1"/>
        <w:numPr>
          <w:ilvl w:val="0"/>
          <w:numId w:val="5"/>
        </w:numPr>
        <w:jc w:val="both"/>
      </w:pPr>
      <w:bookmarkStart w:id="47" w:name="_Toc69778007"/>
      <w:bookmarkStart w:id="48" w:name="_Toc68042473"/>
      <w:bookmarkStart w:id="49" w:name="_Toc71568091"/>
      <w:r w:rsidRPr="00D20DCA">
        <w:t>JPMorgan Chas</w:t>
      </w:r>
      <w:bookmarkEnd w:id="47"/>
      <w:bookmarkEnd w:id="48"/>
      <w:r w:rsidR="003B5FE8">
        <w:t>e</w:t>
      </w:r>
      <w:r w:rsidR="00AE41B1">
        <w:t xml:space="preserve"> &amp; Co</w:t>
      </w:r>
      <w:bookmarkEnd w:id="49"/>
    </w:p>
    <w:p w14:paraId="01A5FA03" w14:textId="77777777" w:rsidR="008E61A6" w:rsidRPr="008E61A6" w:rsidRDefault="008E61A6" w:rsidP="008E61A6"/>
    <w:p w14:paraId="5D3E59EA" w14:textId="1BA9B455" w:rsidR="00CD67E6" w:rsidRPr="00D20DCA" w:rsidRDefault="00CD67E6" w:rsidP="00293A7D">
      <w:pPr>
        <w:jc w:val="both"/>
      </w:pPr>
      <w:r w:rsidRPr="00D20DCA">
        <w:t xml:space="preserve">According to </w:t>
      </w:r>
      <w:sdt>
        <w:sdtPr>
          <w:id w:val="-1899975475"/>
          <w:citation/>
        </w:sdtPr>
        <w:sdtEndPr/>
        <w:sdtContent>
          <w:r w:rsidR="009A4E76">
            <w:fldChar w:fldCharType="begin"/>
          </w:r>
          <w:r w:rsidR="009A4E76">
            <w:rPr>
              <w:lang w:val="en-US"/>
            </w:rPr>
            <w:instrText xml:space="preserve"> CITATION Hea18 \l 1033 </w:instrText>
          </w:r>
          <w:r w:rsidR="009A4E76">
            <w:fldChar w:fldCharType="separate"/>
          </w:r>
          <w:r w:rsidR="00B81B8B" w:rsidRPr="00B81B8B">
            <w:rPr>
              <w:noProof/>
              <w:lang w:val="en-US"/>
            </w:rPr>
            <w:t>(Hearit, 2018)</w:t>
          </w:r>
          <w:r w:rsidR="009A4E76">
            <w:fldChar w:fldCharType="end"/>
          </w:r>
        </w:sdtContent>
      </w:sdt>
      <w:r w:rsidRPr="00D20DCA">
        <w:t xml:space="preserve">, JPMorgan Chase’s 2008 news inclusion focused on three key actions taken by JPMorgan Chase. First, JPMorgan Chase was one of the first banks to repay loan money </w:t>
      </w:r>
      <w:sdt>
        <w:sdtPr>
          <w:id w:val="-727837091"/>
          <w:citation/>
        </w:sdtPr>
        <w:sdtEndPr/>
        <w:sdtContent>
          <w:r w:rsidR="009A4E76">
            <w:fldChar w:fldCharType="begin"/>
          </w:r>
          <w:r w:rsidR="009A4E76">
            <w:rPr>
              <w:lang w:val="en-US"/>
            </w:rPr>
            <w:instrText xml:space="preserve"> CITATION Erk12 \l 1033 </w:instrText>
          </w:r>
          <w:r w:rsidR="009A4E76">
            <w:fldChar w:fldCharType="separate"/>
          </w:r>
          <w:r w:rsidR="00B81B8B" w:rsidRPr="00B81B8B">
            <w:rPr>
              <w:noProof/>
              <w:lang w:val="en-US"/>
            </w:rPr>
            <w:t>(Erkens, et al., 2012)</w:t>
          </w:r>
          <w:r w:rsidR="009A4E76">
            <w:fldChar w:fldCharType="end"/>
          </w:r>
        </w:sdtContent>
      </w:sdt>
      <w:r w:rsidRPr="00D20DCA">
        <w:t xml:space="preserve">. As a result of the quick repayments, JPMorgan Chase was widely cited in the media as the strongest bank to emerge from the situation and one of the top four most immobilized banks on the road to recovery. AIG, for example, was frequently criticized by the media, but JPMorgan Chase’s stability received positive press coverage </w:t>
      </w:r>
      <w:sdt>
        <w:sdtPr>
          <w:id w:val="915747043"/>
          <w:citation/>
        </w:sdtPr>
        <w:sdtEndPr/>
        <w:sdtContent>
          <w:r w:rsidR="009A4E76">
            <w:fldChar w:fldCharType="begin"/>
          </w:r>
          <w:r w:rsidR="009A4E76">
            <w:rPr>
              <w:lang w:val="en-US"/>
            </w:rPr>
            <w:instrText xml:space="preserve"> CITATION Wil08 \l 1033 </w:instrText>
          </w:r>
          <w:r w:rsidR="009A4E76">
            <w:fldChar w:fldCharType="separate"/>
          </w:r>
          <w:r w:rsidR="00B81B8B" w:rsidRPr="00B81B8B">
            <w:rPr>
              <w:noProof/>
              <w:lang w:val="en-US"/>
            </w:rPr>
            <w:t>(Wilmarth Jr, 2008)</w:t>
          </w:r>
          <w:r w:rsidR="009A4E76">
            <w:fldChar w:fldCharType="end"/>
          </w:r>
        </w:sdtContent>
      </w:sdt>
      <w:r w:rsidRPr="00D20DCA">
        <w:t xml:space="preserve">. Following the early TARP payment, the recurring nature of the issue intensified </w:t>
      </w:r>
      <w:sdt>
        <w:sdtPr>
          <w:id w:val="1094594354"/>
          <w:citation/>
        </w:sdtPr>
        <w:sdtEndPr/>
        <w:sdtContent>
          <w:r w:rsidR="009A4E76">
            <w:fldChar w:fldCharType="begin"/>
          </w:r>
          <w:r w:rsidR="009A4E76">
            <w:rPr>
              <w:lang w:val="en-US"/>
            </w:rPr>
            <w:instrText xml:space="preserve"> CITATION Erk12 \l 1033 </w:instrText>
          </w:r>
          <w:r w:rsidR="009A4E76">
            <w:fldChar w:fldCharType="separate"/>
          </w:r>
          <w:r w:rsidR="00B81B8B" w:rsidRPr="00B81B8B">
            <w:rPr>
              <w:noProof/>
              <w:lang w:val="en-US"/>
            </w:rPr>
            <w:t>(Erkens, et al., 2012)</w:t>
          </w:r>
          <w:r w:rsidR="009A4E76">
            <w:fldChar w:fldCharType="end"/>
          </w:r>
        </w:sdtContent>
      </w:sdt>
      <w:r w:rsidR="009A4E76">
        <w:t>.</w:t>
      </w:r>
    </w:p>
    <w:p w14:paraId="3C0C5FEB" w14:textId="4265E784" w:rsidR="00CD67E6" w:rsidRPr="00D20DCA" w:rsidRDefault="00CD67E6" w:rsidP="00293A7D">
      <w:pPr>
        <w:jc w:val="both"/>
      </w:pPr>
      <w:r w:rsidRPr="00D20DCA">
        <w:lastRenderedPageBreak/>
        <w:t xml:space="preserve">Second, the sale of warrants was seen by JPMorgan as a last resort </w:t>
      </w:r>
      <w:sdt>
        <w:sdtPr>
          <w:id w:val="-928580232"/>
          <w:citation/>
        </w:sdtPr>
        <w:sdtEndPr/>
        <w:sdtContent>
          <w:r w:rsidR="009169B8">
            <w:fldChar w:fldCharType="begin"/>
          </w:r>
          <w:r w:rsidR="009169B8">
            <w:rPr>
              <w:lang w:val="en-US"/>
            </w:rPr>
            <w:instrText xml:space="preserve"> CITATION Wil08 \l 1033 </w:instrText>
          </w:r>
          <w:r w:rsidR="009169B8">
            <w:fldChar w:fldCharType="separate"/>
          </w:r>
          <w:r w:rsidR="00B81B8B" w:rsidRPr="00B81B8B">
            <w:rPr>
              <w:noProof/>
              <w:lang w:val="en-US"/>
            </w:rPr>
            <w:t>(Wilmarth Jr, 2008)</w:t>
          </w:r>
          <w:r w:rsidR="009169B8">
            <w:fldChar w:fldCharType="end"/>
          </w:r>
        </w:sdtContent>
      </w:sdt>
      <w:r w:rsidRPr="00D20DCA">
        <w:t xml:space="preserve">. In essence, it is a different kind of redemption </w:t>
      </w:r>
      <w:sdt>
        <w:sdtPr>
          <w:id w:val="1918208835"/>
          <w:citation/>
        </w:sdtPr>
        <w:sdtEndPr/>
        <w:sdtContent>
          <w:r w:rsidR="009169B8">
            <w:fldChar w:fldCharType="begin"/>
          </w:r>
          <w:r w:rsidR="009169B8">
            <w:rPr>
              <w:lang w:val="en-US"/>
            </w:rPr>
            <w:instrText xml:space="preserve"> CITATION Erk12 \l 1033 </w:instrText>
          </w:r>
          <w:r w:rsidR="009169B8">
            <w:fldChar w:fldCharType="separate"/>
          </w:r>
          <w:r w:rsidR="00B81B8B" w:rsidRPr="00B81B8B">
            <w:rPr>
              <w:noProof/>
              <w:lang w:val="en-US"/>
            </w:rPr>
            <w:t>(Erkens, et al., 2012)</w:t>
          </w:r>
          <w:r w:rsidR="009169B8">
            <w:fldChar w:fldCharType="end"/>
          </w:r>
        </w:sdtContent>
      </w:sdt>
      <w:r w:rsidRPr="00D20DCA">
        <w:t xml:space="preserve">. JPMorgan Chase was one of the major banks that sold warrants in December, which allowed it to rethink the inclusion of the news and its shares when it paid all the money earmarked for redemption </w:t>
      </w:r>
      <w:sdt>
        <w:sdtPr>
          <w:id w:val="-798840426"/>
          <w:citation/>
        </w:sdtPr>
        <w:sdtEndPr/>
        <w:sdtContent>
          <w:r w:rsidR="009169B8">
            <w:fldChar w:fldCharType="begin"/>
          </w:r>
          <w:r w:rsidR="009169B8">
            <w:rPr>
              <w:lang w:val="en-US"/>
            </w:rPr>
            <w:instrText xml:space="preserve"> CITATION Hea18 \l 1033 </w:instrText>
          </w:r>
          <w:r w:rsidR="009169B8">
            <w:fldChar w:fldCharType="separate"/>
          </w:r>
          <w:r w:rsidR="00B81B8B" w:rsidRPr="00B81B8B">
            <w:rPr>
              <w:noProof/>
              <w:lang w:val="en-US"/>
            </w:rPr>
            <w:t>(Hearit, 2018)</w:t>
          </w:r>
          <w:r w:rsidR="009169B8">
            <w:fldChar w:fldCharType="end"/>
          </w:r>
        </w:sdtContent>
      </w:sdt>
      <w:r w:rsidRPr="00D20DCA">
        <w:t>.</w:t>
      </w:r>
    </w:p>
    <w:p w14:paraId="41C88227" w14:textId="64050F2D" w:rsidR="00CD67E6" w:rsidRPr="00D20DCA" w:rsidRDefault="00CD67E6" w:rsidP="00293A7D">
      <w:pPr>
        <w:jc w:val="both"/>
      </w:pPr>
      <w:r w:rsidRPr="00D20DCA">
        <w:t xml:space="preserve">Third, less than a year after the start of the financial crisis, JPMorgan Chase began granting incentives and other key employees, and the media urged caution </w:t>
      </w:r>
      <w:sdt>
        <w:sdtPr>
          <w:id w:val="-766775069"/>
          <w:citation/>
        </w:sdtPr>
        <w:sdtEndPr/>
        <w:sdtContent>
          <w:r w:rsidR="00260329">
            <w:fldChar w:fldCharType="begin"/>
          </w:r>
          <w:r w:rsidR="00260329">
            <w:rPr>
              <w:lang w:val="en-US"/>
            </w:rPr>
            <w:instrText xml:space="preserve"> CITATION Hea18 \l 1033 </w:instrText>
          </w:r>
          <w:r w:rsidR="00260329">
            <w:fldChar w:fldCharType="separate"/>
          </w:r>
          <w:r w:rsidR="00B81B8B" w:rsidRPr="00B81B8B">
            <w:rPr>
              <w:noProof/>
              <w:lang w:val="en-US"/>
            </w:rPr>
            <w:t>(Hearit, 2018)</w:t>
          </w:r>
          <w:r w:rsidR="00260329">
            <w:fldChar w:fldCharType="end"/>
          </w:r>
        </w:sdtContent>
      </w:sdt>
      <w:r w:rsidRPr="00D20DCA">
        <w:t xml:space="preserve">. Subsequent news received from JPMorgan emphasized the bank’s clear actions to address the problem </w:t>
      </w:r>
      <w:sdt>
        <w:sdtPr>
          <w:id w:val="230130235"/>
          <w:citation/>
        </w:sdtPr>
        <w:sdtEndPr/>
        <w:sdtContent>
          <w:r w:rsidR="00260329">
            <w:fldChar w:fldCharType="begin"/>
          </w:r>
          <w:r w:rsidR="00260329">
            <w:rPr>
              <w:lang w:val="en-US"/>
            </w:rPr>
            <w:instrText xml:space="preserve"> CITATION Erk12 \l 1033 </w:instrText>
          </w:r>
          <w:r w:rsidR="00260329">
            <w:fldChar w:fldCharType="separate"/>
          </w:r>
          <w:r w:rsidR="00B81B8B" w:rsidRPr="00B81B8B">
            <w:rPr>
              <w:noProof/>
              <w:lang w:val="en-US"/>
            </w:rPr>
            <w:t>(Erkens, et al., 2012)</w:t>
          </w:r>
          <w:r w:rsidR="00260329">
            <w:fldChar w:fldCharType="end"/>
          </w:r>
        </w:sdtContent>
      </w:sdt>
      <w:r w:rsidRPr="00D20DCA">
        <w:t xml:space="preserve">. For example, JPMorgan Chase stepped up its actions, focusing on cost cutting and cutting red tape </w:t>
      </w:r>
      <w:sdt>
        <w:sdtPr>
          <w:id w:val="-517699103"/>
          <w:citation/>
        </w:sdtPr>
        <w:sdtEndPr/>
        <w:sdtContent>
          <w:r w:rsidR="00260329">
            <w:fldChar w:fldCharType="begin"/>
          </w:r>
          <w:r w:rsidR="00260329">
            <w:rPr>
              <w:lang w:val="en-US"/>
            </w:rPr>
            <w:instrText xml:space="preserve"> CITATION Wil08 \l 1033 </w:instrText>
          </w:r>
          <w:r w:rsidR="00260329">
            <w:fldChar w:fldCharType="separate"/>
          </w:r>
          <w:r w:rsidR="00B81B8B" w:rsidRPr="00B81B8B">
            <w:rPr>
              <w:noProof/>
              <w:lang w:val="en-US"/>
            </w:rPr>
            <w:t>(Wilmarth Jr, 2008)</w:t>
          </w:r>
          <w:r w:rsidR="00260329">
            <w:fldChar w:fldCharType="end"/>
          </w:r>
        </w:sdtContent>
      </w:sdt>
      <w:r w:rsidRPr="00D20DCA">
        <w:t xml:space="preserve">. In early August, JPMorgan was the only bank to tie up more executive benchmarks and impose greater oversight before compensation JPMorgan Chase’s involvement in these actions was seen as an attempt to sue both the general assessment and managers to oppose some form of regulation </w:t>
      </w:r>
      <w:sdt>
        <w:sdtPr>
          <w:id w:val="833192389"/>
          <w:citation/>
        </w:sdtPr>
        <w:sdtEndPr/>
        <w:sdtContent>
          <w:r w:rsidR="00260329">
            <w:fldChar w:fldCharType="begin"/>
          </w:r>
          <w:r w:rsidR="00260329">
            <w:rPr>
              <w:lang w:val="en-US"/>
            </w:rPr>
            <w:instrText xml:space="preserve"> CITATION Hea18 \l 1033 </w:instrText>
          </w:r>
          <w:r w:rsidR="00260329">
            <w:fldChar w:fldCharType="separate"/>
          </w:r>
          <w:r w:rsidR="00B81B8B" w:rsidRPr="00B81B8B">
            <w:rPr>
              <w:noProof/>
              <w:lang w:val="en-US"/>
            </w:rPr>
            <w:t>(Hearit, 2018)</w:t>
          </w:r>
          <w:r w:rsidR="00260329">
            <w:fldChar w:fldCharType="end"/>
          </w:r>
        </w:sdtContent>
      </w:sdt>
      <w:r w:rsidRPr="00D20DCA">
        <w:t>.</w:t>
      </w:r>
    </w:p>
    <w:p w14:paraId="63BD199F" w14:textId="7F351227" w:rsidR="00CD67E6" w:rsidRPr="00D20DCA" w:rsidRDefault="00CD67E6" w:rsidP="00293A7D">
      <w:pPr>
        <w:jc w:val="both"/>
      </w:pPr>
      <w:r w:rsidRPr="00D20DCA">
        <w:t>The annual report exuded an air of confidence, highlighting the organisation’s post-monetary balance sheet and not</w:t>
      </w:r>
      <w:r>
        <w:t>h</w:t>
      </w:r>
      <w:r w:rsidRPr="00D20DCA">
        <w:t xml:space="preserve">ing that it has good </w:t>
      </w:r>
      <w:r w:rsidR="003514BE" w:rsidRPr="00D20DCA">
        <w:t>predictions</w:t>
      </w:r>
      <w:r w:rsidRPr="00D20DCA">
        <w:t xml:space="preserve"> for the future </w:t>
      </w:r>
      <w:sdt>
        <w:sdtPr>
          <w:id w:val="1511324818"/>
          <w:citation/>
        </w:sdtPr>
        <w:sdtEndPr/>
        <w:sdtContent>
          <w:r w:rsidR="0024539B">
            <w:fldChar w:fldCharType="begin"/>
          </w:r>
          <w:r w:rsidR="0024539B">
            <w:rPr>
              <w:lang w:val="en-US"/>
            </w:rPr>
            <w:instrText xml:space="preserve"> CITATION Wil08 \l 1033 </w:instrText>
          </w:r>
          <w:r w:rsidR="0024539B">
            <w:fldChar w:fldCharType="separate"/>
          </w:r>
          <w:r w:rsidR="00B81B8B" w:rsidRPr="00B81B8B">
            <w:rPr>
              <w:noProof/>
              <w:lang w:val="en-US"/>
            </w:rPr>
            <w:t>(Wilmarth Jr, 2008)</w:t>
          </w:r>
          <w:r w:rsidR="0024539B">
            <w:fldChar w:fldCharType="end"/>
          </w:r>
        </w:sdtContent>
      </w:sdt>
      <w:r w:rsidRPr="00D20DCA">
        <w:t xml:space="preserve">. It also sought to bolster shareholders’ confidence in the bank’s ability to succeed in the future, stating that JPMorgan Chase “will do the right thing for our consumers and the network it serves” </w:t>
      </w:r>
      <w:sdt>
        <w:sdtPr>
          <w:id w:val="472728863"/>
          <w:citation/>
        </w:sdtPr>
        <w:sdtEndPr/>
        <w:sdtContent>
          <w:r w:rsidR="0024539B">
            <w:fldChar w:fldCharType="begin"/>
          </w:r>
          <w:r w:rsidR="0024539B">
            <w:rPr>
              <w:lang w:val="en-US"/>
            </w:rPr>
            <w:instrText xml:space="preserve"> CITATION Bai15 \l 1033 </w:instrText>
          </w:r>
          <w:r w:rsidR="0024539B">
            <w:fldChar w:fldCharType="separate"/>
          </w:r>
          <w:r w:rsidR="00B81B8B" w:rsidRPr="00B81B8B">
            <w:rPr>
              <w:noProof/>
              <w:lang w:val="en-US"/>
            </w:rPr>
            <w:t>(Baily, et al., 2015)</w:t>
          </w:r>
          <w:r w:rsidR="0024539B">
            <w:fldChar w:fldCharType="end"/>
          </w:r>
        </w:sdtContent>
      </w:sdt>
      <w:r w:rsidRPr="00D20DCA">
        <w:t xml:space="preserve">. </w:t>
      </w:r>
    </w:p>
    <w:p w14:paraId="3C62153D" w14:textId="371C6B0A" w:rsidR="00CD67E6" w:rsidRPr="00D20DCA" w:rsidRDefault="00CD67E6" w:rsidP="00293A7D">
      <w:pPr>
        <w:jc w:val="both"/>
      </w:pPr>
      <w:r w:rsidRPr="00D20DCA">
        <w:t xml:space="preserve">Fortunately, JPMorgan Chase was left behind in the highly profitable, but by no means disastrous, business of selling subprime mortgage-backed securities </w:t>
      </w:r>
      <w:sdt>
        <w:sdtPr>
          <w:id w:val="-1553527736"/>
          <w:citation/>
        </w:sdtPr>
        <w:sdtEndPr/>
        <w:sdtContent>
          <w:r w:rsidR="0024539B">
            <w:fldChar w:fldCharType="begin"/>
          </w:r>
          <w:r w:rsidR="0024539B">
            <w:rPr>
              <w:lang w:val="en-US"/>
            </w:rPr>
            <w:instrText xml:space="preserve"> CITATION Hea18 \l 1033 </w:instrText>
          </w:r>
          <w:r w:rsidR="0024539B">
            <w:fldChar w:fldCharType="separate"/>
          </w:r>
          <w:r w:rsidR="00B81B8B" w:rsidRPr="00B81B8B">
            <w:rPr>
              <w:noProof/>
              <w:lang w:val="en-US"/>
            </w:rPr>
            <w:t>(Hearit, 2018)</w:t>
          </w:r>
          <w:r w:rsidR="0024539B">
            <w:fldChar w:fldCharType="end"/>
          </w:r>
        </w:sdtContent>
      </w:sdt>
      <w:r w:rsidRPr="00D20DCA">
        <w:t xml:space="preserve">. In the 1980s, JPMorgan Chase experts recognised major problems in applying financial evolution to the mortgage market </w:t>
      </w:r>
      <w:sdt>
        <w:sdtPr>
          <w:id w:val="888542372"/>
          <w:citation/>
        </w:sdtPr>
        <w:sdtEndPr/>
        <w:sdtContent>
          <w:r w:rsidR="0024539B">
            <w:fldChar w:fldCharType="begin"/>
          </w:r>
          <w:r w:rsidR="0024539B">
            <w:rPr>
              <w:lang w:val="en-US"/>
            </w:rPr>
            <w:instrText xml:space="preserve"> CITATION Bai15 \l 1033 </w:instrText>
          </w:r>
          <w:r w:rsidR="0024539B">
            <w:fldChar w:fldCharType="separate"/>
          </w:r>
          <w:r w:rsidR="00B81B8B" w:rsidRPr="00B81B8B">
            <w:rPr>
              <w:noProof/>
              <w:lang w:val="en-US"/>
            </w:rPr>
            <w:t>(Baily, et al., 2015)</w:t>
          </w:r>
          <w:r w:rsidR="0024539B">
            <w:fldChar w:fldCharType="end"/>
          </w:r>
        </w:sdtContent>
      </w:sdt>
      <w:r w:rsidRPr="00D20DCA">
        <w:t xml:space="preserve">. For example, there was a lack of housing market data that would allow financial institutions to reliably assess the dangers of mortgage-backed securities compared to commercial loans. In addition, JPMorgan did not know what to do with the so-called “very senior” portion of packaged mortgage-backed securities, which are problematic </w:t>
      </w:r>
      <w:proofErr w:type="gramStart"/>
      <w:r w:rsidRPr="00D20DCA">
        <w:t>as long as</w:t>
      </w:r>
      <w:proofErr w:type="gramEnd"/>
      <w:r w:rsidRPr="00D20DCA">
        <w:t xml:space="preserve"> they remain on the bank’s balance sheet but are difficult to sell </w:t>
      </w:r>
      <w:sdt>
        <w:sdtPr>
          <w:id w:val="-1989387508"/>
          <w:citation/>
        </w:sdtPr>
        <w:sdtEndPr/>
        <w:sdtContent>
          <w:r w:rsidR="0024539B">
            <w:fldChar w:fldCharType="begin"/>
          </w:r>
          <w:r w:rsidR="0024539B">
            <w:rPr>
              <w:lang w:val="en-US"/>
            </w:rPr>
            <w:instrText xml:space="preserve"> CITATION Erk12 \l 1033 </w:instrText>
          </w:r>
          <w:r w:rsidR="0024539B">
            <w:fldChar w:fldCharType="separate"/>
          </w:r>
          <w:r w:rsidR="00B81B8B" w:rsidRPr="00B81B8B">
            <w:rPr>
              <w:noProof/>
              <w:lang w:val="en-US"/>
            </w:rPr>
            <w:t>(Erkens, et al., 2012)</w:t>
          </w:r>
          <w:r w:rsidR="0024539B">
            <w:fldChar w:fldCharType="end"/>
          </w:r>
        </w:sdtContent>
      </w:sdt>
      <w:r w:rsidRPr="00D20DCA">
        <w:t xml:space="preserve">. The JPMorgan team had no idea how banks like Citigroup were dealing with this fundamental flaw in the mortgage securitisation market </w:t>
      </w:r>
      <w:sdt>
        <w:sdtPr>
          <w:id w:val="-753126655"/>
          <w:citation/>
        </w:sdtPr>
        <w:sdtEndPr/>
        <w:sdtContent>
          <w:r w:rsidR="00475E66">
            <w:fldChar w:fldCharType="begin"/>
          </w:r>
          <w:r w:rsidR="00475E66">
            <w:rPr>
              <w:lang w:val="en-US"/>
            </w:rPr>
            <w:instrText xml:space="preserve"> CITATION Hea18 \l 1033 </w:instrText>
          </w:r>
          <w:r w:rsidR="00475E66">
            <w:fldChar w:fldCharType="separate"/>
          </w:r>
          <w:r w:rsidR="00B81B8B" w:rsidRPr="00B81B8B">
            <w:rPr>
              <w:noProof/>
              <w:lang w:val="en-US"/>
            </w:rPr>
            <w:t>(Hearit, 2018)</w:t>
          </w:r>
          <w:r w:rsidR="00475E66">
            <w:fldChar w:fldCharType="end"/>
          </w:r>
        </w:sdtContent>
      </w:sdt>
      <w:r w:rsidRPr="00D20DCA">
        <w:t>.</w:t>
      </w:r>
    </w:p>
    <w:p w14:paraId="19D59F00" w14:textId="4949B072" w:rsidR="00CD67E6" w:rsidRPr="00D20DCA" w:rsidRDefault="00CD67E6" w:rsidP="00293A7D">
      <w:pPr>
        <w:jc w:val="both"/>
      </w:pPr>
      <w:r w:rsidRPr="00D20DCA">
        <w:t xml:space="preserve">The problem is that individual banks tend to neglect this issue. Robert Rubin, Citigroup’s </w:t>
      </w:r>
      <w:proofErr w:type="gramStart"/>
      <w:r w:rsidRPr="00D20DCA">
        <w:t>treasurer</w:t>
      </w:r>
      <w:proofErr w:type="gramEnd"/>
      <w:r w:rsidRPr="00D20DCA">
        <w:t xml:space="preserve"> and senior advisor, admitted to the Financial Crisis Inquiry Commission (FCIC) shortly before the crisis that Citigroup’s senior securities “had a seemingly high degree of bad luck” and represented a $43 billion risk. He blamed the rating agencies that gave those bonds AAA ratings </w:t>
      </w:r>
      <w:sdt>
        <w:sdtPr>
          <w:id w:val="-1365816230"/>
          <w:citation/>
        </w:sdtPr>
        <w:sdtEndPr/>
        <w:sdtContent>
          <w:r w:rsidR="005A0930">
            <w:fldChar w:fldCharType="begin"/>
          </w:r>
          <w:r w:rsidR="005A0930">
            <w:rPr>
              <w:lang w:val="en-US"/>
            </w:rPr>
            <w:instrText xml:space="preserve"> CITATION Bai15 \l 1033 </w:instrText>
          </w:r>
          <w:r w:rsidR="005A0930">
            <w:fldChar w:fldCharType="separate"/>
          </w:r>
          <w:r w:rsidR="00B81B8B" w:rsidRPr="00B81B8B">
            <w:rPr>
              <w:noProof/>
              <w:lang w:val="en-US"/>
            </w:rPr>
            <w:t>(Baily, et al., 2015)</w:t>
          </w:r>
          <w:r w:rsidR="005A0930">
            <w:fldChar w:fldCharType="end"/>
          </w:r>
        </w:sdtContent>
      </w:sdt>
      <w:r w:rsidR="005A0930">
        <w:t xml:space="preserve">. </w:t>
      </w:r>
      <w:r w:rsidRPr="00D20DCA">
        <w:t>He added that “virtually no financial model” could have predicted the huge fall in the US housing market</w:t>
      </w:r>
      <w:r w:rsidR="00340AAA">
        <w:t>.</w:t>
      </w:r>
      <w:r w:rsidRPr="00D20DCA">
        <w:t xml:space="preserve"> In any case, JPMorgan’s experts correctly identified the problems in assessing the dangers of the mortgage-backed securities market </w:t>
      </w:r>
      <w:sdt>
        <w:sdtPr>
          <w:id w:val="253792828"/>
          <w:citation/>
        </w:sdtPr>
        <w:sdtEndPr/>
        <w:sdtContent>
          <w:r w:rsidR="00340AAA">
            <w:fldChar w:fldCharType="begin"/>
          </w:r>
          <w:r w:rsidR="00340AAA">
            <w:rPr>
              <w:lang w:val="en-US"/>
            </w:rPr>
            <w:instrText xml:space="preserve"> CITATION Erk12 \l 1033 </w:instrText>
          </w:r>
          <w:r w:rsidR="00340AAA">
            <w:fldChar w:fldCharType="separate"/>
          </w:r>
          <w:r w:rsidR="00B81B8B" w:rsidRPr="00B81B8B">
            <w:rPr>
              <w:noProof/>
              <w:lang w:val="en-US"/>
            </w:rPr>
            <w:t>(Erkens, et al., 2012)</w:t>
          </w:r>
          <w:r w:rsidR="00340AAA">
            <w:fldChar w:fldCharType="end"/>
          </w:r>
        </w:sdtContent>
      </w:sdt>
      <w:r w:rsidRPr="00D20DCA">
        <w:t xml:space="preserve">. When he became CEO of JPMorgan in 2006, Jamie </w:t>
      </w:r>
      <w:proofErr w:type="spellStart"/>
      <w:r w:rsidRPr="00D20DCA">
        <w:t>Dimon</w:t>
      </w:r>
      <w:proofErr w:type="spellEnd"/>
      <w:r w:rsidRPr="00D20DCA">
        <w:t xml:space="preserve"> began diversifying his trading division into mortgage-backed securities, an area where his competitors were making huge profits </w:t>
      </w:r>
      <w:sdt>
        <w:sdtPr>
          <w:id w:val="-69503346"/>
          <w:citation/>
        </w:sdtPr>
        <w:sdtEndPr/>
        <w:sdtContent>
          <w:r w:rsidR="00340AAA">
            <w:fldChar w:fldCharType="begin"/>
          </w:r>
          <w:r w:rsidR="00340AAA">
            <w:rPr>
              <w:lang w:val="en-US"/>
            </w:rPr>
            <w:instrText xml:space="preserve"> CITATION Hea18 \l 1033 </w:instrText>
          </w:r>
          <w:r w:rsidR="00340AAA">
            <w:fldChar w:fldCharType="separate"/>
          </w:r>
          <w:r w:rsidR="00B81B8B" w:rsidRPr="00B81B8B">
            <w:rPr>
              <w:noProof/>
              <w:lang w:val="en-US"/>
            </w:rPr>
            <w:t>(Hearit, 2018)</w:t>
          </w:r>
          <w:r w:rsidR="00340AAA">
            <w:fldChar w:fldCharType="end"/>
          </w:r>
        </w:sdtContent>
      </w:sdt>
      <w:r w:rsidRPr="00D20DCA">
        <w:t>.</w:t>
      </w:r>
    </w:p>
    <w:p w14:paraId="334194AC" w14:textId="6C4F2E59" w:rsidR="00CD67E6" w:rsidRPr="00D20DCA" w:rsidRDefault="00CD67E6" w:rsidP="00293A7D">
      <w:pPr>
        <w:jc w:val="both"/>
      </w:pPr>
      <w:r w:rsidRPr="00D20DCA">
        <w:t>The online newspaper Pro-Publica notes that while the bank was initially reluctant to participate in subprime mortgage securities, JP Morga</w:t>
      </w:r>
      <w:r>
        <w:t>n</w:t>
      </w:r>
      <w:r w:rsidRPr="00D20DCA">
        <w:t xml:space="preserve"> partnered with Magnetar, a hedge fund specialising in hedging the US mortgage market </w:t>
      </w:r>
      <w:sdt>
        <w:sdtPr>
          <w:id w:val="-1319948063"/>
          <w:citation/>
        </w:sdtPr>
        <w:sdtEndPr/>
        <w:sdtContent>
          <w:r w:rsidR="00340AAA">
            <w:fldChar w:fldCharType="begin"/>
          </w:r>
          <w:r w:rsidR="00340AAA">
            <w:rPr>
              <w:lang w:val="en-US"/>
            </w:rPr>
            <w:instrText xml:space="preserve"> CITATION Wil08 \l 1033 </w:instrText>
          </w:r>
          <w:r w:rsidR="00340AAA">
            <w:fldChar w:fldCharType="separate"/>
          </w:r>
          <w:r w:rsidR="00B81B8B" w:rsidRPr="00B81B8B">
            <w:rPr>
              <w:noProof/>
              <w:lang w:val="en-US"/>
            </w:rPr>
            <w:t>(Wilmarth Jr, 2008)</w:t>
          </w:r>
          <w:r w:rsidR="00340AAA">
            <w:fldChar w:fldCharType="end"/>
          </w:r>
        </w:sdtContent>
      </w:sdt>
      <w:r w:rsidRPr="00D20DCA">
        <w:t xml:space="preserve">. Magnetar bought and hedged the riskiest mortgage-backed securities and made huge profits when the housing market crashed </w:t>
      </w:r>
      <w:sdt>
        <w:sdtPr>
          <w:id w:val="1134524383"/>
          <w:citation/>
        </w:sdtPr>
        <w:sdtEndPr/>
        <w:sdtContent>
          <w:r w:rsidR="00340AAA">
            <w:fldChar w:fldCharType="begin"/>
          </w:r>
          <w:r w:rsidR="00340AAA">
            <w:rPr>
              <w:lang w:val="en-US"/>
            </w:rPr>
            <w:instrText xml:space="preserve"> CITATION Bai15 \l 1033 </w:instrText>
          </w:r>
          <w:r w:rsidR="00340AAA">
            <w:fldChar w:fldCharType="separate"/>
          </w:r>
          <w:r w:rsidR="00B81B8B" w:rsidRPr="00B81B8B">
            <w:rPr>
              <w:noProof/>
              <w:lang w:val="en-US"/>
            </w:rPr>
            <w:t>(Baily, et al., 2015)</w:t>
          </w:r>
          <w:r w:rsidR="00340AAA">
            <w:fldChar w:fldCharType="end"/>
          </w:r>
        </w:sdtContent>
      </w:sdt>
      <w:r w:rsidRPr="00D20DCA">
        <w:t>. JPMorgan created a CDO with Magnetar’s underlying shares and turned it into a $1.1 billion investment that was sold internationally to 17 institutional investors. The JPMorgan</w:t>
      </w:r>
      <w:r>
        <w:t>-</w:t>
      </w:r>
      <w:r w:rsidRPr="00D20DCA">
        <w:t xml:space="preserve">Magnetar deal closed when the real estate market had already begun to decline </w:t>
      </w:r>
      <w:r w:rsidRPr="00D20DCA">
        <w:lastRenderedPageBreak/>
        <w:t xml:space="preserve">in 2007 </w:t>
      </w:r>
      <w:sdt>
        <w:sdtPr>
          <w:id w:val="704760218"/>
          <w:citation/>
        </w:sdtPr>
        <w:sdtEndPr/>
        <w:sdtContent>
          <w:r w:rsidR="00340AAA">
            <w:fldChar w:fldCharType="begin"/>
          </w:r>
          <w:r w:rsidR="00340AAA">
            <w:rPr>
              <w:lang w:val="en-US"/>
            </w:rPr>
            <w:instrText xml:space="preserve"> CITATION Erk12 \l 1033 </w:instrText>
          </w:r>
          <w:r w:rsidR="00340AAA">
            <w:fldChar w:fldCharType="separate"/>
          </w:r>
          <w:r w:rsidR="00B81B8B" w:rsidRPr="00B81B8B">
            <w:rPr>
              <w:noProof/>
              <w:lang w:val="en-US"/>
            </w:rPr>
            <w:t>(Erkens, et al., 2012)</w:t>
          </w:r>
          <w:r w:rsidR="00340AAA">
            <w:fldChar w:fldCharType="end"/>
          </w:r>
        </w:sdtContent>
      </w:sdt>
      <w:r w:rsidRPr="00D20DCA">
        <w:t xml:space="preserve">. The investors, including a Lutheran non-profit organisation, saw their misfortune at 100% after 8 months </w:t>
      </w:r>
      <w:sdt>
        <w:sdtPr>
          <w:id w:val="-858969076"/>
          <w:citation/>
        </w:sdtPr>
        <w:sdtEndPr/>
        <w:sdtContent>
          <w:r w:rsidR="00340AAA">
            <w:fldChar w:fldCharType="begin"/>
          </w:r>
          <w:r w:rsidR="00340AAA">
            <w:rPr>
              <w:lang w:val="en-US"/>
            </w:rPr>
            <w:instrText xml:space="preserve"> CITATION Wil08 \l 1033 </w:instrText>
          </w:r>
          <w:r w:rsidR="00340AAA">
            <w:fldChar w:fldCharType="separate"/>
          </w:r>
          <w:r w:rsidR="00B81B8B" w:rsidRPr="00B81B8B">
            <w:rPr>
              <w:noProof/>
              <w:lang w:val="en-US"/>
            </w:rPr>
            <w:t>(Wilmarth Jr, 2008)</w:t>
          </w:r>
          <w:r w:rsidR="00340AAA">
            <w:fldChar w:fldCharType="end"/>
          </w:r>
        </w:sdtContent>
      </w:sdt>
    </w:p>
    <w:p w14:paraId="75F163DF" w14:textId="4E01AAE6" w:rsidR="00CD67E6" w:rsidRDefault="00CD67E6" w:rsidP="00293A7D">
      <w:pPr>
        <w:jc w:val="both"/>
      </w:pPr>
      <w:r w:rsidRPr="00D20DCA">
        <w:t xml:space="preserve">By focusing on the risky asset market, Magnetar, JP Morgan and other financial institutions allowed the housing crisis to turn into a full-blown financial crisis, despite signs that the housing market was in trouble. It has been estimated that JPMorgan’s profits decrease from $16.5 billion in 2007 to $6.4 billion in 2008 due to financial crises </w:t>
      </w:r>
      <w:sdt>
        <w:sdtPr>
          <w:id w:val="-227689911"/>
          <w:citation/>
        </w:sdtPr>
        <w:sdtEndPr/>
        <w:sdtContent>
          <w:r w:rsidR="00340AAA">
            <w:fldChar w:fldCharType="begin"/>
          </w:r>
          <w:r w:rsidR="00340AAA">
            <w:rPr>
              <w:lang w:val="en-US"/>
            </w:rPr>
            <w:instrText xml:space="preserve"> CITATION Bai15 \l 1033 </w:instrText>
          </w:r>
          <w:r w:rsidR="00340AAA">
            <w:fldChar w:fldCharType="separate"/>
          </w:r>
          <w:r w:rsidR="00B81B8B" w:rsidRPr="00B81B8B">
            <w:rPr>
              <w:noProof/>
              <w:lang w:val="en-US"/>
            </w:rPr>
            <w:t>(Baily, et al., 2015)</w:t>
          </w:r>
          <w:r w:rsidR="00340AAA">
            <w:fldChar w:fldCharType="end"/>
          </w:r>
        </w:sdtContent>
      </w:sdt>
      <w:r w:rsidRPr="00D20DCA">
        <w:t xml:space="preserve">. In any case, it did well against its competitors </w:t>
      </w:r>
      <w:sdt>
        <w:sdtPr>
          <w:id w:val="-129094668"/>
          <w:citation/>
        </w:sdtPr>
        <w:sdtEndPr/>
        <w:sdtContent>
          <w:r w:rsidR="00340AAA">
            <w:fldChar w:fldCharType="begin"/>
          </w:r>
          <w:r w:rsidR="00340AAA">
            <w:rPr>
              <w:lang w:val="en-US"/>
            </w:rPr>
            <w:instrText xml:space="preserve"> CITATION Erk12 \l 1033 </w:instrText>
          </w:r>
          <w:r w:rsidR="00340AAA">
            <w:fldChar w:fldCharType="separate"/>
          </w:r>
          <w:r w:rsidR="00B81B8B" w:rsidRPr="00B81B8B">
            <w:rPr>
              <w:noProof/>
              <w:lang w:val="en-US"/>
            </w:rPr>
            <w:t>(Erkens, et al., 2012)</w:t>
          </w:r>
          <w:r w:rsidR="00340AAA">
            <w:fldChar w:fldCharType="end"/>
          </w:r>
        </w:sdtContent>
      </w:sdt>
      <w:r w:rsidRPr="00D20DCA">
        <w:t xml:space="preserve">. The results released by the organisation’s investment banking division in 2009 were </w:t>
      </w:r>
      <w:r w:rsidR="003C3E9C" w:rsidRPr="00D20DCA">
        <w:t>labelled</w:t>
      </w:r>
      <w:r w:rsidRPr="00D20DCA">
        <w:t xml:space="preserve"> “the recession giant”. In June 2009, JPMorgan Chase paid out $25 billion of TARP </w:t>
      </w:r>
      <w:sdt>
        <w:sdtPr>
          <w:id w:val="-1519468409"/>
          <w:citation/>
        </w:sdtPr>
        <w:sdtEndPr/>
        <w:sdtContent>
          <w:r w:rsidR="00340AAA">
            <w:fldChar w:fldCharType="begin"/>
          </w:r>
          <w:r w:rsidR="00340AAA">
            <w:rPr>
              <w:lang w:val="en-US"/>
            </w:rPr>
            <w:instrText xml:space="preserve"> CITATION Hea18 \l 1033 </w:instrText>
          </w:r>
          <w:r w:rsidR="00340AAA">
            <w:fldChar w:fldCharType="separate"/>
          </w:r>
          <w:r w:rsidR="00B81B8B" w:rsidRPr="00B81B8B">
            <w:rPr>
              <w:noProof/>
              <w:lang w:val="en-US"/>
            </w:rPr>
            <w:t>(Hearit, 2018)</w:t>
          </w:r>
          <w:r w:rsidR="00340AAA">
            <w:fldChar w:fldCharType="end"/>
          </w:r>
        </w:sdtContent>
      </w:sdt>
      <w:r w:rsidRPr="00D20DCA">
        <w:t>.</w:t>
      </w:r>
    </w:p>
    <w:p w14:paraId="0E8C51E9" w14:textId="0D8D65A9" w:rsidR="00797383" w:rsidRPr="00D20DCA" w:rsidRDefault="001311EB" w:rsidP="00293A7D">
      <w:pPr>
        <w:jc w:val="both"/>
      </w:pPr>
      <w:r w:rsidRPr="00797383">
        <w:t xml:space="preserve">Latest </w:t>
      </w:r>
      <w:r w:rsidR="00797383" w:rsidRPr="00797383">
        <w:t>theory of financial intermediation</w:t>
      </w:r>
      <w:r>
        <w:t xml:space="preserve"> expresses that</w:t>
      </w:r>
      <w:r w:rsidR="00797383" w:rsidRPr="00797383">
        <w:t xml:space="preserve">, liquidity creation is </w:t>
      </w:r>
      <w:r>
        <w:t>an important factor for</w:t>
      </w:r>
      <w:r w:rsidR="00797383" w:rsidRPr="00797383">
        <w:t xml:space="preserve"> banks in the </w:t>
      </w:r>
      <w:r w:rsidRPr="00797383">
        <w:t>financial system</w:t>
      </w:r>
      <w:r w:rsidR="00797383" w:rsidRPr="00797383">
        <w:t xml:space="preserve">. Banks </w:t>
      </w:r>
      <w:r>
        <w:t>are creating</w:t>
      </w:r>
      <w:r w:rsidR="00797383" w:rsidRPr="00797383">
        <w:t xml:space="preserve"> liquidity on the balance sheet by </w:t>
      </w:r>
      <w:r w:rsidRPr="00797383">
        <w:t>invest</w:t>
      </w:r>
      <w:r>
        <w:t>ing</w:t>
      </w:r>
      <w:r w:rsidRPr="00797383">
        <w:t xml:space="preserve"> in</w:t>
      </w:r>
      <w:r w:rsidR="00797383" w:rsidRPr="00797383">
        <w:t xml:space="preserve"> </w:t>
      </w:r>
      <w:r>
        <w:t>the</w:t>
      </w:r>
      <w:r w:rsidR="00797383" w:rsidRPr="00797383">
        <w:t xml:space="preserve"> long-term illiquid assets with short-term liquid liabilities</w:t>
      </w:r>
      <w:r w:rsidR="00797383">
        <w:t>.</w:t>
      </w:r>
      <w:r w:rsidR="003C3E9C">
        <w:t xml:space="preserve"> Moreover,</w:t>
      </w:r>
      <w:r w:rsidR="00797383">
        <w:t xml:space="preserve"> </w:t>
      </w:r>
      <w:r w:rsidR="003C3E9C">
        <w:t>they</w:t>
      </w:r>
      <w:r w:rsidR="00797383" w:rsidRPr="00797383">
        <w:t xml:space="preserve"> </w:t>
      </w:r>
      <w:r w:rsidR="003C3E9C" w:rsidRPr="00797383">
        <w:t>additionally</w:t>
      </w:r>
      <w:r w:rsidR="00797383" w:rsidRPr="00797383">
        <w:t xml:space="preserve"> create liquidity </w:t>
      </w:r>
      <w:r w:rsidR="003C3E9C">
        <w:t xml:space="preserve">from outside the </w:t>
      </w:r>
      <w:r w:rsidR="00797383" w:rsidRPr="00797383">
        <w:t xml:space="preserve">balance sheet </w:t>
      </w:r>
      <w:r w:rsidR="003C3E9C" w:rsidRPr="00797383">
        <w:t>events</w:t>
      </w:r>
      <w:r w:rsidR="00797383" w:rsidRPr="00797383">
        <w:t xml:space="preserve">, </w:t>
      </w:r>
      <w:r w:rsidR="003C3E9C">
        <w:t>as an example</w:t>
      </w:r>
      <w:r w:rsidR="00C343E1">
        <w:t>,</w:t>
      </w:r>
      <w:r w:rsidR="00797383" w:rsidRPr="00797383">
        <w:t xml:space="preserve"> </w:t>
      </w:r>
      <w:r w:rsidR="00C343E1" w:rsidRPr="00797383">
        <w:t>supplying</w:t>
      </w:r>
      <w:r w:rsidR="00797383" w:rsidRPr="00797383">
        <w:t xml:space="preserve"> standby letters </w:t>
      </w:r>
      <w:r w:rsidR="00C343E1">
        <w:t xml:space="preserve">of the obligations of the customers, such as </w:t>
      </w:r>
      <w:r w:rsidR="00797383" w:rsidRPr="00797383">
        <w:t xml:space="preserve">credit and loan </w:t>
      </w:r>
      <w:sdt>
        <w:sdtPr>
          <w:id w:val="2007232926"/>
          <w:citation/>
        </w:sdtPr>
        <w:sdtEndPr/>
        <w:sdtContent>
          <w:r w:rsidR="00745CE0">
            <w:fldChar w:fldCharType="begin"/>
          </w:r>
          <w:r w:rsidR="00745CE0">
            <w:rPr>
              <w:lang w:val="en-US"/>
            </w:rPr>
            <w:instrText xml:space="preserve"> CITATION Zhe19 \l 1033 </w:instrText>
          </w:r>
          <w:r w:rsidR="00745CE0">
            <w:fldChar w:fldCharType="separate"/>
          </w:r>
          <w:r w:rsidR="00B81B8B" w:rsidRPr="00B81B8B">
            <w:rPr>
              <w:noProof/>
              <w:lang w:val="en-US"/>
            </w:rPr>
            <w:t>(Zheng, et al., 2019)</w:t>
          </w:r>
          <w:r w:rsidR="00745CE0">
            <w:fldChar w:fldCharType="end"/>
          </w:r>
        </w:sdtContent>
      </w:sdt>
      <w:r w:rsidR="00797383">
        <w:t>.</w:t>
      </w:r>
      <w:r w:rsidR="00797383" w:rsidRPr="00797383">
        <w:t> </w:t>
      </w:r>
    </w:p>
    <w:p w14:paraId="4891569A" w14:textId="14738A83" w:rsidR="00CD67E6" w:rsidRDefault="0000310C" w:rsidP="00293A7D">
      <w:pPr>
        <w:jc w:val="both"/>
      </w:pPr>
      <w:r>
        <w:t xml:space="preserve">The minimum level of Tier 1 Capital Ratio </w:t>
      </w:r>
      <w:r w:rsidRPr="0000310C">
        <w:t>which U</w:t>
      </w:r>
      <w:r>
        <w:t xml:space="preserve">nited </w:t>
      </w:r>
      <w:r w:rsidRPr="0000310C">
        <w:t>S</w:t>
      </w:r>
      <w:r>
        <w:t>tates</w:t>
      </w:r>
      <w:r w:rsidRPr="0000310C">
        <w:t xml:space="preserve"> bank regulators do not consider banks as being well capitalized</w:t>
      </w:r>
      <w:r>
        <w:t xml:space="preserve"> after the financial crisis of 2008 is 8%</w:t>
      </w:r>
      <w:r w:rsidR="000218A6">
        <w:t xml:space="preserve"> </w:t>
      </w:r>
      <w:sdt>
        <w:sdtPr>
          <w:id w:val="1433316304"/>
          <w:citation/>
        </w:sdtPr>
        <w:sdtEndPr/>
        <w:sdtContent>
          <w:r w:rsidR="000218A6">
            <w:fldChar w:fldCharType="begin"/>
          </w:r>
          <w:r w:rsidR="000218A6">
            <w:rPr>
              <w:lang w:val="en-US"/>
            </w:rPr>
            <w:instrText xml:space="preserve"> CITATION Abo16 \l 1033 </w:instrText>
          </w:r>
          <w:r w:rsidR="000218A6">
            <w:fldChar w:fldCharType="separate"/>
          </w:r>
          <w:r w:rsidR="00B81B8B" w:rsidRPr="00B81B8B">
            <w:rPr>
              <w:noProof/>
              <w:lang w:val="en-US"/>
            </w:rPr>
            <w:t>(Abou-El-Sood, 2016)</w:t>
          </w:r>
          <w:r w:rsidR="000218A6">
            <w:fldChar w:fldCharType="end"/>
          </w:r>
        </w:sdtContent>
      </w:sdt>
      <w:r>
        <w:t>.</w:t>
      </w:r>
    </w:p>
    <w:p w14:paraId="25CABD9A" w14:textId="77777777" w:rsidR="00D34743" w:rsidRDefault="00D34743" w:rsidP="00293A7D">
      <w:pPr>
        <w:jc w:val="both"/>
      </w:pPr>
    </w:p>
    <w:p w14:paraId="391686F3" w14:textId="4A5C167A" w:rsidR="00FE6563" w:rsidRDefault="00FE6563" w:rsidP="00293A7D">
      <w:pPr>
        <w:jc w:val="both"/>
      </w:pPr>
      <w:r>
        <w:t xml:space="preserve">Table </w:t>
      </w:r>
      <w:r w:rsidR="0017347D">
        <w:t>2</w:t>
      </w:r>
      <w:r>
        <w:t>: Tier 1 Capital Ratio</w:t>
      </w:r>
      <w:r w:rsidR="00FD122E">
        <w:t>, Tier 1 Leverage Ratio</w:t>
      </w:r>
      <w:r>
        <w:t xml:space="preserve"> and LCR of JP Morgan Chase</w:t>
      </w:r>
    </w:p>
    <w:tbl>
      <w:tblPr>
        <w:tblStyle w:val="TableGrid"/>
        <w:tblW w:w="9392" w:type="dxa"/>
        <w:tblLook w:val="04A0" w:firstRow="1" w:lastRow="0" w:firstColumn="1" w:lastColumn="0" w:noHBand="0" w:noVBand="1"/>
      </w:tblPr>
      <w:tblGrid>
        <w:gridCol w:w="2348"/>
        <w:gridCol w:w="2348"/>
        <w:gridCol w:w="2348"/>
        <w:gridCol w:w="2348"/>
      </w:tblGrid>
      <w:tr w:rsidR="00175CF6" w14:paraId="7331CC8F" w14:textId="77777777" w:rsidTr="00C11578">
        <w:trPr>
          <w:trHeight w:val="861"/>
        </w:trPr>
        <w:tc>
          <w:tcPr>
            <w:tcW w:w="2348" w:type="dxa"/>
          </w:tcPr>
          <w:p w14:paraId="0188A587" w14:textId="485C76FE" w:rsidR="00175CF6" w:rsidRPr="006B359E" w:rsidRDefault="00175CF6" w:rsidP="006B359E">
            <w:pPr>
              <w:jc w:val="center"/>
              <w:rPr>
                <w:b/>
                <w:bCs/>
                <w:sz w:val="28"/>
                <w:szCs w:val="24"/>
              </w:rPr>
            </w:pPr>
            <w:r w:rsidRPr="006B359E">
              <w:rPr>
                <w:b/>
                <w:bCs/>
                <w:sz w:val="28"/>
                <w:szCs w:val="24"/>
              </w:rPr>
              <w:t>JP Morgan Chase</w:t>
            </w:r>
          </w:p>
        </w:tc>
        <w:tc>
          <w:tcPr>
            <w:tcW w:w="2348" w:type="dxa"/>
          </w:tcPr>
          <w:p w14:paraId="7242D07E" w14:textId="3FF10E56" w:rsidR="00175CF6" w:rsidRPr="006B359E" w:rsidRDefault="00ED15A6" w:rsidP="006B359E">
            <w:pPr>
              <w:jc w:val="center"/>
              <w:rPr>
                <w:b/>
                <w:bCs/>
                <w:sz w:val="28"/>
                <w:szCs w:val="24"/>
              </w:rPr>
            </w:pPr>
            <w:r w:rsidRPr="006B359E">
              <w:rPr>
                <w:b/>
                <w:bCs/>
                <w:sz w:val="28"/>
                <w:szCs w:val="24"/>
              </w:rPr>
              <w:t>201</w:t>
            </w:r>
            <w:r w:rsidR="00AE41B1" w:rsidRPr="006B359E">
              <w:rPr>
                <w:b/>
                <w:bCs/>
                <w:sz w:val="28"/>
                <w:szCs w:val="24"/>
              </w:rPr>
              <w:t>7</w:t>
            </w:r>
          </w:p>
        </w:tc>
        <w:tc>
          <w:tcPr>
            <w:tcW w:w="2348" w:type="dxa"/>
          </w:tcPr>
          <w:p w14:paraId="08456CEC" w14:textId="6006A159" w:rsidR="00175CF6" w:rsidRPr="006B359E" w:rsidRDefault="00ED15A6" w:rsidP="006B359E">
            <w:pPr>
              <w:jc w:val="center"/>
              <w:rPr>
                <w:b/>
                <w:bCs/>
                <w:sz w:val="28"/>
                <w:szCs w:val="24"/>
              </w:rPr>
            </w:pPr>
            <w:r w:rsidRPr="006B359E">
              <w:rPr>
                <w:b/>
                <w:bCs/>
                <w:sz w:val="28"/>
                <w:szCs w:val="24"/>
              </w:rPr>
              <w:t>201</w:t>
            </w:r>
            <w:r w:rsidR="00AE41B1" w:rsidRPr="006B359E">
              <w:rPr>
                <w:b/>
                <w:bCs/>
                <w:sz w:val="28"/>
                <w:szCs w:val="24"/>
              </w:rPr>
              <w:t>8</w:t>
            </w:r>
          </w:p>
        </w:tc>
        <w:tc>
          <w:tcPr>
            <w:tcW w:w="2348" w:type="dxa"/>
          </w:tcPr>
          <w:p w14:paraId="6A7059CC" w14:textId="72043B3E" w:rsidR="00175CF6" w:rsidRPr="006B359E" w:rsidRDefault="00ED15A6" w:rsidP="006B359E">
            <w:pPr>
              <w:jc w:val="center"/>
              <w:rPr>
                <w:b/>
                <w:bCs/>
                <w:sz w:val="28"/>
                <w:szCs w:val="24"/>
              </w:rPr>
            </w:pPr>
            <w:r w:rsidRPr="006B359E">
              <w:rPr>
                <w:b/>
                <w:bCs/>
                <w:sz w:val="28"/>
                <w:szCs w:val="24"/>
              </w:rPr>
              <w:t>20</w:t>
            </w:r>
            <w:r w:rsidR="00AE41B1" w:rsidRPr="006B359E">
              <w:rPr>
                <w:b/>
                <w:bCs/>
                <w:sz w:val="28"/>
                <w:szCs w:val="24"/>
              </w:rPr>
              <w:t>19</w:t>
            </w:r>
          </w:p>
        </w:tc>
      </w:tr>
      <w:tr w:rsidR="00175CF6" w14:paraId="3D7EDCAC" w14:textId="77777777" w:rsidTr="00C11578">
        <w:trPr>
          <w:trHeight w:val="834"/>
        </w:trPr>
        <w:tc>
          <w:tcPr>
            <w:tcW w:w="2348" w:type="dxa"/>
          </w:tcPr>
          <w:p w14:paraId="72396A96" w14:textId="77777777" w:rsidR="00175CF6" w:rsidRPr="006B359E" w:rsidRDefault="00175CF6" w:rsidP="006B359E">
            <w:pPr>
              <w:jc w:val="center"/>
              <w:rPr>
                <w:b/>
                <w:bCs/>
              </w:rPr>
            </w:pPr>
            <w:r w:rsidRPr="006B359E">
              <w:rPr>
                <w:b/>
                <w:bCs/>
              </w:rPr>
              <w:t>Tier 1 Capital Ratio</w:t>
            </w:r>
          </w:p>
          <w:p w14:paraId="588187E7" w14:textId="3515F68A" w:rsidR="006B359E" w:rsidRPr="006B359E" w:rsidRDefault="007846EA" w:rsidP="006B359E">
            <w:pPr>
              <w:jc w:val="center"/>
              <w:rPr>
                <w:b/>
                <w:bCs/>
              </w:rPr>
            </w:pPr>
            <w:r>
              <w:rPr>
                <w:b/>
                <w:bCs/>
              </w:rPr>
              <w:t>(</w:t>
            </w:r>
            <w:r w:rsidR="006B359E" w:rsidRPr="006B359E">
              <w:rPr>
                <w:b/>
                <w:bCs/>
              </w:rPr>
              <w:t>%</w:t>
            </w:r>
            <w:r>
              <w:rPr>
                <w:b/>
                <w:bCs/>
              </w:rPr>
              <w:t>)</w:t>
            </w:r>
          </w:p>
        </w:tc>
        <w:tc>
          <w:tcPr>
            <w:tcW w:w="2348" w:type="dxa"/>
          </w:tcPr>
          <w:p w14:paraId="7C478FCB" w14:textId="22FDFDCB" w:rsidR="00175CF6" w:rsidRDefault="00AE41B1" w:rsidP="006B359E">
            <w:pPr>
              <w:jc w:val="center"/>
            </w:pPr>
            <w:r>
              <w:t>13.8</w:t>
            </w:r>
          </w:p>
        </w:tc>
        <w:tc>
          <w:tcPr>
            <w:tcW w:w="2348" w:type="dxa"/>
          </w:tcPr>
          <w:p w14:paraId="606447A5" w14:textId="3000810C" w:rsidR="00175CF6" w:rsidRDefault="00AE41B1" w:rsidP="006B359E">
            <w:pPr>
              <w:jc w:val="center"/>
            </w:pPr>
            <w:r>
              <w:t>13.7</w:t>
            </w:r>
          </w:p>
        </w:tc>
        <w:tc>
          <w:tcPr>
            <w:tcW w:w="2348" w:type="dxa"/>
          </w:tcPr>
          <w:p w14:paraId="021D6A2C" w14:textId="3473142B" w:rsidR="00175CF6" w:rsidRDefault="00AE41B1" w:rsidP="006B359E">
            <w:pPr>
              <w:jc w:val="center"/>
            </w:pPr>
            <w:r>
              <w:t>14.1</w:t>
            </w:r>
          </w:p>
        </w:tc>
      </w:tr>
      <w:tr w:rsidR="00175CF6" w14:paraId="64720F80" w14:textId="77777777" w:rsidTr="00C11578">
        <w:trPr>
          <w:trHeight w:val="748"/>
        </w:trPr>
        <w:tc>
          <w:tcPr>
            <w:tcW w:w="2348" w:type="dxa"/>
          </w:tcPr>
          <w:p w14:paraId="46E47F4A" w14:textId="07C3EB22" w:rsidR="00175CF6" w:rsidRPr="006B359E" w:rsidRDefault="00175CF6" w:rsidP="006B359E">
            <w:pPr>
              <w:jc w:val="center"/>
              <w:rPr>
                <w:b/>
                <w:bCs/>
              </w:rPr>
            </w:pPr>
            <w:r w:rsidRPr="006B359E">
              <w:rPr>
                <w:b/>
                <w:bCs/>
              </w:rPr>
              <w:t>Liquidity Coverage Ratio</w:t>
            </w:r>
            <w:r w:rsidR="00856CB0">
              <w:rPr>
                <w:b/>
                <w:bCs/>
              </w:rPr>
              <w:t xml:space="preserve"> (%)</w:t>
            </w:r>
          </w:p>
        </w:tc>
        <w:tc>
          <w:tcPr>
            <w:tcW w:w="2348" w:type="dxa"/>
          </w:tcPr>
          <w:p w14:paraId="46F40B54" w14:textId="4612F049" w:rsidR="00175CF6" w:rsidRDefault="00AE41B1" w:rsidP="006B359E">
            <w:pPr>
              <w:jc w:val="center"/>
            </w:pPr>
            <w:r>
              <w:t>119</w:t>
            </w:r>
          </w:p>
        </w:tc>
        <w:tc>
          <w:tcPr>
            <w:tcW w:w="2348" w:type="dxa"/>
          </w:tcPr>
          <w:p w14:paraId="1B63805E" w14:textId="48F7DEE4" w:rsidR="00175CF6" w:rsidRDefault="00AE41B1" w:rsidP="006B359E">
            <w:pPr>
              <w:jc w:val="center"/>
            </w:pPr>
            <w:r>
              <w:t>113</w:t>
            </w:r>
          </w:p>
        </w:tc>
        <w:tc>
          <w:tcPr>
            <w:tcW w:w="2348" w:type="dxa"/>
          </w:tcPr>
          <w:p w14:paraId="53404A5F" w14:textId="4D2BD1FD" w:rsidR="00175CF6" w:rsidRDefault="00AE41B1" w:rsidP="006B359E">
            <w:pPr>
              <w:jc w:val="center"/>
            </w:pPr>
            <w:r>
              <w:t>116</w:t>
            </w:r>
          </w:p>
        </w:tc>
      </w:tr>
      <w:tr w:rsidR="00FD122E" w14:paraId="3913AB71" w14:textId="77777777" w:rsidTr="00C11578">
        <w:trPr>
          <w:trHeight w:val="748"/>
        </w:trPr>
        <w:tc>
          <w:tcPr>
            <w:tcW w:w="2348" w:type="dxa"/>
          </w:tcPr>
          <w:p w14:paraId="36A83B8A" w14:textId="673518AD" w:rsidR="00FD122E" w:rsidRPr="006B359E" w:rsidRDefault="00FD122E" w:rsidP="006B359E">
            <w:pPr>
              <w:jc w:val="center"/>
              <w:rPr>
                <w:b/>
                <w:bCs/>
              </w:rPr>
            </w:pPr>
            <w:r>
              <w:rPr>
                <w:b/>
                <w:bCs/>
              </w:rPr>
              <w:t>Tier 1 Leverage Ratio</w:t>
            </w:r>
            <w:r w:rsidR="002A111E">
              <w:rPr>
                <w:b/>
                <w:bCs/>
              </w:rPr>
              <w:t xml:space="preserve"> </w:t>
            </w:r>
            <w:r w:rsidR="00856CB0">
              <w:rPr>
                <w:b/>
                <w:bCs/>
              </w:rPr>
              <w:t>(%)</w:t>
            </w:r>
          </w:p>
        </w:tc>
        <w:tc>
          <w:tcPr>
            <w:tcW w:w="2348" w:type="dxa"/>
          </w:tcPr>
          <w:p w14:paraId="6F00DB3F" w14:textId="5E6A2956" w:rsidR="00FD122E" w:rsidRDefault="00FD122E" w:rsidP="006B359E">
            <w:pPr>
              <w:jc w:val="center"/>
            </w:pPr>
            <w:r>
              <w:t>8.3</w:t>
            </w:r>
          </w:p>
        </w:tc>
        <w:tc>
          <w:tcPr>
            <w:tcW w:w="2348" w:type="dxa"/>
          </w:tcPr>
          <w:p w14:paraId="0EE7EFFC" w14:textId="45FBB0F1" w:rsidR="00FD122E" w:rsidRDefault="00FD122E" w:rsidP="006B359E">
            <w:pPr>
              <w:jc w:val="center"/>
            </w:pPr>
            <w:r>
              <w:t>8.1</w:t>
            </w:r>
          </w:p>
        </w:tc>
        <w:tc>
          <w:tcPr>
            <w:tcW w:w="2348" w:type="dxa"/>
          </w:tcPr>
          <w:p w14:paraId="72EE3FD4" w14:textId="2830D43B" w:rsidR="00FD122E" w:rsidRDefault="00FD122E" w:rsidP="006B359E">
            <w:pPr>
              <w:jc w:val="center"/>
            </w:pPr>
            <w:r>
              <w:t>7.9</w:t>
            </w:r>
          </w:p>
        </w:tc>
      </w:tr>
    </w:tbl>
    <w:p w14:paraId="7ACBE316" w14:textId="12B18580" w:rsidR="00175CF6" w:rsidRDefault="00FE6563" w:rsidP="00293A7D">
      <w:pPr>
        <w:jc w:val="both"/>
      </w:pPr>
      <w:r>
        <w:t xml:space="preserve">Source: </w:t>
      </w:r>
      <w:r w:rsidRPr="00FE6563">
        <w:t>JPMorgan Chase</w:t>
      </w:r>
      <w:r>
        <w:t xml:space="preserve"> 2019 </w:t>
      </w:r>
      <w:r w:rsidR="006B359E">
        <w:t>Annual</w:t>
      </w:r>
      <w:r>
        <w:t xml:space="preserve"> Report </w:t>
      </w:r>
    </w:p>
    <w:p w14:paraId="3F5B335A" w14:textId="77777777" w:rsidR="00D34743" w:rsidRDefault="00D34743" w:rsidP="00293A7D">
      <w:pPr>
        <w:jc w:val="both"/>
      </w:pPr>
    </w:p>
    <w:p w14:paraId="464A7FA8" w14:textId="7D0BB967" w:rsidR="006B359E" w:rsidRDefault="006B359E" w:rsidP="00293A7D">
      <w:pPr>
        <w:jc w:val="both"/>
      </w:pPr>
      <w:proofErr w:type="gramStart"/>
      <w:r>
        <w:t>Due to the fact that</w:t>
      </w:r>
      <w:proofErr w:type="gramEnd"/>
      <w:r>
        <w:t xml:space="preserve"> the minimum level of Tier</w:t>
      </w:r>
      <w:r w:rsidR="007846EA">
        <w:t xml:space="preserve"> 1</w:t>
      </w:r>
      <w:r>
        <w:t xml:space="preserve"> Capital Ratio is 8%</w:t>
      </w:r>
      <w:r w:rsidR="007846EA">
        <w:t xml:space="preserve">, JP Morgan Chase is doing very well having the ratios above 13% as it can be seen in Table </w:t>
      </w:r>
      <w:r w:rsidR="0017347D">
        <w:t>2</w:t>
      </w:r>
      <w:r w:rsidR="007846EA">
        <w:t>.</w:t>
      </w:r>
    </w:p>
    <w:p w14:paraId="45D49E54" w14:textId="766B0A0F" w:rsidR="008C4075" w:rsidRDefault="008C4075" w:rsidP="00293A7D">
      <w:pPr>
        <w:jc w:val="both"/>
      </w:pPr>
      <w:proofErr w:type="gramStart"/>
      <w:r>
        <w:t>Due to the fact that</w:t>
      </w:r>
      <w:proofErr w:type="gramEnd"/>
      <w:r>
        <w:t xml:space="preserve"> the minimum level of Tier 1 Leverage Ratio is 4%, Table 2 shows that even if the leverage ratio is slightly decreasing for the years 2017-2019, the numbers are still above the minimum level</w:t>
      </w:r>
      <w:r w:rsidR="00615CEB">
        <w:t xml:space="preserve"> and doing very well.</w:t>
      </w:r>
    </w:p>
    <w:p w14:paraId="036DD55E" w14:textId="4E860E9E" w:rsidR="00856CB0" w:rsidRDefault="00C11578" w:rsidP="00293A7D">
      <w:pPr>
        <w:jc w:val="both"/>
      </w:pPr>
      <w:r>
        <w:t xml:space="preserve">Table 1 shows that the minimum </w:t>
      </w:r>
      <w:r w:rsidR="002A111E">
        <w:t xml:space="preserve">LCR for the year 2017 is 80%, for the year 2018 is 90% and for the year 2019 is 100%. Table 2 shows that JP Morgan Chase Liquidity Coverage Ratio for 2017-2019 is above 100%, which implies that the company follows all the </w:t>
      </w:r>
      <w:proofErr w:type="gramStart"/>
      <w:r w:rsidR="002A111E">
        <w:t>regulations</w:t>
      </w:r>
      <w:proofErr w:type="gramEnd"/>
      <w:r w:rsidR="002A111E">
        <w:t xml:space="preserve"> and the number</w:t>
      </w:r>
      <w:r w:rsidR="00DF2D98">
        <w:t>s</w:t>
      </w:r>
      <w:r w:rsidR="002A111E">
        <w:t xml:space="preserve"> are always above the requirements.</w:t>
      </w:r>
    </w:p>
    <w:p w14:paraId="3F86B018" w14:textId="77777777" w:rsidR="00E92B78" w:rsidRDefault="00E92B78" w:rsidP="00293A7D">
      <w:pPr>
        <w:jc w:val="both"/>
      </w:pPr>
    </w:p>
    <w:p w14:paraId="6BF7BD7F" w14:textId="6C45769A" w:rsidR="009E61ED" w:rsidRDefault="009E61ED" w:rsidP="00293A7D">
      <w:pPr>
        <w:jc w:val="both"/>
      </w:pPr>
      <w:r>
        <w:lastRenderedPageBreak/>
        <w:t>Graphic 2: Evolution of JP Morgan Fortress Balance Sheet</w:t>
      </w:r>
    </w:p>
    <w:p w14:paraId="73A7337B" w14:textId="025B5CF0" w:rsidR="0096108F" w:rsidRDefault="009E61ED" w:rsidP="0096108F">
      <w:pPr>
        <w:jc w:val="both"/>
      </w:pPr>
      <w:r>
        <w:rPr>
          <w:noProof/>
        </w:rPr>
        <w:drawing>
          <wp:inline distT="0" distB="0" distL="0" distR="0" wp14:anchorId="36AAB115" wp14:editId="376A88CA">
            <wp:extent cx="5731510" cy="2230755"/>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230755"/>
                    </a:xfrm>
                    <a:prstGeom prst="rect">
                      <a:avLst/>
                    </a:prstGeom>
                  </pic:spPr>
                </pic:pic>
              </a:graphicData>
            </a:graphic>
          </wp:inline>
        </w:drawing>
      </w:r>
      <w:bookmarkStart w:id="50" w:name="_Toc69778010"/>
    </w:p>
    <w:p w14:paraId="66D87676" w14:textId="28CDD1D9" w:rsidR="0096108F" w:rsidRDefault="0096108F" w:rsidP="0096108F">
      <w:pPr>
        <w:ind w:firstLine="720"/>
        <w:jc w:val="both"/>
      </w:pPr>
      <w:r>
        <w:t>Source: Annual Report of JP Morgan Chase, 2019</w:t>
      </w:r>
    </w:p>
    <w:p w14:paraId="7AF8369D" w14:textId="77777777" w:rsidR="00D34743" w:rsidRDefault="00D34743" w:rsidP="0096108F">
      <w:pPr>
        <w:ind w:firstLine="720"/>
        <w:jc w:val="both"/>
      </w:pPr>
    </w:p>
    <w:p w14:paraId="007EE033" w14:textId="513FD361" w:rsidR="009B2D79" w:rsidRDefault="009B2D79" w:rsidP="009B2D79">
      <w:pPr>
        <w:jc w:val="both"/>
      </w:pPr>
      <w:r>
        <w:t xml:space="preserve">Graphic 2 shows that </w:t>
      </w:r>
      <w:r>
        <w:t>JP Morgan Chase</w:t>
      </w:r>
      <w:r>
        <w:t xml:space="preserve"> has registered an increase in the values of the CET1, Tangible common equity and Liquidity since the financial crisis of 2008, which implies that the company has grown considerably.</w:t>
      </w:r>
    </w:p>
    <w:p w14:paraId="189D0702" w14:textId="77777777" w:rsidR="002247A2" w:rsidRDefault="002247A2" w:rsidP="009B2D79">
      <w:pPr>
        <w:jc w:val="both"/>
      </w:pPr>
    </w:p>
    <w:p w14:paraId="0AB41DB4" w14:textId="6AE87A42" w:rsidR="00CD67E6" w:rsidRDefault="00CD67E6" w:rsidP="003B5FE8">
      <w:pPr>
        <w:pStyle w:val="Heading1"/>
      </w:pPr>
      <w:bookmarkStart w:id="51" w:name="_Toc71568092"/>
      <w:r w:rsidRPr="00D20DCA">
        <w:t>Conclusion</w:t>
      </w:r>
      <w:bookmarkEnd w:id="50"/>
      <w:bookmarkEnd w:id="51"/>
    </w:p>
    <w:p w14:paraId="6A3CC6A6" w14:textId="77777777" w:rsidR="003B5FE8" w:rsidRPr="003B5FE8" w:rsidRDefault="003B5FE8" w:rsidP="003B5FE8"/>
    <w:p w14:paraId="0EB008CA" w14:textId="75A7D36D" w:rsidR="00CD67E6" w:rsidRDefault="00CD67E6" w:rsidP="00293A7D">
      <w:pPr>
        <w:jc w:val="both"/>
      </w:pPr>
      <w:r w:rsidRPr="005F7F94">
        <w:t>The 2007-2009 financial crisis</w:t>
      </w:r>
      <w:r w:rsidR="005D40AB">
        <w:t xml:space="preserve"> (Great Recession)</w:t>
      </w:r>
      <w:r w:rsidRPr="005F7F94">
        <w:t xml:space="preserve"> </w:t>
      </w:r>
      <w:r w:rsidR="005D40AB" w:rsidRPr="005F7F94">
        <w:t>started</w:t>
      </w:r>
      <w:r w:rsidRPr="005F7F94">
        <w:t xml:space="preserve"> in the United States and </w:t>
      </w:r>
      <w:r w:rsidR="005D40AB">
        <w:t xml:space="preserve">affected </w:t>
      </w:r>
      <w:r w:rsidRPr="005F7F94">
        <w:t xml:space="preserve">other developed countries </w:t>
      </w:r>
      <w:r w:rsidR="005D40AB" w:rsidRPr="005F7F94">
        <w:t>showed</w:t>
      </w:r>
      <w:r w:rsidRPr="005F7F94">
        <w:t xml:space="preserve"> </w:t>
      </w:r>
      <w:r w:rsidR="005D40AB" w:rsidRPr="005F7F94">
        <w:t>significant</w:t>
      </w:r>
      <w:r w:rsidRPr="005F7F94">
        <w:t xml:space="preserve"> weakness in the Basel II rules </w:t>
      </w:r>
      <w:r w:rsidR="005D40AB" w:rsidRPr="005F7F94">
        <w:t>meant for</w:t>
      </w:r>
      <w:r w:rsidRPr="005F7F94">
        <w:t xml:space="preserve"> </w:t>
      </w:r>
      <w:r w:rsidR="005D40AB" w:rsidRPr="005F7F94">
        <w:t>controlling</w:t>
      </w:r>
      <w:r w:rsidRPr="005F7F94">
        <w:t xml:space="preserve"> commercial banks. </w:t>
      </w:r>
      <w:r w:rsidR="005D40AB">
        <w:t>Moreover</w:t>
      </w:r>
      <w:r w:rsidRPr="005F7F94">
        <w:t xml:space="preserve">, </w:t>
      </w:r>
      <w:r w:rsidR="005D40AB" w:rsidRPr="005F7F94">
        <w:t>significant</w:t>
      </w:r>
      <w:r w:rsidRPr="005F7F94">
        <w:t xml:space="preserve"> bank</w:t>
      </w:r>
      <w:r w:rsidR="005D40AB">
        <w:t>s were affected and</w:t>
      </w:r>
      <w:r w:rsidRPr="005F7F94">
        <w:t xml:space="preserve"> </w:t>
      </w:r>
      <w:r w:rsidR="005D40AB" w:rsidRPr="005F7F94">
        <w:t>experienced</w:t>
      </w:r>
      <w:r w:rsidRPr="005F7F94">
        <w:t xml:space="preserve"> </w:t>
      </w:r>
      <w:r w:rsidR="005D40AB" w:rsidRPr="005F7F94">
        <w:t>falls</w:t>
      </w:r>
      <w:r w:rsidRPr="005F7F94">
        <w:t xml:space="preserve"> in their return on equity from losses on off-balance sheet activities </w:t>
      </w:r>
      <w:r w:rsidR="005D40AB" w:rsidRPr="005F7F94">
        <w:t>even though</w:t>
      </w:r>
      <w:r w:rsidR="005D40AB">
        <w:t xml:space="preserve"> they tried to</w:t>
      </w:r>
      <w:r w:rsidRPr="005F7F94">
        <w:t xml:space="preserve"> maint</w:t>
      </w:r>
      <w:r w:rsidR="005D40AB">
        <w:t>ain</w:t>
      </w:r>
      <w:r w:rsidRPr="005F7F94">
        <w:t xml:space="preserve"> the capital ratios </w:t>
      </w:r>
      <w:r w:rsidR="005D40AB" w:rsidRPr="005F7F94">
        <w:t>expected</w:t>
      </w:r>
      <w:r w:rsidRPr="005F7F94">
        <w:t xml:space="preserve"> under Basel II. </w:t>
      </w:r>
      <w:r w:rsidR="00924A29">
        <w:t>Therefore</w:t>
      </w:r>
      <w:r w:rsidRPr="005F7F94">
        <w:t>, the</w:t>
      </w:r>
      <w:r w:rsidR="00604EAE">
        <w:t xml:space="preserve"> Bank for International Settlement </w:t>
      </w:r>
      <w:r w:rsidR="00924A29" w:rsidRPr="005F7F94">
        <w:t>created</w:t>
      </w:r>
      <w:r w:rsidRPr="005F7F94">
        <w:t xml:space="preserve"> </w:t>
      </w:r>
      <w:r w:rsidR="00924A29">
        <w:t>new</w:t>
      </w:r>
      <w:r w:rsidRPr="005F7F94">
        <w:t xml:space="preserve"> regulations, </w:t>
      </w:r>
      <w:r w:rsidR="00924A29">
        <w:t xml:space="preserve">under the </w:t>
      </w:r>
      <w:r w:rsidRPr="005F7F94">
        <w:t xml:space="preserve">Basel III, </w:t>
      </w:r>
      <w:r w:rsidR="00924A29" w:rsidRPr="005F7F94">
        <w:t>meant</w:t>
      </w:r>
      <w:r w:rsidRPr="005F7F94">
        <w:t xml:space="preserve"> to </w:t>
      </w:r>
      <w:r w:rsidR="00924A29" w:rsidRPr="005F7F94">
        <w:t>ease</w:t>
      </w:r>
      <w:r w:rsidRPr="005F7F94">
        <w:t xml:space="preserve"> the </w:t>
      </w:r>
      <w:r w:rsidR="00924A29" w:rsidRPr="005F7F94">
        <w:t>weaknesses</w:t>
      </w:r>
      <w:r w:rsidRPr="005F7F94">
        <w:t xml:space="preserve"> of the </w:t>
      </w:r>
      <w:r w:rsidR="00924A29" w:rsidRPr="005F7F94">
        <w:t>former</w:t>
      </w:r>
      <w:r w:rsidRPr="005F7F94">
        <w:t xml:space="preserve"> </w:t>
      </w:r>
      <w:r w:rsidR="00924A29" w:rsidRPr="005F7F94">
        <w:t>laws</w:t>
      </w:r>
      <w:r w:rsidRPr="005F7F94">
        <w:t xml:space="preserve">. </w:t>
      </w:r>
    </w:p>
    <w:p w14:paraId="4266EC9E" w14:textId="3922228D" w:rsidR="009A1FF7" w:rsidRDefault="009A1FF7" w:rsidP="00293A7D">
      <w:pPr>
        <w:jc w:val="both"/>
      </w:pPr>
      <w:r w:rsidRPr="009A1FF7">
        <w:t xml:space="preserve">Capital and leverage ratios </w:t>
      </w:r>
      <w:r>
        <w:t>of</w:t>
      </w:r>
      <w:r w:rsidRPr="009A1FF7">
        <w:t xml:space="preserve"> banks are now </w:t>
      </w:r>
      <w:r w:rsidRPr="009A1FF7">
        <w:t>considerably</w:t>
      </w:r>
      <w:r w:rsidRPr="009A1FF7">
        <w:t xml:space="preserve"> </w:t>
      </w:r>
      <w:proofErr w:type="gramStart"/>
      <w:r w:rsidRPr="009A1FF7">
        <w:t>stronger</w:t>
      </w:r>
      <w:proofErr w:type="gramEnd"/>
      <w:r w:rsidRPr="009A1FF7">
        <w:t xml:space="preserve"> and the global banks </w:t>
      </w:r>
      <w:r>
        <w:t xml:space="preserve">considered </w:t>
      </w:r>
      <w:r w:rsidRPr="009A1FF7">
        <w:t xml:space="preserve">“too big to fail” </w:t>
      </w:r>
      <w:r>
        <w:t xml:space="preserve">are doing so much better </w:t>
      </w:r>
      <w:r w:rsidR="0074207F">
        <w:t>in regard to</w:t>
      </w:r>
      <w:r>
        <w:t xml:space="preserve"> the</w:t>
      </w:r>
      <w:r w:rsidRPr="009A1FF7">
        <w:t xml:space="preserve"> solvency and liquidity </w:t>
      </w:r>
      <w:r>
        <w:t xml:space="preserve">view. </w:t>
      </w:r>
    </w:p>
    <w:p w14:paraId="3289AB40" w14:textId="22863B3D" w:rsidR="00EA3ABB" w:rsidRDefault="00EA3ABB" w:rsidP="00293A7D">
      <w:pPr>
        <w:jc w:val="both"/>
      </w:pPr>
    </w:p>
    <w:p w14:paraId="62243806" w14:textId="7BA48574" w:rsidR="00EA3ABB" w:rsidRDefault="00EA3ABB" w:rsidP="00EA3ABB">
      <w:r>
        <w:br w:type="page"/>
      </w:r>
    </w:p>
    <w:bookmarkStart w:id="52" w:name="_Toc71568093" w:displacedByCustomXml="next"/>
    <w:sdt>
      <w:sdtPr>
        <w:rPr>
          <w:rFonts w:ascii="Times New Roman" w:eastAsiaTheme="minorHAnsi" w:hAnsi="Times New Roman" w:cstheme="minorBidi"/>
          <w:color w:val="auto"/>
          <w:sz w:val="24"/>
          <w:szCs w:val="22"/>
        </w:rPr>
        <w:id w:val="1766181743"/>
        <w:docPartObj>
          <w:docPartGallery w:val="Bibliographies"/>
          <w:docPartUnique/>
        </w:docPartObj>
      </w:sdtPr>
      <w:sdtEndPr/>
      <w:sdtContent>
        <w:p w14:paraId="2615355C" w14:textId="4423D448" w:rsidR="00C15C66" w:rsidRDefault="00C15C66">
          <w:pPr>
            <w:pStyle w:val="Heading1"/>
          </w:pPr>
          <w:r>
            <w:t>Bibliography</w:t>
          </w:r>
          <w:bookmarkEnd w:id="52"/>
        </w:p>
        <w:p w14:paraId="639797A2" w14:textId="77777777" w:rsidR="00C15C66" w:rsidRPr="00C15C66" w:rsidRDefault="00C15C66" w:rsidP="00C15C66"/>
        <w:sdt>
          <w:sdtPr>
            <w:id w:val="111145805"/>
            <w:bibliography/>
          </w:sdtPr>
          <w:sdtEndPr/>
          <w:sdtContent>
            <w:p w14:paraId="10FBA8F6" w14:textId="77777777" w:rsidR="00B81B8B" w:rsidRDefault="00C15C66" w:rsidP="00B81B8B">
              <w:pPr>
                <w:pStyle w:val="Bibliography"/>
                <w:numPr>
                  <w:ilvl w:val="0"/>
                  <w:numId w:val="6"/>
                </w:numPr>
                <w:rPr>
                  <w:noProof/>
                  <w:szCs w:val="24"/>
                </w:rPr>
              </w:pPr>
              <w:r>
                <w:fldChar w:fldCharType="begin"/>
              </w:r>
              <w:r>
                <w:instrText xml:space="preserve"> BIBLIOGRAPHY </w:instrText>
              </w:r>
              <w:r>
                <w:fldChar w:fldCharType="separate"/>
              </w:r>
              <w:r w:rsidR="00B81B8B">
                <w:rPr>
                  <w:noProof/>
                </w:rPr>
                <w:t xml:space="preserve">Abou-El-Sood, H., 2016. Are regulatory capital adequacy ratios good indicators of bank failure? Evidence from US banks. </w:t>
              </w:r>
              <w:r w:rsidR="00B81B8B">
                <w:rPr>
                  <w:i/>
                  <w:iCs/>
                  <w:noProof/>
                </w:rPr>
                <w:t xml:space="preserve">International Review of Financial Analysis, </w:t>
              </w:r>
              <w:r w:rsidR="00B81B8B">
                <w:rPr>
                  <w:noProof/>
                </w:rPr>
                <w:t>Volume 48, pp. 292-302.</w:t>
              </w:r>
            </w:p>
            <w:p w14:paraId="218D9B05" w14:textId="77777777" w:rsidR="00B81B8B" w:rsidRDefault="00B81B8B" w:rsidP="00B81B8B">
              <w:pPr>
                <w:pStyle w:val="Bibliography"/>
                <w:numPr>
                  <w:ilvl w:val="0"/>
                  <w:numId w:val="6"/>
                </w:numPr>
                <w:rPr>
                  <w:noProof/>
                </w:rPr>
              </w:pPr>
              <w:r>
                <w:rPr>
                  <w:noProof/>
                </w:rPr>
                <w:t xml:space="preserve">Acharya, V., 2013. Understanding Financial Crises: Theory and Evidence from the Crisis of 2007-2008. </w:t>
              </w:r>
              <w:r>
                <w:rPr>
                  <w:i/>
                  <w:iCs/>
                  <w:noProof/>
                </w:rPr>
                <w:t>NYU Stern School of Business Working Paper.</w:t>
              </w:r>
            </w:p>
            <w:p w14:paraId="5080C464" w14:textId="77777777" w:rsidR="00B81B8B" w:rsidRDefault="00B81B8B" w:rsidP="00B81B8B">
              <w:pPr>
                <w:pStyle w:val="Bibliography"/>
                <w:numPr>
                  <w:ilvl w:val="0"/>
                  <w:numId w:val="6"/>
                </w:numPr>
                <w:rPr>
                  <w:noProof/>
                </w:rPr>
              </w:pPr>
              <w:r>
                <w:rPr>
                  <w:noProof/>
                </w:rPr>
                <w:t xml:space="preserve">Admati, A. R., DeMarzo, P. M., Hellwig, M. F. &amp; Pfleiderer, P., 2010. Fallacies, Irrelevant Facts, and Myths in the Discussion of Capital Regulation: Why Bank Equity is not Expensive. </w:t>
              </w:r>
              <w:r>
                <w:rPr>
                  <w:i/>
                  <w:iCs/>
                  <w:noProof/>
                </w:rPr>
                <w:t>Working Paper Graduate School of Business.</w:t>
              </w:r>
            </w:p>
            <w:p w14:paraId="76FB054B" w14:textId="77777777" w:rsidR="00B81B8B" w:rsidRDefault="00B81B8B" w:rsidP="00B81B8B">
              <w:pPr>
                <w:pStyle w:val="Bibliography"/>
                <w:numPr>
                  <w:ilvl w:val="0"/>
                  <w:numId w:val="6"/>
                </w:numPr>
                <w:rPr>
                  <w:noProof/>
                </w:rPr>
              </w:pPr>
              <w:r>
                <w:rPr>
                  <w:noProof/>
                </w:rPr>
                <w:t xml:space="preserve">Allen, F. &amp; Gale, D., 2004. Financial intermediaries and markets. </w:t>
              </w:r>
              <w:r>
                <w:rPr>
                  <w:i/>
                  <w:iCs/>
                  <w:noProof/>
                </w:rPr>
                <w:t xml:space="preserve">Econometrica, </w:t>
              </w:r>
              <w:r>
                <w:rPr>
                  <w:noProof/>
                </w:rPr>
                <w:t>72(4), pp. 1023-1061.</w:t>
              </w:r>
            </w:p>
            <w:p w14:paraId="17070DB4" w14:textId="77777777" w:rsidR="00B81B8B" w:rsidRDefault="00B81B8B" w:rsidP="00B81B8B">
              <w:pPr>
                <w:pStyle w:val="Bibliography"/>
                <w:numPr>
                  <w:ilvl w:val="0"/>
                  <w:numId w:val="6"/>
                </w:numPr>
                <w:rPr>
                  <w:noProof/>
                </w:rPr>
              </w:pPr>
              <w:r>
                <w:rPr>
                  <w:noProof/>
                </w:rPr>
                <w:t xml:space="preserve">Anand, A., Puckett, A., Irvine, P. &amp; Venkataraman, K., 2013. Market crashes and institutional trading: Evidence from US equities during the financial crisis of 2007-2008. </w:t>
              </w:r>
              <w:r>
                <w:rPr>
                  <w:i/>
                  <w:iCs/>
                  <w:noProof/>
                </w:rPr>
                <w:t xml:space="preserve">Journal of Financial Economics, </w:t>
              </w:r>
              <w:r>
                <w:rPr>
                  <w:noProof/>
                </w:rPr>
                <w:t>Volume 108, pp. 773-797.</w:t>
              </w:r>
            </w:p>
            <w:p w14:paraId="04A564D2" w14:textId="77777777" w:rsidR="00B81B8B" w:rsidRDefault="00B81B8B" w:rsidP="00B81B8B">
              <w:pPr>
                <w:pStyle w:val="Bibliography"/>
                <w:numPr>
                  <w:ilvl w:val="0"/>
                  <w:numId w:val="6"/>
                </w:numPr>
                <w:rPr>
                  <w:noProof/>
                </w:rPr>
              </w:pPr>
              <w:r>
                <w:rPr>
                  <w:noProof/>
                </w:rPr>
                <w:t xml:space="preserve">Baily, M., Bekker, W. &amp; Holmes, S., 2015. Baily, M.N., Bekker, W. and Holmes, S.E., 2015. The big four banks: The evolution of the financial sector, Part I. </w:t>
              </w:r>
              <w:r>
                <w:rPr>
                  <w:i/>
                  <w:iCs/>
                  <w:noProof/>
                </w:rPr>
                <w:t xml:space="preserve">Economic Studies, Brookings, </w:t>
              </w:r>
              <w:r>
                <w:rPr>
                  <w:noProof/>
                </w:rPr>
                <w:t>pp. 1-12.</w:t>
              </w:r>
            </w:p>
            <w:p w14:paraId="58198921" w14:textId="77777777" w:rsidR="00B81B8B" w:rsidRDefault="00B81B8B" w:rsidP="00B81B8B">
              <w:pPr>
                <w:pStyle w:val="Bibliography"/>
                <w:numPr>
                  <w:ilvl w:val="0"/>
                  <w:numId w:val="6"/>
                </w:numPr>
                <w:rPr>
                  <w:noProof/>
                </w:rPr>
              </w:pPr>
              <w:r>
                <w:rPr>
                  <w:noProof/>
                </w:rPr>
                <w:t xml:space="preserve">Bajpai, N., 2011. </w:t>
              </w:r>
              <w:r>
                <w:rPr>
                  <w:i/>
                  <w:iCs/>
                  <w:noProof/>
                </w:rPr>
                <w:t xml:space="preserve">Global Financial Crisis, Its Impact on India and the Policy Response. </w:t>
              </w:r>
              <w:r>
                <w:rPr>
                  <w:noProof/>
                </w:rPr>
                <w:t xml:space="preserve">[Online] </w:t>
              </w:r>
              <w:r>
                <w:rPr>
                  <w:noProof/>
                </w:rPr>
                <w:br/>
                <w:t xml:space="preserve">Available at: </w:t>
              </w:r>
              <w:r>
                <w:rPr>
                  <w:noProof/>
                  <w:u w:val="single"/>
                </w:rPr>
                <w:t>https://academiccommons.columbia.edu/doi/10.7916/D85T3TQB</w:t>
              </w:r>
              <w:r>
                <w:rPr>
                  <w:noProof/>
                </w:rPr>
                <w:br/>
                <w:t>[Accessed 03 05 2021].</w:t>
              </w:r>
            </w:p>
            <w:p w14:paraId="66AEA3B5" w14:textId="77777777" w:rsidR="00B81B8B" w:rsidRDefault="00B81B8B" w:rsidP="00B81B8B">
              <w:pPr>
                <w:pStyle w:val="Bibliography"/>
                <w:numPr>
                  <w:ilvl w:val="0"/>
                  <w:numId w:val="6"/>
                </w:numPr>
                <w:rPr>
                  <w:noProof/>
                </w:rPr>
              </w:pPr>
              <w:r>
                <w:rPr>
                  <w:noProof/>
                </w:rPr>
                <w:t xml:space="preserve">Ball, M., 2010. Critical Commentary. Cities and Housing Markets: Changes and Continuities in the Aftermath of the 2007—08 World Financial Crisis. </w:t>
              </w:r>
              <w:r>
                <w:rPr>
                  <w:i/>
                  <w:iCs/>
                  <w:noProof/>
                </w:rPr>
                <w:t xml:space="preserve">Urban Studies, </w:t>
              </w:r>
              <w:r>
                <w:rPr>
                  <w:noProof/>
                </w:rPr>
                <w:t>47(5), pp. 931-944.</w:t>
              </w:r>
            </w:p>
            <w:p w14:paraId="54CB4619" w14:textId="77777777" w:rsidR="00B81B8B" w:rsidRDefault="00B81B8B" w:rsidP="00B81B8B">
              <w:pPr>
                <w:pStyle w:val="Bibliography"/>
                <w:numPr>
                  <w:ilvl w:val="0"/>
                  <w:numId w:val="6"/>
                </w:numPr>
                <w:rPr>
                  <w:noProof/>
                </w:rPr>
              </w:pPr>
              <w:r>
                <w:rPr>
                  <w:noProof/>
                </w:rPr>
                <w:t xml:space="preserve">Bank for International Settlements, 2013. </w:t>
              </w:r>
              <w:r>
                <w:rPr>
                  <w:i/>
                  <w:iCs/>
                  <w:noProof/>
                </w:rPr>
                <w:t xml:space="preserve">Basel III: The Liquidity Coverage Ratio and liquidity risk monitoring tools. </w:t>
              </w:r>
              <w:r>
                <w:rPr>
                  <w:noProof/>
                </w:rPr>
                <w:t xml:space="preserve">[Online] </w:t>
              </w:r>
              <w:r>
                <w:rPr>
                  <w:noProof/>
                </w:rPr>
                <w:br/>
                <w:t xml:space="preserve">Available at: </w:t>
              </w:r>
              <w:r>
                <w:rPr>
                  <w:noProof/>
                  <w:u w:val="single"/>
                </w:rPr>
                <w:t>https://www.bis.org/publ/bcbs238.pdf</w:t>
              </w:r>
              <w:r>
                <w:rPr>
                  <w:noProof/>
                </w:rPr>
                <w:br/>
                <w:t>[Accessed 05 05 2021].</w:t>
              </w:r>
            </w:p>
            <w:p w14:paraId="154D03C7" w14:textId="77777777" w:rsidR="00B81B8B" w:rsidRDefault="00B81B8B" w:rsidP="00B81B8B">
              <w:pPr>
                <w:pStyle w:val="Bibliography"/>
                <w:numPr>
                  <w:ilvl w:val="0"/>
                  <w:numId w:val="6"/>
                </w:numPr>
                <w:rPr>
                  <w:noProof/>
                </w:rPr>
              </w:pPr>
              <w:r>
                <w:rPr>
                  <w:noProof/>
                </w:rPr>
                <w:t xml:space="preserve">Barnichon, R., Matthes, C. &amp; Ziegenbein, A., 2018. The financial crisis at 10: Will we ever recover. </w:t>
              </w:r>
              <w:r>
                <w:rPr>
                  <w:i/>
                  <w:iCs/>
                  <w:noProof/>
                </w:rPr>
                <w:t>FRBSF Economic Letter.</w:t>
              </w:r>
            </w:p>
            <w:p w14:paraId="4696A2D6" w14:textId="77777777" w:rsidR="00B81B8B" w:rsidRDefault="00B81B8B" w:rsidP="00B81B8B">
              <w:pPr>
                <w:pStyle w:val="Bibliography"/>
                <w:numPr>
                  <w:ilvl w:val="0"/>
                  <w:numId w:val="6"/>
                </w:numPr>
                <w:rPr>
                  <w:noProof/>
                </w:rPr>
              </w:pPr>
              <w:r>
                <w:rPr>
                  <w:noProof/>
                </w:rPr>
                <w:t xml:space="preserve">Barth, J. R., Caprio, G. J. &amp; Levine, R., 2008. Bank Regulations are Changing: For Better or Worse?. </w:t>
              </w:r>
              <w:r>
                <w:rPr>
                  <w:i/>
                  <w:iCs/>
                  <w:noProof/>
                </w:rPr>
                <w:t xml:space="preserve">Comparative Economic Studies, </w:t>
              </w:r>
              <w:r>
                <w:rPr>
                  <w:noProof/>
                </w:rPr>
                <w:t>Volume 50, pp. 537-563.</w:t>
              </w:r>
            </w:p>
            <w:p w14:paraId="1BF1D8C4" w14:textId="77777777" w:rsidR="00B81B8B" w:rsidRDefault="00B81B8B" w:rsidP="00B81B8B">
              <w:pPr>
                <w:pStyle w:val="Bibliography"/>
                <w:numPr>
                  <w:ilvl w:val="0"/>
                  <w:numId w:val="6"/>
                </w:numPr>
                <w:rPr>
                  <w:noProof/>
                </w:rPr>
              </w:pPr>
              <w:r>
                <w:rPr>
                  <w:noProof/>
                </w:rPr>
                <w:t xml:space="preserve">Bordo, M. D. &amp; Landon-Lane, J. S., 2010. The global financial crisis of 2007-2008: Is it unprecedented?. </w:t>
              </w:r>
              <w:r>
                <w:rPr>
                  <w:i/>
                  <w:iCs/>
                  <w:noProof/>
                </w:rPr>
                <w:t>National Bureau of Economic Research.</w:t>
              </w:r>
            </w:p>
            <w:p w14:paraId="281595B2" w14:textId="77777777" w:rsidR="00B81B8B" w:rsidRDefault="00B81B8B" w:rsidP="00B81B8B">
              <w:pPr>
                <w:pStyle w:val="Bibliography"/>
                <w:numPr>
                  <w:ilvl w:val="0"/>
                  <w:numId w:val="6"/>
                </w:numPr>
                <w:rPr>
                  <w:noProof/>
                </w:rPr>
              </w:pPr>
              <w:r>
                <w:rPr>
                  <w:noProof/>
                </w:rPr>
                <w:t xml:space="preserve">Canova, N. P. &amp; Hickey, G. M., 2012. Understanding the impacts of the 2007–2008 Global Financial Crisis on sustainable forest management in the Brazilian Amazon: A case study. </w:t>
              </w:r>
              <w:r>
                <w:rPr>
                  <w:i/>
                  <w:iCs/>
                  <w:noProof/>
                </w:rPr>
                <w:t xml:space="preserve">Ecological Economics, </w:t>
              </w:r>
              <w:r>
                <w:rPr>
                  <w:noProof/>
                </w:rPr>
                <w:t>Volume 83, pp. 19-31.</w:t>
              </w:r>
            </w:p>
            <w:p w14:paraId="5F1C93DF" w14:textId="77777777" w:rsidR="00B81B8B" w:rsidRDefault="00B81B8B" w:rsidP="00B81B8B">
              <w:pPr>
                <w:pStyle w:val="Bibliography"/>
                <w:numPr>
                  <w:ilvl w:val="0"/>
                  <w:numId w:val="6"/>
                </w:numPr>
                <w:rPr>
                  <w:noProof/>
                </w:rPr>
              </w:pPr>
              <w:r>
                <w:rPr>
                  <w:noProof/>
                </w:rPr>
                <w:lastRenderedPageBreak/>
                <w:t xml:space="preserve">Chari, V. V., Christiano, L. &amp; Kehoe, P. J., 2008. Facts and Myths about the Financial Crisis of 2008. </w:t>
              </w:r>
              <w:r>
                <w:rPr>
                  <w:i/>
                  <w:iCs/>
                  <w:noProof/>
                </w:rPr>
                <w:t>Federal Reserve Bank of Minneapolis Working Paper.</w:t>
              </w:r>
            </w:p>
            <w:p w14:paraId="6661B36B" w14:textId="77777777" w:rsidR="00B81B8B" w:rsidRDefault="00B81B8B" w:rsidP="00B81B8B">
              <w:pPr>
                <w:pStyle w:val="Bibliography"/>
                <w:numPr>
                  <w:ilvl w:val="0"/>
                  <w:numId w:val="6"/>
                </w:numPr>
                <w:rPr>
                  <w:noProof/>
                </w:rPr>
              </w:pPr>
              <w:r>
                <w:rPr>
                  <w:noProof/>
                </w:rPr>
                <w:t>Cosimano, T. F. &amp; Hakura, D. S., 2011. Bank Behavior in Response to Basel III: A Cross-Country Analysis. Issue 119.</w:t>
              </w:r>
            </w:p>
            <w:p w14:paraId="4D2CEECE" w14:textId="77777777" w:rsidR="00B81B8B" w:rsidRDefault="00B81B8B" w:rsidP="00B81B8B">
              <w:pPr>
                <w:pStyle w:val="Bibliography"/>
                <w:numPr>
                  <w:ilvl w:val="0"/>
                  <w:numId w:val="6"/>
                </w:numPr>
                <w:rPr>
                  <w:noProof/>
                </w:rPr>
              </w:pPr>
              <w:r>
                <w:rPr>
                  <w:noProof/>
                </w:rPr>
                <w:t xml:space="preserve">Economics Help, n.d. </w:t>
              </w:r>
              <w:r>
                <w:rPr>
                  <w:i/>
                  <w:iCs/>
                  <w:noProof/>
                </w:rPr>
                <w:t xml:space="preserve">Purpose of banks. </w:t>
              </w:r>
              <w:r>
                <w:rPr>
                  <w:noProof/>
                </w:rPr>
                <w:t xml:space="preserve">[Online] </w:t>
              </w:r>
              <w:r>
                <w:rPr>
                  <w:noProof/>
                </w:rPr>
                <w:br/>
                <w:t xml:space="preserve">Available at: </w:t>
              </w:r>
              <w:r>
                <w:rPr>
                  <w:noProof/>
                  <w:u w:val="single"/>
                </w:rPr>
                <w:t>https://www.economicshelp.org/blog/glossary/banks/</w:t>
              </w:r>
              <w:r>
                <w:rPr>
                  <w:noProof/>
                </w:rPr>
                <w:br/>
                <w:t>[Accessed 01 05 2021].</w:t>
              </w:r>
            </w:p>
            <w:p w14:paraId="4FD233FF" w14:textId="77777777" w:rsidR="00B81B8B" w:rsidRDefault="00B81B8B" w:rsidP="00B81B8B">
              <w:pPr>
                <w:pStyle w:val="Bibliography"/>
                <w:numPr>
                  <w:ilvl w:val="0"/>
                  <w:numId w:val="6"/>
                </w:numPr>
                <w:rPr>
                  <w:noProof/>
                </w:rPr>
              </w:pPr>
              <w:r>
                <w:rPr>
                  <w:noProof/>
                </w:rPr>
                <w:t xml:space="preserve">Elmagrhi, M., Ntim, C. &amp; Wang, Y., 2016. Antecedents of voluntary corporate governance disclosure: A post-2007/08 financial crisis evidence from the influential UK Combined Code. </w:t>
              </w:r>
              <w:r>
                <w:rPr>
                  <w:i/>
                  <w:iCs/>
                  <w:noProof/>
                </w:rPr>
                <w:t>Corporate Governance.</w:t>
              </w:r>
            </w:p>
            <w:p w14:paraId="4E218B56" w14:textId="77777777" w:rsidR="00B81B8B" w:rsidRDefault="00B81B8B" w:rsidP="00B81B8B">
              <w:pPr>
                <w:pStyle w:val="Bibliography"/>
                <w:numPr>
                  <w:ilvl w:val="0"/>
                  <w:numId w:val="6"/>
                </w:numPr>
                <w:rPr>
                  <w:noProof/>
                </w:rPr>
              </w:pPr>
              <w:r>
                <w:rPr>
                  <w:noProof/>
                </w:rPr>
                <w:t xml:space="preserve">Erkens, D., Hung, M. &amp; Matos, P., 2012. Corporate governance in the 2007–2008 financial crisis: Evidence from financial institutions worldwide. </w:t>
              </w:r>
              <w:r>
                <w:rPr>
                  <w:i/>
                  <w:iCs/>
                  <w:noProof/>
                </w:rPr>
                <w:t xml:space="preserve">Journal of corporate finance, </w:t>
              </w:r>
              <w:r>
                <w:rPr>
                  <w:noProof/>
                </w:rPr>
                <w:t>18(2), pp. 389-411.</w:t>
              </w:r>
            </w:p>
            <w:p w14:paraId="77EB49F1" w14:textId="77777777" w:rsidR="00B81B8B" w:rsidRDefault="00B81B8B" w:rsidP="00B81B8B">
              <w:pPr>
                <w:pStyle w:val="Bibliography"/>
                <w:numPr>
                  <w:ilvl w:val="0"/>
                  <w:numId w:val="6"/>
                </w:numPr>
                <w:rPr>
                  <w:noProof/>
                </w:rPr>
              </w:pPr>
              <w:r>
                <w:rPr>
                  <w:noProof/>
                </w:rPr>
                <w:t xml:space="preserve">Fernández Sánchez, J. L., Odriozola Zamanillo, M. D. &amp; Luna, M., 2020. How corporate governance mechanisms of banks have changed after the 2007–2008 financial crisis. </w:t>
              </w:r>
              <w:r>
                <w:rPr>
                  <w:i/>
                  <w:iCs/>
                  <w:noProof/>
                </w:rPr>
                <w:t xml:space="preserve">Global Policy, </w:t>
              </w:r>
              <w:r>
                <w:rPr>
                  <w:noProof/>
                </w:rPr>
                <w:t>Volume 11, pp. 52-61.</w:t>
              </w:r>
            </w:p>
            <w:p w14:paraId="18808B61" w14:textId="77777777" w:rsidR="00B81B8B" w:rsidRDefault="00B81B8B" w:rsidP="00B81B8B">
              <w:pPr>
                <w:pStyle w:val="Bibliography"/>
                <w:numPr>
                  <w:ilvl w:val="0"/>
                  <w:numId w:val="6"/>
                </w:numPr>
                <w:rPr>
                  <w:noProof/>
                </w:rPr>
              </w:pPr>
              <w:r>
                <w:rPr>
                  <w:noProof/>
                </w:rPr>
                <w:t xml:space="preserve">Financial Conduct Authority, 2020. </w:t>
              </w:r>
              <w:r>
                <w:rPr>
                  <w:i/>
                  <w:iCs/>
                  <w:noProof/>
                </w:rPr>
                <w:t xml:space="preserve">About the FCA. </w:t>
              </w:r>
              <w:r>
                <w:rPr>
                  <w:noProof/>
                </w:rPr>
                <w:t xml:space="preserve">[Online] </w:t>
              </w:r>
              <w:r>
                <w:rPr>
                  <w:noProof/>
                </w:rPr>
                <w:br/>
                <w:t xml:space="preserve">Available at: </w:t>
              </w:r>
              <w:r>
                <w:rPr>
                  <w:noProof/>
                  <w:u w:val="single"/>
                </w:rPr>
                <w:t>https://www.fca.org.uk/about/the-fca</w:t>
              </w:r>
              <w:r>
                <w:rPr>
                  <w:noProof/>
                </w:rPr>
                <w:br/>
                <w:t>[Accessed 01 05 2021].</w:t>
              </w:r>
            </w:p>
            <w:p w14:paraId="166FC036" w14:textId="77777777" w:rsidR="00B81B8B" w:rsidRDefault="00B81B8B" w:rsidP="00B81B8B">
              <w:pPr>
                <w:pStyle w:val="Bibliography"/>
                <w:numPr>
                  <w:ilvl w:val="0"/>
                  <w:numId w:val="6"/>
                </w:numPr>
                <w:rPr>
                  <w:noProof/>
                </w:rPr>
              </w:pPr>
              <w:r>
                <w:rPr>
                  <w:noProof/>
                </w:rPr>
                <w:t xml:space="preserve">Fratzscher, M., 2012. Liquidity, risk and the global transmission of the 2007-08 financial crisis and the 2010-2011 sovereign debt crisis. </w:t>
              </w:r>
              <w:r>
                <w:rPr>
                  <w:i/>
                  <w:iCs/>
                  <w:noProof/>
                </w:rPr>
                <w:t>Centre for Economic Policy Research (CEPR).</w:t>
              </w:r>
            </w:p>
            <w:p w14:paraId="582DA564" w14:textId="77777777" w:rsidR="00B81B8B" w:rsidRDefault="00B81B8B" w:rsidP="00B81B8B">
              <w:pPr>
                <w:pStyle w:val="Bibliography"/>
                <w:numPr>
                  <w:ilvl w:val="0"/>
                  <w:numId w:val="6"/>
                </w:numPr>
                <w:rPr>
                  <w:noProof/>
                </w:rPr>
              </w:pPr>
              <w:r>
                <w:rPr>
                  <w:noProof/>
                </w:rPr>
                <w:t xml:space="preserve">Gabrieli, S., 2010. The functioning of the European interbank market during the 2007-2008 financial crisis. </w:t>
              </w:r>
              <w:r>
                <w:rPr>
                  <w:i/>
                  <w:iCs/>
                  <w:noProof/>
                </w:rPr>
                <w:t>CEIS Research Paper.</w:t>
              </w:r>
            </w:p>
            <w:p w14:paraId="6A2EDBFF" w14:textId="77777777" w:rsidR="00B81B8B" w:rsidRDefault="00B81B8B" w:rsidP="00B81B8B">
              <w:pPr>
                <w:pStyle w:val="Bibliography"/>
                <w:numPr>
                  <w:ilvl w:val="0"/>
                  <w:numId w:val="6"/>
                </w:numPr>
                <w:rPr>
                  <w:noProof/>
                </w:rPr>
              </w:pPr>
              <w:r>
                <w:rPr>
                  <w:noProof/>
                </w:rPr>
                <w:t xml:space="preserve">Hearit, L., 2018. JPMorgan Chase, Bank of America, Wells Fargo, and the financial crisis of 2008. </w:t>
              </w:r>
              <w:r>
                <w:rPr>
                  <w:i/>
                  <w:iCs/>
                  <w:noProof/>
                </w:rPr>
                <w:t xml:space="preserve">International Journal of Business Communication, </w:t>
              </w:r>
              <w:r>
                <w:rPr>
                  <w:noProof/>
                </w:rPr>
                <w:t>55(2), pp. 237-260.</w:t>
              </w:r>
            </w:p>
            <w:p w14:paraId="22BAAA58" w14:textId="77777777" w:rsidR="00B81B8B" w:rsidRDefault="00B81B8B" w:rsidP="00B81B8B">
              <w:pPr>
                <w:pStyle w:val="Bibliography"/>
                <w:numPr>
                  <w:ilvl w:val="0"/>
                  <w:numId w:val="6"/>
                </w:numPr>
                <w:rPr>
                  <w:noProof/>
                </w:rPr>
              </w:pPr>
              <w:r>
                <w:rPr>
                  <w:noProof/>
                </w:rPr>
                <w:t xml:space="preserve">Hope, W., 2011. Crisis of temporalities: Global capitalism after the 2007-2008 financial collapse. </w:t>
              </w:r>
              <w:r>
                <w:rPr>
                  <w:i/>
                  <w:iCs/>
                  <w:noProof/>
                </w:rPr>
                <w:t xml:space="preserve">Time &amp; Society, </w:t>
              </w:r>
              <w:r>
                <w:rPr>
                  <w:noProof/>
                </w:rPr>
                <w:t>Volume 39, pp. 94-118.</w:t>
              </w:r>
            </w:p>
            <w:p w14:paraId="6E25AA3D" w14:textId="77777777" w:rsidR="00B81B8B" w:rsidRDefault="00B81B8B" w:rsidP="00B81B8B">
              <w:pPr>
                <w:pStyle w:val="Bibliography"/>
                <w:numPr>
                  <w:ilvl w:val="0"/>
                  <w:numId w:val="6"/>
                </w:numPr>
                <w:rPr>
                  <w:noProof/>
                </w:rPr>
              </w:pPr>
              <w:r>
                <w:rPr>
                  <w:noProof/>
                </w:rPr>
                <w:t xml:space="preserve">Jefferies, C., 2017. </w:t>
              </w:r>
              <w:r>
                <w:rPr>
                  <w:i/>
                  <w:iCs/>
                  <w:noProof/>
                </w:rPr>
                <w:t xml:space="preserve">The Dialectics of Liquidity Crisis: An interpretation of explanations of the financial crisis of 2007-2008. </w:t>
              </w:r>
              <w:r>
                <w:rPr>
                  <w:noProof/>
                </w:rPr>
                <w:t>1 ed. London: s.n.</w:t>
              </w:r>
            </w:p>
            <w:p w14:paraId="3600CFCF" w14:textId="77777777" w:rsidR="00B81B8B" w:rsidRDefault="00B81B8B" w:rsidP="00B81B8B">
              <w:pPr>
                <w:pStyle w:val="Bibliography"/>
                <w:numPr>
                  <w:ilvl w:val="0"/>
                  <w:numId w:val="6"/>
                </w:numPr>
                <w:rPr>
                  <w:noProof/>
                </w:rPr>
              </w:pPr>
              <w:r>
                <w:rPr>
                  <w:noProof/>
                </w:rPr>
                <w:t xml:space="preserve">Kacperczyk, M. &amp; Schnabl, P., 2010. When safe provided risky: Commercial paper during the financial crisis of 2007-2009. </w:t>
              </w:r>
              <w:r>
                <w:rPr>
                  <w:i/>
                  <w:iCs/>
                  <w:noProof/>
                </w:rPr>
                <w:t xml:space="preserve">Journal of Economic Perspectives, </w:t>
              </w:r>
              <w:r>
                <w:rPr>
                  <w:noProof/>
                </w:rPr>
                <w:t>24(1), pp. 29-50.</w:t>
              </w:r>
            </w:p>
            <w:p w14:paraId="58311688" w14:textId="77777777" w:rsidR="00B81B8B" w:rsidRDefault="00B81B8B" w:rsidP="00B81B8B">
              <w:pPr>
                <w:pStyle w:val="Bibliography"/>
                <w:numPr>
                  <w:ilvl w:val="0"/>
                  <w:numId w:val="6"/>
                </w:numPr>
                <w:rPr>
                  <w:noProof/>
                </w:rPr>
              </w:pPr>
              <w:r>
                <w:rPr>
                  <w:noProof/>
                </w:rPr>
                <w:t xml:space="preserve">Lyngen, N., 2012. Basel III: Dynamics of State Implementation. </w:t>
              </w:r>
              <w:r>
                <w:rPr>
                  <w:i/>
                  <w:iCs/>
                  <w:noProof/>
                </w:rPr>
                <w:t xml:space="preserve">Harvard International Law Journal, </w:t>
              </w:r>
              <w:r>
                <w:rPr>
                  <w:noProof/>
                </w:rPr>
                <w:t>53(2).</w:t>
              </w:r>
            </w:p>
            <w:p w14:paraId="6E3A538B" w14:textId="77777777" w:rsidR="00B81B8B" w:rsidRDefault="00B81B8B" w:rsidP="00B81B8B">
              <w:pPr>
                <w:pStyle w:val="Bibliography"/>
                <w:numPr>
                  <w:ilvl w:val="0"/>
                  <w:numId w:val="6"/>
                </w:numPr>
                <w:rPr>
                  <w:noProof/>
                </w:rPr>
              </w:pPr>
              <w:r>
                <w:rPr>
                  <w:noProof/>
                </w:rPr>
                <w:t xml:space="preserve">McKinsey Global Institute, 2018. </w:t>
              </w:r>
              <w:r>
                <w:rPr>
                  <w:i/>
                  <w:iCs/>
                  <w:noProof/>
                </w:rPr>
                <w:t xml:space="preserve">A decade after the global financial crisis: What has (and hasn’t) changed?. </w:t>
              </w:r>
              <w:r>
                <w:rPr>
                  <w:noProof/>
                </w:rPr>
                <w:t xml:space="preserve">[Online] </w:t>
              </w:r>
              <w:r>
                <w:rPr>
                  <w:noProof/>
                </w:rPr>
                <w:br/>
                <w:t xml:space="preserve">Available at: </w:t>
              </w:r>
              <w:r>
                <w:rPr>
                  <w:noProof/>
                  <w:u w:val="single"/>
                </w:rPr>
                <w:t>https://www.mckinsey.com/industries/financial-services/our-insights/a-</w:t>
              </w:r>
              <w:r>
                <w:rPr>
                  <w:noProof/>
                  <w:u w:val="single"/>
                </w:rPr>
                <w:lastRenderedPageBreak/>
                <w:t>decade-after-the-global-financial-crisis-what-has-and-hasnt-changed</w:t>
              </w:r>
              <w:r>
                <w:rPr>
                  <w:noProof/>
                </w:rPr>
                <w:br/>
                <w:t>[Accessed 10 05 2021].</w:t>
              </w:r>
            </w:p>
            <w:p w14:paraId="4EA3EA2A" w14:textId="77777777" w:rsidR="00B81B8B" w:rsidRDefault="00B81B8B" w:rsidP="00B81B8B">
              <w:pPr>
                <w:pStyle w:val="Bibliography"/>
                <w:numPr>
                  <w:ilvl w:val="0"/>
                  <w:numId w:val="6"/>
                </w:numPr>
                <w:rPr>
                  <w:noProof/>
                </w:rPr>
              </w:pPr>
              <w:r>
                <w:rPr>
                  <w:noProof/>
                </w:rPr>
                <w:t xml:space="preserve">Morris, R. D., 1987. Signalling, Agency Theory And Accounting Policy Choice. </w:t>
              </w:r>
              <w:r>
                <w:rPr>
                  <w:i/>
                  <w:iCs/>
                  <w:noProof/>
                </w:rPr>
                <w:t xml:space="preserve">Accounting and Business Research, </w:t>
              </w:r>
              <w:r>
                <w:rPr>
                  <w:noProof/>
                </w:rPr>
                <w:t>18(69), p. 47.</w:t>
              </w:r>
            </w:p>
            <w:p w14:paraId="015B320A" w14:textId="77777777" w:rsidR="00B81B8B" w:rsidRDefault="00B81B8B" w:rsidP="00B81B8B">
              <w:pPr>
                <w:pStyle w:val="Bibliography"/>
                <w:numPr>
                  <w:ilvl w:val="0"/>
                  <w:numId w:val="6"/>
                </w:numPr>
                <w:rPr>
                  <w:noProof/>
                </w:rPr>
              </w:pPr>
              <w:r>
                <w:rPr>
                  <w:noProof/>
                </w:rPr>
                <w:t xml:space="preserve">Orhangazi, Ö., 2015. Financial deregulation and the 2007-2008 US financial crisis. </w:t>
              </w:r>
              <w:r>
                <w:rPr>
                  <w:i/>
                  <w:iCs/>
                  <w:noProof/>
                </w:rPr>
                <w:t xml:space="preserve">The Demise of Finance-dominated Capitalism: Explaining the Financial and Economic Crises, </w:t>
              </w:r>
              <w:r>
                <w:rPr>
                  <w:noProof/>
                </w:rPr>
                <w:t>p. 289.</w:t>
              </w:r>
            </w:p>
            <w:p w14:paraId="229B68E0" w14:textId="77777777" w:rsidR="00B81B8B" w:rsidRDefault="00B81B8B" w:rsidP="00B81B8B">
              <w:pPr>
                <w:pStyle w:val="Bibliography"/>
                <w:numPr>
                  <w:ilvl w:val="0"/>
                  <w:numId w:val="6"/>
                </w:numPr>
                <w:rPr>
                  <w:noProof/>
                </w:rPr>
              </w:pPr>
              <w:r>
                <w:rPr>
                  <w:noProof/>
                </w:rPr>
                <w:t xml:space="preserve">Plagborg‐Møller, E. &amp; Holm, M., 2017. Ipo or sbo: The increasing importance of operational performance for private equity exits following the global financial crisis of 2007–2008. </w:t>
              </w:r>
              <w:r>
                <w:rPr>
                  <w:i/>
                  <w:iCs/>
                  <w:noProof/>
                </w:rPr>
                <w:t xml:space="preserve">Journal of applied corporate finance, </w:t>
              </w:r>
              <w:r>
                <w:rPr>
                  <w:noProof/>
                </w:rPr>
                <w:t>29(1), pp. 115-121.</w:t>
              </w:r>
            </w:p>
            <w:p w14:paraId="3F13188B" w14:textId="77777777" w:rsidR="00B81B8B" w:rsidRDefault="00B81B8B" w:rsidP="00B81B8B">
              <w:pPr>
                <w:pStyle w:val="Bibliography"/>
                <w:numPr>
                  <w:ilvl w:val="0"/>
                  <w:numId w:val="6"/>
                </w:numPr>
                <w:rPr>
                  <w:noProof/>
                </w:rPr>
              </w:pPr>
              <w:r>
                <w:rPr>
                  <w:noProof/>
                </w:rPr>
                <w:t xml:space="preserve">Poole, W., 2010. Causes and Consequences of the Financial Crisis of 2007-2009. </w:t>
              </w:r>
              <w:r>
                <w:rPr>
                  <w:i/>
                  <w:iCs/>
                  <w:noProof/>
                </w:rPr>
                <w:t xml:space="preserve">Harvard Journal of Law and Public Policy, </w:t>
              </w:r>
              <w:r>
                <w:rPr>
                  <w:noProof/>
                </w:rPr>
                <w:t>Volume 33, p. 421.</w:t>
              </w:r>
            </w:p>
            <w:p w14:paraId="5AA15031" w14:textId="77777777" w:rsidR="00B81B8B" w:rsidRDefault="00B81B8B" w:rsidP="00B81B8B">
              <w:pPr>
                <w:pStyle w:val="Bibliography"/>
                <w:numPr>
                  <w:ilvl w:val="0"/>
                  <w:numId w:val="6"/>
                </w:numPr>
                <w:rPr>
                  <w:noProof/>
                </w:rPr>
              </w:pPr>
              <w:r>
                <w:rPr>
                  <w:noProof/>
                </w:rPr>
                <w:t xml:space="preserve">Quispe, Z. &amp; Rossini, R., 2010. </w:t>
              </w:r>
              <w:r>
                <w:rPr>
                  <w:i/>
                  <w:iCs/>
                  <w:noProof/>
                </w:rPr>
                <w:t xml:space="preserve">Monetary policy during the global financial. </w:t>
              </w:r>
              <w:r>
                <w:rPr>
                  <w:noProof/>
                </w:rPr>
                <w:t xml:space="preserve">[Online] </w:t>
              </w:r>
              <w:r>
                <w:rPr>
                  <w:noProof/>
                </w:rPr>
                <w:br/>
                <w:t xml:space="preserve">Available at: </w:t>
              </w:r>
              <w:r>
                <w:rPr>
                  <w:noProof/>
                  <w:u w:val="single"/>
                </w:rPr>
                <w:t>https://www.bis.org/publ/bppdf/bispap54r.pdf</w:t>
              </w:r>
              <w:r>
                <w:rPr>
                  <w:noProof/>
                </w:rPr>
                <w:br/>
                <w:t>[Accessed 05 05 2021].</w:t>
              </w:r>
            </w:p>
            <w:p w14:paraId="798E5917" w14:textId="77777777" w:rsidR="00B81B8B" w:rsidRDefault="00B81B8B" w:rsidP="00B81B8B">
              <w:pPr>
                <w:pStyle w:val="Bibliography"/>
                <w:numPr>
                  <w:ilvl w:val="0"/>
                  <w:numId w:val="6"/>
                </w:numPr>
                <w:rPr>
                  <w:noProof/>
                </w:rPr>
              </w:pPr>
              <w:r>
                <w:rPr>
                  <w:noProof/>
                </w:rPr>
                <w:t xml:space="preserve">Sanchez, D., 2014. Shadow Banking and the Crisis of 2007-2008. </w:t>
              </w:r>
              <w:r>
                <w:rPr>
                  <w:i/>
                  <w:iCs/>
                  <w:noProof/>
                </w:rPr>
                <w:t xml:space="preserve">Federal Reserve Bank of Philadelphia Business Review Q, </w:t>
              </w:r>
              <w:r>
                <w:rPr>
                  <w:noProof/>
                </w:rPr>
                <w:t>Volume 2, pp. 7-14.</w:t>
              </w:r>
            </w:p>
            <w:p w14:paraId="64FCB9C5" w14:textId="77777777" w:rsidR="00B81B8B" w:rsidRDefault="00B81B8B" w:rsidP="00B81B8B">
              <w:pPr>
                <w:pStyle w:val="Bibliography"/>
                <w:numPr>
                  <w:ilvl w:val="0"/>
                  <w:numId w:val="6"/>
                </w:numPr>
                <w:rPr>
                  <w:noProof/>
                </w:rPr>
              </w:pPr>
              <w:r>
                <w:rPr>
                  <w:noProof/>
                </w:rPr>
                <w:t xml:space="preserve">Vives, X., 2016. </w:t>
              </w:r>
              <w:r>
                <w:rPr>
                  <w:i/>
                  <w:iCs/>
                  <w:noProof/>
                </w:rPr>
                <w:t xml:space="preserve">Competition on stability in banking: The role of regulation and competition policy. </w:t>
              </w:r>
              <w:r>
                <w:rPr>
                  <w:noProof/>
                </w:rPr>
                <w:t>New Jersey: Princeton University Press.</w:t>
              </w:r>
            </w:p>
            <w:p w14:paraId="4E6FA27E" w14:textId="77777777" w:rsidR="00B81B8B" w:rsidRDefault="00B81B8B" w:rsidP="00B81B8B">
              <w:pPr>
                <w:pStyle w:val="Bibliography"/>
                <w:numPr>
                  <w:ilvl w:val="0"/>
                  <w:numId w:val="6"/>
                </w:numPr>
                <w:rPr>
                  <w:noProof/>
                </w:rPr>
              </w:pPr>
              <w:r>
                <w:rPr>
                  <w:noProof/>
                </w:rPr>
                <w:t xml:space="preserve">Wilmarth Jr, A., 2008. The dark side of universal banking: Financial conglomerates and the origins of the subprime financial crisis. </w:t>
              </w:r>
              <w:r>
                <w:rPr>
                  <w:i/>
                  <w:iCs/>
                  <w:noProof/>
                </w:rPr>
                <w:t xml:space="preserve">GW Law Faculty Publication, </w:t>
              </w:r>
              <w:r>
                <w:rPr>
                  <w:noProof/>
                </w:rPr>
                <w:t>Volume 41, p. 963.</w:t>
              </w:r>
            </w:p>
            <w:p w14:paraId="2BB99324" w14:textId="77777777" w:rsidR="00B81B8B" w:rsidRDefault="00B81B8B" w:rsidP="00B81B8B">
              <w:pPr>
                <w:pStyle w:val="Bibliography"/>
                <w:numPr>
                  <w:ilvl w:val="0"/>
                  <w:numId w:val="6"/>
                </w:numPr>
                <w:rPr>
                  <w:noProof/>
                </w:rPr>
              </w:pPr>
              <w:r>
                <w:rPr>
                  <w:noProof/>
                </w:rPr>
                <w:t xml:space="preserve">Zheng, C., Cheung, A. &amp; Cronje, T., 2019. The moderating role of capital on the relationship between bank liquidity creation and failure risk. </w:t>
              </w:r>
              <w:r>
                <w:rPr>
                  <w:i/>
                  <w:iCs/>
                  <w:noProof/>
                </w:rPr>
                <w:t xml:space="preserve">Journal of Banking and Finance, </w:t>
              </w:r>
              <w:r>
                <w:rPr>
                  <w:noProof/>
                </w:rPr>
                <w:t>Volume 108.</w:t>
              </w:r>
            </w:p>
            <w:p w14:paraId="16ACC791" w14:textId="4E6DF2F7" w:rsidR="00C15C66" w:rsidRDefault="00C15C66" w:rsidP="00B81B8B">
              <w:r>
                <w:rPr>
                  <w:b/>
                  <w:bCs/>
                  <w:noProof/>
                </w:rPr>
                <w:fldChar w:fldCharType="end"/>
              </w:r>
            </w:p>
          </w:sdtContent>
        </w:sdt>
      </w:sdtContent>
    </w:sdt>
    <w:p w14:paraId="03BBA60D" w14:textId="77777777" w:rsidR="00C15C66" w:rsidRPr="00CD67E6" w:rsidRDefault="00C15C66" w:rsidP="00293A7D">
      <w:pPr>
        <w:jc w:val="both"/>
        <w:rPr>
          <w:lang w:val="en-US"/>
        </w:rPr>
      </w:pPr>
    </w:p>
    <w:sectPr w:rsidR="00C15C66" w:rsidRPr="00CD67E6" w:rsidSect="00C15C66">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A9AAED" w14:textId="77777777" w:rsidR="00982BB8" w:rsidRDefault="00982BB8" w:rsidP="00C15C66">
      <w:pPr>
        <w:spacing w:after="0" w:line="240" w:lineRule="auto"/>
      </w:pPr>
      <w:r>
        <w:separator/>
      </w:r>
    </w:p>
  </w:endnote>
  <w:endnote w:type="continuationSeparator" w:id="0">
    <w:p w14:paraId="609E6E94" w14:textId="77777777" w:rsidR="00982BB8" w:rsidRDefault="00982BB8" w:rsidP="00C15C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6094461"/>
      <w:docPartObj>
        <w:docPartGallery w:val="Page Numbers (Bottom of Page)"/>
        <w:docPartUnique/>
      </w:docPartObj>
    </w:sdtPr>
    <w:sdtEndPr>
      <w:rPr>
        <w:noProof/>
      </w:rPr>
    </w:sdtEndPr>
    <w:sdtContent>
      <w:p w14:paraId="45C60B59" w14:textId="0B293317" w:rsidR="00C15C66" w:rsidRDefault="00C15C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52AAAF" w14:textId="77777777" w:rsidR="00C15C66" w:rsidRDefault="00C15C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512420" w14:textId="77777777" w:rsidR="00982BB8" w:rsidRDefault="00982BB8" w:rsidP="00C15C66">
      <w:pPr>
        <w:spacing w:after="0" w:line="240" w:lineRule="auto"/>
      </w:pPr>
      <w:r>
        <w:separator/>
      </w:r>
    </w:p>
  </w:footnote>
  <w:footnote w:type="continuationSeparator" w:id="0">
    <w:p w14:paraId="716B6F3F" w14:textId="77777777" w:rsidR="00982BB8" w:rsidRDefault="00982BB8" w:rsidP="00C15C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B0BF4"/>
    <w:multiLevelType w:val="hybridMultilevel"/>
    <w:tmpl w:val="827EC2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D013A2"/>
    <w:multiLevelType w:val="multilevel"/>
    <w:tmpl w:val="2CE2639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315F34FE"/>
    <w:multiLevelType w:val="multilevel"/>
    <w:tmpl w:val="A6C20F8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2980F11"/>
    <w:multiLevelType w:val="multilevel"/>
    <w:tmpl w:val="2CE2639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463A6CDA"/>
    <w:multiLevelType w:val="multilevel"/>
    <w:tmpl w:val="A6C20F8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1446378"/>
    <w:multiLevelType w:val="hybridMultilevel"/>
    <w:tmpl w:val="596AD3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24F"/>
    <w:rsid w:val="0000310C"/>
    <w:rsid w:val="000218A6"/>
    <w:rsid w:val="00036A8A"/>
    <w:rsid w:val="000924A4"/>
    <w:rsid w:val="000C3673"/>
    <w:rsid w:val="00105835"/>
    <w:rsid w:val="001311EB"/>
    <w:rsid w:val="0014048B"/>
    <w:rsid w:val="00164B6F"/>
    <w:rsid w:val="0017347D"/>
    <w:rsid w:val="00175CF6"/>
    <w:rsid w:val="00217E5C"/>
    <w:rsid w:val="002247A2"/>
    <w:rsid w:val="0024539B"/>
    <w:rsid w:val="00260329"/>
    <w:rsid w:val="00264B90"/>
    <w:rsid w:val="00293A7D"/>
    <w:rsid w:val="0029424F"/>
    <w:rsid w:val="002A111E"/>
    <w:rsid w:val="002E1058"/>
    <w:rsid w:val="00317459"/>
    <w:rsid w:val="00332E02"/>
    <w:rsid w:val="00340AAA"/>
    <w:rsid w:val="0034225A"/>
    <w:rsid w:val="003514BE"/>
    <w:rsid w:val="003578E3"/>
    <w:rsid w:val="003B4E0B"/>
    <w:rsid w:val="003B50C6"/>
    <w:rsid w:val="003B5FE8"/>
    <w:rsid w:val="003C3E9C"/>
    <w:rsid w:val="00475E66"/>
    <w:rsid w:val="004B2C04"/>
    <w:rsid w:val="004E765A"/>
    <w:rsid w:val="00516A18"/>
    <w:rsid w:val="005470D1"/>
    <w:rsid w:val="005A0930"/>
    <w:rsid w:val="005D40AB"/>
    <w:rsid w:val="00604EAE"/>
    <w:rsid w:val="00615CEB"/>
    <w:rsid w:val="006B359E"/>
    <w:rsid w:val="006C0D05"/>
    <w:rsid w:val="006C156C"/>
    <w:rsid w:val="006E5CA2"/>
    <w:rsid w:val="00702442"/>
    <w:rsid w:val="00737465"/>
    <w:rsid w:val="0074207F"/>
    <w:rsid w:val="00745CE0"/>
    <w:rsid w:val="007806DB"/>
    <w:rsid w:val="00781851"/>
    <w:rsid w:val="007846EA"/>
    <w:rsid w:val="00797383"/>
    <w:rsid w:val="00855648"/>
    <w:rsid w:val="00856CB0"/>
    <w:rsid w:val="00857B1A"/>
    <w:rsid w:val="008B5A6B"/>
    <w:rsid w:val="008C4075"/>
    <w:rsid w:val="008D7F1C"/>
    <w:rsid w:val="008E61A6"/>
    <w:rsid w:val="009169B8"/>
    <w:rsid w:val="00924A29"/>
    <w:rsid w:val="00952A26"/>
    <w:rsid w:val="0096108F"/>
    <w:rsid w:val="00982BB8"/>
    <w:rsid w:val="00985537"/>
    <w:rsid w:val="009A1FF7"/>
    <w:rsid w:val="009A4E76"/>
    <w:rsid w:val="009B2D79"/>
    <w:rsid w:val="009B3478"/>
    <w:rsid w:val="009C0832"/>
    <w:rsid w:val="009D62A6"/>
    <w:rsid w:val="009E61ED"/>
    <w:rsid w:val="00A058B1"/>
    <w:rsid w:val="00A40A8B"/>
    <w:rsid w:val="00AB6060"/>
    <w:rsid w:val="00AE41B1"/>
    <w:rsid w:val="00AF6B58"/>
    <w:rsid w:val="00B17832"/>
    <w:rsid w:val="00B1793F"/>
    <w:rsid w:val="00B40733"/>
    <w:rsid w:val="00B81B8B"/>
    <w:rsid w:val="00B97971"/>
    <w:rsid w:val="00C11578"/>
    <w:rsid w:val="00C1265C"/>
    <w:rsid w:val="00C15C66"/>
    <w:rsid w:val="00C2715C"/>
    <w:rsid w:val="00C343E1"/>
    <w:rsid w:val="00C4682C"/>
    <w:rsid w:val="00C46F9D"/>
    <w:rsid w:val="00CB7AA0"/>
    <w:rsid w:val="00CC1463"/>
    <w:rsid w:val="00CD67E6"/>
    <w:rsid w:val="00CE1518"/>
    <w:rsid w:val="00D34743"/>
    <w:rsid w:val="00D4714C"/>
    <w:rsid w:val="00D802FF"/>
    <w:rsid w:val="00D813FC"/>
    <w:rsid w:val="00DE6C9C"/>
    <w:rsid w:val="00DF2D98"/>
    <w:rsid w:val="00DF2F62"/>
    <w:rsid w:val="00E355FE"/>
    <w:rsid w:val="00E92B78"/>
    <w:rsid w:val="00EA3ABB"/>
    <w:rsid w:val="00EB6451"/>
    <w:rsid w:val="00ED15A6"/>
    <w:rsid w:val="00EE3BEE"/>
    <w:rsid w:val="00EF3523"/>
    <w:rsid w:val="00F1222D"/>
    <w:rsid w:val="00F40F95"/>
    <w:rsid w:val="00F80CEE"/>
    <w:rsid w:val="00F87FEC"/>
    <w:rsid w:val="00FB6D3F"/>
    <w:rsid w:val="00FD122E"/>
    <w:rsid w:val="00FE6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EF4AF"/>
  <w15:chartTrackingRefBased/>
  <w15:docId w15:val="{916ED63B-8535-4E19-AFC0-73514C2B5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7E6"/>
    <w:rPr>
      <w:rFonts w:ascii="Times New Roman" w:hAnsi="Times New Roman"/>
      <w:sz w:val="24"/>
    </w:rPr>
  </w:style>
  <w:style w:type="paragraph" w:styleId="Heading1">
    <w:name w:val="heading 1"/>
    <w:basedOn w:val="Normal"/>
    <w:next w:val="Normal"/>
    <w:link w:val="Heading1Char"/>
    <w:uiPriority w:val="9"/>
    <w:qFormat/>
    <w:rsid w:val="00CD67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222D"/>
    <w:pPr>
      <w:keepNext/>
      <w:keepLines/>
      <w:spacing w:before="40" w:after="0" w:line="256" w:lineRule="auto"/>
      <w:jc w:val="both"/>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CD67E6"/>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1222D"/>
    <w:rPr>
      <w:rFonts w:ascii="Times New Roman" w:eastAsiaTheme="majorEastAsia" w:hAnsi="Times New Roman" w:cstheme="majorBidi"/>
      <w:color w:val="2F5496" w:themeColor="accent1" w:themeShade="BF"/>
      <w:sz w:val="28"/>
      <w:szCs w:val="26"/>
    </w:rPr>
  </w:style>
  <w:style w:type="character" w:customStyle="1" w:styleId="Heading1Char">
    <w:name w:val="Heading 1 Char"/>
    <w:basedOn w:val="DefaultParagraphFont"/>
    <w:link w:val="Heading1"/>
    <w:uiPriority w:val="9"/>
    <w:rsid w:val="00CD67E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D67E6"/>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CD67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D67E6"/>
    <w:rPr>
      <w:color w:val="0563C1" w:themeColor="hyperlink"/>
      <w:u w:val="single"/>
    </w:rPr>
  </w:style>
  <w:style w:type="paragraph" w:styleId="Caption">
    <w:name w:val="caption"/>
    <w:basedOn w:val="Normal"/>
    <w:next w:val="Normal"/>
    <w:uiPriority w:val="35"/>
    <w:unhideWhenUsed/>
    <w:qFormat/>
    <w:rsid w:val="00CD67E6"/>
    <w:pPr>
      <w:spacing w:after="200" w:line="240" w:lineRule="auto"/>
    </w:pPr>
    <w:rPr>
      <w:i/>
      <w:iCs/>
      <w:color w:val="44546A" w:themeColor="text2"/>
      <w:sz w:val="18"/>
      <w:szCs w:val="18"/>
    </w:rPr>
  </w:style>
  <w:style w:type="paragraph" w:styleId="ListParagraph">
    <w:name w:val="List Paragraph"/>
    <w:basedOn w:val="Normal"/>
    <w:uiPriority w:val="34"/>
    <w:qFormat/>
    <w:rsid w:val="00985537"/>
    <w:pPr>
      <w:ind w:left="720"/>
      <w:contextualSpacing/>
    </w:pPr>
  </w:style>
  <w:style w:type="character" w:styleId="FollowedHyperlink">
    <w:name w:val="FollowedHyperlink"/>
    <w:basedOn w:val="DefaultParagraphFont"/>
    <w:uiPriority w:val="99"/>
    <w:semiHidden/>
    <w:unhideWhenUsed/>
    <w:rsid w:val="00604EAE"/>
    <w:rPr>
      <w:color w:val="954F72" w:themeColor="followedHyperlink"/>
      <w:u w:val="single"/>
    </w:rPr>
  </w:style>
  <w:style w:type="paragraph" w:styleId="Bibliography">
    <w:name w:val="Bibliography"/>
    <w:basedOn w:val="Normal"/>
    <w:next w:val="Normal"/>
    <w:uiPriority w:val="37"/>
    <w:unhideWhenUsed/>
    <w:rsid w:val="00C15C66"/>
  </w:style>
  <w:style w:type="paragraph" w:styleId="Header">
    <w:name w:val="header"/>
    <w:basedOn w:val="Normal"/>
    <w:link w:val="HeaderChar"/>
    <w:uiPriority w:val="99"/>
    <w:unhideWhenUsed/>
    <w:rsid w:val="00C15C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C66"/>
    <w:rPr>
      <w:rFonts w:ascii="Times New Roman" w:hAnsi="Times New Roman"/>
      <w:sz w:val="24"/>
    </w:rPr>
  </w:style>
  <w:style w:type="paragraph" w:styleId="Footer">
    <w:name w:val="footer"/>
    <w:basedOn w:val="Normal"/>
    <w:link w:val="FooterChar"/>
    <w:uiPriority w:val="99"/>
    <w:unhideWhenUsed/>
    <w:rsid w:val="00C15C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C66"/>
    <w:rPr>
      <w:rFonts w:ascii="Times New Roman" w:hAnsi="Times New Roman"/>
      <w:sz w:val="24"/>
    </w:rPr>
  </w:style>
  <w:style w:type="paragraph" w:styleId="TOCHeading">
    <w:name w:val="TOC Heading"/>
    <w:basedOn w:val="Heading1"/>
    <w:next w:val="Normal"/>
    <w:uiPriority w:val="39"/>
    <w:unhideWhenUsed/>
    <w:qFormat/>
    <w:rsid w:val="00C15C66"/>
    <w:pPr>
      <w:outlineLvl w:val="9"/>
    </w:pPr>
    <w:rPr>
      <w:lang w:val="en-US"/>
    </w:rPr>
  </w:style>
  <w:style w:type="paragraph" w:styleId="TOC1">
    <w:name w:val="toc 1"/>
    <w:basedOn w:val="Normal"/>
    <w:next w:val="Normal"/>
    <w:autoRedefine/>
    <w:uiPriority w:val="39"/>
    <w:unhideWhenUsed/>
    <w:rsid w:val="00C15C66"/>
    <w:pPr>
      <w:spacing w:after="100"/>
    </w:pPr>
  </w:style>
  <w:style w:type="paragraph" w:styleId="TOC2">
    <w:name w:val="toc 2"/>
    <w:basedOn w:val="Normal"/>
    <w:next w:val="Normal"/>
    <w:autoRedefine/>
    <w:uiPriority w:val="39"/>
    <w:unhideWhenUsed/>
    <w:rsid w:val="00C15C6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2655">
      <w:bodyDiv w:val="1"/>
      <w:marLeft w:val="0"/>
      <w:marRight w:val="0"/>
      <w:marTop w:val="0"/>
      <w:marBottom w:val="0"/>
      <w:divBdr>
        <w:top w:val="none" w:sz="0" w:space="0" w:color="auto"/>
        <w:left w:val="none" w:sz="0" w:space="0" w:color="auto"/>
        <w:bottom w:val="none" w:sz="0" w:space="0" w:color="auto"/>
        <w:right w:val="none" w:sz="0" w:space="0" w:color="auto"/>
      </w:divBdr>
    </w:div>
    <w:div w:id="12848618">
      <w:bodyDiv w:val="1"/>
      <w:marLeft w:val="0"/>
      <w:marRight w:val="0"/>
      <w:marTop w:val="0"/>
      <w:marBottom w:val="0"/>
      <w:divBdr>
        <w:top w:val="none" w:sz="0" w:space="0" w:color="auto"/>
        <w:left w:val="none" w:sz="0" w:space="0" w:color="auto"/>
        <w:bottom w:val="none" w:sz="0" w:space="0" w:color="auto"/>
        <w:right w:val="none" w:sz="0" w:space="0" w:color="auto"/>
      </w:divBdr>
    </w:div>
    <w:div w:id="20396768">
      <w:bodyDiv w:val="1"/>
      <w:marLeft w:val="0"/>
      <w:marRight w:val="0"/>
      <w:marTop w:val="0"/>
      <w:marBottom w:val="0"/>
      <w:divBdr>
        <w:top w:val="none" w:sz="0" w:space="0" w:color="auto"/>
        <w:left w:val="none" w:sz="0" w:space="0" w:color="auto"/>
        <w:bottom w:val="none" w:sz="0" w:space="0" w:color="auto"/>
        <w:right w:val="none" w:sz="0" w:space="0" w:color="auto"/>
      </w:divBdr>
    </w:div>
    <w:div w:id="25066528">
      <w:bodyDiv w:val="1"/>
      <w:marLeft w:val="0"/>
      <w:marRight w:val="0"/>
      <w:marTop w:val="0"/>
      <w:marBottom w:val="0"/>
      <w:divBdr>
        <w:top w:val="none" w:sz="0" w:space="0" w:color="auto"/>
        <w:left w:val="none" w:sz="0" w:space="0" w:color="auto"/>
        <w:bottom w:val="none" w:sz="0" w:space="0" w:color="auto"/>
        <w:right w:val="none" w:sz="0" w:space="0" w:color="auto"/>
      </w:divBdr>
    </w:div>
    <w:div w:id="25719709">
      <w:bodyDiv w:val="1"/>
      <w:marLeft w:val="0"/>
      <w:marRight w:val="0"/>
      <w:marTop w:val="0"/>
      <w:marBottom w:val="0"/>
      <w:divBdr>
        <w:top w:val="none" w:sz="0" w:space="0" w:color="auto"/>
        <w:left w:val="none" w:sz="0" w:space="0" w:color="auto"/>
        <w:bottom w:val="none" w:sz="0" w:space="0" w:color="auto"/>
        <w:right w:val="none" w:sz="0" w:space="0" w:color="auto"/>
      </w:divBdr>
    </w:div>
    <w:div w:id="27799623">
      <w:bodyDiv w:val="1"/>
      <w:marLeft w:val="0"/>
      <w:marRight w:val="0"/>
      <w:marTop w:val="0"/>
      <w:marBottom w:val="0"/>
      <w:divBdr>
        <w:top w:val="none" w:sz="0" w:space="0" w:color="auto"/>
        <w:left w:val="none" w:sz="0" w:space="0" w:color="auto"/>
        <w:bottom w:val="none" w:sz="0" w:space="0" w:color="auto"/>
        <w:right w:val="none" w:sz="0" w:space="0" w:color="auto"/>
      </w:divBdr>
    </w:div>
    <w:div w:id="31540352">
      <w:bodyDiv w:val="1"/>
      <w:marLeft w:val="0"/>
      <w:marRight w:val="0"/>
      <w:marTop w:val="0"/>
      <w:marBottom w:val="0"/>
      <w:divBdr>
        <w:top w:val="none" w:sz="0" w:space="0" w:color="auto"/>
        <w:left w:val="none" w:sz="0" w:space="0" w:color="auto"/>
        <w:bottom w:val="none" w:sz="0" w:space="0" w:color="auto"/>
        <w:right w:val="none" w:sz="0" w:space="0" w:color="auto"/>
      </w:divBdr>
    </w:div>
    <w:div w:id="32702932">
      <w:bodyDiv w:val="1"/>
      <w:marLeft w:val="0"/>
      <w:marRight w:val="0"/>
      <w:marTop w:val="0"/>
      <w:marBottom w:val="0"/>
      <w:divBdr>
        <w:top w:val="none" w:sz="0" w:space="0" w:color="auto"/>
        <w:left w:val="none" w:sz="0" w:space="0" w:color="auto"/>
        <w:bottom w:val="none" w:sz="0" w:space="0" w:color="auto"/>
        <w:right w:val="none" w:sz="0" w:space="0" w:color="auto"/>
      </w:divBdr>
    </w:div>
    <w:div w:id="34815438">
      <w:bodyDiv w:val="1"/>
      <w:marLeft w:val="0"/>
      <w:marRight w:val="0"/>
      <w:marTop w:val="0"/>
      <w:marBottom w:val="0"/>
      <w:divBdr>
        <w:top w:val="none" w:sz="0" w:space="0" w:color="auto"/>
        <w:left w:val="none" w:sz="0" w:space="0" w:color="auto"/>
        <w:bottom w:val="none" w:sz="0" w:space="0" w:color="auto"/>
        <w:right w:val="none" w:sz="0" w:space="0" w:color="auto"/>
      </w:divBdr>
    </w:div>
    <w:div w:id="37554870">
      <w:bodyDiv w:val="1"/>
      <w:marLeft w:val="0"/>
      <w:marRight w:val="0"/>
      <w:marTop w:val="0"/>
      <w:marBottom w:val="0"/>
      <w:divBdr>
        <w:top w:val="none" w:sz="0" w:space="0" w:color="auto"/>
        <w:left w:val="none" w:sz="0" w:space="0" w:color="auto"/>
        <w:bottom w:val="none" w:sz="0" w:space="0" w:color="auto"/>
        <w:right w:val="none" w:sz="0" w:space="0" w:color="auto"/>
      </w:divBdr>
    </w:div>
    <w:div w:id="37630868">
      <w:bodyDiv w:val="1"/>
      <w:marLeft w:val="0"/>
      <w:marRight w:val="0"/>
      <w:marTop w:val="0"/>
      <w:marBottom w:val="0"/>
      <w:divBdr>
        <w:top w:val="none" w:sz="0" w:space="0" w:color="auto"/>
        <w:left w:val="none" w:sz="0" w:space="0" w:color="auto"/>
        <w:bottom w:val="none" w:sz="0" w:space="0" w:color="auto"/>
        <w:right w:val="none" w:sz="0" w:space="0" w:color="auto"/>
      </w:divBdr>
    </w:div>
    <w:div w:id="37945386">
      <w:bodyDiv w:val="1"/>
      <w:marLeft w:val="0"/>
      <w:marRight w:val="0"/>
      <w:marTop w:val="0"/>
      <w:marBottom w:val="0"/>
      <w:divBdr>
        <w:top w:val="none" w:sz="0" w:space="0" w:color="auto"/>
        <w:left w:val="none" w:sz="0" w:space="0" w:color="auto"/>
        <w:bottom w:val="none" w:sz="0" w:space="0" w:color="auto"/>
        <w:right w:val="none" w:sz="0" w:space="0" w:color="auto"/>
      </w:divBdr>
    </w:div>
    <w:div w:id="38097288">
      <w:bodyDiv w:val="1"/>
      <w:marLeft w:val="0"/>
      <w:marRight w:val="0"/>
      <w:marTop w:val="0"/>
      <w:marBottom w:val="0"/>
      <w:divBdr>
        <w:top w:val="none" w:sz="0" w:space="0" w:color="auto"/>
        <w:left w:val="none" w:sz="0" w:space="0" w:color="auto"/>
        <w:bottom w:val="none" w:sz="0" w:space="0" w:color="auto"/>
        <w:right w:val="none" w:sz="0" w:space="0" w:color="auto"/>
      </w:divBdr>
    </w:div>
    <w:div w:id="56706026">
      <w:bodyDiv w:val="1"/>
      <w:marLeft w:val="0"/>
      <w:marRight w:val="0"/>
      <w:marTop w:val="0"/>
      <w:marBottom w:val="0"/>
      <w:divBdr>
        <w:top w:val="none" w:sz="0" w:space="0" w:color="auto"/>
        <w:left w:val="none" w:sz="0" w:space="0" w:color="auto"/>
        <w:bottom w:val="none" w:sz="0" w:space="0" w:color="auto"/>
        <w:right w:val="none" w:sz="0" w:space="0" w:color="auto"/>
      </w:divBdr>
    </w:div>
    <w:div w:id="60831175">
      <w:bodyDiv w:val="1"/>
      <w:marLeft w:val="0"/>
      <w:marRight w:val="0"/>
      <w:marTop w:val="0"/>
      <w:marBottom w:val="0"/>
      <w:divBdr>
        <w:top w:val="none" w:sz="0" w:space="0" w:color="auto"/>
        <w:left w:val="none" w:sz="0" w:space="0" w:color="auto"/>
        <w:bottom w:val="none" w:sz="0" w:space="0" w:color="auto"/>
        <w:right w:val="none" w:sz="0" w:space="0" w:color="auto"/>
      </w:divBdr>
    </w:div>
    <w:div w:id="66654754">
      <w:bodyDiv w:val="1"/>
      <w:marLeft w:val="0"/>
      <w:marRight w:val="0"/>
      <w:marTop w:val="0"/>
      <w:marBottom w:val="0"/>
      <w:divBdr>
        <w:top w:val="none" w:sz="0" w:space="0" w:color="auto"/>
        <w:left w:val="none" w:sz="0" w:space="0" w:color="auto"/>
        <w:bottom w:val="none" w:sz="0" w:space="0" w:color="auto"/>
        <w:right w:val="none" w:sz="0" w:space="0" w:color="auto"/>
      </w:divBdr>
    </w:div>
    <w:div w:id="68967670">
      <w:bodyDiv w:val="1"/>
      <w:marLeft w:val="0"/>
      <w:marRight w:val="0"/>
      <w:marTop w:val="0"/>
      <w:marBottom w:val="0"/>
      <w:divBdr>
        <w:top w:val="none" w:sz="0" w:space="0" w:color="auto"/>
        <w:left w:val="none" w:sz="0" w:space="0" w:color="auto"/>
        <w:bottom w:val="none" w:sz="0" w:space="0" w:color="auto"/>
        <w:right w:val="none" w:sz="0" w:space="0" w:color="auto"/>
      </w:divBdr>
    </w:div>
    <w:div w:id="69468521">
      <w:bodyDiv w:val="1"/>
      <w:marLeft w:val="0"/>
      <w:marRight w:val="0"/>
      <w:marTop w:val="0"/>
      <w:marBottom w:val="0"/>
      <w:divBdr>
        <w:top w:val="none" w:sz="0" w:space="0" w:color="auto"/>
        <w:left w:val="none" w:sz="0" w:space="0" w:color="auto"/>
        <w:bottom w:val="none" w:sz="0" w:space="0" w:color="auto"/>
        <w:right w:val="none" w:sz="0" w:space="0" w:color="auto"/>
      </w:divBdr>
    </w:div>
    <w:div w:id="71900068">
      <w:bodyDiv w:val="1"/>
      <w:marLeft w:val="0"/>
      <w:marRight w:val="0"/>
      <w:marTop w:val="0"/>
      <w:marBottom w:val="0"/>
      <w:divBdr>
        <w:top w:val="none" w:sz="0" w:space="0" w:color="auto"/>
        <w:left w:val="none" w:sz="0" w:space="0" w:color="auto"/>
        <w:bottom w:val="none" w:sz="0" w:space="0" w:color="auto"/>
        <w:right w:val="none" w:sz="0" w:space="0" w:color="auto"/>
      </w:divBdr>
    </w:div>
    <w:div w:id="88628328">
      <w:bodyDiv w:val="1"/>
      <w:marLeft w:val="0"/>
      <w:marRight w:val="0"/>
      <w:marTop w:val="0"/>
      <w:marBottom w:val="0"/>
      <w:divBdr>
        <w:top w:val="none" w:sz="0" w:space="0" w:color="auto"/>
        <w:left w:val="none" w:sz="0" w:space="0" w:color="auto"/>
        <w:bottom w:val="none" w:sz="0" w:space="0" w:color="auto"/>
        <w:right w:val="none" w:sz="0" w:space="0" w:color="auto"/>
      </w:divBdr>
    </w:div>
    <w:div w:id="89084110">
      <w:bodyDiv w:val="1"/>
      <w:marLeft w:val="0"/>
      <w:marRight w:val="0"/>
      <w:marTop w:val="0"/>
      <w:marBottom w:val="0"/>
      <w:divBdr>
        <w:top w:val="none" w:sz="0" w:space="0" w:color="auto"/>
        <w:left w:val="none" w:sz="0" w:space="0" w:color="auto"/>
        <w:bottom w:val="none" w:sz="0" w:space="0" w:color="auto"/>
        <w:right w:val="none" w:sz="0" w:space="0" w:color="auto"/>
      </w:divBdr>
    </w:div>
    <w:div w:id="97677180">
      <w:bodyDiv w:val="1"/>
      <w:marLeft w:val="0"/>
      <w:marRight w:val="0"/>
      <w:marTop w:val="0"/>
      <w:marBottom w:val="0"/>
      <w:divBdr>
        <w:top w:val="none" w:sz="0" w:space="0" w:color="auto"/>
        <w:left w:val="none" w:sz="0" w:space="0" w:color="auto"/>
        <w:bottom w:val="none" w:sz="0" w:space="0" w:color="auto"/>
        <w:right w:val="none" w:sz="0" w:space="0" w:color="auto"/>
      </w:divBdr>
    </w:div>
    <w:div w:id="98722770">
      <w:bodyDiv w:val="1"/>
      <w:marLeft w:val="0"/>
      <w:marRight w:val="0"/>
      <w:marTop w:val="0"/>
      <w:marBottom w:val="0"/>
      <w:divBdr>
        <w:top w:val="none" w:sz="0" w:space="0" w:color="auto"/>
        <w:left w:val="none" w:sz="0" w:space="0" w:color="auto"/>
        <w:bottom w:val="none" w:sz="0" w:space="0" w:color="auto"/>
        <w:right w:val="none" w:sz="0" w:space="0" w:color="auto"/>
      </w:divBdr>
    </w:div>
    <w:div w:id="107705810">
      <w:bodyDiv w:val="1"/>
      <w:marLeft w:val="0"/>
      <w:marRight w:val="0"/>
      <w:marTop w:val="0"/>
      <w:marBottom w:val="0"/>
      <w:divBdr>
        <w:top w:val="none" w:sz="0" w:space="0" w:color="auto"/>
        <w:left w:val="none" w:sz="0" w:space="0" w:color="auto"/>
        <w:bottom w:val="none" w:sz="0" w:space="0" w:color="auto"/>
        <w:right w:val="none" w:sz="0" w:space="0" w:color="auto"/>
      </w:divBdr>
    </w:div>
    <w:div w:id="112024168">
      <w:bodyDiv w:val="1"/>
      <w:marLeft w:val="0"/>
      <w:marRight w:val="0"/>
      <w:marTop w:val="0"/>
      <w:marBottom w:val="0"/>
      <w:divBdr>
        <w:top w:val="none" w:sz="0" w:space="0" w:color="auto"/>
        <w:left w:val="none" w:sz="0" w:space="0" w:color="auto"/>
        <w:bottom w:val="none" w:sz="0" w:space="0" w:color="auto"/>
        <w:right w:val="none" w:sz="0" w:space="0" w:color="auto"/>
      </w:divBdr>
    </w:div>
    <w:div w:id="122189329">
      <w:bodyDiv w:val="1"/>
      <w:marLeft w:val="0"/>
      <w:marRight w:val="0"/>
      <w:marTop w:val="0"/>
      <w:marBottom w:val="0"/>
      <w:divBdr>
        <w:top w:val="none" w:sz="0" w:space="0" w:color="auto"/>
        <w:left w:val="none" w:sz="0" w:space="0" w:color="auto"/>
        <w:bottom w:val="none" w:sz="0" w:space="0" w:color="auto"/>
        <w:right w:val="none" w:sz="0" w:space="0" w:color="auto"/>
      </w:divBdr>
    </w:div>
    <w:div w:id="129978822">
      <w:bodyDiv w:val="1"/>
      <w:marLeft w:val="0"/>
      <w:marRight w:val="0"/>
      <w:marTop w:val="0"/>
      <w:marBottom w:val="0"/>
      <w:divBdr>
        <w:top w:val="none" w:sz="0" w:space="0" w:color="auto"/>
        <w:left w:val="none" w:sz="0" w:space="0" w:color="auto"/>
        <w:bottom w:val="none" w:sz="0" w:space="0" w:color="auto"/>
        <w:right w:val="none" w:sz="0" w:space="0" w:color="auto"/>
      </w:divBdr>
    </w:div>
    <w:div w:id="138503511">
      <w:bodyDiv w:val="1"/>
      <w:marLeft w:val="0"/>
      <w:marRight w:val="0"/>
      <w:marTop w:val="0"/>
      <w:marBottom w:val="0"/>
      <w:divBdr>
        <w:top w:val="none" w:sz="0" w:space="0" w:color="auto"/>
        <w:left w:val="none" w:sz="0" w:space="0" w:color="auto"/>
        <w:bottom w:val="none" w:sz="0" w:space="0" w:color="auto"/>
        <w:right w:val="none" w:sz="0" w:space="0" w:color="auto"/>
      </w:divBdr>
    </w:div>
    <w:div w:id="141772812">
      <w:bodyDiv w:val="1"/>
      <w:marLeft w:val="0"/>
      <w:marRight w:val="0"/>
      <w:marTop w:val="0"/>
      <w:marBottom w:val="0"/>
      <w:divBdr>
        <w:top w:val="none" w:sz="0" w:space="0" w:color="auto"/>
        <w:left w:val="none" w:sz="0" w:space="0" w:color="auto"/>
        <w:bottom w:val="none" w:sz="0" w:space="0" w:color="auto"/>
        <w:right w:val="none" w:sz="0" w:space="0" w:color="auto"/>
      </w:divBdr>
    </w:div>
    <w:div w:id="146824159">
      <w:bodyDiv w:val="1"/>
      <w:marLeft w:val="0"/>
      <w:marRight w:val="0"/>
      <w:marTop w:val="0"/>
      <w:marBottom w:val="0"/>
      <w:divBdr>
        <w:top w:val="none" w:sz="0" w:space="0" w:color="auto"/>
        <w:left w:val="none" w:sz="0" w:space="0" w:color="auto"/>
        <w:bottom w:val="none" w:sz="0" w:space="0" w:color="auto"/>
        <w:right w:val="none" w:sz="0" w:space="0" w:color="auto"/>
      </w:divBdr>
    </w:div>
    <w:div w:id="151215703">
      <w:bodyDiv w:val="1"/>
      <w:marLeft w:val="0"/>
      <w:marRight w:val="0"/>
      <w:marTop w:val="0"/>
      <w:marBottom w:val="0"/>
      <w:divBdr>
        <w:top w:val="none" w:sz="0" w:space="0" w:color="auto"/>
        <w:left w:val="none" w:sz="0" w:space="0" w:color="auto"/>
        <w:bottom w:val="none" w:sz="0" w:space="0" w:color="auto"/>
        <w:right w:val="none" w:sz="0" w:space="0" w:color="auto"/>
      </w:divBdr>
    </w:div>
    <w:div w:id="157503971">
      <w:bodyDiv w:val="1"/>
      <w:marLeft w:val="0"/>
      <w:marRight w:val="0"/>
      <w:marTop w:val="0"/>
      <w:marBottom w:val="0"/>
      <w:divBdr>
        <w:top w:val="none" w:sz="0" w:space="0" w:color="auto"/>
        <w:left w:val="none" w:sz="0" w:space="0" w:color="auto"/>
        <w:bottom w:val="none" w:sz="0" w:space="0" w:color="auto"/>
        <w:right w:val="none" w:sz="0" w:space="0" w:color="auto"/>
      </w:divBdr>
    </w:div>
    <w:div w:id="158353500">
      <w:bodyDiv w:val="1"/>
      <w:marLeft w:val="0"/>
      <w:marRight w:val="0"/>
      <w:marTop w:val="0"/>
      <w:marBottom w:val="0"/>
      <w:divBdr>
        <w:top w:val="none" w:sz="0" w:space="0" w:color="auto"/>
        <w:left w:val="none" w:sz="0" w:space="0" w:color="auto"/>
        <w:bottom w:val="none" w:sz="0" w:space="0" w:color="auto"/>
        <w:right w:val="none" w:sz="0" w:space="0" w:color="auto"/>
      </w:divBdr>
    </w:div>
    <w:div w:id="158665272">
      <w:bodyDiv w:val="1"/>
      <w:marLeft w:val="0"/>
      <w:marRight w:val="0"/>
      <w:marTop w:val="0"/>
      <w:marBottom w:val="0"/>
      <w:divBdr>
        <w:top w:val="none" w:sz="0" w:space="0" w:color="auto"/>
        <w:left w:val="none" w:sz="0" w:space="0" w:color="auto"/>
        <w:bottom w:val="none" w:sz="0" w:space="0" w:color="auto"/>
        <w:right w:val="none" w:sz="0" w:space="0" w:color="auto"/>
      </w:divBdr>
    </w:div>
    <w:div w:id="170142064">
      <w:bodyDiv w:val="1"/>
      <w:marLeft w:val="0"/>
      <w:marRight w:val="0"/>
      <w:marTop w:val="0"/>
      <w:marBottom w:val="0"/>
      <w:divBdr>
        <w:top w:val="none" w:sz="0" w:space="0" w:color="auto"/>
        <w:left w:val="none" w:sz="0" w:space="0" w:color="auto"/>
        <w:bottom w:val="none" w:sz="0" w:space="0" w:color="auto"/>
        <w:right w:val="none" w:sz="0" w:space="0" w:color="auto"/>
      </w:divBdr>
    </w:div>
    <w:div w:id="177546362">
      <w:bodyDiv w:val="1"/>
      <w:marLeft w:val="0"/>
      <w:marRight w:val="0"/>
      <w:marTop w:val="0"/>
      <w:marBottom w:val="0"/>
      <w:divBdr>
        <w:top w:val="none" w:sz="0" w:space="0" w:color="auto"/>
        <w:left w:val="none" w:sz="0" w:space="0" w:color="auto"/>
        <w:bottom w:val="none" w:sz="0" w:space="0" w:color="auto"/>
        <w:right w:val="none" w:sz="0" w:space="0" w:color="auto"/>
      </w:divBdr>
    </w:div>
    <w:div w:id="179322887">
      <w:bodyDiv w:val="1"/>
      <w:marLeft w:val="0"/>
      <w:marRight w:val="0"/>
      <w:marTop w:val="0"/>
      <w:marBottom w:val="0"/>
      <w:divBdr>
        <w:top w:val="none" w:sz="0" w:space="0" w:color="auto"/>
        <w:left w:val="none" w:sz="0" w:space="0" w:color="auto"/>
        <w:bottom w:val="none" w:sz="0" w:space="0" w:color="auto"/>
        <w:right w:val="none" w:sz="0" w:space="0" w:color="auto"/>
      </w:divBdr>
    </w:div>
    <w:div w:id="181483137">
      <w:bodyDiv w:val="1"/>
      <w:marLeft w:val="0"/>
      <w:marRight w:val="0"/>
      <w:marTop w:val="0"/>
      <w:marBottom w:val="0"/>
      <w:divBdr>
        <w:top w:val="none" w:sz="0" w:space="0" w:color="auto"/>
        <w:left w:val="none" w:sz="0" w:space="0" w:color="auto"/>
        <w:bottom w:val="none" w:sz="0" w:space="0" w:color="auto"/>
        <w:right w:val="none" w:sz="0" w:space="0" w:color="auto"/>
      </w:divBdr>
    </w:div>
    <w:div w:id="194663046">
      <w:bodyDiv w:val="1"/>
      <w:marLeft w:val="0"/>
      <w:marRight w:val="0"/>
      <w:marTop w:val="0"/>
      <w:marBottom w:val="0"/>
      <w:divBdr>
        <w:top w:val="none" w:sz="0" w:space="0" w:color="auto"/>
        <w:left w:val="none" w:sz="0" w:space="0" w:color="auto"/>
        <w:bottom w:val="none" w:sz="0" w:space="0" w:color="auto"/>
        <w:right w:val="none" w:sz="0" w:space="0" w:color="auto"/>
      </w:divBdr>
    </w:div>
    <w:div w:id="203447494">
      <w:bodyDiv w:val="1"/>
      <w:marLeft w:val="0"/>
      <w:marRight w:val="0"/>
      <w:marTop w:val="0"/>
      <w:marBottom w:val="0"/>
      <w:divBdr>
        <w:top w:val="none" w:sz="0" w:space="0" w:color="auto"/>
        <w:left w:val="none" w:sz="0" w:space="0" w:color="auto"/>
        <w:bottom w:val="none" w:sz="0" w:space="0" w:color="auto"/>
        <w:right w:val="none" w:sz="0" w:space="0" w:color="auto"/>
      </w:divBdr>
    </w:div>
    <w:div w:id="210193500">
      <w:bodyDiv w:val="1"/>
      <w:marLeft w:val="0"/>
      <w:marRight w:val="0"/>
      <w:marTop w:val="0"/>
      <w:marBottom w:val="0"/>
      <w:divBdr>
        <w:top w:val="none" w:sz="0" w:space="0" w:color="auto"/>
        <w:left w:val="none" w:sz="0" w:space="0" w:color="auto"/>
        <w:bottom w:val="none" w:sz="0" w:space="0" w:color="auto"/>
        <w:right w:val="none" w:sz="0" w:space="0" w:color="auto"/>
      </w:divBdr>
    </w:div>
    <w:div w:id="211118573">
      <w:bodyDiv w:val="1"/>
      <w:marLeft w:val="0"/>
      <w:marRight w:val="0"/>
      <w:marTop w:val="0"/>
      <w:marBottom w:val="0"/>
      <w:divBdr>
        <w:top w:val="none" w:sz="0" w:space="0" w:color="auto"/>
        <w:left w:val="none" w:sz="0" w:space="0" w:color="auto"/>
        <w:bottom w:val="none" w:sz="0" w:space="0" w:color="auto"/>
        <w:right w:val="none" w:sz="0" w:space="0" w:color="auto"/>
      </w:divBdr>
    </w:div>
    <w:div w:id="224490373">
      <w:bodyDiv w:val="1"/>
      <w:marLeft w:val="0"/>
      <w:marRight w:val="0"/>
      <w:marTop w:val="0"/>
      <w:marBottom w:val="0"/>
      <w:divBdr>
        <w:top w:val="none" w:sz="0" w:space="0" w:color="auto"/>
        <w:left w:val="none" w:sz="0" w:space="0" w:color="auto"/>
        <w:bottom w:val="none" w:sz="0" w:space="0" w:color="auto"/>
        <w:right w:val="none" w:sz="0" w:space="0" w:color="auto"/>
      </w:divBdr>
    </w:div>
    <w:div w:id="228657986">
      <w:bodyDiv w:val="1"/>
      <w:marLeft w:val="0"/>
      <w:marRight w:val="0"/>
      <w:marTop w:val="0"/>
      <w:marBottom w:val="0"/>
      <w:divBdr>
        <w:top w:val="none" w:sz="0" w:space="0" w:color="auto"/>
        <w:left w:val="none" w:sz="0" w:space="0" w:color="auto"/>
        <w:bottom w:val="none" w:sz="0" w:space="0" w:color="auto"/>
        <w:right w:val="none" w:sz="0" w:space="0" w:color="auto"/>
      </w:divBdr>
    </w:div>
    <w:div w:id="240263055">
      <w:bodyDiv w:val="1"/>
      <w:marLeft w:val="0"/>
      <w:marRight w:val="0"/>
      <w:marTop w:val="0"/>
      <w:marBottom w:val="0"/>
      <w:divBdr>
        <w:top w:val="none" w:sz="0" w:space="0" w:color="auto"/>
        <w:left w:val="none" w:sz="0" w:space="0" w:color="auto"/>
        <w:bottom w:val="none" w:sz="0" w:space="0" w:color="auto"/>
        <w:right w:val="none" w:sz="0" w:space="0" w:color="auto"/>
      </w:divBdr>
    </w:div>
    <w:div w:id="244192163">
      <w:bodyDiv w:val="1"/>
      <w:marLeft w:val="0"/>
      <w:marRight w:val="0"/>
      <w:marTop w:val="0"/>
      <w:marBottom w:val="0"/>
      <w:divBdr>
        <w:top w:val="none" w:sz="0" w:space="0" w:color="auto"/>
        <w:left w:val="none" w:sz="0" w:space="0" w:color="auto"/>
        <w:bottom w:val="none" w:sz="0" w:space="0" w:color="auto"/>
        <w:right w:val="none" w:sz="0" w:space="0" w:color="auto"/>
      </w:divBdr>
    </w:div>
    <w:div w:id="263808675">
      <w:bodyDiv w:val="1"/>
      <w:marLeft w:val="0"/>
      <w:marRight w:val="0"/>
      <w:marTop w:val="0"/>
      <w:marBottom w:val="0"/>
      <w:divBdr>
        <w:top w:val="none" w:sz="0" w:space="0" w:color="auto"/>
        <w:left w:val="none" w:sz="0" w:space="0" w:color="auto"/>
        <w:bottom w:val="none" w:sz="0" w:space="0" w:color="auto"/>
        <w:right w:val="none" w:sz="0" w:space="0" w:color="auto"/>
      </w:divBdr>
    </w:div>
    <w:div w:id="272252120">
      <w:bodyDiv w:val="1"/>
      <w:marLeft w:val="0"/>
      <w:marRight w:val="0"/>
      <w:marTop w:val="0"/>
      <w:marBottom w:val="0"/>
      <w:divBdr>
        <w:top w:val="none" w:sz="0" w:space="0" w:color="auto"/>
        <w:left w:val="none" w:sz="0" w:space="0" w:color="auto"/>
        <w:bottom w:val="none" w:sz="0" w:space="0" w:color="auto"/>
        <w:right w:val="none" w:sz="0" w:space="0" w:color="auto"/>
      </w:divBdr>
    </w:div>
    <w:div w:id="280384400">
      <w:bodyDiv w:val="1"/>
      <w:marLeft w:val="0"/>
      <w:marRight w:val="0"/>
      <w:marTop w:val="0"/>
      <w:marBottom w:val="0"/>
      <w:divBdr>
        <w:top w:val="none" w:sz="0" w:space="0" w:color="auto"/>
        <w:left w:val="none" w:sz="0" w:space="0" w:color="auto"/>
        <w:bottom w:val="none" w:sz="0" w:space="0" w:color="auto"/>
        <w:right w:val="none" w:sz="0" w:space="0" w:color="auto"/>
      </w:divBdr>
    </w:div>
    <w:div w:id="285278803">
      <w:bodyDiv w:val="1"/>
      <w:marLeft w:val="0"/>
      <w:marRight w:val="0"/>
      <w:marTop w:val="0"/>
      <w:marBottom w:val="0"/>
      <w:divBdr>
        <w:top w:val="none" w:sz="0" w:space="0" w:color="auto"/>
        <w:left w:val="none" w:sz="0" w:space="0" w:color="auto"/>
        <w:bottom w:val="none" w:sz="0" w:space="0" w:color="auto"/>
        <w:right w:val="none" w:sz="0" w:space="0" w:color="auto"/>
      </w:divBdr>
    </w:div>
    <w:div w:id="288514615">
      <w:bodyDiv w:val="1"/>
      <w:marLeft w:val="0"/>
      <w:marRight w:val="0"/>
      <w:marTop w:val="0"/>
      <w:marBottom w:val="0"/>
      <w:divBdr>
        <w:top w:val="none" w:sz="0" w:space="0" w:color="auto"/>
        <w:left w:val="none" w:sz="0" w:space="0" w:color="auto"/>
        <w:bottom w:val="none" w:sz="0" w:space="0" w:color="auto"/>
        <w:right w:val="none" w:sz="0" w:space="0" w:color="auto"/>
      </w:divBdr>
    </w:div>
    <w:div w:id="291522212">
      <w:bodyDiv w:val="1"/>
      <w:marLeft w:val="0"/>
      <w:marRight w:val="0"/>
      <w:marTop w:val="0"/>
      <w:marBottom w:val="0"/>
      <w:divBdr>
        <w:top w:val="none" w:sz="0" w:space="0" w:color="auto"/>
        <w:left w:val="none" w:sz="0" w:space="0" w:color="auto"/>
        <w:bottom w:val="none" w:sz="0" w:space="0" w:color="auto"/>
        <w:right w:val="none" w:sz="0" w:space="0" w:color="auto"/>
      </w:divBdr>
    </w:div>
    <w:div w:id="297805927">
      <w:bodyDiv w:val="1"/>
      <w:marLeft w:val="0"/>
      <w:marRight w:val="0"/>
      <w:marTop w:val="0"/>
      <w:marBottom w:val="0"/>
      <w:divBdr>
        <w:top w:val="none" w:sz="0" w:space="0" w:color="auto"/>
        <w:left w:val="none" w:sz="0" w:space="0" w:color="auto"/>
        <w:bottom w:val="none" w:sz="0" w:space="0" w:color="auto"/>
        <w:right w:val="none" w:sz="0" w:space="0" w:color="auto"/>
      </w:divBdr>
    </w:div>
    <w:div w:id="298846620">
      <w:bodyDiv w:val="1"/>
      <w:marLeft w:val="0"/>
      <w:marRight w:val="0"/>
      <w:marTop w:val="0"/>
      <w:marBottom w:val="0"/>
      <w:divBdr>
        <w:top w:val="none" w:sz="0" w:space="0" w:color="auto"/>
        <w:left w:val="none" w:sz="0" w:space="0" w:color="auto"/>
        <w:bottom w:val="none" w:sz="0" w:space="0" w:color="auto"/>
        <w:right w:val="none" w:sz="0" w:space="0" w:color="auto"/>
      </w:divBdr>
    </w:div>
    <w:div w:id="301814117">
      <w:bodyDiv w:val="1"/>
      <w:marLeft w:val="0"/>
      <w:marRight w:val="0"/>
      <w:marTop w:val="0"/>
      <w:marBottom w:val="0"/>
      <w:divBdr>
        <w:top w:val="none" w:sz="0" w:space="0" w:color="auto"/>
        <w:left w:val="none" w:sz="0" w:space="0" w:color="auto"/>
        <w:bottom w:val="none" w:sz="0" w:space="0" w:color="auto"/>
        <w:right w:val="none" w:sz="0" w:space="0" w:color="auto"/>
      </w:divBdr>
    </w:div>
    <w:div w:id="302271909">
      <w:bodyDiv w:val="1"/>
      <w:marLeft w:val="0"/>
      <w:marRight w:val="0"/>
      <w:marTop w:val="0"/>
      <w:marBottom w:val="0"/>
      <w:divBdr>
        <w:top w:val="none" w:sz="0" w:space="0" w:color="auto"/>
        <w:left w:val="none" w:sz="0" w:space="0" w:color="auto"/>
        <w:bottom w:val="none" w:sz="0" w:space="0" w:color="auto"/>
        <w:right w:val="none" w:sz="0" w:space="0" w:color="auto"/>
      </w:divBdr>
    </w:div>
    <w:div w:id="328682479">
      <w:bodyDiv w:val="1"/>
      <w:marLeft w:val="0"/>
      <w:marRight w:val="0"/>
      <w:marTop w:val="0"/>
      <w:marBottom w:val="0"/>
      <w:divBdr>
        <w:top w:val="none" w:sz="0" w:space="0" w:color="auto"/>
        <w:left w:val="none" w:sz="0" w:space="0" w:color="auto"/>
        <w:bottom w:val="none" w:sz="0" w:space="0" w:color="auto"/>
        <w:right w:val="none" w:sz="0" w:space="0" w:color="auto"/>
      </w:divBdr>
    </w:div>
    <w:div w:id="330640538">
      <w:bodyDiv w:val="1"/>
      <w:marLeft w:val="0"/>
      <w:marRight w:val="0"/>
      <w:marTop w:val="0"/>
      <w:marBottom w:val="0"/>
      <w:divBdr>
        <w:top w:val="none" w:sz="0" w:space="0" w:color="auto"/>
        <w:left w:val="none" w:sz="0" w:space="0" w:color="auto"/>
        <w:bottom w:val="none" w:sz="0" w:space="0" w:color="auto"/>
        <w:right w:val="none" w:sz="0" w:space="0" w:color="auto"/>
      </w:divBdr>
    </w:div>
    <w:div w:id="333074455">
      <w:bodyDiv w:val="1"/>
      <w:marLeft w:val="0"/>
      <w:marRight w:val="0"/>
      <w:marTop w:val="0"/>
      <w:marBottom w:val="0"/>
      <w:divBdr>
        <w:top w:val="none" w:sz="0" w:space="0" w:color="auto"/>
        <w:left w:val="none" w:sz="0" w:space="0" w:color="auto"/>
        <w:bottom w:val="none" w:sz="0" w:space="0" w:color="auto"/>
        <w:right w:val="none" w:sz="0" w:space="0" w:color="auto"/>
      </w:divBdr>
    </w:div>
    <w:div w:id="333188149">
      <w:bodyDiv w:val="1"/>
      <w:marLeft w:val="0"/>
      <w:marRight w:val="0"/>
      <w:marTop w:val="0"/>
      <w:marBottom w:val="0"/>
      <w:divBdr>
        <w:top w:val="none" w:sz="0" w:space="0" w:color="auto"/>
        <w:left w:val="none" w:sz="0" w:space="0" w:color="auto"/>
        <w:bottom w:val="none" w:sz="0" w:space="0" w:color="auto"/>
        <w:right w:val="none" w:sz="0" w:space="0" w:color="auto"/>
      </w:divBdr>
    </w:div>
    <w:div w:id="335959338">
      <w:bodyDiv w:val="1"/>
      <w:marLeft w:val="0"/>
      <w:marRight w:val="0"/>
      <w:marTop w:val="0"/>
      <w:marBottom w:val="0"/>
      <w:divBdr>
        <w:top w:val="none" w:sz="0" w:space="0" w:color="auto"/>
        <w:left w:val="none" w:sz="0" w:space="0" w:color="auto"/>
        <w:bottom w:val="none" w:sz="0" w:space="0" w:color="auto"/>
        <w:right w:val="none" w:sz="0" w:space="0" w:color="auto"/>
      </w:divBdr>
    </w:div>
    <w:div w:id="345638693">
      <w:bodyDiv w:val="1"/>
      <w:marLeft w:val="0"/>
      <w:marRight w:val="0"/>
      <w:marTop w:val="0"/>
      <w:marBottom w:val="0"/>
      <w:divBdr>
        <w:top w:val="none" w:sz="0" w:space="0" w:color="auto"/>
        <w:left w:val="none" w:sz="0" w:space="0" w:color="auto"/>
        <w:bottom w:val="none" w:sz="0" w:space="0" w:color="auto"/>
        <w:right w:val="none" w:sz="0" w:space="0" w:color="auto"/>
      </w:divBdr>
    </w:div>
    <w:div w:id="345720017">
      <w:bodyDiv w:val="1"/>
      <w:marLeft w:val="0"/>
      <w:marRight w:val="0"/>
      <w:marTop w:val="0"/>
      <w:marBottom w:val="0"/>
      <w:divBdr>
        <w:top w:val="none" w:sz="0" w:space="0" w:color="auto"/>
        <w:left w:val="none" w:sz="0" w:space="0" w:color="auto"/>
        <w:bottom w:val="none" w:sz="0" w:space="0" w:color="auto"/>
        <w:right w:val="none" w:sz="0" w:space="0" w:color="auto"/>
      </w:divBdr>
    </w:div>
    <w:div w:id="351685452">
      <w:bodyDiv w:val="1"/>
      <w:marLeft w:val="0"/>
      <w:marRight w:val="0"/>
      <w:marTop w:val="0"/>
      <w:marBottom w:val="0"/>
      <w:divBdr>
        <w:top w:val="none" w:sz="0" w:space="0" w:color="auto"/>
        <w:left w:val="none" w:sz="0" w:space="0" w:color="auto"/>
        <w:bottom w:val="none" w:sz="0" w:space="0" w:color="auto"/>
        <w:right w:val="none" w:sz="0" w:space="0" w:color="auto"/>
      </w:divBdr>
    </w:div>
    <w:div w:id="352607878">
      <w:bodyDiv w:val="1"/>
      <w:marLeft w:val="0"/>
      <w:marRight w:val="0"/>
      <w:marTop w:val="0"/>
      <w:marBottom w:val="0"/>
      <w:divBdr>
        <w:top w:val="none" w:sz="0" w:space="0" w:color="auto"/>
        <w:left w:val="none" w:sz="0" w:space="0" w:color="auto"/>
        <w:bottom w:val="none" w:sz="0" w:space="0" w:color="auto"/>
        <w:right w:val="none" w:sz="0" w:space="0" w:color="auto"/>
      </w:divBdr>
    </w:div>
    <w:div w:id="358089844">
      <w:bodyDiv w:val="1"/>
      <w:marLeft w:val="0"/>
      <w:marRight w:val="0"/>
      <w:marTop w:val="0"/>
      <w:marBottom w:val="0"/>
      <w:divBdr>
        <w:top w:val="none" w:sz="0" w:space="0" w:color="auto"/>
        <w:left w:val="none" w:sz="0" w:space="0" w:color="auto"/>
        <w:bottom w:val="none" w:sz="0" w:space="0" w:color="auto"/>
        <w:right w:val="none" w:sz="0" w:space="0" w:color="auto"/>
      </w:divBdr>
    </w:div>
    <w:div w:id="361319218">
      <w:bodyDiv w:val="1"/>
      <w:marLeft w:val="0"/>
      <w:marRight w:val="0"/>
      <w:marTop w:val="0"/>
      <w:marBottom w:val="0"/>
      <w:divBdr>
        <w:top w:val="none" w:sz="0" w:space="0" w:color="auto"/>
        <w:left w:val="none" w:sz="0" w:space="0" w:color="auto"/>
        <w:bottom w:val="none" w:sz="0" w:space="0" w:color="auto"/>
        <w:right w:val="none" w:sz="0" w:space="0" w:color="auto"/>
      </w:divBdr>
    </w:div>
    <w:div w:id="371468550">
      <w:bodyDiv w:val="1"/>
      <w:marLeft w:val="0"/>
      <w:marRight w:val="0"/>
      <w:marTop w:val="0"/>
      <w:marBottom w:val="0"/>
      <w:divBdr>
        <w:top w:val="none" w:sz="0" w:space="0" w:color="auto"/>
        <w:left w:val="none" w:sz="0" w:space="0" w:color="auto"/>
        <w:bottom w:val="none" w:sz="0" w:space="0" w:color="auto"/>
        <w:right w:val="none" w:sz="0" w:space="0" w:color="auto"/>
      </w:divBdr>
    </w:div>
    <w:div w:id="388915886">
      <w:bodyDiv w:val="1"/>
      <w:marLeft w:val="0"/>
      <w:marRight w:val="0"/>
      <w:marTop w:val="0"/>
      <w:marBottom w:val="0"/>
      <w:divBdr>
        <w:top w:val="none" w:sz="0" w:space="0" w:color="auto"/>
        <w:left w:val="none" w:sz="0" w:space="0" w:color="auto"/>
        <w:bottom w:val="none" w:sz="0" w:space="0" w:color="auto"/>
        <w:right w:val="none" w:sz="0" w:space="0" w:color="auto"/>
      </w:divBdr>
    </w:div>
    <w:div w:id="401366169">
      <w:bodyDiv w:val="1"/>
      <w:marLeft w:val="0"/>
      <w:marRight w:val="0"/>
      <w:marTop w:val="0"/>
      <w:marBottom w:val="0"/>
      <w:divBdr>
        <w:top w:val="none" w:sz="0" w:space="0" w:color="auto"/>
        <w:left w:val="none" w:sz="0" w:space="0" w:color="auto"/>
        <w:bottom w:val="none" w:sz="0" w:space="0" w:color="auto"/>
        <w:right w:val="none" w:sz="0" w:space="0" w:color="auto"/>
      </w:divBdr>
    </w:div>
    <w:div w:id="407386478">
      <w:bodyDiv w:val="1"/>
      <w:marLeft w:val="0"/>
      <w:marRight w:val="0"/>
      <w:marTop w:val="0"/>
      <w:marBottom w:val="0"/>
      <w:divBdr>
        <w:top w:val="none" w:sz="0" w:space="0" w:color="auto"/>
        <w:left w:val="none" w:sz="0" w:space="0" w:color="auto"/>
        <w:bottom w:val="none" w:sz="0" w:space="0" w:color="auto"/>
        <w:right w:val="none" w:sz="0" w:space="0" w:color="auto"/>
      </w:divBdr>
    </w:div>
    <w:div w:id="410926775">
      <w:bodyDiv w:val="1"/>
      <w:marLeft w:val="0"/>
      <w:marRight w:val="0"/>
      <w:marTop w:val="0"/>
      <w:marBottom w:val="0"/>
      <w:divBdr>
        <w:top w:val="none" w:sz="0" w:space="0" w:color="auto"/>
        <w:left w:val="none" w:sz="0" w:space="0" w:color="auto"/>
        <w:bottom w:val="none" w:sz="0" w:space="0" w:color="auto"/>
        <w:right w:val="none" w:sz="0" w:space="0" w:color="auto"/>
      </w:divBdr>
    </w:div>
    <w:div w:id="411506046">
      <w:bodyDiv w:val="1"/>
      <w:marLeft w:val="0"/>
      <w:marRight w:val="0"/>
      <w:marTop w:val="0"/>
      <w:marBottom w:val="0"/>
      <w:divBdr>
        <w:top w:val="none" w:sz="0" w:space="0" w:color="auto"/>
        <w:left w:val="none" w:sz="0" w:space="0" w:color="auto"/>
        <w:bottom w:val="none" w:sz="0" w:space="0" w:color="auto"/>
        <w:right w:val="none" w:sz="0" w:space="0" w:color="auto"/>
      </w:divBdr>
    </w:div>
    <w:div w:id="419181280">
      <w:bodyDiv w:val="1"/>
      <w:marLeft w:val="0"/>
      <w:marRight w:val="0"/>
      <w:marTop w:val="0"/>
      <w:marBottom w:val="0"/>
      <w:divBdr>
        <w:top w:val="none" w:sz="0" w:space="0" w:color="auto"/>
        <w:left w:val="none" w:sz="0" w:space="0" w:color="auto"/>
        <w:bottom w:val="none" w:sz="0" w:space="0" w:color="auto"/>
        <w:right w:val="none" w:sz="0" w:space="0" w:color="auto"/>
      </w:divBdr>
    </w:div>
    <w:div w:id="424960820">
      <w:bodyDiv w:val="1"/>
      <w:marLeft w:val="0"/>
      <w:marRight w:val="0"/>
      <w:marTop w:val="0"/>
      <w:marBottom w:val="0"/>
      <w:divBdr>
        <w:top w:val="none" w:sz="0" w:space="0" w:color="auto"/>
        <w:left w:val="none" w:sz="0" w:space="0" w:color="auto"/>
        <w:bottom w:val="none" w:sz="0" w:space="0" w:color="auto"/>
        <w:right w:val="none" w:sz="0" w:space="0" w:color="auto"/>
      </w:divBdr>
    </w:div>
    <w:div w:id="430122269">
      <w:bodyDiv w:val="1"/>
      <w:marLeft w:val="0"/>
      <w:marRight w:val="0"/>
      <w:marTop w:val="0"/>
      <w:marBottom w:val="0"/>
      <w:divBdr>
        <w:top w:val="none" w:sz="0" w:space="0" w:color="auto"/>
        <w:left w:val="none" w:sz="0" w:space="0" w:color="auto"/>
        <w:bottom w:val="none" w:sz="0" w:space="0" w:color="auto"/>
        <w:right w:val="none" w:sz="0" w:space="0" w:color="auto"/>
      </w:divBdr>
    </w:div>
    <w:div w:id="431512886">
      <w:bodyDiv w:val="1"/>
      <w:marLeft w:val="0"/>
      <w:marRight w:val="0"/>
      <w:marTop w:val="0"/>
      <w:marBottom w:val="0"/>
      <w:divBdr>
        <w:top w:val="none" w:sz="0" w:space="0" w:color="auto"/>
        <w:left w:val="none" w:sz="0" w:space="0" w:color="auto"/>
        <w:bottom w:val="none" w:sz="0" w:space="0" w:color="auto"/>
        <w:right w:val="none" w:sz="0" w:space="0" w:color="auto"/>
      </w:divBdr>
    </w:div>
    <w:div w:id="446388490">
      <w:bodyDiv w:val="1"/>
      <w:marLeft w:val="0"/>
      <w:marRight w:val="0"/>
      <w:marTop w:val="0"/>
      <w:marBottom w:val="0"/>
      <w:divBdr>
        <w:top w:val="none" w:sz="0" w:space="0" w:color="auto"/>
        <w:left w:val="none" w:sz="0" w:space="0" w:color="auto"/>
        <w:bottom w:val="none" w:sz="0" w:space="0" w:color="auto"/>
        <w:right w:val="none" w:sz="0" w:space="0" w:color="auto"/>
      </w:divBdr>
    </w:div>
    <w:div w:id="451482288">
      <w:bodyDiv w:val="1"/>
      <w:marLeft w:val="0"/>
      <w:marRight w:val="0"/>
      <w:marTop w:val="0"/>
      <w:marBottom w:val="0"/>
      <w:divBdr>
        <w:top w:val="none" w:sz="0" w:space="0" w:color="auto"/>
        <w:left w:val="none" w:sz="0" w:space="0" w:color="auto"/>
        <w:bottom w:val="none" w:sz="0" w:space="0" w:color="auto"/>
        <w:right w:val="none" w:sz="0" w:space="0" w:color="auto"/>
      </w:divBdr>
    </w:div>
    <w:div w:id="461004051">
      <w:bodyDiv w:val="1"/>
      <w:marLeft w:val="0"/>
      <w:marRight w:val="0"/>
      <w:marTop w:val="0"/>
      <w:marBottom w:val="0"/>
      <w:divBdr>
        <w:top w:val="none" w:sz="0" w:space="0" w:color="auto"/>
        <w:left w:val="none" w:sz="0" w:space="0" w:color="auto"/>
        <w:bottom w:val="none" w:sz="0" w:space="0" w:color="auto"/>
        <w:right w:val="none" w:sz="0" w:space="0" w:color="auto"/>
      </w:divBdr>
    </w:div>
    <w:div w:id="466775485">
      <w:bodyDiv w:val="1"/>
      <w:marLeft w:val="0"/>
      <w:marRight w:val="0"/>
      <w:marTop w:val="0"/>
      <w:marBottom w:val="0"/>
      <w:divBdr>
        <w:top w:val="none" w:sz="0" w:space="0" w:color="auto"/>
        <w:left w:val="none" w:sz="0" w:space="0" w:color="auto"/>
        <w:bottom w:val="none" w:sz="0" w:space="0" w:color="auto"/>
        <w:right w:val="none" w:sz="0" w:space="0" w:color="auto"/>
      </w:divBdr>
    </w:div>
    <w:div w:id="467280006">
      <w:bodyDiv w:val="1"/>
      <w:marLeft w:val="0"/>
      <w:marRight w:val="0"/>
      <w:marTop w:val="0"/>
      <w:marBottom w:val="0"/>
      <w:divBdr>
        <w:top w:val="none" w:sz="0" w:space="0" w:color="auto"/>
        <w:left w:val="none" w:sz="0" w:space="0" w:color="auto"/>
        <w:bottom w:val="none" w:sz="0" w:space="0" w:color="auto"/>
        <w:right w:val="none" w:sz="0" w:space="0" w:color="auto"/>
      </w:divBdr>
    </w:div>
    <w:div w:id="483158992">
      <w:bodyDiv w:val="1"/>
      <w:marLeft w:val="0"/>
      <w:marRight w:val="0"/>
      <w:marTop w:val="0"/>
      <w:marBottom w:val="0"/>
      <w:divBdr>
        <w:top w:val="none" w:sz="0" w:space="0" w:color="auto"/>
        <w:left w:val="none" w:sz="0" w:space="0" w:color="auto"/>
        <w:bottom w:val="none" w:sz="0" w:space="0" w:color="auto"/>
        <w:right w:val="none" w:sz="0" w:space="0" w:color="auto"/>
      </w:divBdr>
    </w:div>
    <w:div w:id="484273719">
      <w:bodyDiv w:val="1"/>
      <w:marLeft w:val="0"/>
      <w:marRight w:val="0"/>
      <w:marTop w:val="0"/>
      <w:marBottom w:val="0"/>
      <w:divBdr>
        <w:top w:val="none" w:sz="0" w:space="0" w:color="auto"/>
        <w:left w:val="none" w:sz="0" w:space="0" w:color="auto"/>
        <w:bottom w:val="none" w:sz="0" w:space="0" w:color="auto"/>
        <w:right w:val="none" w:sz="0" w:space="0" w:color="auto"/>
      </w:divBdr>
    </w:div>
    <w:div w:id="495998237">
      <w:bodyDiv w:val="1"/>
      <w:marLeft w:val="0"/>
      <w:marRight w:val="0"/>
      <w:marTop w:val="0"/>
      <w:marBottom w:val="0"/>
      <w:divBdr>
        <w:top w:val="none" w:sz="0" w:space="0" w:color="auto"/>
        <w:left w:val="none" w:sz="0" w:space="0" w:color="auto"/>
        <w:bottom w:val="none" w:sz="0" w:space="0" w:color="auto"/>
        <w:right w:val="none" w:sz="0" w:space="0" w:color="auto"/>
      </w:divBdr>
    </w:div>
    <w:div w:id="506166508">
      <w:bodyDiv w:val="1"/>
      <w:marLeft w:val="0"/>
      <w:marRight w:val="0"/>
      <w:marTop w:val="0"/>
      <w:marBottom w:val="0"/>
      <w:divBdr>
        <w:top w:val="none" w:sz="0" w:space="0" w:color="auto"/>
        <w:left w:val="none" w:sz="0" w:space="0" w:color="auto"/>
        <w:bottom w:val="none" w:sz="0" w:space="0" w:color="auto"/>
        <w:right w:val="none" w:sz="0" w:space="0" w:color="auto"/>
      </w:divBdr>
    </w:div>
    <w:div w:id="514345697">
      <w:bodyDiv w:val="1"/>
      <w:marLeft w:val="0"/>
      <w:marRight w:val="0"/>
      <w:marTop w:val="0"/>
      <w:marBottom w:val="0"/>
      <w:divBdr>
        <w:top w:val="none" w:sz="0" w:space="0" w:color="auto"/>
        <w:left w:val="none" w:sz="0" w:space="0" w:color="auto"/>
        <w:bottom w:val="none" w:sz="0" w:space="0" w:color="auto"/>
        <w:right w:val="none" w:sz="0" w:space="0" w:color="auto"/>
      </w:divBdr>
    </w:div>
    <w:div w:id="520095534">
      <w:bodyDiv w:val="1"/>
      <w:marLeft w:val="0"/>
      <w:marRight w:val="0"/>
      <w:marTop w:val="0"/>
      <w:marBottom w:val="0"/>
      <w:divBdr>
        <w:top w:val="none" w:sz="0" w:space="0" w:color="auto"/>
        <w:left w:val="none" w:sz="0" w:space="0" w:color="auto"/>
        <w:bottom w:val="none" w:sz="0" w:space="0" w:color="auto"/>
        <w:right w:val="none" w:sz="0" w:space="0" w:color="auto"/>
      </w:divBdr>
    </w:div>
    <w:div w:id="521676102">
      <w:bodyDiv w:val="1"/>
      <w:marLeft w:val="0"/>
      <w:marRight w:val="0"/>
      <w:marTop w:val="0"/>
      <w:marBottom w:val="0"/>
      <w:divBdr>
        <w:top w:val="none" w:sz="0" w:space="0" w:color="auto"/>
        <w:left w:val="none" w:sz="0" w:space="0" w:color="auto"/>
        <w:bottom w:val="none" w:sz="0" w:space="0" w:color="auto"/>
        <w:right w:val="none" w:sz="0" w:space="0" w:color="auto"/>
      </w:divBdr>
    </w:div>
    <w:div w:id="526063681">
      <w:bodyDiv w:val="1"/>
      <w:marLeft w:val="0"/>
      <w:marRight w:val="0"/>
      <w:marTop w:val="0"/>
      <w:marBottom w:val="0"/>
      <w:divBdr>
        <w:top w:val="none" w:sz="0" w:space="0" w:color="auto"/>
        <w:left w:val="none" w:sz="0" w:space="0" w:color="auto"/>
        <w:bottom w:val="none" w:sz="0" w:space="0" w:color="auto"/>
        <w:right w:val="none" w:sz="0" w:space="0" w:color="auto"/>
      </w:divBdr>
    </w:div>
    <w:div w:id="526604770">
      <w:bodyDiv w:val="1"/>
      <w:marLeft w:val="0"/>
      <w:marRight w:val="0"/>
      <w:marTop w:val="0"/>
      <w:marBottom w:val="0"/>
      <w:divBdr>
        <w:top w:val="none" w:sz="0" w:space="0" w:color="auto"/>
        <w:left w:val="none" w:sz="0" w:space="0" w:color="auto"/>
        <w:bottom w:val="none" w:sz="0" w:space="0" w:color="auto"/>
        <w:right w:val="none" w:sz="0" w:space="0" w:color="auto"/>
      </w:divBdr>
    </w:div>
    <w:div w:id="526989657">
      <w:bodyDiv w:val="1"/>
      <w:marLeft w:val="0"/>
      <w:marRight w:val="0"/>
      <w:marTop w:val="0"/>
      <w:marBottom w:val="0"/>
      <w:divBdr>
        <w:top w:val="none" w:sz="0" w:space="0" w:color="auto"/>
        <w:left w:val="none" w:sz="0" w:space="0" w:color="auto"/>
        <w:bottom w:val="none" w:sz="0" w:space="0" w:color="auto"/>
        <w:right w:val="none" w:sz="0" w:space="0" w:color="auto"/>
      </w:divBdr>
    </w:div>
    <w:div w:id="530803730">
      <w:bodyDiv w:val="1"/>
      <w:marLeft w:val="0"/>
      <w:marRight w:val="0"/>
      <w:marTop w:val="0"/>
      <w:marBottom w:val="0"/>
      <w:divBdr>
        <w:top w:val="none" w:sz="0" w:space="0" w:color="auto"/>
        <w:left w:val="none" w:sz="0" w:space="0" w:color="auto"/>
        <w:bottom w:val="none" w:sz="0" w:space="0" w:color="auto"/>
        <w:right w:val="none" w:sz="0" w:space="0" w:color="auto"/>
      </w:divBdr>
    </w:div>
    <w:div w:id="532304399">
      <w:bodyDiv w:val="1"/>
      <w:marLeft w:val="0"/>
      <w:marRight w:val="0"/>
      <w:marTop w:val="0"/>
      <w:marBottom w:val="0"/>
      <w:divBdr>
        <w:top w:val="none" w:sz="0" w:space="0" w:color="auto"/>
        <w:left w:val="none" w:sz="0" w:space="0" w:color="auto"/>
        <w:bottom w:val="none" w:sz="0" w:space="0" w:color="auto"/>
        <w:right w:val="none" w:sz="0" w:space="0" w:color="auto"/>
      </w:divBdr>
    </w:div>
    <w:div w:id="532768456">
      <w:bodyDiv w:val="1"/>
      <w:marLeft w:val="0"/>
      <w:marRight w:val="0"/>
      <w:marTop w:val="0"/>
      <w:marBottom w:val="0"/>
      <w:divBdr>
        <w:top w:val="none" w:sz="0" w:space="0" w:color="auto"/>
        <w:left w:val="none" w:sz="0" w:space="0" w:color="auto"/>
        <w:bottom w:val="none" w:sz="0" w:space="0" w:color="auto"/>
        <w:right w:val="none" w:sz="0" w:space="0" w:color="auto"/>
      </w:divBdr>
    </w:div>
    <w:div w:id="536233502">
      <w:bodyDiv w:val="1"/>
      <w:marLeft w:val="0"/>
      <w:marRight w:val="0"/>
      <w:marTop w:val="0"/>
      <w:marBottom w:val="0"/>
      <w:divBdr>
        <w:top w:val="none" w:sz="0" w:space="0" w:color="auto"/>
        <w:left w:val="none" w:sz="0" w:space="0" w:color="auto"/>
        <w:bottom w:val="none" w:sz="0" w:space="0" w:color="auto"/>
        <w:right w:val="none" w:sz="0" w:space="0" w:color="auto"/>
      </w:divBdr>
    </w:div>
    <w:div w:id="536740920">
      <w:bodyDiv w:val="1"/>
      <w:marLeft w:val="0"/>
      <w:marRight w:val="0"/>
      <w:marTop w:val="0"/>
      <w:marBottom w:val="0"/>
      <w:divBdr>
        <w:top w:val="none" w:sz="0" w:space="0" w:color="auto"/>
        <w:left w:val="none" w:sz="0" w:space="0" w:color="auto"/>
        <w:bottom w:val="none" w:sz="0" w:space="0" w:color="auto"/>
        <w:right w:val="none" w:sz="0" w:space="0" w:color="auto"/>
      </w:divBdr>
    </w:div>
    <w:div w:id="548147975">
      <w:bodyDiv w:val="1"/>
      <w:marLeft w:val="0"/>
      <w:marRight w:val="0"/>
      <w:marTop w:val="0"/>
      <w:marBottom w:val="0"/>
      <w:divBdr>
        <w:top w:val="none" w:sz="0" w:space="0" w:color="auto"/>
        <w:left w:val="none" w:sz="0" w:space="0" w:color="auto"/>
        <w:bottom w:val="none" w:sz="0" w:space="0" w:color="auto"/>
        <w:right w:val="none" w:sz="0" w:space="0" w:color="auto"/>
      </w:divBdr>
    </w:div>
    <w:div w:id="548804908">
      <w:bodyDiv w:val="1"/>
      <w:marLeft w:val="0"/>
      <w:marRight w:val="0"/>
      <w:marTop w:val="0"/>
      <w:marBottom w:val="0"/>
      <w:divBdr>
        <w:top w:val="none" w:sz="0" w:space="0" w:color="auto"/>
        <w:left w:val="none" w:sz="0" w:space="0" w:color="auto"/>
        <w:bottom w:val="none" w:sz="0" w:space="0" w:color="auto"/>
        <w:right w:val="none" w:sz="0" w:space="0" w:color="auto"/>
      </w:divBdr>
    </w:div>
    <w:div w:id="549656353">
      <w:bodyDiv w:val="1"/>
      <w:marLeft w:val="0"/>
      <w:marRight w:val="0"/>
      <w:marTop w:val="0"/>
      <w:marBottom w:val="0"/>
      <w:divBdr>
        <w:top w:val="none" w:sz="0" w:space="0" w:color="auto"/>
        <w:left w:val="none" w:sz="0" w:space="0" w:color="auto"/>
        <w:bottom w:val="none" w:sz="0" w:space="0" w:color="auto"/>
        <w:right w:val="none" w:sz="0" w:space="0" w:color="auto"/>
      </w:divBdr>
    </w:div>
    <w:div w:id="550961183">
      <w:bodyDiv w:val="1"/>
      <w:marLeft w:val="0"/>
      <w:marRight w:val="0"/>
      <w:marTop w:val="0"/>
      <w:marBottom w:val="0"/>
      <w:divBdr>
        <w:top w:val="none" w:sz="0" w:space="0" w:color="auto"/>
        <w:left w:val="none" w:sz="0" w:space="0" w:color="auto"/>
        <w:bottom w:val="none" w:sz="0" w:space="0" w:color="auto"/>
        <w:right w:val="none" w:sz="0" w:space="0" w:color="auto"/>
      </w:divBdr>
    </w:div>
    <w:div w:id="554317134">
      <w:bodyDiv w:val="1"/>
      <w:marLeft w:val="0"/>
      <w:marRight w:val="0"/>
      <w:marTop w:val="0"/>
      <w:marBottom w:val="0"/>
      <w:divBdr>
        <w:top w:val="none" w:sz="0" w:space="0" w:color="auto"/>
        <w:left w:val="none" w:sz="0" w:space="0" w:color="auto"/>
        <w:bottom w:val="none" w:sz="0" w:space="0" w:color="auto"/>
        <w:right w:val="none" w:sz="0" w:space="0" w:color="auto"/>
      </w:divBdr>
    </w:div>
    <w:div w:id="562955193">
      <w:bodyDiv w:val="1"/>
      <w:marLeft w:val="0"/>
      <w:marRight w:val="0"/>
      <w:marTop w:val="0"/>
      <w:marBottom w:val="0"/>
      <w:divBdr>
        <w:top w:val="none" w:sz="0" w:space="0" w:color="auto"/>
        <w:left w:val="none" w:sz="0" w:space="0" w:color="auto"/>
        <w:bottom w:val="none" w:sz="0" w:space="0" w:color="auto"/>
        <w:right w:val="none" w:sz="0" w:space="0" w:color="auto"/>
      </w:divBdr>
    </w:div>
    <w:div w:id="568463276">
      <w:bodyDiv w:val="1"/>
      <w:marLeft w:val="0"/>
      <w:marRight w:val="0"/>
      <w:marTop w:val="0"/>
      <w:marBottom w:val="0"/>
      <w:divBdr>
        <w:top w:val="none" w:sz="0" w:space="0" w:color="auto"/>
        <w:left w:val="none" w:sz="0" w:space="0" w:color="auto"/>
        <w:bottom w:val="none" w:sz="0" w:space="0" w:color="auto"/>
        <w:right w:val="none" w:sz="0" w:space="0" w:color="auto"/>
      </w:divBdr>
    </w:div>
    <w:div w:id="581447833">
      <w:bodyDiv w:val="1"/>
      <w:marLeft w:val="0"/>
      <w:marRight w:val="0"/>
      <w:marTop w:val="0"/>
      <w:marBottom w:val="0"/>
      <w:divBdr>
        <w:top w:val="none" w:sz="0" w:space="0" w:color="auto"/>
        <w:left w:val="none" w:sz="0" w:space="0" w:color="auto"/>
        <w:bottom w:val="none" w:sz="0" w:space="0" w:color="auto"/>
        <w:right w:val="none" w:sz="0" w:space="0" w:color="auto"/>
      </w:divBdr>
    </w:div>
    <w:div w:id="613296015">
      <w:bodyDiv w:val="1"/>
      <w:marLeft w:val="0"/>
      <w:marRight w:val="0"/>
      <w:marTop w:val="0"/>
      <w:marBottom w:val="0"/>
      <w:divBdr>
        <w:top w:val="none" w:sz="0" w:space="0" w:color="auto"/>
        <w:left w:val="none" w:sz="0" w:space="0" w:color="auto"/>
        <w:bottom w:val="none" w:sz="0" w:space="0" w:color="auto"/>
        <w:right w:val="none" w:sz="0" w:space="0" w:color="auto"/>
      </w:divBdr>
    </w:div>
    <w:div w:id="626354116">
      <w:bodyDiv w:val="1"/>
      <w:marLeft w:val="0"/>
      <w:marRight w:val="0"/>
      <w:marTop w:val="0"/>
      <w:marBottom w:val="0"/>
      <w:divBdr>
        <w:top w:val="none" w:sz="0" w:space="0" w:color="auto"/>
        <w:left w:val="none" w:sz="0" w:space="0" w:color="auto"/>
        <w:bottom w:val="none" w:sz="0" w:space="0" w:color="auto"/>
        <w:right w:val="none" w:sz="0" w:space="0" w:color="auto"/>
      </w:divBdr>
    </w:div>
    <w:div w:id="631713135">
      <w:bodyDiv w:val="1"/>
      <w:marLeft w:val="0"/>
      <w:marRight w:val="0"/>
      <w:marTop w:val="0"/>
      <w:marBottom w:val="0"/>
      <w:divBdr>
        <w:top w:val="none" w:sz="0" w:space="0" w:color="auto"/>
        <w:left w:val="none" w:sz="0" w:space="0" w:color="auto"/>
        <w:bottom w:val="none" w:sz="0" w:space="0" w:color="auto"/>
        <w:right w:val="none" w:sz="0" w:space="0" w:color="auto"/>
      </w:divBdr>
    </w:div>
    <w:div w:id="632296162">
      <w:bodyDiv w:val="1"/>
      <w:marLeft w:val="0"/>
      <w:marRight w:val="0"/>
      <w:marTop w:val="0"/>
      <w:marBottom w:val="0"/>
      <w:divBdr>
        <w:top w:val="none" w:sz="0" w:space="0" w:color="auto"/>
        <w:left w:val="none" w:sz="0" w:space="0" w:color="auto"/>
        <w:bottom w:val="none" w:sz="0" w:space="0" w:color="auto"/>
        <w:right w:val="none" w:sz="0" w:space="0" w:color="auto"/>
      </w:divBdr>
    </w:div>
    <w:div w:id="646979428">
      <w:bodyDiv w:val="1"/>
      <w:marLeft w:val="0"/>
      <w:marRight w:val="0"/>
      <w:marTop w:val="0"/>
      <w:marBottom w:val="0"/>
      <w:divBdr>
        <w:top w:val="none" w:sz="0" w:space="0" w:color="auto"/>
        <w:left w:val="none" w:sz="0" w:space="0" w:color="auto"/>
        <w:bottom w:val="none" w:sz="0" w:space="0" w:color="auto"/>
        <w:right w:val="none" w:sz="0" w:space="0" w:color="auto"/>
      </w:divBdr>
    </w:div>
    <w:div w:id="647516391">
      <w:bodyDiv w:val="1"/>
      <w:marLeft w:val="0"/>
      <w:marRight w:val="0"/>
      <w:marTop w:val="0"/>
      <w:marBottom w:val="0"/>
      <w:divBdr>
        <w:top w:val="none" w:sz="0" w:space="0" w:color="auto"/>
        <w:left w:val="none" w:sz="0" w:space="0" w:color="auto"/>
        <w:bottom w:val="none" w:sz="0" w:space="0" w:color="auto"/>
        <w:right w:val="none" w:sz="0" w:space="0" w:color="auto"/>
      </w:divBdr>
    </w:div>
    <w:div w:id="653677780">
      <w:bodyDiv w:val="1"/>
      <w:marLeft w:val="0"/>
      <w:marRight w:val="0"/>
      <w:marTop w:val="0"/>
      <w:marBottom w:val="0"/>
      <w:divBdr>
        <w:top w:val="none" w:sz="0" w:space="0" w:color="auto"/>
        <w:left w:val="none" w:sz="0" w:space="0" w:color="auto"/>
        <w:bottom w:val="none" w:sz="0" w:space="0" w:color="auto"/>
        <w:right w:val="none" w:sz="0" w:space="0" w:color="auto"/>
      </w:divBdr>
    </w:div>
    <w:div w:id="653722148">
      <w:bodyDiv w:val="1"/>
      <w:marLeft w:val="0"/>
      <w:marRight w:val="0"/>
      <w:marTop w:val="0"/>
      <w:marBottom w:val="0"/>
      <w:divBdr>
        <w:top w:val="none" w:sz="0" w:space="0" w:color="auto"/>
        <w:left w:val="none" w:sz="0" w:space="0" w:color="auto"/>
        <w:bottom w:val="none" w:sz="0" w:space="0" w:color="auto"/>
        <w:right w:val="none" w:sz="0" w:space="0" w:color="auto"/>
      </w:divBdr>
    </w:div>
    <w:div w:id="653723653">
      <w:bodyDiv w:val="1"/>
      <w:marLeft w:val="0"/>
      <w:marRight w:val="0"/>
      <w:marTop w:val="0"/>
      <w:marBottom w:val="0"/>
      <w:divBdr>
        <w:top w:val="none" w:sz="0" w:space="0" w:color="auto"/>
        <w:left w:val="none" w:sz="0" w:space="0" w:color="auto"/>
        <w:bottom w:val="none" w:sz="0" w:space="0" w:color="auto"/>
        <w:right w:val="none" w:sz="0" w:space="0" w:color="auto"/>
      </w:divBdr>
    </w:div>
    <w:div w:id="657613165">
      <w:bodyDiv w:val="1"/>
      <w:marLeft w:val="0"/>
      <w:marRight w:val="0"/>
      <w:marTop w:val="0"/>
      <w:marBottom w:val="0"/>
      <w:divBdr>
        <w:top w:val="none" w:sz="0" w:space="0" w:color="auto"/>
        <w:left w:val="none" w:sz="0" w:space="0" w:color="auto"/>
        <w:bottom w:val="none" w:sz="0" w:space="0" w:color="auto"/>
        <w:right w:val="none" w:sz="0" w:space="0" w:color="auto"/>
      </w:divBdr>
    </w:div>
    <w:div w:id="659427867">
      <w:bodyDiv w:val="1"/>
      <w:marLeft w:val="0"/>
      <w:marRight w:val="0"/>
      <w:marTop w:val="0"/>
      <w:marBottom w:val="0"/>
      <w:divBdr>
        <w:top w:val="none" w:sz="0" w:space="0" w:color="auto"/>
        <w:left w:val="none" w:sz="0" w:space="0" w:color="auto"/>
        <w:bottom w:val="none" w:sz="0" w:space="0" w:color="auto"/>
        <w:right w:val="none" w:sz="0" w:space="0" w:color="auto"/>
      </w:divBdr>
    </w:div>
    <w:div w:id="668755682">
      <w:bodyDiv w:val="1"/>
      <w:marLeft w:val="0"/>
      <w:marRight w:val="0"/>
      <w:marTop w:val="0"/>
      <w:marBottom w:val="0"/>
      <w:divBdr>
        <w:top w:val="none" w:sz="0" w:space="0" w:color="auto"/>
        <w:left w:val="none" w:sz="0" w:space="0" w:color="auto"/>
        <w:bottom w:val="none" w:sz="0" w:space="0" w:color="auto"/>
        <w:right w:val="none" w:sz="0" w:space="0" w:color="auto"/>
      </w:divBdr>
    </w:div>
    <w:div w:id="681129040">
      <w:bodyDiv w:val="1"/>
      <w:marLeft w:val="0"/>
      <w:marRight w:val="0"/>
      <w:marTop w:val="0"/>
      <w:marBottom w:val="0"/>
      <w:divBdr>
        <w:top w:val="none" w:sz="0" w:space="0" w:color="auto"/>
        <w:left w:val="none" w:sz="0" w:space="0" w:color="auto"/>
        <w:bottom w:val="none" w:sz="0" w:space="0" w:color="auto"/>
        <w:right w:val="none" w:sz="0" w:space="0" w:color="auto"/>
      </w:divBdr>
    </w:div>
    <w:div w:id="685250409">
      <w:bodyDiv w:val="1"/>
      <w:marLeft w:val="0"/>
      <w:marRight w:val="0"/>
      <w:marTop w:val="0"/>
      <w:marBottom w:val="0"/>
      <w:divBdr>
        <w:top w:val="none" w:sz="0" w:space="0" w:color="auto"/>
        <w:left w:val="none" w:sz="0" w:space="0" w:color="auto"/>
        <w:bottom w:val="none" w:sz="0" w:space="0" w:color="auto"/>
        <w:right w:val="none" w:sz="0" w:space="0" w:color="auto"/>
      </w:divBdr>
    </w:div>
    <w:div w:id="688526305">
      <w:bodyDiv w:val="1"/>
      <w:marLeft w:val="0"/>
      <w:marRight w:val="0"/>
      <w:marTop w:val="0"/>
      <w:marBottom w:val="0"/>
      <w:divBdr>
        <w:top w:val="none" w:sz="0" w:space="0" w:color="auto"/>
        <w:left w:val="none" w:sz="0" w:space="0" w:color="auto"/>
        <w:bottom w:val="none" w:sz="0" w:space="0" w:color="auto"/>
        <w:right w:val="none" w:sz="0" w:space="0" w:color="auto"/>
      </w:divBdr>
    </w:div>
    <w:div w:id="692346222">
      <w:bodyDiv w:val="1"/>
      <w:marLeft w:val="0"/>
      <w:marRight w:val="0"/>
      <w:marTop w:val="0"/>
      <w:marBottom w:val="0"/>
      <w:divBdr>
        <w:top w:val="none" w:sz="0" w:space="0" w:color="auto"/>
        <w:left w:val="none" w:sz="0" w:space="0" w:color="auto"/>
        <w:bottom w:val="none" w:sz="0" w:space="0" w:color="auto"/>
        <w:right w:val="none" w:sz="0" w:space="0" w:color="auto"/>
      </w:divBdr>
    </w:div>
    <w:div w:id="693119496">
      <w:bodyDiv w:val="1"/>
      <w:marLeft w:val="0"/>
      <w:marRight w:val="0"/>
      <w:marTop w:val="0"/>
      <w:marBottom w:val="0"/>
      <w:divBdr>
        <w:top w:val="none" w:sz="0" w:space="0" w:color="auto"/>
        <w:left w:val="none" w:sz="0" w:space="0" w:color="auto"/>
        <w:bottom w:val="none" w:sz="0" w:space="0" w:color="auto"/>
        <w:right w:val="none" w:sz="0" w:space="0" w:color="auto"/>
      </w:divBdr>
    </w:div>
    <w:div w:id="699553626">
      <w:bodyDiv w:val="1"/>
      <w:marLeft w:val="0"/>
      <w:marRight w:val="0"/>
      <w:marTop w:val="0"/>
      <w:marBottom w:val="0"/>
      <w:divBdr>
        <w:top w:val="none" w:sz="0" w:space="0" w:color="auto"/>
        <w:left w:val="none" w:sz="0" w:space="0" w:color="auto"/>
        <w:bottom w:val="none" w:sz="0" w:space="0" w:color="auto"/>
        <w:right w:val="none" w:sz="0" w:space="0" w:color="auto"/>
      </w:divBdr>
    </w:div>
    <w:div w:id="699669305">
      <w:bodyDiv w:val="1"/>
      <w:marLeft w:val="0"/>
      <w:marRight w:val="0"/>
      <w:marTop w:val="0"/>
      <w:marBottom w:val="0"/>
      <w:divBdr>
        <w:top w:val="none" w:sz="0" w:space="0" w:color="auto"/>
        <w:left w:val="none" w:sz="0" w:space="0" w:color="auto"/>
        <w:bottom w:val="none" w:sz="0" w:space="0" w:color="auto"/>
        <w:right w:val="none" w:sz="0" w:space="0" w:color="auto"/>
      </w:divBdr>
    </w:div>
    <w:div w:id="713501509">
      <w:bodyDiv w:val="1"/>
      <w:marLeft w:val="0"/>
      <w:marRight w:val="0"/>
      <w:marTop w:val="0"/>
      <w:marBottom w:val="0"/>
      <w:divBdr>
        <w:top w:val="none" w:sz="0" w:space="0" w:color="auto"/>
        <w:left w:val="none" w:sz="0" w:space="0" w:color="auto"/>
        <w:bottom w:val="none" w:sz="0" w:space="0" w:color="auto"/>
        <w:right w:val="none" w:sz="0" w:space="0" w:color="auto"/>
      </w:divBdr>
    </w:div>
    <w:div w:id="730467920">
      <w:bodyDiv w:val="1"/>
      <w:marLeft w:val="0"/>
      <w:marRight w:val="0"/>
      <w:marTop w:val="0"/>
      <w:marBottom w:val="0"/>
      <w:divBdr>
        <w:top w:val="none" w:sz="0" w:space="0" w:color="auto"/>
        <w:left w:val="none" w:sz="0" w:space="0" w:color="auto"/>
        <w:bottom w:val="none" w:sz="0" w:space="0" w:color="auto"/>
        <w:right w:val="none" w:sz="0" w:space="0" w:color="auto"/>
      </w:divBdr>
    </w:div>
    <w:div w:id="741607160">
      <w:bodyDiv w:val="1"/>
      <w:marLeft w:val="0"/>
      <w:marRight w:val="0"/>
      <w:marTop w:val="0"/>
      <w:marBottom w:val="0"/>
      <w:divBdr>
        <w:top w:val="none" w:sz="0" w:space="0" w:color="auto"/>
        <w:left w:val="none" w:sz="0" w:space="0" w:color="auto"/>
        <w:bottom w:val="none" w:sz="0" w:space="0" w:color="auto"/>
        <w:right w:val="none" w:sz="0" w:space="0" w:color="auto"/>
      </w:divBdr>
    </w:div>
    <w:div w:id="743262262">
      <w:bodyDiv w:val="1"/>
      <w:marLeft w:val="0"/>
      <w:marRight w:val="0"/>
      <w:marTop w:val="0"/>
      <w:marBottom w:val="0"/>
      <w:divBdr>
        <w:top w:val="none" w:sz="0" w:space="0" w:color="auto"/>
        <w:left w:val="none" w:sz="0" w:space="0" w:color="auto"/>
        <w:bottom w:val="none" w:sz="0" w:space="0" w:color="auto"/>
        <w:right w:val="none" w:sz="0" w:space="0" w:color="auto"/>
      </w:divBdr>
    </w:div>
    <w:div w:id="744844295">
      <w:bodyDiv w:val="1"/>
      <w:marLeft w:val="0"/>
      <w:marRight w:val="0"/>
      <w:marTop w:val="0"/>
      <w:marBottom w:val="0"/>
      <w:divBdr>
        <w:top w:val="none" w:sz="0" w:space="0" w:color="auto"/>
        <w:left w:val="none" w:sz="0" w:space="0" w:color="auto"/>
        <w:bottom w:val="none" w:sz="0" w:space="0" w:color="auto"/>
        <w:right w:val="none" w:sz="0" w:space="0" w:color="auto"/>
      </w:divBdr>
    </w:div>
    <w:div w:id="754085867">
      <w:bodyDiv w:val="1"/>
      <w:marLeft w:val="0"/>
      <w:marRight w:val="0"/>
      <w:marTop w:val="0"/>
      <w:marBottom w:val="0"/>
      <w:divBdr>
        <w:top w:val="none" w:sz="0" w:space="0" w:color="auto"/>
        <w:left w:val="none" w:sz="0" w:space="0" w:color="auto"/>
        <w:bottom w:val="none" w:sz="0" w:space="0" w:color="auto"/>
        <w:right w:val="none" w:sz="0" w:space="0" w:color="auto"/>
      </w:divBdr>
    </w:div>
    <w:div w:id="763844311">
      <w:bodyDiv w:val="1"/>
      <w:marLeft w:val="0"/>
      <w:marRight w:val="0"/>
      <w:marTop w:val="0"/>
      <w:marBottom w:val="0"/>
      <w:divBdr>
        <w:top w:val="none" w:sz="0" w:space="0" w:color="auto"/>
        <w:left w:val="none" w:sz="0" w:space="0" w:color="auto"/>
        <w:bottom w:val="none" w:sz="0" w:space="0" w:color="auto"/>
        <w:right w:val="none" w:sz="0" w:space="0" w:color="auto"/>
      </w:divBdr>
    </w:div>
    <w:div w:id="765350377">
      <w:bodyDiv w:val="1"/>
      <w:marLeft w:val="0"/>
      <w:marRight w:val="0"/>
      <w:marTop w:val="0"/>
      <w:marBottom w:val="0"/>
      <w:divBdr>
        <w:top w:val="none" w:sz="0" w:space="0" w:color="auto"/>
        <w:left w:val="none" w:sz="0" w:space="0" w:color="auto"/>
        <w:bottom w:val="none" w:sz="0" w:space="0" w:color="auto"/>
        <w:right w:val="none" w:sz="0" w:space="0" w:color="auto"/>
      </w:divBdr>
    </w:div>
    <w:div w:id="769198548">
      <w:bodyDiv w:val="1"/>
      <w:marLeft w:val="0"/>
      <w:marRight w:val="0"/>
      <w:marTop w:val="0"/>
      <w:marBottom w:val="0"/>
      <w:divBdr>
        <w:top w:val="none" w:sz="0" w:space="0" w:color="auto"/>
        <w:left w:val="none" w:sz="0" w:space="0" w:color="auto"/>
        <w:bottom w:val="none" w:sz="0" w:space="0" w:color="auto"/>
        <w:right w:val="none" w:sz="0" w:space="0" w:color="auto"/>
      </w:divBdr>
    </w:div>
    <w:div w:id="771315132">
      <w:bodyDiv w:val="1"/>
      <w:marLeft w:val="0"/>
      <w:marRight w:val="0"/>
      <w:marTop w:val="0"/>
      <w:marBottom w:val="0"/>
      <w:divBdr>
        <w:top w:val="none" w:sz="0" w:space="0" w:color="auto"/>
        <w:left w:val="none" w:sz="0" w:space="0" w:color="auto"/>
        <w:bottom w:val="none" w:sz="0" w:space="0" w:color="auto"/>
        <w:right w:val="none" w:sz="0" w:space="0" w:color="auto"/>
      </w:divBdr>
    </w:div>
    <w:div w:id="781387520">
      <w:bodyDiv w:val="1"/>
      <w:marLeft w:val="0"/>
      <w:marRight w:val="0"/>
      <w:marTop w:val="0"/>
      <w:marBottom w:val="0"/>
      <w:divBdr>
        <w:top w:val="none" w:sz="0" w:space="0" w:color="auto"/>
        <w:left w:val="none" w:sz="0" w:space="0" w:color="auto"/>
        <w:bottom w:val="none" w:sz="0" w:space="0" w:color="auto"/>
        <w:right w:val="none" w:sz="0" w:space="0" w:color="auto"/>
      </w:divBdr>
    </w:div>
    <w:div w:id="782267626">
      <w:bodyDiv w:val="1"/>
      <w:marLeft w:val="0"/>
      <w:marRight w:val="0"/>
      <w:marTop w:val="0"/>
      <w:marBottom w:val="0"/>
      <w:divBdr>
        <w:top w:val="none" w:sz="0" w:space="0" w:color="auto"/>
        <w:left w:val="none" w:sz="0" w:space="0" w:color="auto"/>
        <w:bottom w:val="none" w:sz="0" w:space="0" w:color="auto"/>
        <w:right w:val="none" w:sz="0" w:space="0" w:color="auto"/>
      </w:divBdr>
    </w:div>
    <w:div w:id="791361513">
      <w:bodyDiv w:val="1"/>
      <w:marLeft w:val="0"/>
      <w:marRight w:val="0"/>
      <w:marTop w:val="0"/>
      <w:marBottom w:val="0"/>
      <w:divBdr>
        <w:top w:val="none" w:sz="0" w:space="0" w:color="auto"/>
        <w:left w:val="none" w:sz="0" w:space="0" w:color="auto"/>
        <w:bottom w:val="none" w:sz="0" w:space="0" w:color="auto"/>
        <w:right w:val="none" w:sz="0" w:space="0" w:color="auto"/>
      </w:divBdr>
    </w:div>
    <w:div w:id="791821715">
      <w:bodyDiv w:val="1"/>
      <w:marLeft w:val="0"/>
      <w:marRight w:val="0"/>
      <w:marTop w:val="0"/>
      <w:marBottom w:val="0"/>
      <w:divBdr>
        <w:top w:val="none" w:sz="0" w:space="0" w:color="auto"/>
        <w:left w:val="none" w:sz="0" w:space="0" w:color="auto"/>
        <w:bottom w:val="none" w:sz="0" w:space="0" w:color="auto"/>
        <w:right w:val="none" w:sz="0" w:space="0" w:color="auto"/>
      </w:divBdr>
    </w:div>
    <w:div w:id="791947556">
      <w:bodyDiv w:val="1"/>
      <w:marLeft w:val="0"/>
      <w:marRight w:val="0"/>
      <w:marTop w:val="0"/>
      <w:marBottom w:val="0"/>
      <w:divBdr>
        <w:top w:val="none" w:sz="0" w:space="0" w:color="auto"/>
        <w:left w:val="none" w:sz="0" w:space="0" w:color="auto"/>
        <w:bottom w:val="none" w:sz="0" w:space="0" w:color="auto"/>
        <w:right w:val="none" w:sz="0" w:space="0" w:color="auto"/>
      </w:divBdr>
    </w:div>
    <w:div w:id="797261326">
      <w:bodyDiv w:val="1"/>
      <w:marLeft w:val="0"/>
      <w:marRight w:val="0"/>
      <w:marTop w:val="0"/>
      <w:marBottom w:val="0"/>
      <w:divBdr>
        <w:top w:val="none" w:sz="0" w:space="0" w:color="auto"/>
        <w:left w:val="none" w:sz="0" w:space="0" w:color="auto"/>
        <w:bottom w:val="none" w:sz="0" w:space="0" w:color="auto"/>
        <w:right w:val="none" w:sz="0" w:space="0" w:color="auto"/>
      </w:divBdr>
    </w:div>
    <w:div w:id="799151026">
      <w:bodyDiv w:val="1"/>
      <w:marLeft w:val="0"/>
      <w:marRight w:val="0"/>
      <w:marTop w:val="0"/>
      <w:marBottom w:val="0"/>
      <w:divBdr>
        <w:top w:val="none" w:sz="0" w:space="0" w:color="auto"/>
        <w:left w:val="none" w:sz="0" w:space="0" w:color="auto"/>
        <w:bottom w:val="none" w:sz="0" w:space="0" w:color="auto"/>
        <w:right w:val="none" w:sz="0" w:space="0" w:color="auto"/>
      </w:divBdr>
    </w:div>
    <w:div w:id="822433936">
      <w:bodyDiv w:val="1"/>
      <w:marLeft w:val="0"/>
      <w:marRight w:val="0"/>
      <w:marTop w:val="0"/>
      <w:marBottom w:val="0"/>
      <w:divBdr>
        <w:top w:val="none" w:sz="0" w:space="0" w:color="auto"/>
        <w:left w:val="none" w:sz="0" w:space="0" w:color="auto"/>
        <w:bottom w:val="none" w:sz="0" w:space="0" w:color="auto"/>
        <w:right w:val="none" w:sz="0" w:space="0" w:color="auto"/>
      </w:divBdr>
    </w:div>
    <w:div w:id="828442658">
      <w:bodyDiv w:val="1"/>
      <w:marLeft w:val="0"/>
      <w:marRight w:val="0"/>
      <w:marTop w:val="0"/>
      <w:marBottom w:val="0"/>
      <w:divBdr>
        <w:top w:val="none" w:sz="0" w:space="0" w:color="auto"/>
        <w:left w:val="none" w:sz="0" w:space="0" w:color="auto"/>
        <w:bottom w:val="none" w:sz="0" w:space="0" w:color="auto"/>
        <w:right w:val="none" w:sz="0" w:space="0" w:color="auto"/>
      </w:divBdr>
    </w:div>
    <w:div w:id="828521345">
      <w:bodyDiv w:val="1"/>
      <w:marLeft w:val="0"/>
      <w:marRight w:val="0"/>
      <w:marTop w:val="0"/>
      <w:marBottom w:val="0"/>
      <w:divBdr>
        <w:top w:val="none" w:sz="0" w:space="0" w:color="auto"/>
        <w:left w:val="none" w:sz="0" w:space="0" w:color="auto"/>
        <w:bottom w:val="none" w:sz="0" w:space="0" w:color="auto"/>
        <w:right w:val="none" w:sz="0" w:space="0" w:color="auto"/>
      </w:divBdr>
    </w:div>
    <w:div w:id="847253639">
      <w:bodyDiv w:val="1"/>
      <w:marLeft w:val="0"/>
      <w:marRight w:val="0"/>
      <w:marTop w:val="0"/>
      <w:marBottom w:val="0"/>
      <w:divBdr>
        <w:top w:val="none" w:sz="0" w:space="0" w:color="auto"/>
        <w:left w:val="none" w:sz="0" w:space="0" w:color="auto"/>
        <w:bottom w:val="none" w:sz="0" w:space="0" w:color="auto"/>
        <w:right w:val="none" w:sz="0" w:space="0" w:color="auto"/>
      </w:divBdr>
    </w:div>
    <w:div w:id="854726775">
      <w:bodyDiv w:val="1"/>
      <w:marLeft w:val="0"/>
      <w:marRight w:val="0"/>
      <w:marTop w:val="0"/>
      <w:marBottom w:val="0"/>
      <w:divBdr>
        <w:top w:val="none" w:sz="0" w:space="0" w:color="auto"/>
        <w:left w:val="none" w:sz="0" w:space="0" w:color="auto"/>
        <w:bottom w:val="none" w:sz="0" w:space="0" w:color="auto"/>
        <w:right w:val="none" w:sz="0" w:space="0" w:color="auto"/>
      </w:divBdr>
    </w:div>
    <w:div w:id="854880920">
      <w:bodyDiv w:val="1"/>
      <w:marLeft w:val="0"/>
      <w:marRight w:val="0"/>
      <w:marTop w:val="0"/>
      <w:marBottom w:val="0"/>
      <w:divBdr>
        <w:top w:val="none" w:sz="0" w:space="0" w:color="auto"/>
        <w:left w:val="none" w:sz="0" w:space="0" w:color="auto"/>
        <w:bottom w:val="none" w:sz="0" w:space="0" w:color="auto"/>
        <w:right w:val="none" w:sz="0" w:space="0" w:color="auto"/>
      </w:divBdr>
    </w:div>
    <w:div w:id="859244508">
      <w:bodyDiv w:val="1"/>
      <w:marLeft w:val="0"/>
      <w:marRight w:val="0"/>
      <w:marTop w:val="0"/>
      <w:marBottom w:val="0"/>
      <w:divBdr>
        <w:top w:val="none" w:sz="0" w:space="0" w:color="auto"/>
        <w:left w:val="none" w:sz="0" w:space="0" w:color="auto"/>
        <w:bottom w:val="none" w:sz="0" w:space="0" w:color="auto"/>
        <w:right w:val="none" w:sz="0" w:space="0" w:color="auto"/>
      </w:divBdr>
    </w:div>
    <w:div w:id="859658441">
      <w:bodyDiv w:val="1"/>
      <w:marLeft w:val="0"/>
      <w:marRight w:val="0"/>
      <w:marTop w:val="0"/>
      <w:marBottom w:val="0"/>
      <w:divBdr>
        <w:top w:val="none" w:sz="0" w:space="0" w:color="auto"/>
        <w:left w:val="none" w:sz="0" w:space="0" w:color="auto"/>
        <w:bottom w:val="none" w:sz="0" w:space="0" w:color="auto"/>
        <w:right w:val="none" w:sz="0" w:space="0" w:color="auto"/>
      </w:divBdr>
    </w:div>
    <w:div w:id="860242966">
      <w:bodyDiv w:val="1"/>
      <w:marLeft w:val="0"/>
      <w:marRight w:val="0"/>
      <w:marTop w:val="0"/>
      <w:marBottom w:val="0"/>
      <w:divBdr>
        <w:top w:val="none" w:sz="0" w:space="0" w:color="auto"/>
        <w:left w:val="none" w:sz="0" w:space="0" w:color="auto"/>
        <w:bottom w:val="none" w:sz="0" w:space="0" w:color="auto"/>
        <w:right w:val="none" w:sz="0" w:space="0" w:color="auto"/>
      </w:divBdr>
    </w:div>
    <w:div w:id="863397753">
      <w:bodyDiv w:val="1"/>
      <w:marLeft w:val="0"/>
      <w:marRight w:val="0"/>
      <w:marTop w:val="0"/>
      <w:marBottom w:val="0"/>
      <w:divBdr>
        <w:top w:val="none" w:sz="0" w:space="0" w:color="auto"/>
        <w:left w:val="none" w:sz="0" w:space="0" w:color="auto"/>
        <w:bottom w:val="none" w:sz="0" w:space="0" w:color="auto"/>
        <w:right w:val="none" w:sz="0" w:space="0" w:color="auto"/>
      </w:divBdr>
    </w:div>
    <w:div w:id="864560348">
      <w:bodyDiv w:val="1"/>
      <w:marLeft w:val="0"/>
      <w:marRight w:val="0"/>
      <w:marTop w:val="0"/>
      <w:marBottom w:val="0"/>
      <w:divBdr>
        <w:top w:val="none" w:sz="0" w:space="0" w:color="auto"/>
        <w:left w:val="none" w:sz="0" w:space="0" w:color="auto"/>
        <w:bottom w:val="none" w:sz="0" w:space="0" w:color="auto"/>
        <w:right w:val="none" w:sz="0" w:space="0" w:color="auto"/>
      </w:divBdr>
    </w:div>
    <w:div w:id="869758342">
      <w:bodyDiv w:val="1"/>
      <w:marLeft w:val="0"/>
      <w:marRight w:val="0"/>
      <w:marTop w:val="0"/>
      <w:marBottom w:val="0"/>
      <w:divBdr>
        <w:top w:val="none" w:sz="0" w:space="0" w:color="auto"/>
        <w:left w:val="none" w:sz="0" w:space="0" w:color="auto"/>
        <w:bottom w:val="none" w:sz="0" w:space="0" w:color="auto"/>
        <w:right w:val="none" w:sz="0" w:space="0" w:color="auto"/>
      </w:divBdr>
    </w:div>
    <w:div w:id="871188044">
      <w:bodyDiv w:val="1"/>
      <w:marLeft w:val="0"/>
      <w:marRight w:val="0"/>
      <w:marTop w:val="0"/>
      <w:marBottom w:val="0"/>
      <w:divBdr>
        <w:top w:val="none" w:sz="0" w:space="0" w:color="auto"/>
        <w:left w:val="none" w:sz="0" w:space="0" w:color="auto"/>
        <w:bottom w:val="none" w:sz="0" w:space="0" w:color="auto"/>
        <w:right w:val="none" w:sz="0" w:space="0" w:color="auto"/>
      </w:divBdr>
    </w:div>
    <w:div w:id="871499180">
      <w:bodyDiv w:val="1"/>
      <w:marLeft w:val="0"/>
      <w:marRight w:val="0"/>
      <w:marTop w:val="0"/>
      <w:marBottom w:val="0"/>
      <w:divBdr>
        <w:top w:val="none" w:sz="0" w:space="0" w:color="auto"/>
        <w:left w:val="none" w:sz="0" w:space="0" w:color="auto"/>
        <w:bottom w:val="none" w:sz="0" w:space="0" w:color="auto"/>
        <w:right w:val="none" w:sz="0" w:space="0" w:color="auto"/>
      </w:divBdr>
    </w:div>
    <w:div w:id="872689051">
      <w:bodyDiv w:val="1"/>
      <w:marLeft w:val="0"/>
      <w:marRight w:val="0"/>
      <w:marTop w:val="0"/>
      <w:marBottom w:val="0"/>
      <w:divBdr>
        <w:top w:val="none" w:sz="0" w:space="0" w:color="auto"/>
        <w:left w:val="none" w:sz="0" w:space="0" w:color="auto"/>
        <w:bottom w:val="none" w:sz="0" w:space="0" w:color="auto"/>
        <w:right w:val="none" w:sz="0" w:space="0" w:color="auto"/>
      </w:divBdr>
    </w:div>
    <w:div w:id="874729658">
      <w:bodyDiv w:val="1"/>
      <w:marLeft w:val="0"/>
      <w:marRight w:val="0"/>
      <w:marTop w:val="0"/>
      <w:marBottom w:val="0"/>
      <w:divBdr>
        <w:top w:val="none" w:sz="0" w:space="0" w:color="auto"/>
        <w:left w:val="none" w:sz="0" w:space="0" w:color="auto"/>
        <w:bottom w:val="none" w:sz="0" w:space="0" w:color="auto"/>
        <w:right w:val="none" w:sz="0" w:space="0" w:color="auto"/>
      </w:divBdr>
    </w:div>
    <w:div w:id="875041109">
      <w:bodyDiv w:val="1"/>
      <w:marLeft w:val="0"/>
      <w:marRight w:val="0"/>
      <w:marTop w:val="0"/>
      <w:marBottom w:val="0"/>
      <w:divBdr>
        <w:top w:val="none" w:sz="0" w:space="0" w:color="auto"/>
        <w:left w:val="none" w:sz="0" w:space="0" w:color="auto"/>
        <w:bottom w:val="none" w:sz="0" w:space="0" w:color="auto"/>
        <w:right w:val="none" w:sz="0" w:space="0" w:color="auto"/>
      </w:divBdr>
    </w:div>
    <w:div w:id="879589079">
      <w:bodyDiv w:val="1"/>
      <w:marLeft w:val="0"/>
      <w:marRight w:val="0"/>
      <w:marTop w:val="0"/>
      <w:marBottom w:val="0"/>
      <w:divBdr>
        <w:top w:val="none" w:sz="0" w:space="0" w:color="auto"/>
        <w:left w:val="none" w:sz="0" w:space="0" w:color="auto"/>
        <w:bottom w:val="none" w:sz="0" w:space="0" w:color="auto"/>
        <w:right w:val="none" w:sz="0" w:space="0" w:color="auto"/>
      </w:divBdr>
    </w:div>
    <w:div w:id="896937281">
      <w:bodyDiv w:val="1"/>
      <w:marLeft w:val="0"/>
      <w:marRight w:val="0"/>
      <w:marTop w:val="0"/>
      <w:marBottom w:val="0"/>
      <w:divBdr>
        <w:top w:val="none" w:sz="0" w:space="0" w:color="auto"/>
        <w:left w:val="none" w:sz="0" w:space="0" w:color="auto"/>
        <w:bottom w:val="none" w:sz="0" w:space="0" w:color="auto"/>
        <w:right w:val="none" w:sz="0" w:space="0" w:color="auto"/>
      </w:divBdr>
    </w:div>
    <w:div w:id="899946640">
      <w:bodyDiv w:val="1"/>
      <w:marLeft w:val="0"/>
      <w:marRight w:val="0"/>
      <w:marTop w:val="0"/>
      <w:marBottom w:val="0"/>
      <w:divBdr>
        <w:top w:val="none" w:sz="0" w:space="0" w:color="auto"/>
        <w:left w:val="none" w:sz="0" w:space="0" w:color="auto"/>
        <w:bottom w:val="none" w:sz="0" w:space="0" w:color="auto"/>
        <w:right w:val="none" w:sz="0" w:space="0" w:color="auto"/>
      </w:divBdr>
    </w:div>
    <w:div w:id="901526395">
      <w:bodyDiv w:val="1"/>
      <w:marLeft w:val="0"/>
      <w:marRight w:val="0"/>
      <w:marTop w:val="0"/>
      <w:marBottom w:val="0"/>
      <w:divBdr>
        <w:top w:val="none" w:sz="0" w:space="0" w:color="auto"/>
        <w:left w:val="none" w:sz="0" w:space="0" w:color="auto"/>
        <w:bottom w:val="none" w:sz="0" w:space="0" w:color="auto"/>
        <w:right w:val="none" w:sz="0" w:space="0" w:color="auto"/>
      </w:divBdr>
    </w:div>
    <w:div w:id="905341317">
      <w:bodyDiv w:val="1"/>
      <w:marLeft w:val="0"/>
      <w:marRight w:val="0"/>
      <w:marTop w:val="0"/>
      <w:marBottom w:val="0"/>
      <w:divBdr>
        <w:top w:val="none" w:sz="0" w:space="0" w:color="auto"/>
        <w:left w:val="none" w:sz="0" w:space="0" w:color="auto"/>
        <w:bottom w:val="none" w:sz="0" w:space="0" w:color="auto"/>
        <w:right w:val="none" w:sz="0" w:space="0" w:color="auto"/>
      </w:divBdr>
    </w:div>
    <w:div w:id="913466149">
      <w:bodyDiv w:val="1"/>
      <w:marLeft w:val="0"/>
      <w:marRight w:val="0"/>
      <w:marTop w:val="0"/>
      <w:marBottom w:val="0"/>
      <w:divBdr>
        <w:top w:val="none" w:sz="0" w:space="0" w:color="auto"/>
        <w:left w:val="none" w:sz="0" w:space="0" w:color="auto"/>
        <w:bottom w:val="none" w:sz="0" w:space="0" w:color="auto"/>
        <w:right w:val="none" w:sz="0" w:space="0" w:color="auto"/>
      </w:divBdr>
    </w:div>
    <w:div w:id="915286890">
      <w:bodyDiv w:val="1"/>
      <w:marLeft w:val="0"/>
      <w:marRight w:val="0"/>
      <w:marTop w:val="0"/>
      <w:marBottom w:val="0"/>
      <w:divBdr>
        <w:top w:val="none" w:sz="0" w:space="0" w:color="auto"/>
        <w:left w:val="none" w:sz="0" w:space="0" w:color="auto"/>
        <w:bottom w:val="none" w:sz="0" w:space="0" w:color="auto"/>
        <w:right w:val="none" w:sz="0" w:space="0" w:color="auto"/>
      </w:divBdr>
    </w:div>
    <w:div w:id="918445709">
      <w:bodyDiv w:val="1"/>
      <w:marLeft w:val="0"/>
      <w:marRight w:val="0"/>
      <w:marTop w:val="0"/>
      <w:marBottom w:val="0"/>
      <w:divBdr>
        <w:top w:val="none" w:sz="0" w:space="0" w:color="auto"/>
        <w:left w:val="none" w:sz="0" w:space="0" w:color="auto"/>
        <w:bottom w:val="none" w:sz="0" w:space="0" w:color="auto"/>
        <w:right w:val="none" w:sz="0" w:space="0" w:color="auto"/>
      </w:divBdr>
    </w:div>
    <w:div w:id="921640901">
      <w:bodyDiv w:val="1"/>
      <w:marLeft w:val="0"/>
      <w:marRight w:val="0"/>
      <w:marTop w:val="0"/>
      <w:marBottom w:val="0"/>
      <w:divBdr>
        <w:top w:val="none" w:sz="0" w:space="0" w:color="auto"/>
        <w:left w:val="none" w:sz="0" w:space="0" w:color="auto"/>
        <w:bottom w:val="none" w:sz="0" w:space="0" w:color="auto"/>
        <w:right w:val="none" w:sz="0" w:space="0" w:color="auto"/>
      </w:divBdr>
    </w:div>
    <w:div w:id="928998952">
      <w:bodyDiv w:val="1"/>
      <w:marLeft w:val="0"/>
      <w:marRight w:val="0"/>
      <w:marTop w:val="0"/>
      <w:marBottom w:val="0"/>
      <w:divBdr>
        <w:top w:val="none" w:sz="0" w:space="0" w:color="auto"/>
        <w:left w:val="none" w:sz="0" w:space="0" w:color="auto"/>
        <w:bottom w:val="none" w:sz="0" w:space="0" w:color="auto"/>
        <w:right w:val="none" w:sz="0" w:space="0" w:color="auto"/>
      </w:divBdr>
    </w:div>
    <w:div w:id="933785383">
      <w:bodyDiv w:val="1"/>
      <w:marLeft w:val="0"/>
      <w:marRight w:val="0"/>
      <w:marTop w:val="0"/>
      <w:marBottom w:val="0"/>
      <w:divBdr>
        <w:top w:val="none" w:sz="0" w:space="0" w:color="auto"/>
        <w:left w:val="none" w:sz="0" w:space="0" w:color="auto"/>
        <w:bottom w:val="none" w:sz="0" w:space="0" w:color="auto"/>
        <w:right w:val="none" w:sz="0" w:space="0" w:color="auto"/>
      </w:divBdr>
    </w:div>
    <w:div w:id="937828161">
      <w:bodyDiv w:val="1"/>
      <w:marLeft w:val="0"/>
      <w:marRight w:val="0"/>
      <w:marTop w:val="0"/>
      <w:marBottom w:val="0"/>
      <w:divBdr>
        <w:top w:val="none" w:sz="0" w:space="0" w:color="auto"/>
        <w:left w:val="none" w:sz="0" w:space="0" w:color="auto"/>
        <w:bottom w:val="none" w:sz="0" w:space="0" w:color="auto"/>
        <w:right w:val="none" w:sz="0" w:space="0" w:color="auto"/>
      </w:divBdr>
    </w:div>
    <w:div w:id="940457555">
      <w:bodyDiv w:val="1"/>
      <w:marLeft w:val="0"/>
      <w:marRight w:val="0"/>
      <w:marTop w:val="0"/>
      <w:marBottom w:val="0"/>
      <w:divBdr>
        <w:top w:val="none" w:sz="0" w:space="0" w:color="auto"/>
        <w:left w:val="none" w:sz="0" w:space="0" w:color="auto"/>
        <w:bottom w:val="none" w:sz="0" w:space="0" w:color="auto"/>
        <w:right w:val="none" w:sz="0" w:space="0" w:color="auto"/>
      </w:divBdr>
    </w:div>
    <w:div w:id="946961716">
      <w:bodyDiv w:val="1"/>
      <w:marLeft w:val="0"/>
      <w:marRight w:val="0"/>
      <w:marTop w:val="0"/>
      <w:marBottom w:val="0"/>
      <w:divBdr>
        <w:top w:val="none" w:sz="0" w:space="0" w:color="auto"/>
        <w:left w:val="none" w:sz="0" w:space="0" w:color="auto"/>
        <w:bottom w:val="none" w:sz="0" w:space="0" w:color="auto"/>
        <w:right w:val="none" w:sz="0" w:space="0" w:color="auto"/>
      </w:divBdr>
    </w:div>
    <w:div w:id="947542535">
      <w:bodyDiv w:val="1"/>
      <w:marLeft w:val="0"/>
      <w:marRight w:val="0"/>
      <w:marTop w:val="0"/>
      <w:marBottom w:val="0"/>
      <w:divBdr>
        <w:top w:val="none" w:sz="0" w:space="0" w:color="auto"/>
        <w:left w:val="none" w:sz="0" w:space="0" w:color="auto"/>
        <w:bottom w:val="none" w:sz="0" w:space="0" w:color="auto"/>
        <w:right w:val="none" w:sz="0" w:space="0" w:color="auto"/>
      </w:divBdr>
    </w:div>
    <w:div w:id="947934325">
      <w:bodyDiv w:val="1"/>
      <w:marLeft w:val="0"/>
      <w:marRight w:val="0"/>
      <w:marTop w:val="0"/>
      <w:marBottom w:val="0"/>
      <w:divBdr>
        <w:top w:val="none" w:sz="0" w:space="0" w:color="auto"/>
        <w:left w:val="none" w:sz="0" w:space="0" w:color="auto"/>
        <w:bottom w:val="none" w:sz="0" w:space="0" w:color="auto"/>
        <w:right w:val="none" w:sz="0" w:space="0" w:color="auto"/>
      </w:divBdr>
    </w:div>
    <w:div w:id="949627929">
      <w:bodyDiv w:val="1"/>
      <w:marLeft w:val="0"/>
      <w:marRight w:val="0"/>
      <w:marTop w:val="0"/>
      <w:marBottom w:val="0"/>
      <w:divBdr>
        <w:top w:val="none" w:sz="0" w:space="0" w:color="auto"/>
        <w:left w:val="none" w:sz="0" w:space="0" w:color="auto"/>
        <w:bottom w:val="none" w:sz="0" w:space="0" w:color="auto"/>
        <w:right w:val="none" w:sz="0" w:space="0" w:color="auto"/>
      </w:divBdr>
    </w:div>
    <w:div w:id="950167593">
      <w:bodyDiv w:val="1"/>
      <w:marLeft w:val="0"/>
      <w:marRight w:val="0"/>
      <w:marTop w:val="0"/>
      <w:marBottom w:val="0"/>
      <w:divBdr>
        <w:top w:val="none" w:sz="0" w:space="0" w:color="auto"/>
        <w:left w:val="none" w:sz="0" w:space="0" w:color="auto"/>
        <w:bottom w:val="none" w:sz="0" w:space="0" w:color="auto"/>
        <w:right w:val="none" w:sz="0" w:space="0" w:color="auto"/>
      </w:divBdr>
    </w:div>
    <w:div w:id="958947464">
      <w:bodyDiv w:val="1"/>
      <w:marLeft w:val="0"/>
      <w:marRight w:val="0"/>
      <w:marTop w:val="0"/>
      <w:marBottom w:val="0"/>
      <w:divBdr>
        <w:top w:val="none" w:sz="0" w:space="0" w:color="auto"/>
        <w:left w:val="none" w:sz="0" w:space="0" w:color="auto"/>
        <w:bottom w:val="none" w:sz="0" w:space="0" w:color="auto"/>
        <w:right w:val="none" w:sz="0" w:space="0" w:color="auto"/>
      </w:divBdr>
    </w:div>
    <w:div w:id="959258845">
      <w:bodyDiv w:val="1"/>
      <w:marLeft w:val="0"/>
      <w:marRight w:val="0"/>
      <w:marTop w:val="0"/>
      <w:marBottom w:val="0"/>
      <w:divBdr>
        <w:top w:val="none" w:sz="0" w:space="0" w:color="auto"/>
        <w:left w:val="none" w:sz="0" w:space="0" w:color="auto"/>
        <w:bottom w:val="none" w:sz="0" w:space="0" w:color="auto"/>
        <w:right w:val="none" w:sz="0" w:space="0" w:color="auto"/>
      </w:divBdr>
    </w:div>
    <w:div w:id="961423321">
      <w:bodyDiv w:val="1"/>
      <w:marLeft w:val="0"/>
      <w:marRight w:val="0"/>
      <w:marTop w:val="0"/>
      <w:marBottom w:val="0"/>
      <w:divBdr>
        <w:top w:val="none" w:sz="0" w:space="0" w:color="auto"/>
        <w:left w:val="none" w:sz="0" w:space="0" w:color="auto"/>
        <w:bottom w:val="none" w:sz="0" w:space="0" w:color="auto"/>
        <w:right w:val="none" w:sz="0" w:space="0" w:color="auto"/>
      </w:divBdr>
    </w:div>
    <w:div w:id="966819422">
      <w:bodyDiv w:val="1"/>
      <w:marLeft w:val="0"/>
      <w:marRight w:val="0"/>
      <w:marTop w:val="0"/>
      <w:marBottom w:val="0"/>
      <w:divBdr>
        <w:top w:val="none" w:sz="0" w:space="0" w:color="auto"/>
        <w:left w:val="none" w:sz="0" w:space="0" w:color="auto"/>
        <w:bottom w:val="none" w:sz="0" w:space="0" w:color="auto"/>
        <w:right w:val="none" w:sz="0" w:space="0" w:color="auto"/>
      </w:divBdr>
    </w:div>
    <w:div w:id="967663648">
      <w:bodyDiv w:val="1"/>
      <w:marLeft w:val="0"/>
      <w:marRight w:val="0"/>
      <w:marTop w:val="0"/>
      <w:marBottom w:val="0"/>
      <w:divBdr>
        <w:top w:val="none" w:sz="0" w:space="0" w:color="auto"/>
        <w:left w:val="none" w:sz="0" w:space="0" w:color="auto"/>
        <w:bottom w:val="none" w:sz="0" w:space="0" w:color="auto"/>
        <w:right w:val="none" w:sz="0" w:space="0" w:color="auto"/>
      </w:divBdr>
    </w:div>
    <w:div w:id="967853923">
      <w:bodyDiv w:val="1"/>
      <w:marLeft w:val="0"/>
      <w:marRight w:val="0"/>
      <w:marTop w:val="0"/>
      <w:marBottom w:val="0"/>
      <w:divBdr>
        <w:top w:val="none" w:sz="0" w:space="0" w:color="auto"/>
        <w:left w:val="none" w:sz="0" w:space="0" w:color="auto"/>
        <w:bottom w:val="none" w:sz="0" w:space="0" w:color="auto"/>
        <w:right w:val="none" w:sz="0" w:space="0" w:color="auto"/>
      </w:divBdr>
    </w:div>
    <w:div w:id="968316472">
      <w:bodyDiv w:val="1"/>
      <w:marLeft w:val="0"/>
      <w:marRight w:val="0"/>
      <w:marTop w:val="0"/>
      <w:marBottom w:val="0"/>
      <w:divBdr>
        <w:top w:val="none" w:sz="0" w:space="0" w:color="auto"/>
        <w:left w:val="none" w:sz="0" w:space="0" w:color="auto"/>
        <w:bottom w:val="none" w:sz="0" w:space="0" w:color="auto"/>
        <w:right w:val="none" w:sz="0" w:space="0" w:color="auto"/>
      </w:divBdr>
    </w:div>
    <w:div w:id="971638039">
      <w:bodyDiv w:val="1"/>
      <w:marLeft w:val="0"/>
      <w:marRight w:val="0"/>
      <w:marTop w:val="0"/>
      <w:marBottom w:val="0"/>
      <w:divBdr>
        <w:top w:val="none" w:sz="0" w:space="0" w:color="auto"/>
        <w:left w:val="none" w:sz="0" w:space="0" w:color="auto"/>
        <w:bottom w:val="none" w:sz="0" w:space="0" w:color="auto"/>
        <w:right w:val="none" w:sz="0" w:space="0" w:color="auto"/>
      </w:divBdr>
    </w:div>
    <w:div w:id="979268957">
      <w:bodyDiv w:val="1"/>
      <w:marLeft w:val="0"/>
      <w:marRight w:val="0"/>
      <w:marTop w:val="0"/>
      <w:marBottom w:val="0"/>
      <w:divBdr>
        <w:top w:val="none" w:sz="0" w:space="0" w:color="auto"/>
        <w:left w:val="none" w:sz="0" w:space="0" w:color="auto"/>
        <w:bottom w:val="none" w:sz="0" w:space="0" w:color="auto"/>
        <w:right w:val="none" w:sz="0" w:space="0" w:color="auto"/>
      </w:divBdr>
    </w:div>
    <w:div w:id="981813482">
      <w:bodyDiv w:val="1"/>
      <w:marLeft w:val="0"/>
      <w:marRight w:val="0"/>
      <w:marTop w:val="0"/>
      <w:marBottom w:val="0"/>
      <w:divBdr>
        <w:top w:val="none" w:sz="0" w:space="0" w:color="auto"/>
        <w:left w:val="none" w:sz="0" w:space="0" w:color="auto"/>
        <w:bottom w:val="none" w:sz="0" w:space="0" w:color="auto"/>
        <w:right w:val="none" w:sz="0" w:space="0" w:color="auto"/>
      </w:divBdr>
    </w:div>
    <w:div w:id="983849643">
      <w:bodyDiv w:val="1"/>
      <w:marLeft w:val="0"/>
      <w:marRight w:val="0"/>
      <w:marTop w:val="0"/>
      <w:marBottom w:val="0"/>
      <w:divBdr>
        <w:top w:val="none" w:sz="0" w:space="0" w:color="auto"/>
        <w:left w:val="none" w:sz="0" w:space="0" w:color="auto"/>
        <w:bottom w:val="none" w:sz="0" w:space="0" w:color="auto"/>
        <w:right w:val="none" w:sz="0" w:space="0" w:color="auto"/>
      </w:divBdr>
    </w:div>
    <w:div w:id="986208050">
      <w:bodyDiv w:val="1"/>
      <w:marLeft w:val="0"/>
      <w:marRight w:val="0"/>
      <w:marTop w:val="0"/>
      <w:marBottom w:val="0"/>
      <w:divBdr>
        <w:top w:val="none" w:sz="0" w:space="0" w:color="auto"/>
        <w:left w:val="none" w:sz="0" w:space="0" w:color="auto"/>
        <w:bottom w:val="none" w:sz="0" w:space="0" w:color="auto"/>
        <w:right w:val="none" w:sz="0" w:space="0" w:color="auto"/>
      </w:divBdr>
    </w:div>
    <w:div w:id="996957567">
      <w:bodyDiv w:val="1"/>
      <w:marLeft w:val="0"/>
      <w:marRight w:val="0"/>
      <w:marTop w:val="0"/>
      <w:marBottom w:val="0"/>
      <w:divBdr>
        <w:top w:val="none" w:sz="0" w:space="0" w:color="auto"/>
        <w:left w:val="none" w:sz="0" w:space="0" w:color="auto"/>
        <w:bottom w:val="none" w:sz="0" w:space="0" w:color="auto"/>
        <w:right w:val="none" w:sz="0" w:space="0" w:color="auto"/>
      </w:divBdr>
    </w:div>
    <w:div w:id="1023246083">
      <w:bodyDiv w:val="1"/>
      <w:marLeft w:val="0"/>
      <w:marRight w:val="0"/>
      <w:marTop w:val="0"/>
      <w:marBottom w:val="0"/>
      <w:divBdr>
        <w:top w:val="none" w:sz="0" w:space="0" w:color="auto"/>
        <w:left w:val="none" w:sz="0" w:space="0" w:color="auto"/>
        <w:bottom w:val="none" w:sz="0" w:space="0" w:color="auto"/>
        <w:right w:val="none" w:sz="0" w:space="0" w:color="auto"/>
      </w:divBdr>
    </w:div>
    <w:div w:id="1032151826">
      <w:bodyDiv w:val="1"/>
      <w:marLeft w:val="0"/>
      <w:marRight w:val="0"/>
      <w:marTop w:val="0"/>
      <w:marBottom w:val="0"/>
      <w:divBdr>
        <w:top w:val="none" w:sz="0" w:space="0" w:color="auto"/>
        <w:left w:val="none" w:sz="0" w:space="0" w:color="auto"/>
        <w:bottom w:val="none" w:sz="0" w:space="0" w:color="auto"/>
        <w:right w:val="none" w:sz="0" w:space="0" w:color="auto"/>
      </w:divBdr>
    </w:div>
    <w:div w:id="1039860326">
      <w:bodyDiv w:val="1"/>
      <w:marLeft w:val="0"/>
      <w:marRight w:val="0"/>
      <w:marTop w:val="0"/>
      <w:marBottom w:val="0"/>
      <w:divBdr>
        <w:top w:val="none" w:sz="0" w:space="0" w:color="auto"/>
        <w:left w:val="none" w:sz="0" w:space="0" w:color="auto"/>
        <w:bottom w:val="none" w:sz="0" w:space="0" w:color="auto"/>
        <w:right w:val="none" w:sz="0" w:space="0" w:color="auto"/>
      </w:divBdr>
    </w:div>
    <w:div w:id="1043602406">
      <w:bodyDiv w:val="1"/>
      <w:marLeft w:val="0"/>
      <w:marRight w:val="0"/>
      <w:marTop w:val="0"/>
      <w:marBottom w:val="0"/>
      <w:divBdr>
        <w:top w:val="none" w:sz="0" w:space="0" w:color="auto"/>
        <w:left w:val="none" w:sz="0" w:space="0" w:color="auto"/>
        <w:bottom w:val="none" w:sz="0" w:space="0" w:color="auto"/>
        <w:right w:val="none" w:sz="0" w:space="0" w:color="auto"/>
      </w:divBdr>
    </w:div>
    <w:div w:id="1044599474">
      <w:bodyDiv w:val="1"/>
      <w:marLeft w:val="0"/>
      <w:marRight w:val="0"/>
      <w:marTop w:val="0"/>
      <w:marBottom w:val="0"/>
      <w:divBdr>
        <w:top w:val="none" w:sz="0" w:space="0" w:color="auto"/>
        <w:left w:val="none" w:sz="0" w:space="0" w:color="auto"/>
        <w:bottom w:val="none" w:sz="0" w:space="0" w:color="auto"/>
        <w:right w:val="none" w:sz="0" w:space="0" w:color="auto"/>
      </w:divBdr>
    </w:div>
    <w:div w:id="1047953334">
      <w:bodyDiv w:val="1"/>
      <w:marLeft w:val="0"/>
      <w:marRight w:val="0"/>
      <w:marTop w:val="0"/>
      <w:marBottom w:val="0"/>
      <w:divBdr>
        <w:top w:val="none" w:sz="0" w:space="0" w:color="auto"/>
        <w:left w:val="none" w:sz="0" w:space="0" w:color="auto"/>
        <w:bottom w:val="none" w:sz="0" w:space="0" w:color="auto"/>
        <w:right w:val="none" w:sz="0" w:space="0" w:color="auto"/>
      </w:divBdr>
    </w:div>
    <w:div w:id="1052194410">
      <w:bodyDiv w:val="1"/>
      <w:marLeft w:val="0"/>
      <w:marRight w:val="0"/>
      <w:marTop w:val="0"/>
      <w:marBottom w:val="0"/>
      <w:divBdr>
        <w:top w:val="none" w:sz="0" w:space="0" w:color="auto"/>
        <w:left w:val="none" w:sz="0" w:space="0" w:color="auto"/>
        <w:bottom w:val="none" w:sz="0" w:space="0" w:color="auto"/>
        <w:right w:val="none" w:sz="0" w:space="0" w:color="auto"/>
      </w:divBdr>
    </w:div>
    <w:div w:id="1057359215">
      <w:bodyDiv w:val="1"/>
      <w:marLeft w:val="0"/>
      <w:marRight w:val="0"/>
      <w:marTop w:val="0"/>
      <w:marBottom w:val="0"/>
      <w:divBdr>
        <w:top w:val="none" w:sz="0" w:space="0" w:color="auto"/>
        <w:left w:val="none" w:sz="0" w:space="0" w:color="auto"/>
        <w:bottom w:val="none" w:sz="0" w:space="0" w:color="auto"/>
        <w:right w:val="none" w:sz="0" w:space="0" w:color="auto"/>
      </w:divBdr>
    </w:div>
    <w:div w:id="1060910186">
      <w:bodyDiv w:val="1"/>
      <w:marLeft w:val="0"/>
      <w:marRight w:val="0"/>
      <w:marTop w:val="0"/>
      <w:marBottom w:val="0"/>
      <w:divBdr>
        <w:top w:val="none" w:sz="0" w:space="0" w:color="auto"/>
        <w:left w:val="none" w:sz="0" w:space="0" w:color="auto"/>
        <w:bottom w:val="none" w:sz="0" w:space="0" w:color="auto"/>
        <w:right w:val="none" w:sz="0" w:space="0" w:color="auto"/>
      </w:divBdr>
    </w:div>
    <w:div w:id="1061365481">
      <w:bodyDiv w:val="1"/>
      <w:marLeft w:val="0"/>
      <w:marRight w:val="0"/>
      <w:marTop w:val="0"/>
      <w:marBottom w:val="0"/>
      <w:divBdr>
        <w:top w:val="none" w:sz="0" w:space="0" w:color="auto"/>
        <w:left w:val="none" w:sz="0" w:space="0" w:color="auto"/>
        <w:bottom w:val="none" w:sz="0" w:space="0" w:color="auto"/>
        <w:right w:val="none" w:sz="0" w:space="0" w:color="auto"/>
      </w:divBdr>
    </w:div>
    <w:div w:id="1081947620">
      <w:bodyDiv w:val="1"/>
      <w:marLeft w:val="0"/>
      <w:marRight w:val="0"/>
      <w:marTop w:val="0"/>
      <w:marBottom w:val="0"/>
      <w:divBdr>
        <w:top w:val="none" w:sz="0" w:space="0" w:color="auto"/>
        <w:left w:val="none" w:sz="0" w:space="0" w:color="auto"/>
        <w:bottom w:val="none" w:sz="0" w:space="0" w:color="auto"/>
        <w:right w:val="none" w:sz="0" w:space="0" w:color="auto"/>
      </w:divBdr>
    </w:div>
    <w:div w:id="1097868445">
      <w:bodyDiv w:val="1"/>
      <w:marLeft w:val="0"/>
      <w:marRight w:val="0"/>
      <w:marTop w:val="0"/>
      <w:marBottom w:val="0"/>
      <w:divBdr>
        <w:top w:val="none" w:sz="0" w:space="0" w:color="auto"/>
        <w:left w:val="none" w:sz="0" w:space="0" w:color="auto"/>
        <w:bottom w:val="none" w:sz="0" w:space="0" w:color="auto"/>
        <w:right w:val="none" w:sz="0" w:space="0" w:color="auto"/>
      </w:divBdr>
    </w:div>
    <w:div w:id="1102720266">
      <w:bodyDiv w:val="1"/>
      <w:marLeft w:val="0"/>
      <w:marRight w:val="0"/>
      <w:marTop w:val="0"/>
      <w:marBottom w:val="0"/>
      <w:divBdr>
        <w:top w:val="none" w:sz="0" w:space="0" w:color="auto"/>
        <w:left w:val="none" w:sz="0" w:space="0" w:color="auto"/>
        <w:bottom w:val="none" w:sz="0" w:space="0" w:color="auto"/>
        <w:right w:val="none" w:sz="0" w:space="0" w:color="auto"/>
      </w:divBdr>
    </w:div>
    <w:div w:id="1103067991">
      <w:bodyDiv w:val="1"/>
      <w:marLeft w:val="0"/>
      <w:marRight w:val="0"/>
      <w:marTop w:val="0"/>
      <w:marBottom w:val="0"/>
      <w:divBdr>
        <w:top w:val="none" w:sz="0" w:space="0" w:color="auto"/>
        <w:left w:val="none" w:sz="0" w:space="0" w:color="auto"/>
        <w:bottom w:val="none" w:sz="0" w:space="0" w:color="auto"/>
        <w:right w:val="none" w:sz="0" w:space="0" w:color="auto"/>
      </w:divBdr>
    </w:div>
    <w:div w:id="1104617158">
      <w:bodyDiv w:val="1"/>
      <w:marLeft w:val="0"/>
      <w:marRight w:val="0"/>
      <w:marTop w:val="0"/>
      <w:marBottom w:val="0"/>
      <w:divBdr>
        <w:top w:val="none" w:sz="0" w:space="0" w:color="auto"/>
        <w:left w:val="none" w:sz="0" w:space="0" w:color="auto"/>
        <w:bottom w:val="none" w:sz="0" w:space="0" w:color="auto"/>
        <w:right w:val="none" w:sz="0" w:space="0" w:color="auto"/>
      </w:divBdr>
    </w:div>
    <w:div w:id="1110198222">
      <w:bodyDiv w:val="1"/>
      <w:marLeft w:val="0"/>
      <w:marRight w:val="0"/>
      <w:marTop w:val="0"/>
      <w:marBottom w:val="0"/>
      <w:divBdr>
        <w:top w:val="none" w:sz="0" w:space="0" w:color="auto"/>
        <w:left w:val="none" w:sz="0" w:space="0" w:color="auto"/>
        <w:bottom w:val="none" w:sz="0" w:space="0" w:color="auto"/>
        <w:right w:val="none" w:sz="0" w:space="0" w:color="auto"/>
      </w:divBdr>
    </w:div>
    <w:div w:id="1115320758">
      <w:bodyDiv w:val="1"/>
      <w:marLeft w:val="0"/>
      <w:marRight w:val="0"/>
      <w:marTop w:val="0"/>
      <w:marBottom w:val="0"/>
      <w:divBdr>
        <w:top w:val="none" w:sz="0" w:space="0" w:color="auto"/>
        <w:left w:val="none" w:sz="0" w:space="0" w:color="auto"/>
        <w:bottom w:val="none" w:sz="0" w:space="0" w:color="auto"/>
        <w:right w:val="none" w:sz="0" w:space="0" w:color="auto"/>
      </w:divBdr>
    </w:div>
    <w:div w:id="1131048697">
      <w:bodyDiv w:val="1"/>
      <w:marLeft w:val="0"/>
      <w:marRight w:val="0"/>
      <w:marTop w:val="0"/>
      <w:marBottom w:val="0"/>
      <w:divBdr>
        <w:top w:val="none" w:sz="0" w:space="0" w:color="auto"/>
        <w:left w:val="none" w:sz="0" w:space="0" w:color="auto"/>
        <w:bottom w:val="none" w:sz="0" w:space="0" w:color="auto"/>
        <w:right w:val="none" w:sz="0" w:space="0" w:color="auto"/>
      </w:divBdr>
    </w:div>
    <w:div w:id="1134445159">
      <w:bodyDiv w:val="1"/>
      <w:marLeft w:val="0"/>
      <w:marRight w:val="0"/>
      <w:marTop w:val="0"/>
      <w:marBottom w:val="0"/>
      <w:divBdr>
        <w:top w:val="none" w:sz="0" w:space="0" w:color="auto"/>
        <w:left w:val="none" w:sz="0" w:space="0" w:color="auto"/>
        <w:bottom w:val="none" w:sz="0" w:space="0" w:color="auto"/>
        <w:right w:val="none" w:sz="0" w:space="0" w:color="auto"/>
      </w:divBdr>
    </w:div>
    <w:div w:id="1150098555">
      <w:bodyDiv w:val="1"/>
      <w:marLeft w:val="0"/>
      <w:marRight w:val="0"/>
      <w:marTop w:val="0"/>
      <w:marBottom w:val="0"/>
      <w:divBdr>
        <w:top w:val="none" w:sz="0" w:space="0" w:color="auto"/>
        <w:left w:val="none" w:sz="0" w:space="0" w:color="auto"/>
        <w:bottom w:val="none" w:sz="0" w:space="0" w:color="auto"/>
        <w:right w:val="none" w:sz="0" w:space="0" w:color="auto"/>
      </w:divBdr>
    </w:div>
    <w:div w:id="1158115738">
      <w:bodyDiv w:val="1"/>
      <w:marLeft w:val="0"/>
      <w:marRight w:val="0"/>
      <w:marTop w:val="0"/>
      <w:marBottom w:val="0"/>
      <w:divBdr>
        <w:top w:val="none" w:sz="0" w:space="0" w:color="auto"/>
        <w:left w:val="none" w:sz="0" w:space="0" w:color="auto"/>
        <w:bottom w:val="none" w:sz="0" w:space="0" w:color="auto"/>
        <w:right w:val="none" w:sz="0" w:space="0" w:color="auto"/>
      </w:divBdr>
    </w:div>
    <w:div w:id="1160580093">
      <w:bodyDiv w:val="1"/>
      <w:marLeft w:val="0"/>
      <w:marRight w:val="0"/>
      <w:marTop w:val="0"/>
      <w:marBottom w:val="0"/>
      <w:divBdr>
        <w:top w:val="none" w:sz="0" w:space="0" w:color="auto"/>
        <w:left w:val="none" w:sz="0" w:space="0" w:color="auto"/>
        <w:bottom w:val="none" w:sz="0" w:space="0" w:color="auto"/>
        <w:right w:val="none" w:sz="0" w:space="0" w:color="auto"/>
      </w:divBdr>
    </w:div>
    <w:div w:id="1161044351">
      <w:bodyDiv w:val="1"/>
      <w:marLeft w:val="0"/>
      <w:marRight w:val="0"/>
      <w:marTop w:val="0"/>
      <w:marBottom w:val="0"/>
      <w:divBdr>
        <w:top w:val="none" w:sz="0" w:space="0" w:color="auto"/>
        <w:left w:val="none" w:sz="0" w:space="0" w:color="auto"/>
        <w:bottom w:val="none" w:sz="0" w:space="0" w:color="auto"/>
        <w:right w:val="none" w:sz="0" w:space="0" w:color="auto"/>
      </w:divBdr>
    </w:div>
    <w:div w:id="1162695959">
      <w:bodyDiv w:val="1"/>
      <w:marLeft w:val="0"/>
      <w:marRight w:val="0"/>
      <w:marTop w:val="0"/>
      <w:marBottom w:val="0"/>
      <w:divBdr>
        <w:top w:val="none" w:sz="0" w:space="0" w:color="auto"/>
        <w:left w:val="none" w:sz="0" w:space="0" w:color="auto"/>
        <w:bottom w:val="none" w:sz="0" w:space="0" w:color="auto"/>
        <w:right w:val="none" w:sz="0" w:space="0" w:color="auto"/>
      </w:divBdr>
    </w:div>
    <w:div w:id="1167794340">
      <w:bodyDiv w:val="1"/>
      <w:marLeft w:val="0"/>
      <w:marRight w:val="0"/>
      <w:marTop w:val="0"/>
      <w:marBottom w:val="0"/>
      <w:divBdr>
        <w:top w:val="none" w:sz="0" w:space="0" w:color="auto"/>
        <w:left w:val="none" w:sz="0" w:space="0" w:color="auto"/>
        <w:bottom w:val="none" w:sz="0" w:space="0" w:color="auto"/>
        <w:right w:val="none" w:sz="0" w:space="0" w:color="auto"/>
      </w:divBdr>
    </w:div>
    <w:div w:id="1167862108">
      <w:bodyDiv w:val="1"/>
      <w:marLeft w:val="0"/>
      <w:marRight w:val="0"/>
      <w:marTop w:val="0"/>
      <w:marBottom w:val="0"/>
      <w:divBdr>
        <w:top w:val="none" w:sz="0" w:space="0" w:color="auto"/>
        <w:left w:val="none" w:sz="0" w:space="0" w:color="auto"/>
        <w:bottom w:val="none" w:sz="0" w:space="0" w:color="auto"/>
        <w:right w:val="none" w:sz="0" w:space="0" w:color="auto"/>
      </w:divBdr>
    </w:div>
    <w:div w:id="1171873484">
      <w:bodyDiv w:val="1"/>
      <w:marLeft w:val="0"/>
      <w:marRight w:val="0"/>
      <w:marTop w:val="0"/>
      <w:marBottom w:val="0"/>
      <w:divBdr>
        <w:top w:val="none" w:sz="0" w:space="0" w:color="auto"/>
        <w:left w:val="none" w:sz="0" w:space="0" w:color="auto"/>
        <w:bottom w:val="none" w:sz="0" w:space="0" w:color="auto"/>
        <w:right w:val="none" w:sz="0" w:space="0" w:color="auto"/>
      </w:divBdr>
    </w:div>
    <w:div w:id="1175388413">
      <w:bodyDiv w:val="1"/>
      <w:marLeft w:val="0"/>
      <w:marRight w:val="0"/>
      <w:marTop w:val="0"/>
      <w:marBottom w:val="0"/>
      <w:divBdr>
        <w:top w:val="none" w:sz="0" w:space="0" w:color="auto"/>
        <w:left w:val="none" w:sz="0" w:space="0" w:color="auto"/>
        <w:bottom w:val="none" w:sz="0" w:space="0" w:color="auto"/>
        <w:right w:val="none" w:sz="0" w:space="0" w:color="auto"/>
      </w:divBdr>
    </w:div>
    <w:div w:id="1183320769">
      <w:bodyDiv w:val="1"/>
      <w:marLeft w:val="0"/>
      <w:marRight w:val="0"/>
      <w:marTop w:val="0"/>
      <w:marBottom w:val="0"/>
      <w:divBdr>
        <w:top w:val="none" w:sz="0" w:space="0" w:color="auto"/>
        <w:left w:val="none" w:sz="0" w:space="0" w:color="auto"/>
        <w:bottom w:val="none" w:sz="0" w:space="0" w:color="auto"/>
        <w:right w:val="none" w:sz="0" w:space="0" w:color="auto"/>
      </w:divBdr>
    </w:div>
    <w:div w:id="1191147390">
      <w:bodyDiv w:val="1"/>
      <w:marLeft w:val="0"/>
      <w:marRight w:val="0"/>
      <w:marTop w:val="0"/>
      <w:marBottom w:val="0"/>
      <w:divBdr>
        <w:top w:val="none" w:sz="0" w:space="0" w:color="auto"/>
        <w:left w:val="none" w:sz="0" w:space="0" w:color="auto"/>
        <w:bottom w:val="none" w:sz="0" w:space="0" w:color="auto"/>
        <w:right w:val="none" w:sz="0" w:space="0" w:color="auto"/>
      </w:divBdr>
    </w:div>
    <w:div w:id="1193955444">
      <w:bodyDiv w:val="1"/>
      <w:marLeft w:val="0"/>
      <w:marRight w:val="0"/>
      <w:marTop w:val="0"/>
      <w:marBottom w:val="0"/>
      <w:divBdr>
        <w:top w:val="none" w:sz="0" w:space="0" w:color="auto"/>
        <w:left w:val="none" w:sz="0" w:space="0" w:color="auto"/>
        <w:bottom w:val="none" w:sz="0" w:space="0" w:color="auto"/>
        <w:right w:val="none" w:sz="0" w:space="0" w:color="auto"/>
      </w:divBdr>
    </w:div>
    <w:div w:id="1219366310">
      <w:bodyDiv w:val="1"/>
      <w:marLeft w:val="0"/>
      <w:marRight w:val="0"/>
      <w:marTop w:val="0"/>
      <w:marBottom w:val="0"/>
      <w:divBdr>
        <w:top w:val="none" w:sz="0" w:space="0" w:color="auto"/>
        <w:left w:val="none" w:sz="0" w:space="0" w:color="auto"/>
        <w:bottom w:val="none" w:sz="0" w:space="0" w:color="auto"/>
        <w:right w:val="none" w:sz="0" w:space="0" w:color="auto"/>
      </w:divBdr>
    </w:div>
    <w:div w:id="1221671215">
      <w:bodyDiv w:val="1"/>
      <w:marLeft w:val="0"/>
      <w:marRight w:val="0"/>
      <w:marTop w:val="0"/>
      <w:marBottom w:val="0"/>
      <w:divBdr>
        <w:top w:val="none" w:sz="0" w:space="0" w:color="auto"/>
        <w:left w:val="none" w:sz="0" w:space="0" w:color="auto"/>
        <w:bottom w:val="none" w:sz="0" w:space="0" w:color="auto"/>
        <w:right w:val="none" w:sz="0" w:space="0" w:color="auto"/>
      </w:divBdr>
    </w:div>
    <w:div w:id="1227646705">
      <w:bodyDiv w:val="1"/>
      <w:marLeft w:val="0"/>
      <w:marRight w:val="0"/>
      <w:marTop w:val="0"/>
      <w:marBottom w:val="0"/>
      <w:divBdr>
        <w:top w:val="none" w:sz="0" w:space="0" w:color="auto"/>
        <w:left w:val="none" w:sz="0" w:space="0" w:color="auto"/>
        <w:bottom w:val="none" w:sz="0" w:space="0" w:color="auto"/>
        <w:right w:val="none" w:sz="0" w:space="0" w:color="auto"/>
      </w:divBdr>
    </w:div>
    <w:div w:id="1231160104">
      <w:bodyDiv w:val="1"/>
      <w:marLeft w:val="0"/>
      <w:marRight w:val="0"/>
      <w:marTop w:val="0"/>
      <w:marBottom w:val="0"/>
      <w:divBdr>
        <w:top w:val="none" w:sz="0" w:space="0" w:color="auto"/>
        <w:left w:val="none" w:sz="0" w:space="0" w:color="auto"/>
        <w:bottom w:val="none" w:sz="0" w:space="0" w:color="auto"/>
        <w:right w:val="none" w:sz="0" w:space="0" w:color="auto"/>
      </w:divBdr>
    </w:div>
    <w:div w:id="1243103202">
      <w:bodyDiv w:val="1"/>
      <w:marLeft w:val="0"/>
      <w:marRight w:val="0"/>
      <w:marTop w:val="0"/>
      <w:marBottom w:val="0"/>
      <w:divBdr>
        <w:top w:val="none" w:sz="0" w:space="0" w:color="auto"/>
        <w:left w:val="none" w:sz="0" w:space="0" w:color="auto"/>
        <w:bottom w:val="none" w:sz="0" w:space="0" w:color="auto"/>
        <w:right w:val="none" w:sz="0" w:space="0" w:color="auto"/>
      </w:divBdr>
    </w:div>
    <w:div w:id="1250235891">
      <w:bodyDiv w:val="1"/>
      <w:marLeft w:val="0"/>
      <w:marRight w:val="0"/>
      <w:marTop w:val="0"/>
      <w:marBottom w:val="0"/>
      <w:divBdr>
        <w:top w:val="none" w:sz="0" w:space="0" w:color="auto"/>
        <w:left w:val="none" w:sz="0" w:space="0" w:color="auto"/>
        <w:bottom w:val="none" w:sz="0" w:space="0" w:color="auto"/>
        <w:right w:val="none" w:sz="0" w:space="0" w:color="auto"/>
      </w:divBdr>
    </w:div>
    <w:div w:id="1272397787">
      <w:bodyDiv w:val="1"/>
      <w:marLeft w:val="0"/>
      <w:marRight w:val="0"/>
      <w:marTop w:val="0"/>
      <w:marBottom w:val="0"/>
      <w:divBdr>
        <w:top w:val="none" w:sz="0" w:space="0" w:color="auto"/>
        <w:left w:val="none" w:sz="0" w:space="0" w:color="auto"/>
        <w:bottom w:val="none" w:sz="0" w:space="0" w:color="auto"/>
        <w:right w:val="none" w:sz="0" w:space="0" w:color="auto"/>
      </w:divBdr>
    </w:div>
    <w:div w:id="1278951546">
      <w:bodyDiv w:val="1"/>
      <w:marLeft w:val="0"/>
      <w:marRight w:val="0"/>
      <w:marTop w:val="0"/>
      <w:marBottom w:val="0"/>
      <w:divBdr>
        <w:top w:val="none" w:sz="0" w:space="0" w:color="auto"/>
        <w:left w:val="none" w:sz="0" w:space="0" w:color="auto"/>
        <w:bottom w:val="none" w:sz="0" w:space="0" w:color="auto"/>
        <w:right w:val="none" w:sz="0" w:space="0" w:color="auto"/>
      </w:divBdr>
    </w:div>
    <w:div w:id="1280528769">
      <w:bodyDiv w:val="1"/>
      <w:marLeft w:val="0"/>
      <w:marRight w:val="0"/>
      <w:marTop w:val="0"/>
      <w:marBottom w:val="0"/>
      <w:divBdr>
        <w:top w:val="none" w:sz="0" w:space="0" w:color="auto"/>
        <w:left w:val="none" w:sz="0" w:space="0" w:color="auto"/>
        <w:bottom w:val="none" w:sz="0" w:space="0" w:color="auto"/>
        <w:right w:val="none" w:sz="0" w:space="0" w:color="auto"/>
      </w:divBdr>
    </w:div>
    <w:div w:id="1286546271">
      <w:bodyDiv w:val="1"/>
      <w:marLeft w:val="0"/>
      <w:marRight w:val="0"/>
      <w:marTop w:val="0"/>
      <w:marBottom w:val="0"/>
      <w:divBdr>
        <w:top w:val="none" w:sz="0" w:space="0" w:color="auto"/>
        <w:left w:val="none" w:sz="0" w:space="0" w:color="auto"/>
        <w:bottom w:val="none" w:sz="0" w:space="0" w:color="auto"/>
        <w:right w:val="none" w:sz="0" w:space="0" w:color="auto"/>
      </w:divBdr>
    </w:div>
    <w:div w:id="1297372550">
      <w:bodyDiv w:val="1"/>
      <w:marLeft w:val="0"/>
      <w:marRight w:val="0"/>
      <w:marTop w:val="0"/>
      <w:marBottom w:val="0"/>
      <w:divBdr>
        <w:top w:val="none" w:sz="0" w:space="0" w:color="auto"/>
        <w:left w:val="none" w:sz="0" w:space="0" w:color="auto"/>
        <w:bottom w:val="none" w:sz="0" w:space="0" w:color="auto"/>
        <w:right w:val="none" w:sz="0" w:space="0" w:color="auto"/>
      </w:divBdr>
    </w:div>
    <w:div w:id="1304387634">
      <w:bodyDiv w:val="1"/>
      <w:marLeft w:val="0"/>
      <w:marRight w:val="0"/>
      <w:marTop w:val="0"/>
      <w:marBottom w:val="0"/>
      <w:divBdr>
        <w:top w:val="none" w:sz="0" w:space="0" w:color="auto"/>
        <w:left w:val="none" w:sz="0" w:space="0" w:color="auto"/>
        <w:bottom w:val="none" w:sz="0" w:space="0" w:color="auto"/>
        <w:right w:val="none" w:sz="0" w:space="0" w:color="auto"/>
      </w:divBdr>
    </w:div>
    <w:div w:id="1306086049">
      <w:bodyDiv w:val="1"/>
      <w:marLeft w:val="0"/>
      <w:marRight w:val="0"/>
      <w:marTop w:val="0"/>
      <w:marBottom w:val="0"/>
      <w:divBdr>
        <w:top w:val="none" w:sz="0" w:space="0" w:color="auto"/>
        <w:left w:val="none" w:sz="0" w:space="0" w:color="auto"/>
        <w:bottom w:val="none" w:sz="0" w:space="0" w:color="auto"/>
        <w:right w:val="none" w:sz="0" w:space="0" w:color="auto"/>
      </w:divBdr>
    </w:div>
    <w:div w:id="1311980322">
      <w:bodyDiv w:val="1"/>
      <w:marLeft w:val="0"/>
      <w:marRight w:val="0"/>
      <w:marTop w:val="0"/>
      <w:marBottom w:val="0"/>
      <w:divBdr>
        <w:top w:val="none" w:sz="0" w:space="0" w:color="auto"/>
        <w:left w:val="none" w:sz="0" w:space="0" w:color="auto"/>
        <w:bottom w:val="none" w:sz="0" w:space="0" w:color="auto"/>
        <w:right w:val="none" w:sz="0" w:space="0" w:color="auto"/>
      </w:divBdr>
    </w:div>
    <w:div w:id="1328247060">
      <w:bodyDiv w:val="1"/>
      <w:marLeft w:val="0"/>
      <w:marRight w:val="0"/>
      <w:marTop w:val="0"/>
      <w:marBottom w:val="0"/>
      <w:divBdr>
        <w:top w:val="none" w:sz="0" w:space="0" w:color="auto"/>
        <w:left w:val="none" w:sz="0" w:space="0" w:color="auto"/>
        <w:bottom w:val="none" w:sz="0" w:space="0" w:color="auto"/>
        <w:right w:val="none" w:sz="0" w:space="0" w:color="auto"/>
      </w:divBdr>
    </w:div>
    <w:div w:id="1331912794">
      <w:bodyDiv w:val="1"/>
      <w:marLeft w:val="0"/>
      <w:marRight w:val="0"/>
      <w:marTop w:val="0"/>
      <w:marBottom w:val="0"/>
      <w:divBdr>
        <w:top w:val="none" w:sz="0" w:space="0" w:color="auto"/>
        <w:left w:val="none" w:sz="0" w:space="0" w:color="auto"/>
        <w:bottom w:val="none" w:sz="0" w:space="0" w:color="auto"/>
        <w:right w:val="none" w:sz="0" w:space="0" w:color="auto"/>
      </w:divBdr>
    </w:div>
    <w:div w:id="1332878585">
      <w:bodyDiv w:val="1"/>
      <w:marLeft w:val="0"/>
      <w:marRight w:val="0"/>
      <w:marTop w:val="0"/>
      <w:marBottom w:val="0"/>
      <w:divBdr>
        <w:top w:val="none" w:sz="0" w:space="0" w:color="auto"/>
        <w:left w:val="none" w:sz="0" w:space="0" w:color="auto"/>
        <w:bottom w:val="none" w:sz="0" w:space="0" w:color="auto"/>
        <w:right w:val="none" w:sz="0" w:space="0" w:color="auto"/>
      </w:divBdr>
    </w:div>
    <w:div w:id="1349941650">
      <w:bodyDiv w:val="1"/>
      <w:marLeft w:val="0"/>
      <w:marRight w:val="0"/>
      <w:marTop w:val="0"/>
      <w:marBottom w:val="0"/>
      <w:divBdr>
        <w:top w:val="none" w:sz="0" w:space="0" w:color="auto"/>
        <w:left w:val="none" w:sz="0" w:space="0" w:color="auto"/>
        <w:bottom w:val="none" w:sz="0" w:space="0" w:color="auto"/>
        <w:right w:val="none" w:sz="0" w:space="0" w:color="auto"/>
      </w:divBdr>
    </w:div>
    <w:div w:id="1357195239">
      <w:bodyDiv w:val="1"/>
      <w:marLeft w:val="0"/>
      <w:marRight w:val="0"/>
      <w:marTop w:val="0"/>
      <w:marBottom w:val="0"/>
      <w:divBdr>
        <w:top w:val="none" w:sz="0" w:space="0" w:color="auto"/>
        <w:left w:val="none" w:sz="0" w:space="0" w:color="auto"/>
        <w:bottom w:val="none" w:sz="0" w:space="0" w:color="auto"/>
        <w:right w:val="none" w:sz="0" w:space="0" w:color="auto"/>
      </w:divBdr>
    </w:div>
    <w:div w:id="1357198105">
      <w:bodyDiv w:val="1"/>
      <w:marLeft w:val="0"/>
      <w:marRight w:val="0"/>
      <w:marTop w:val="0"/>
      <w:marBottom w:val="0"/>
      <w:divBdr>
        <w:top w:val="none" w:sz="0" w:space="0" w:color="auto"/>
        <w:left w:val="none" w:sz="0" w:space="0" w:color="auto"/>
        <w:bottom w:val="none" w:sz="0" w:space="0" w:color="auto"/>
        <w:right w:val="none" w:sz="0" w:space="0" w:color="auto"/>
      </w:divBdr>
    </w:div>
    <w:div w:id="1367757943">
      <w:bodyDiv w:val="1"/>
      <w:marLeft w:val="0"/>
      <w:marRight w:val="0"/>
      <w:marTop w:val="0"/>
      <w:marBottom w:val="0"/>
      <w:divBdr>
        <w:top w:val="none" w:sz="0" w:space="0" w:color="auto"/>
        <w:left w:val="none" w:sz="0" w:space="0" w:color="auto"/>
        <w:bottom w:val="none" w:sz="0" w:space="0" w:color="auto"/>
        <w:right w:val="none" w:sz="0" w:space="0" w:color="auto"/>
      </w:divBdr>
    </w:div>
    <w:div w:id="1377662656">
      <w:bodyDiv w:val="1"/>
      <w:marLeft w:val="0"/>
      <w:marRight w:val="0"/>
      <w:marTop w:val="0"/>
      <w:marBottom w:val="0"/>
      <w:divBdr>
        <w:top w:val="none" w:sz="0" w:space="0" w:color="auto"/>
        <w:left w:val="none" w:sz="0" w:space="0" w:color="auto"/>
        <w:bottom w:val="none" w:sz="0" w:space="0" w:color="auto"/>
        <w:right w:val="none" w:sz="0" w:space="0" w:color="auto"/>
      </w:divBdr>
    </w:div>
    <w:div w:id="1389501504">
      <w:bodyDiv w:val="1"/>
      <w:marLeft w:val="0"/>
      <w:marRight w:val="0"/>
      <w:marTop w:val="0"/>
      <w:marBottom w:val="0"/>
      <w:divBdr>
        <w:top w:val="none" w:sz="0" w:space="0" w:color="auto"/>
        <w:left w:val="none" w:sz="0" w:space="0" w:color="auto"/>
        <w:bottom w:val="none" w:sz="0" w:space="0" w:color="auto"/>
        <w:right w:val="none" w:sz="0" w:space="0" w:color="auto"/>
      </w:divBdr>
    </w:div>
    <w:div w:id="1391803181">
      <w:bodyDiv w:val="1"/>
      <w:marLeft w:val="0"/>
      <w:marRight w:val="0"/>
      <w:marTop w:val="0"/>
      <w:marBottom w:val="0"/>
      <w:divBdr>
        <w:top w:val="none" w:sz="0" w:space="0" w:color="auto"/>
        <w:left w:val="none" w:sz="0" w:space="0" w:color="auto"/>
        <w:bottom w:val="none" w:sz="0" w:space="0" w:color="auto"/>
        <w:right w:val="none" w:sz="0" w:space="0" w:color="auto"/>
      </w:divBdr>
    </w:div>
    <w:div w:id="1391923318">
      <w:bodyDiv w:val="1"/>
      <w:marLeft w:val="0"/>
      <w:marRight w:val="0"/>
      <w:marTop w:val="0"/>
      <w:marBottom w:val="0"/>
      <w:divBdr>
        <w:top w:val="none" w:sz="0" w:space="0" w:color="auto"/>
        <w:left w:val="none" w:sz="0" w:space="0" w:color="auto"/>
        <w:bottom w:val="none" w:sz="0" w:space="0" w:color="auto"/>
        <w:right w:val="none" w:sz="0" w:space="0" w:color="auto"/>
      </w:divBdr>
    </w:div>
    <w:div w:id="1397241860">
      <w:bodyDiv w:val="1"/>
      <w:marLeft w:val="0"/>
      <w:marRight w:val="0"/>
      <w:marTop w:val="0"/>
      <w:marBottom w:val="0"/>
      <w:divBdr>
        <w:top w:val="none" w:sz="0" w:space="0" w:color="auto"/>
        <w:left w:val="none" w:sz="0" w:space="0" w:color="auto"/>
        <w:bottom w:val="none" w:sz="0" w:space="0" w:color="auto"/>
        <w:right w:val="none" w:sz="0" w:space="0" w:color="auto"/>
      </w:divBdr>
    </w:div>
    <w:div w:id="1407655062">
      <w:bodyDiv w:val="1"/>
      <w:marLeft w:val="0"/>
      <w:marRight w:val="0"/>
      <w:marTop w:val="0"/>
      <w:marBottom w:val="0"/>
      <w:divBdr>
        <w:top w:val="none" w:sz="0" w:space="0" w:color="auto"/>
        <w:left w:val="none" w:sz="0" w:space="0" w:color="auto"/>
        <w:bottom w:val="none" w:sz="0" w:space="0" w:color="auto"/>
        <w:right w:val="none" w:sz="0" w:space="0" w:color="auto"/>
      </w:divBdr>
    </w:div>
    <w:div w:id="1408041092">
      <w:bodyDiv w:val="1"/>
      <w:marLeft w:val="0"/>
      <w:marRight w:val="0"/>
      <w:marTop w:val="0"/>
      <w:marBottom w:val="0"/>
      <w:divBdr>
        <w:top w:val="none" w:sz="0" w:space="0" w:color="auto"/>
        <w:left w:val="none" w:sz="0" w:space="0" w:color="auto"/>
        <w:bottom w:val="none" w:sz="0" w:space="0" w:color="auto"/>
        <w:right w:val="none" w:sz="0" w:space="0" w:color="auto"/>
      </w:divBdr>
    </w:div>
    <w:div w:id="1410158259">
      <w:bodyDiv w:val="1"/>
      <w:marLeft w:val="0"/>
      <w:marRight w:val="0"/>
      <w:marTop w:val="0"/>
      <w:marBottom w:val="0"/>
      <w:divBdr>
        <w:top w:val="none" w:sz="0" w:space="0" w:color="auto"/>
        <w:left w:val="none" w:sz="0" w:space="0" w:color="auto"/>
        <w:bottom w:val="none" w:sz="0" w:space="0" w:color="auto"/>
        <w:right w:val="none" w:sz="0" w:space="0" w:color="auto"/>
      </w:divBdr>
    </w:div>
    <w:div w:id="1416055760">
      <w:bodyDiv w:val="1"/>
      <w:marLeft w:val="0"/>
      <w:marRight w:val="0"/>
      <w:marTop w:val="0"/>
      <w:marBottom w:val="0"/>
      <w:divBdr>
        <w:top w:val="none" w:sz="0" w:space="0" w:color="auto"/>
        <w:left w:val="none" w:sz="0" w:space="0" w:color="auto"/>
        <w:bottom w:val="none" w:sz="0" w:space="0" w:color="auto"/>
        <w:right w:val="none" w:sz="0" w:space="0" w:color="auto"/>
      </w:divBdr>
    </w:div>
    <w:div w:id="1425686362">
      <w:bodyDiv w:val="1"/>
      <w:marLeft w:val="0"/>
      <w:marRight w:val="0"/>
      <w:marTop w:val="0"/>
      <w:marBottom w:val="0"/>
      <w:divBdr>
        <w:top w:val="none" w:sz="0" w:space="0" w:color="auto"/>
        <w:left w:val="none" w:sz="0" w:space="0" w:color="auto"/>
        <w:bottom w:val="none" w:sz="0" w:space="0" w:color="auto"/>
        <w:right w:val="none" w:sz="0" w:space="0" w:color="auto"/>
      </w:divBdr>
    </w:div>
    <w:div w:id="1427965927">
      <w:bodyDiv w:val="1"/>
      <w:marLeft w:val="0"/>
      <w:marRight w:val="0"/>
      <w:marTop w:val="0"/>
      <w:marBottom w:val="0"/>
      <w:divBdr>
        <w:top w:val="none" w:sz="0" w:space="0" w:color="auto"/>
        <w:left w:val="none" w:sz="0" w:space="0" w:color="auto"/>
        <w:bottom w:val="none" w:sz="0" w:space="0" w:color="auto"/>
        <w:right w:val="none" w:sz="0" w:space="0" w:color="auto"/>
      </w:divBdr>
    </w:div>
    <w:div w:id="1443498331">
      <w:bodyDiv w:val="1"/>
      <w:marLeft w:val="0"/>
      <w:marRight w:val="0"/>
      <w:marTop w:val="0"/>
      <w:marBottom w:val="0"/>
      <w:divBdr>
        <w:top w:val="none" w:sz="0" w:space="0" w:color="auto"/>
        <w:left w:val="none" w:sz="0" w:space="0" w:color="auto"/>
        <w:bottom w:val="none" w:sz="0" w:space="0" w:color="auto"/>
        <w:right w:val="none" w:sz="0" w:space="0" w:color="auto"/>
      </w:divBdr>
    </w:div>
    <w:div w:id="1447382036">
      <w:bodyDiv w:val="1"/>
      <w:marLeft w:val="0"/>
      <w:marRight w:val="0"/>
      <w:marTop w:val="0"/>
      <w:marBottom w:val="0"/>
      <w:divBdr>
        <w:top w:val="none" w:sz="0" w:space="0" w:color="auto"/>
        <w:left w:val="none" w:sz="0" w:space="0" w:color="auto"/>
        <w:bottom w:val="none" w:sz="0" w:space="0" w:color="auto"/>
        <w:right w:val="none" w:sz="0" w:space="0" w:color="auto"/>
      </w:divBdr>
    </w:div>
    <w:div w:id="1447775136">
      <w:bodyDiv w:val="1"/>
      <w:marLeft w:val="0"/>
      <w:marRight w:val="0"/>
      <w:marTop w:val="0"/>
      <w:marBottom w:val="0"/>
      <w:divBdr>
        <w:top w:val="none" w:sz="0" w:space="0" w:color="auto"/>
        <w:left w:val="none" w:sz="0" w:space="0" w:color="auto"/>
        <w:bottom w:val="none" w:sz="0" w:space="0" w:color="auto"/>
        <w:right w:val="none" w:sz="0" w:space="0" w:color="auto"/>
      </w:divBdr>
    </w:div>
    <w:div w:id="1449205736">
      <w:bodyDiv w:val="1"/>
      <w:marLeft w:val="0"/>
      <w:marRight w:val="0"/>
      <w:marTop w:val="0"/>
      <w:marBottom w:val="0"/>
      <w:divBdr>
        <w:top w:val="none" w:sz="0" w:space="0" w:color="auto"/>
        <w:left w:val="none" w:sz="0" w:space="0" w:color="auto"/>
        <w:bottom w:val="none" w:sz="0" w:space="0" w:color="auto"/>
        <w:right w:val="none" w:sz="0" w:space="0" w:color="auto"/>
      </w:divBdr>
    </w:div>
    <w:div w:id="1458639401">
      <w:bodyDiv w:val="1"/>
      <w:marLeft w:val="0"/>
      <w:marRight w:val="0"/>
      <w:marTop w:val="0"/>
      <w:marBottom w:val="0"/>
      <w:divBdr>
        <w:top w:val="none" w:sz="0" w:space="0" w:color="auto"/>
        <w:left w:val="none" w:sz="0" w:space="0" w:color="auto"/>
        <w:bottom w:val="none" w:sz="0" w:space="0" w:color="auto"/>
        <w:right w:val="none" w:sz="0" w:space="0" w:color="auto"/>
      </w:divBdr>
    </w:div>
    <w:div w:id="1465390380">
      <w:bodyDiv w:val="1"/>
      <w:marLeft w:val="0"/>
      <w:marRight w:val="0"/>
      <w:marTop w:val="0"/>
      <w:marBottom w:val="0"/>
      <w:divBdr>
        <w:top w:val="none" w:sz="0" w:space="0" w:color="auto"/>
        <w:left w:val="none" w:sz="0" w:space="0" w:color="auto"/>
        <w:bottom w:val="none" w:sz="0" w:space="0" w:color="auto"/>
        <w:right w:val="none" w:sz="0" w:space="0" w:color="auto"/>
      </w:divBdr>
    </w:div>
    <w:div w:id="1466240091">
      <w:bodyDiv w:val="1"/>
      <w:marLeft w:val="0"/>
      <w:marRight w:val="0"/>
      <w:marTop w:val="0"/>
      <w:marBottom w:val="0"/>
      <w:divBdr>
        <w:top w:val="none" w:sz="0" w:space="0" w:color="auto"/>
        <w:left w:val="none" w:sz="0" w:space="0" w:color="auto"/>
        <w:bottom w:val="none" w:sz="0" w:space="0" w:color="auto"/>
        <w:right w:val="none" w:sz="0" w:space="0" w:color="auto"/>
      </w:divBdr>
    </w:div>
    <w:div w:id="1468081779">
      <w:bodyDiv w:val="1"/>
      <w:marLeft w:val="0"/>
      <w:marRight w:val="0"/>
      <w:marTop w:val="0"/>
      <w:marBottom w:val="0"/>
      <w:divBdr>
        <w:top w:val="none" w:sz="0" w:space="0" w:color="auto"/>
        <w:left w:val="none" w:sz="0" w:space="0" w:color="auto"/>
        <w:bottom w:val="none" w:sz="0" w:space="0" w:color="auto"/>
        <w:right w:val="none" w:sz="0" w:space="0" w:color="auto"/>
      </w:divBdr>
    </w:div>
    <w:div w:id="1473791117">
      <w:bodyDiv w:val="1"/>
      <w:marLeft w:val="0"/>
      <w:marRight w:val="0"/>
      <w:marTop w:val="0"/>
      <w:marBottom w:val="0"/>
      <w:divBdr>
        <w:top w:val="none" w:sz="0" w:space="0" w:color="auto"/>
        <w:left w:val="none" w:sz="0" w:space="0" w:color="auto"/>
        <w:bottom w:val="none" w:sz="0" w:space="0" w:color="auto"/>
        <w:right w:val="none" w:sz="0" w:space="0" w:color="auto"/>
      </w:divBdr>
    </w:div>
    <w:div w:id="1477531983">
      <w:bodyDiv w:val="1"/>
      <w:marLeft w:val="0"/>
      <w:marRight w:val="0"/>
      <w:marTop w:val="0"/>
      <w:marBottom w:val="0"/>
      <w:divBdr>
        <w:top w:val="none" w:sz="0" w:space="0" w:color="auto"/>
        <w:left w:val="none" w:sz="0" w:space="0" w:color="auto"/>
        <w:bottom w:val="none" w:sz="0" w:space="0" w:color="auto"/>
        <w:right w:val="none" w:sz="0" w:space="0" w:color="auto"/>
      </w:divBdr>
    </w:div>
    <w:div w:id="1495684937">
      <w:bodyDiv w:val="1"/>
      <w:marLeft w:val="0"/>
      <w:marRight w:val="0"/>
      <w:marTop w:val="0"/>
      <w:marBottom w:val="0"/>
      <w:divBdr>
        <w:top w:val="none" w:sz="0" w:space="0" w:color="auto"/>
        <w:left w:val="none" w:sz="0" w:space="0" w:color="auto"/>
        <w:bottom w:val="none" w:sz="0" w:space="0" w:color="auto"/>
        <w:right w:val="none" w:sz="0" w:space="0" w:color="auto"/>
      </w:divBdr>
    </w:div>
    <w:div w:id="1506506856">
      <w:bodyDiv w:val="1"/>
      <w:marLeft w:val="0"/>
      <w:marRight w:val="0"/>
      <w:marTop w:val="0"/>
      <w:marBottom w:val="0"/>
      <w:divBdr>
        <w:top w:val="none" w:sz="0" w:space="0" w:color="auto"/>
        <w:left w:val="none" w:sz="0" w:space="0" w:color="auto"/>
        <w:bottom w:val="none" w:sz="0" w:space="0" w:color="auto"/>
        <w:right w:val="none" w:sz="0" w:space="0" w:color="auto"/>
      </w:divBdr>
    </w:div>
    <w:div w:id="1506705168">
      <w:bodyDiv w:val="1"/>
      <w:marLeft w:val="0"/>
      <w:marRight w:val="0"/>
      <w:marTop w:val="0"/>
      <w:marBottom w:val="0"/>
      <w:divBdr>
        <w:top w:val="none" w:sz="0" w:space="0" w:color="auto"/>
        <w:left w:val="none" w:sz="0" w:space="0" w:color="auto"/>
        <w:bottom w:val="none" w:sz="0" w:space="0" w:color="auto"/>
        <w:right w:val="none" w:sz="0" w:space="0" w:color="auto"/>
      </w:divBdr>
    </w:div>
    <w:div w:id="1508323128">
      <w:bodyDiv w:val="1"/>
      <w:marLeft w:val="0"/>
      <w:marRight w:val="0"/>
      <w:marTop w:val="0"/>
      <w:marBottom w:val="0"/>
      <w:divBdr>
        <w:top w:val="none" w:sz="0" w:space="0" w:color="auto"/>
        <w:left w:val="none" w:sz="0" w:space="0" w:color="auto"/>
        <w:bottom w:val="none" w:sz="0" w:space="0" w:color="auto"/>
        <w:right w:val="none" w:sz="0" w:space="0" w:color="auto"/>
      </w:divBdr>
    </w:div>
    <w:div w:id="1513644089">
      <w:bodyDiv w:val="1"/>
      <w:marLeft w:val="0"/>
      <w:marRight w:val="0"/>
      <w:marTop w:val="0"/>
      <w:marBottom w:val="0"/>
      <w:divBdr>
        <w:top w:val="none" w:sz="0" w:space="0" w:color="auto"/>
        <w:left w:val="none" w:sz="0" w:space="0" w:color="auto"/>
        <w:bottom w:val="none" w:sz="0" w:space="0" w:color="auto"/>
        <w:right w:val="none" w:sz="0" w:space="0" w:color="auto"/>
      </w:divBdr>
    </w:div>
    <w:div w:id="1515879016">
      <w:bodyDiv w:val="1"/>
      <w:marLeft w:val="0"/>
      <w:marRight w:val="0"/>
      <w:marTop w:val="0"/>
      <w:marBottom w:val="0"/>
      <w:divBdr>
        <w:top w:val="none" w:sz="0" w:space="0" w:color="auto"/>
        <w:left w:val="none" w:sz="0" w:space="0" w:color="auto"/>
        <w:bottom w:val="none" w:sz="0" w:space="0" w:color="auto"/>
        <w:right w:val="none" w:sz="0" w:space="0" w:color="auto"/>
      </w:divBdr>
    </w:div>
    <w:div w:id="1522892603">
      <w:bodyDiv w:val="1"/>
      <w:marLeft w:val="0"/>
      <w:marRight w:val="0"/>
      <w:marTop w:val="0"/>
      <w:marBottom w:val="0"/>
      <w:divBdr>
        <w:top w:val="none" w:sz="0" w:space="0" w:color="auto"/>
        <w:left w:val="none" w:sz="0" w:space="0" w:color="auto"/>
        <w:bottom w:val="none" w:sz="0" w:space="0" w:color="auto"/>
        <w:right w:val="none" w:sz="0" w:space="0" w:color="auto"/>
      </w:divBdr>
    </w:div>
    <w:div w:id="1525436933">
      <w:bodyDiv w:val="1"/>
      <w:marLeft w:val="0"/>
      <w:marRight w:val="0"/>
      <w:marTop w:val="0"/>
      <w:marBottom w:val="0"/>
      <w:divBdr>
        <w:top w:val="none" w:sz="0" w:space="0" w:color="auto"/>
        <w:left w:val="none" w:sz="0" w:space="0" w:color="auto"/>
        <w:bottom w:val="none" w:sz="0" w:space="0" w:color="auto"/>
        <w:right w:val="none" w:sz="0" w:space="0" w:color="auto"/>
      </w:divBdr>
    </w:div>
    <w:div w:id="1529833746">
      <w:bodyDiv w:val="1"/>
      <w:marLeft w:val="0"/>
      <w:marRight w:val="0"/>
      <w:marTop w:val="0"/>
      <w:marBottom w:val="0"/>
      <w:divBdr>
        <w:top w:val="none" w:sz="0" w:space="0" w:color="auto"/>
        <w:left w:val="none" w:sz="0" w:space="0" w:color="auto"/>
        <w:bottom w:val="none" w:sz="0" w:space="0" w:color="auto"/>
        <w:right w:val="none" w:sz="0" w:space="0" w:color="auto"/>
      </w:divBdr>
    </w:div>
    <w:div w:id="1530069444">
      <w:bodyDiv w:val="1"/>
      <w:marLeft w:val="0"/>
      <w:marRight w:val="0"/>
      <w:marTop w:val="0"/>
      <w:marBottom w:val="0"/>
      <w:divBdr>
        <w:top w:val="none" w:sz="0" w:space="0" w:color="auto"/>
        <w:left w:val="none" w:sz="0" w:space="0" w:color="auto"/>
        <w:bottom w:val="none" w:sz="0" w:space="0" w:color="auto"/>
        <w:right w:val="none" w:sz="0" w:space="0" w:color="auto"/>
      </w:divBdr>
    </w:div>
    <w:div w:id="1538736405">
      <w:bodyDiv w:val="1"/>
      <w:marLeft w:val="0"/>
      <w:marRight w:val="0"/>
      <w:marTop w:val="0"/>
      <w:marBottom w:val="0"/>
      <w:divBdr>
        <w:top w:val="none" w:sz="0" w:space="0" w:color="auto"/>
        <w:left w:val="none" w:sz="0" w:space="0" w:color="auto"/>
        <w:bottom w:val="none" w:sz="0" w:space="0" w:color="auto"/>
        <w:right w:val="none" w:sz="0" w:space="0" w:color="auto"/>
      </w:divBdr>
    </w:div>
    <w:div w:id="1560246982">
      <w:bodyDiv w:val="1"/>
      <w:marLeft w:val="0"/>
      <w:marRight w:val="0"/>
      <w:marTop w:val="0"/>
      <w:marBottom w:val="0"/>
      <w:divBdr>
        <w:top w:val="none" w:sz="0" w:space="0" w:color="auto"/>
        <w:left w:val="none" w:sz="0" w:space="0" w:color="auto"/>
        <w:bottom w:val="none" w:sz="0" w:space="0" w:color="auto"/>
        <w:right w:val="none" w:sz="0" w:space="0" w:color="auto"/>
      </w:divBdr>
    </w:div>
    <w:div w:id="1572426660">
      <w:bodyDiv w:val="1"/>
      <w:marLeft w:val="0"/>
      <w:marRight w:val="0"/>
      <w:marTop w:val="0"/>
      <w:marBottom w:val="0"/>
      <w:divBdr>
        <w:top w:val="none" w:sz="0" w:space="0" w:color="auto"/>
        <w:left w:val="none" w:sz="0" w:space="0" w:color="auto"/>
        <w:bottom w:val="none" w:sz="0" w:space="0" w:color="auto"/>
        <w:right w:val="none" w:sz="0" w:space="0" w:color="auto"/>
      </w:divBdr>
    </w:div>
    <w:div w:id="1575162545">
      <w:bodyDiv w:val="1"/>
      <w:marLeft w:val="0"/>
      <w:marRight w:val="0"/>
      <w:marTop w:val="0"/>
      <w:marBottom w:val="0"/>
      <w:divBdr>
        <w:top w:val="none" w:sz="0" w:space="0" w:color="auto"/>
        <w:left w:val="none" w:sz="0" w:space="0" w:color="auto"/>
        <w:bottom w:val="none" w:sz="0" w:space="0" w:color="auto"/>
        <w:right w:val="none" w:sz="0" w:space="0" w:color="auto"/>
      </w:divBdr>
    </w:div>
    <w:div w:id="1576237523">
      <w:bodyDiv w:val="1"/>
      <w:marLeft w:val="0"/>
      <w:marRight w:val="0"/>
      <w:marTop w:val="0"/>
      <w:marBottom w:val="0"/>
      <w:divBdr>
        <w:top w:val="none" w:sz="0" w:space="0" w:color="auto"/>
        <w:left w:val="none" w:sz="0" w:space="0" w:color="auto"/>
        <w:bottom w:val="none" w:sz="0" w:space="0" w:color="auto"/>
        <w:right w:val="none" w:sz="0" w:space="0" w:color="auto"/>
      </w:divBdr>
    </w:div>
    <w:div w:id="1580022065">
      <w:bodyDiv w:val="1"/>
      <w:marLeft w:val="0"/>
      <w:marRight w:val="0"/>
      <w:marTop w:val="0"/>
      <w:marBottom w:val="0"/>
      <w:divBdr>
        <w:top w:val="none" w:sz="0" w:space="0" w:color="auto"/>
        <w:left w:val="none" w:sz="0" w:space="0" w:color="auto"/>
        <w:bottom w:val="none" w:sz="0" w:space="0" w:color="auto"/>
        <w:right w:val="none" w:sz="0" w:space="0" w:color="auto"/>
      </w:divBdr>
    </w:div>
    <w:div w:id="1581600434">
      <w:bodyDiv w:val="1"/>
      <w:marLeft w:val="0"/>
      <w:marRight w:val="0"/>
      <w:marTop w:val="0"/>
      <w:marBottom w:val="0"/>
      <w:divBdr>
        <w:top w:val="none" w:sz="0" w:space="0" w:color="auto"/>
        <w:left w:val="none" w:sz="0" w:space="0" w:color="auto"/>
        <w:bottom w:val="none" w:sz="0" w:space="0" w:color="auto"/>
        <w:right w:val="none" w:sz="0" w:space="0" w:color="auto"/>
      </w:divBdr>
    </w:div>
    <w:div w:id="1581938874">
      <w:bodyDiv w:val="1"/>
      <w:marLeft w:val="0"/>
      <w:marRight w:val="0"/>
      <w:marTop w:val="0"/>
      <w:marBottom w:val="0"/>
      <w:divBdr>
        <w:top w:val="none" w:sz="0" w:space="0" w:color="auto"/>
        <w:left w:val="none" w:sz="0" w:space="0" w:color="auto"/>
        <w:bottom w:val="none" w:sz="0" w:space="0" w:color="auto"/>
        <w:right w:val="none" w:sz="0" w:space="0" w:color="auto"/>
      </w:divBdr>
    </w:div>
    <w:div w:id="1586065534">
      <w:bodyDiv w:val="1"/>
      <w:marLeft w:val="0"/>
      <w:marRight w:val="0"/>
      <w:marTop w:val="0"/>
      <w:marBottom w:val="0"/>
      <w:divBdr>
        <w:top w:val="none" w:sz="0" w:space="0" w:color="auto"/>
        <w:left w:val="none" w:sz="0" w:space="0" w:color="auto"/>
        <w:bottom w:val="none" w:sz="0" w:space="0" w:color="auto"/>
        <w:right w:val="none" w:sz="0" w:space="0" w:color="auto"/>
      </w:divBdr>
    </w:div>
    <w:div w:id="1605647414">
      <w:bodyDiv w:val="1"/>
      <w:marLeft w:val="0"/>
      <w:marRight w:val="0"/>
      <w:marTop w:val="0"/>
      <w:marBottom w:val="0"/>
      <w:divBdr>
        <w:top w:val="none" w:sz="0" w:space="0" w:color="auto"/>
        <w:left w:val="none" w:sz="0" w:space="0" w:color="auto"/>
        <w:bottom w:val="none" w:sz="0" w:space="0" w:color="auto"/>
        <w:right w:val="none" w:sz="0" w:space="0" w:color="auto"/>
      </w:divBdr>
    </w:div>
    <w:div w:id="1607345213">
      <w:bodyDiv w:val="1"/>
      <w:marLeft w:val="0"/>
      <w:marRight w:val="0"/>
      <w:marTop w:val="0"/>
      <w:marBottom w:val="0"/>
      <w:divBdr>
        <w:top w:val="none" w:sz="0" w:space="0" w:color="auto"/>
        <w:left w:val="none" w:sz="0" w:space="0" w:color="auto"/>
        <w:bottom w:val="none" w:sz="0" w:space="0" w:color="auto"/>
        <w:right w:val="none" w:sz="0" w:space="0" w:color="auto"/>
      </w:divBdr>
    </w:div>
    <w:div w:id="1612394316">
      <w:bodyDiv w:val="1"/>
      <w:marLeft w:val="0"/>
      <w:marRight w:val="0"/>
      <w:marTop w:val="0"/>
      <w:marBottom w:val="0"/>
      <w:divBdr>
        <w:top w:val="none" w:sz="0" w:space="0" w:color="auto"/>
        <w:left w:val="none" w:sz="0" w:space="0" w:color="auto"/>
        <w:bottom w:val="none" w:sz="0" w:space="0" w:color="auto"/>
        <w:right w:val="none" w:sz="0" w:space="0" w:color="auto"/>
      </w:divBdr>
    </w:div>
    <w:div w:id="1613436920">
      <w:bodyDiv w:val="1"/>
      <w:marLeft w:val="0"/>
      <w:marRight w:val="0"/>
      <w:marTop w:val="0"/>
      <w:marBottom w:val="0"/>
      <w:divBdr>
        <w:top w:val="none" w:sz="0" w:space="0" w:color="auto"/>
        <w:left w:val="none" w:sz="0" w:space="0" w:color="auto"/>
        <w:bottom w:val="none" w:sz="0" w:space="0" w:color="auto"/>
        <w:right w:val="none" w:sz="0" w:space="0" w:color="auto"/>
      </w:divBdr>
    </w:div>
    <w:div w:id="1618099014">
      <w:bodyDiv w:val="1"/>
      <w:marLeft w:val="0"/>
      <w:marRight w:val="0"/>
      <w:marTop w:val="0"/>
      <w:marBottom w:val="0"/>
      <w:divBdr>
        <w:top w:val="none" w:sz="0" w:space="0" w:color="auto"/>
        <w:left w:val="none" w:sz="0" w:space="0" w:color="auto"/>
        <w:bottom w:val="none" w:sz="0" w:space="0" w:color="auto"/>
        <w:right w:val="none" w:sz="0" w:space="0" w:color="auto"/>
      </w:divBdr>
    </w:div>
    <w:div w:id="1618827509">
      <w:bodyDiv w:val="1"/>
      <w:marLeft w:val="0"/>
      <w:marRight w:val="0"/>
      <w:marTop w:val="0"/>
      <w:marBottom w:val="0"/>
      <w:divBdr>
        <w:top w:val="none" w:sz="0" w:space="0" w:color="auto"/>
        <w:left w:val="none" w:sz="0" w:space="0" w:color="auto"/>
        <w:bottom w:val="none" w:sz="0" w:space="0" w:color="auto"/>
        <w:right w:val="none" w:sz="0" w:space="0" w:color="auto"/>
      </w:divBdr>
    </w:div>
    <w:div w:id="1622108135">
      <w:bodyDiv w:val="1"/>
      <w:marLeft w:val="0"/>
      <w:marRight w:val="0"/>
      <w:marTop w:val="0"/>
      <w:marBottom w:val="0"/>
      <w:divBdr>
        <w:top w:val="none" w:sz="0" w:space="0" w:color="auto"/>
        <w:left w:val="none" w:sz="0" w:space="0" w:color="auto"/>
        <w:bottom w:val="none" w:sz="0" w:space="0" w:color="auto"/>
        <w:right w:val="none" w:sz="0" w:space="0" w:color="auto"/>
      </w:divBdr>
    </w:div>
    <w:div w:id="1624463033">
      <w:bodyDiv w:val="1"/>
      <w:marLeft w:val="0"/>
      <w:marRight w:val="0"/>
      <w:marTop w:val="0"/>
      <w:marBottom w:val="0"/>
      <w:divBdr>
        <w:top w:val="none" w:sz="0" w:space="0" w:color="auto"/>
        <w:left w:val="none" w:sz="0" w:space="0" w:color="auto"/>
        <w:bottom w:val="none" w:sz="0" w:space="0" w:color="auto"/>
        <w:right w:val="none" w:sz="0" w:space="0" w:color="auto"/>
      </w:divBdr>
    </w:div>
    <w:div w:id="1625649492">
      <w:bodyDiv w:val="1"/>
      <w:marLeft w:val="0"/>
      <w:marRight w:val="0"/>
      <w:marTop w:val="0"/>
      <w:marBottom w:val="0"/>
      <w:divBdr>
        <w:top w:val="none" w:sz="0" w:space="0" w:color="auto"/>
        <w:left w:val="none" w:sz="0" w:space="0" w:color="auto"/>
        <w:bottom w:val="none" w:sz="0" w:space="0" w:color="auto"/>
        <w:right w:val="none" w:sz="0" w:space="0" w:color="auto"/>
      </w:divBdr>
    </w:div>
    <w:div w:id="1631549814">
      <w:bodyDiv w:val="1"/>
      <w:marLeft w:val="0"/>
      <w:marRight w:val="0"/>
      <w:marTop w:val="0"/>
      <w:marBottom w:val="0"/>
      <w:divBdr>
        <w:top w:val="none" w:sz="0" w:space="0" w:color="auto"/>
        <w:left w:val="none" w:sz="0" w:space="0" w:color="auto"/>
        <w:bottom w:val="none" w:sz="0" w:space="0" w:color="auto"/>
        <w:right w:val="none" w:sz="0" w:space="0" w:color="auto"/>
      </w:divBdr>
    </w:div>
    <w:div w:id="1633559387">
      <w:bodyDiv w:val="1"/>
      <w:marLeft w:val="0"/>
      <w:marRight w:val="0"/>
      <w:marTop w:val="0"/>
      <w:marBottom w:val="0"/>
      <w:divBdr>
        <w:top w:val="none" w:sz="0" w:space="0" w:color="auto"/>
        <w:left w:val="none" w:sz="0" w:space="0" w:color="auto"/>
        <w:bottom w:val="none" w:sz="0" w:space="0" w:color="auto"/>
        <w:right w:val="none" w:sz="0" w:space="0" w:color="auto"/>
      </w:divBdr>
    </w:div>
    <w:div w:id="1634407984">
      <w:bodyDiv w:val="1"/>
      <w:marLeft w:val="0"/>
      <w:marRight w:val="0"/>
      <w:marTop w:val="0"/>
      <w:marBottom w:val="0"/>
      <w:divBdr>
        <w:top w:val="none" w:sz="0" w:space="0" w:color="auto"/>
        <w:left w:val="none" w:sz="0" w:space="0" w:color="auto"/>
        <w:bottom w:val="none" w:sz="0" w:space="0" w:color="auto"/>
        <w:right w:val="none" w:sz="0" w:space="0" w:color="auto"/>
      </w:divBdr>
    </w:div>
    <w:div w:id="1637711144">
      <w:bodyDiv w:val="1"/>
      <w:marLeft w:val="0"/>
      <w:marRight w:val="0"/>
      <w:marTop w:val="0"/>
      <w:marBottom w:val="0"/>
      <w:divBdr>
        <w:top w:val="none" w:sz="0" w:space="0" w:color="auto"/>
        <w:left w:val="none" w:sz="0" w:space="0" w:color="auto"/>
        <w:bottom w:val="none" w:sz="0" w:space="0" w:color="auto"/>
        <w:right w:val="none" w:sz="0" w:space="0" w:color="auto"/>
      </w:divBdr>
    </w:div>
    <w:div w:id="1656185163">
      <w:bodyDiv w:val="1"/>
      <w:marLeft w:val="0"/>
      <w:marRight w:val="0"/>
      <w:marTop w:val="0"/>
      <w:marBottom w:val="0"/>
      <w:divBdr>
        <w:top w:val="none" w:sz="0" w:space="0" w:color="auto"/>
        <w:left w:val="none" w:sz="0" w:space="0" w:color="auto"/>
        <w:bottom w:val="none" w:sz="0" w:space="0" w:color="auto"/>
        <w:right w:val="none" w:sz="0" w:space="0" w:color="auto"/>
      </w:divBdr>
    </w:div>
    <w:div w:id="1659306151">
      <w:bodyDiv w:val="1"/>
      <w:marLeft w:val="0"/>
      <w:marRight w:val="0"/>
      <w:marTop w:val="0"/>
      <w:marBottom w:val="0"/>
      <w:divBdr>
        <w:top w:val="none" w:sz="0" w:space="0" w:color="auto"/>
        <w:left w:val="none" w:sz="0" w:space="0" w:color="auto"/>
        <w:bottom w:val="none" w:sz="0" w:space="0" w:color="auto"/>
        <w:right w:val="none" w:sz="0" w:space="0" w:color="auto"/>
      </w:divBdr>
    </w:div>
    <w:div w:id="1661541048">
      <w:bodyDiv w:val="1"/>
      <w:marLeft w:val="0"/>
      <w:marRight w:val="0"/>
      <w:marTop w:val="0"/>
      <w:marBottom w:val="0"/>
      <w:divBdr>
        <w:top w:val="none" w:sz="0" w:space="0" w:color="auto"/>
        <w:left w:val="none" w:sz="0" w:space="0" w:color="auto"/>
        <w:bottom w:val="none" w:sz="0" w:space="0" w:color="auto"/>
        <w:right w:val="none" w:sz="0" w:space="0" w:color="auto"/>
      </w:divBdr>
    </w:div>
    <w:div w:id="1670937983">
      <w:bodyDiv w:val="1"/>
      <w:marLeft w:val="0"/>
      <w:marRight w:val="0"/>
      <w:marTop w:val="0"/>
      <w:marBottom w:val="0"/>
      <w:divBdr>
        <w:top w:val="none" w:sz="0" w:space="0" w:color="auto"/>
        <w:left w:val="none" w:sz="0" w:space="0" w:color="auto"/>
        <w:bottom w:val="none" w:sz="0" w:space="0" w:color="auto"/>
        <w:right w:val="none" w:sz="0" w:space="0" w:color="auto"/>
      </w:divBdr>
    </w:div>
    <w:div w:id="1671061487">
      <w:bodyDiv w:val="1"/>
      <w:marLeft w:val="0"/>
      <w:marRight w:val="0"/>
      <w:marTop w:val="0"/>
      <w:marBottom w:val="0"/>
      <w:divBdr>
        <w:top w:val="none" w:sz="0" w:space="0" w:color="auto"/>
        <w:left w:val="none" w:sz="0" w:space="0" w:color="auto"/>
        <w:bottom w:val="none" w:sz="0" w:space="0" w:color="auto"/>
        <w:right w:val="none" w:sz="0" w:space="0" w:color="auto"/>
      </w:divBdr>
    </w:div>
    <w:div w:id="1683699442">
      <w:bodyDiv w:val="1"/>
      <w:marLeft w:val="0"/>
      <w:marRight w:val="0"/>
      <w:marTop w:val="0"/>
      <w:marBottom w:val="0"/>
      <w:divBdr>
        <w:top w:val="none" w:sz="0" w:space="0" w:color="auto"/>
        <w:left w:val="none" w:sz="0" w:space="0" w:color="auto"/>
        <w:bottom w:val="none" w:sz="0" w:space="0" w:color="auto"/>
        <w:right w:val="none" w:sz="0" w:space="0" w:color="auto"/>
      </w:divBdr>
    </w:div>
    <w:div w:id="1684629867">
      <w:bodyDiv w:val="1"/>
      <w:marLeft w:val="0"/>
      <w:marRight w:val="0"/>
      <w:marTop w:val="0"/>
      <w:marBottom w:val="0"/>
      <w:divBdr>
        <w:top w:val="none" w:sz="0" w:space="0" w:color="auto"/>
        <w:left w:val="none" w:sz="0" w:space="0" w:color="auto"/>
        <w:bottom w:val="none" w:sz="0" w:space="0" w:color="auto"/>
        <w:right w:val="none" w:sz="0" w:space="0" w:color="auto"/>
      </w:divBdr>
    </w:div>
    <w:div w:id="1689789249">
      <w:bodyDiv w:val="1"/>
      <w:marLeft w:val="0"/>
      <w:marRight w:val="0"/>
      <w:marTop w:val="0"/>
      <w:marBottom w:val="0"/>
      <w:divBdr>
        <w:top w:val="none" w:sz="0" w:space="0" w:color="auto"/>
        <w:left w:val="none" w:sz="0" w:space="0" w:color="auto"/>
        <w:bottom w:val="none" w:sz="0" w:space="0" w:color="auto"/>
        <w:right w:val="none" w:sz="0" w:space="0" w:color="auto"/>
      </w:divBdr>
    </w:div>
    <w:div w:id="1693264389">
      <w:bodyDiv w:val="1"/>
      <w:marLeft w:val="0"/>
      <w:marRight w:val="0"/>
      <w:marTop w:val="0"/>
      <w:marBottom w:val="0"/>
      <w:divBdr>
        <w:top w:val="none" w:sz="0" w:space="0" w:color="auto"/>
        <w:left w:val="none" w:sz="0" w:space="0" w:color="auto"/>
        <w:bottom w:val="none" w:sz="0" w:space="0" w:color="auto"/>
        <w:right w:val="none" w:sz="0" w:space="0" w:color="auto"/>
      </w:divBdr>
    </w:div>
    <w:div w:id="1696274201">
      <w:bodyDiv w:val="1"/>
      <w:marLeft w:val="0"/>
      <w:marRight w:val="0"/>
      <w:marTop w:val="0"/>
      <w:marBottom w:val="0"/>
      <w:divBdr>
        <w:top w:val="none" w:sz="0" w:space="0" w:color="auto"/>
        <w:left w:val="none" w:sz="0" w:space="0" w:color="auto"/>
        <w:bottom w:val="none" w:sz="0" w:space="0" w:color="auto"/>
        <w:right w:val="none" w:sz="0" w:space="0" w:color="auto"/>
      </w:divBdr>
    </w:div>
    <w:div w:id="1699624207">
      <w:bodyDiv w:val="1"/>
      <w:marLeft w:val="0"/>
      <w:marRight w:val="0"/>
      <w:marTop w:val="0"/>
      <w:marBottom w:val="0"/>
      <w:divBdr>
        <w:top w:val="none" w:sz="0" w:space="0" w:color="auto"/>
        <w:left w:val="none" w:sz="0" w:space="0" w:color="auto"/>
        <w:bottom w:val="none" w:sz="0" w:space="0" w:color="auto"/>
        <w:right w:val="none" w:sz="0" w:space="0" w:color="auto"/>
      </w:divBdr>
    </w:div>
    <w:div w:id="1700935103">
      <w:bodyDiv w:val="1"/>
      <w:marLeft w:val="0"/>
      <w:marRight w:val="0"/>
      <w:marTop w:val="0"/>
      <w:marBottom w:val="0"/>
      <w:divBdr>
        <w:top w:val="none" w:sz="0" w:space="0" w:color="auto"/>
        <w:left w:val="none" w:sz="0" w:space="0" w:color="auto"/>
        <w:bottom w:val="none" w:sz="0" w:space="0" w:color="auto"/>
        <w:right w:val="none" w:sz="0" w:space="0" w:color="auto"/>
      </w:divBdr>
    </w:div>
    <w:div w:id="1706783584">
      <w:bodyDiv w:val="1"/>
      <w:marLeft w:val="0"/>
      <w:marRight w:val="0"/>
      <w:marTop w:val="0"/>
      <w:marBottom w:val="0"/>
      <w:divBdr>
        <w:top w:val="none" w:sz="0" w:space="0" w:color="auto"/>
        <w:left w:val="none" w:sz="0" w:space="0" w:color="auto"/>
        <w:bottom w:val="none" w:sz="0" w:space="0" w:color="auto"/>
        <w:right w:val="none" w:sz="0" w:space="0" w:color="auto"/>
      </w:divBdr>
    </w:div>
    <w:div w:id="1714648707">
      <w:bodyDiv w:val="1"/>
      <w:marLeft w:val="0"/>
      <w:marRight w:val="0"/>
      <w:marTop w:val="0"/>
      <w:marBottom w:val="0"/>
      <w:divBdr>
        <w:top w:val="none" w:sz="0" w:space="0" w:color="auto"/>
        <w:left w:val="none" w:sz="0" w:space="0" w:color="auto"/>
        <w:bottom w:val="none" w:sz="0" w:space="0" w:color="auto"/>
        <w:right w:val="none" w:sz="0" w:space="0" w:color="auto"/>
      </w:divBdr>
    </w:div>
    <w:div w:id="1721784916">
      <w:bodyDiv w:val="1"/>
      <w:marLeft w:val="0"/>
      <w:marRight w:val="0"/>
      <w:marTop w:val="0"/>
      <w:marBottom w:val="0"/>
      <w:divBdr>
        <w:top w:val="none" w:sz="0" w:space="0" w:color="auto"/>
        <w:left w:val="none" w:sz="0" w:space="0" w:color="auto"/>
        <w:bottom w:val="none" w:sz="0" w:space="0" w:color="auto"/>
        <w:right w:val="none" w:sz="0" w:space="0" w:color="auto"/>
      </w:divBdr>
    </w:div>
    <w:div w:id="1721902970">
      <w:bodyDiv w:val="1"/>
      <w:marLeft w:val="0"/>
      <w:marRight w:val="0"/>
      <w:marTop w:val="0"/>
      <w:marBottom w:val="0"/>
      <w:divBdr>
        <w:top w:val="none" w:sz="0" w:space="0" w:color="auto"/>
        <w:left w:val="none" w:sz="0" w:space="0" w:color="auto"/>
        <w:bottom w:val="none" w:sz="0" w:space="0" w:color="auto"/>
        <w:right w:val="none" w:sz="0" w:space="0" w:color="auto"/>
      </w:divBdr>
    </w:div>
    <w:div w:id="1723166618">
      <w:bodyDiv w:val="1"/>
      <w:marLeft w:val="0"/>
      <w:marRight w:val="0"/>
      <w:marTop w:val="0"/>
      <w:marBottom w:val="0"/>
      <w:divBdr>
        <w:top w:val="none" w:sz="0" w:space="0" w:color="auto"/>
        <w:left w:val="none" w:sz="0" w:space="0" w:color="auto"/>
        <w:bottom w:val="none" w:sz="0" w:space="0" w:color="auto"/>
        <w:right w:val="none" w:sz="0" w:space="0" w:color="auto"/>
      </w:divBdr>
    </w:div>
    <w:div w:id="1725180127">
      <w:bodyDiv w:val="1"/>
      <w:marLeft w:val="0"/>
      <w:marRight w:val="0"/>
      <w:marTop w:val="0"/>
      <w:marBottom w:val="0"/>
      <w:divBdr>
        <w:top w:val="none" w:sz="0" w:space="0" w:color="auto"/>
        <w:left w:val="none" w:sz="0" w:space="0" w:color="auto"/>
        <w:bottom w:val="none" w:sz="0" w:space="0" w:color="auto"/>
        <w:right w:val="none" w:sz="0" w:space="0" w:color="auto"/>
      </w:divBdr>
    </w:div>
    <w:div w:id="1726416826">
      <w:bodyDiv w:val="1"/>
      <w:marLeft w:val="0"/>
      <w:marRight w:val="0"/>
      <w:marTop w:val="0"/>
      <w:marBottom w:val="0"/>
      <w:divBdr>
        <w:top w:val="none" w:sz="0" w:space="0" w:color="auto"/>
        <w:left w:val="none" w:sz="0" w:space="0" w:color="auto"/>
        <w:bottom w:val="none" w:sz="0" w:space="0" w:color="auto"/>
        <w:right w:val="none" w:sz="0" w:space="0" w:color="auto"/>
      </w:divBdr>
    </w:div>
    <w:div w:id="1732075993">
      <w:bodyDiv w:val="1"/>
      <w:marLeft w:val="0"/>
      <w:marRight w:val="0"/>
      <w:marTop w:val="0"/>
      <w:marBottom w:val="0"/>
      <w:divBdr>
        <w:top w:val="none" w:sz="0" w:space="0" w:color="auto"/>
        <w:left w:val="none" w:sz="0" w:space="0" w:color="auto"/>
        <w:bottom w:val="none" w:sz="0" w:space="0" w:color="auto"/>
        <w:right w:val="none" w:sz="0" w:space="0" w:color="auto"/>
      </w:divBdr>
    </w:div>
    <w:div w:id="1741096806">
      <w:bodyDiv w:val="1"/>
      <w:marLeft w:val="0"/>
      <w:marRight w:val="0"/>
      <w:marTop w:val="0"/>
      <w:marBottom w:val="0"/>
      <w:divBdr>
        <w:top w:val="none" w:sz="0" w:space="0" w:color="auto"/>
        <w:left w:val="none" w:sz="0" w:space="0" w:color="auto"/>
        <w:bottom w:val="none" w:sz="0" w:space="0" w:color="auto"/>
        <w:right w:val="none" w:sz="0" w:space="0" w:color="auto"/>
      </w:divBdr>
    </w:div>
    <w:div w:id="1742487228">
      <w:bodyDiv w:val="1"/>
      <w:marLeft w:val="0"/>
      <w:marRight w:val="0"/>
      <w:marTop w:val="0"/>
      <w:marBottom w:val="0"/>
      <w:divBdr>
        <w:top w:val="none" w:sz="0" w:space="0" w:color="auto"/>
        <w:left w:val="none" w:sz="0" w:space="0" w:color="auto"/>
        <w:bottom w:val="none" w:sz="0" w:space="0" w:color="auto"/>
        <w:right w:val="none" w:sz="0" w:space="0" w:color="auto"/>
      </w:divBdr>
    </w:div>
    <w:div w:id="1754620000">
      <w:bodyDiv w:val="1"/>
      <w:marLeft w:val="0"/>
      <w:marRight w:val="0"/>
      <w:marTop w:val="0"/>
      <w:marBottom w:val="0"/>
      <w:divBdr>
        <w:top w:val="none" w:sz="0" w:space="0" w:color="auto"/>
        <w:left w:val="none" w:sz="0" w:space="0" w:color="auto"/>
        <w:bottom w:val="none" w:sz="0" w:space="0" w:color="auto"/>
        <w:right w:val="none" w:sz="0" w:space="0" w:color="auto"/>
      </w:divBdr>
    </w:div>
    <w:div w:id="1773628477">
      <w:bodyDiv w:val="1"/>
      <w:marLeft w:val="0"/>
      <w:marRight w:val="0"/>
      <w:marTop w:val="0"/>
      <w:marBottom w:val="0"/>
      <w:divBdr>
        <w:top w:val="none" w:sz="0" w:space="0" w:color="auto"/>
        <w:left w:val="none" w:sz="0" w:space="0" w:color="auto"/>
        <w:bottom w:val="none" w:sz="0" w:space="0" w:color="auto"/>
        <w:right w:val="none" w:sz="0" w:space="0" w:color="auto"/>
      </w:divBdr>
    </w:div>
    <w:div w:id="1788617908">
      <w:bodyDiv w:val="1"/>
      <w:marLeft w:val="0"/>
      <w:marRight w:val="0"/>
      <w:marTop w:val="0"/>
      <w:marBottom w:val="0"/>
      <w:divBdr>
        <w:top w:val="none" w:sz="0" w:space="0" w:color="auto"/>
        <w:left w:val="none" w:sz="0" w:space="0" w:color="auto"/>
        <w:bottom w:val="none" w:sz="0" w:space="0" w:color="auto"/>
        <w:right w:val="none" w:sz="0" w:space="0" w:color="auto"/>
      </w:divBdr>
    </w:div>
    <w:div w:id="1802921515">
      <w:bodyDiv w:val="1"/>
      <w:marLeft w:val="0"/>
      <w:marRight w:val="0"/>
      <w:marTop w:val="0"/>
      <w:marBottom w:val="0"/>
      <w:divBdr>
        <w:top w:val="none" w:sz="0" w:space="0" w:color="auto"/>
        <w:left w:val="none" w:sz="0" w:space="0" w:color="auto"/>
        <w:bottom w:val="none" w:sz="0" w:space="0" w:color="auto"/>
        <w:right w:val="none" w:sz="0" w:space="0" w:color="auto"/>
      </w:divBdr>
    </w:div>
    <w:div w:id="1803036651">
      <w:bodyDiv w:val="1"/>
      <w:marLeft w:val="0"/>
      <w:marRight w:val="0"/>
      <w:marTop w:val="0"/>
      <w:marBottom w:val="0"/>
      <w:divBdr>
        <w:top w:val="none" w:sz="0" w:space="0" w:color="auto"/>
        <w:left w:val="none" w:sz="0" w:space="0" w:color="auto"/>
        <w:bottom w:val="none" w:sz="0" w:space="0" w:color="auto"/>
        <w:right w:val="none" w:sz="0" w:space="0" w:color="auto"/>
      </w:divBdr>
    </w:div>
    <w:div w:id="1813517364">
      <w:bodyDiv w:val="1"/>
      <w:marLeft w:val="0"/>
      <w:marRight w:val="0"/>
      <w:marTop w:val="0"/>
      <w:marBottom w:val="0"/>
      <w:divBdr>
        <w:top w:val="none" w:sz="0" w:space="0" w:color="auto"/>
        <w:left w:val="none" w:sz="0" w:space="0" w:color="auto"/>
        <w:bottom w:val="none" w:sz="0" w:space="0" w:color="auto"/>
        <w:right w:val="none" w:sz="0" w:space="0" w:color="auto"/>
      </w:divBdr>
    </w:div>
    <w:div w:id="1813788791">
      <w:bodyDiv w:val="1"/>
      <w:marLeft w:val="0"/>
      <w:marRight w:val="0"/>
      <w:marTop w:val="0"/>
      <w:marBottom w:val="0"/>
      <w:divBdr>
        <w:top w:val="none" w:sz="0" w:space="0" w:color="auto"/>
        <w:left w:val="none" w:sz="0" w:space="0" w:color="auto"/>
        <w:bottom w:val="none" w:sz="0" w:space="0" w:color="auto"/>
        <w:right w:val="none" w:sz="0" w:space="0" w:color="auto"/>
      </w:divBdr>
    </w:div>
    <w:div w:id="1819682446">
      <w:bodyDiv w:val="1"/>
      <w:marLeft w:val="0"/>
      <w:marRight w:val="0"/>
      <w:marTop w:val="0"/>
      <w:marBottom w:val="0"/>
      <w:divBdr>
        <w:top w:val="none" w:sz="0" w:space="0" w:color="auto"/>
        <w:left w:val="none" w:sz="0" w:space="0" w:color="auto"/>
        <w:bottom w:val="none" w:sz="0" w:space="0" w:color="auto"/>
        <w:right w:val="none" w:sz="0" w:space="0" w:color="auto"/>
      </w:divBdr>
    </w:div>
    <w:div w:id="1823161178">
      <w:bodyDiv w:val="1"/>
      <w:marLeft w:val="0"/>
      <w:marRight w:val="0"/>
      <w:marTop w:val="0"/>
      <w:marBottom w:val="0"/>
      <w:divBdr>
        <w:top w:val="none" w:sz="0" w:space="0" w:color="auto"/>
        <w:left w:val="none" w:sz="0" w:space="0" w:color="auto"/>
        <w:bottom w:val="none" w:sz="0" w:space="0" w:color="auto"/>
        <w:right w:val="none" w:sz="0" w:space="0" w:color="auto"/>
      </w:divBdr>
    </w:div>
    <w:div w:id="1825198614">
      <w:bodyDiv w:val="1"/>
      <w:marLeft w:val="0"/>
      <w:marRight w:val="0"/>
      <w:marTop w:val="0"/>
      <w:marBottom w:val="0"/>
      <w:divBdr>
        <w:top w:val="none" w:sz="0" w:space="0" w:color="auto"/>
        <w:left w:val="none" w:sz="0" w:space="0" w:color="auto"/>
        <w:bottom w:val="none" w:sz="0" w:space="0" w:color="auto"/>
        <w:right w:val="none" w:sz="0" w:space="0" w:color="auto"/>
      </w:divBdr>
    </w:div>
    <w:div w:id="1830556906">
      <w:bodyDiv w:val="1"/>
      <w:marLeft w:val="0"/>
      <w:marRight w:val="0"/>
      <w:marTop w:val="0"/>
      <w:marBottom w:val="0"/>
      <w:divBdr>
        <w:top w:val="none" w:sz="0" w:space="0" w:color="auto"/>
        <w:left w:val="none" w:sz="0" w:space="0" w:color="auto"/>
        <w:bottom w:val="none" w:sz="0" w:space="0" w:color="auto"/>
        <w:right w:val="none" w:sz="0" w:space="0" w:color="auto"/>
      </w:divBdr>
    </w:div>
    <w:div w:id="1832600893">
      <w:bodyDiv w:val="1"/>
      <w:marLeft w:val="0"/>
      <w:marRight w:val="0"/>
      <w:marTop w:val="0"/>
      <w:marBottom w:val="0"/>
      <w:divBdr>
        <w:top w:val="none" w:sz="0" w:space="0" w:color="auto"/>
        <w:left w:val="none" w:sz="0" w:space="0" w:color="auto"/>
        <w:bottom w:val="none" w:sz="0" w:space="0" w:color="auto"/>
        <w:right w:val="none" w:sz="0" w:space="0" w:color="auto"/>
      </w:divBdr>
    </w:div>
    <w:div w:id="1841774887">
      <w:bodyDiv w:val="1"/>
      <w:marLeft w:val="0"/>
      <w:marRight w:val="0"/>
      <w:marTop w:val="0"/>
      <w:marBottom w:val="0"/>
      <w:divBdr>
        <w:top w:val="none" w:sz="0" w:space="0" w:color="auto"/>
        <w:left w:val="none" w:sz="0" w:space="0" w:color="auto"/>
        <w:bottom w:val="none" w:sz="0" w:space="0" w:color="auto"/>
        <w:right w:val="none" w:sz="0" w:space="0" w:color="auto"/>
      </w:divBdr>
    </w:div>
    <w:div w:id="1855458042">
      <w:bodyDiv w:val="1"/>
      <w:marLeft w:val="0"/>
      <w:marRight w:val="0"/>
      <w:marTop w:val="0"/>
      <w:marBottom w:val="0"/>
      <w:divBdr>
        <w:top w:val="none" w:sz="0" w:space="0" w:color="auto"/>
        <w:left w:val="none" w:sz="0" w:space="0" w:color="auto"/>
        <w:bottom w:val="none" w:sz="0" w:space="0" w:color="auto"/>
        <w:right w:val="none" w:sz="0" w:space="0" w:color="auto"/>
      </w:divBdr>
    </w:div>
    <w:div w:id="1858155508">
      <w:bodyDiv w:val="1"/>
      <w:marLeft w:val="0"/>
      <w:marRight w:val="0"/>
      <w:marTop w:val="0"/>
      <w:marBottom w:val="0"/>
      <w:divBdr>
        <w:top w:val="none" w:sz="0" w:space="0" w:color="auto"/>
        <w:left w:val="none" w:sz="0" w:space="0" w:color="auto"/>
        <w:bottom w:val="none" w:sz="0" w:space="0" w:color="auto"/>
        <w:right w:val="none" w:sz="0" w:space="0" w:color="auto"/>
      </w:divBdr>
    </w:div>
    <w:div w:id="1859075848">
      <w:bodyDiv w:val="1"/>
      <w:marLeft w:val="0"/>
      <w:marRight w:val="0"/>
      <w:marTop w:val="0"/>
      <w:marBottom w:val="0"/>
      <w:divBdr>
        <w:top w:val="none" w:sz="0" w:space="0" w:color="auto"/>
        <w:left w:val="none" w:sz="0" w:space="0" w:color="auto"/>
        <w:bottom w:val="none" w:sz="0" w:space="0" w:color="auto"/>
        <w:right w:val="none" w:sz="0" w:space="0" w:color="auto"/>
      </w:divBdr>
    </w:div>
    <w:div w:id="1860702344">
      <w:bodyDiv w:val="1"/>
      <w:marLeft w:val="0"/>
      <w:marRight w:val="0"/>
      <w:marTop w:val="0"/>
      <w:marBottom w:val="0"/>
      <w:divBdr>
        <w:top w:val="none" w:sz="0" w:space="0" w:color="auto"/>
        <w:left w:val="none" w:sz="0" w:space="0" w:color="auto"/>
        <w:bottom w:val="none" w:sz="0" w:space="0" w:color="auto"/>
        <w:right w:val="none" w:sz="0" w:space="0" w:color="auto"/>
      </w:divBdr>
    </w:div>
    <w:div w:id="1862550844">
      <w:bodyDiv w:val="1"/>
      <w:marLeft w:val="0"/>
      <w:marRight w:val="0"/>
      <w:marTop w:val="0"/>
      <w:marBottom w:val="0"/>
      <w:divBdr>
        <w:top w:val="none" w:sz="0" w:space="0" w:color="auto"/>
        <w:left w:val="none" w:sz="0" w:space="0" w:color="auto"/>
        <w:bottom w:val="none" w:sz="0" w:space="0" w:color="auto"/>
        <w:right w:val="none" w:sz="0" w:space="0" w:color="auto"/>
      </w:divBdr>
    </w:div>
    <w:div w:id="1862893120">
      <w:bodyDiv w:val="1"/>
      <w:marLeft w:val="0"/>
      <w:marRight w:val="0"/>
      <w:marTop w:val="0"/>
      <w:marBottom w:val="0"/>
      <w:divBdr>
        <w:top w:val="none" w:sz="0" w:space="0" w:color="auto"/>
        <w:left w:val="none" w:sz="0" w:space="0" w:color="auto"/>
        <w:bottom w:val="none" w:sz="0" w:space="0" w:color="auto"/>
        <w:right w:val="none" w:sz="0" w:space="0" w:color="auto"/>
      </w:divBdr>
    </w:div>
    <w:div w:id="1863124350">
      <w:bodyDiv w:val="1"/>
      <w:marLeft w:val="0"/>
      <w:marRight w:val="0"/>
      <w:marTop w:val="0"/>
      <w:marBottom w:val="0"/>
      <w:divBdr>
        <w:top w:val="none" w:sz="0" w:space="0" w:color="auto"/>
        <w:left w:val="none" w:sz="0" w:space="0" w:color="auto"/>
        <w:bottom w:val="none" w:sz="0" w:space="0" w:color="auto"/>
        <w:right w:val="none" w:sz="0" w:space="0" w:color="auto"/>
      </w:divBdr>
    </w:div>
    <w:div w:id="1877229714">
      <w:bodyDiv w:val="1"/>
      <w:marLeft w:val="0"/>
      <w:marRight w:val="0"/>
      <w:marTop w:val="0"/>
      <w:marBottom w:val="0"/>
      <w:divBdr>
        <w:top w:val="none" w:sz="0" w:space="0" w:color="auto"/>
        <w:left w:val="none" w:sz="0" w:space="0" w:color="auto"/>
        <w:bottom w:val="none" w:sz="0" w:space="0" w:color="auto"/>
        <w:right w:val="none" w:sz="0" w:space="0" w:color="auto"/>
      </w:divBdr>
    </w:div>
    <w:div w:id="1877965849">
      <w:bodyDiv w:val="1"/>
      <w:marLeft w:val="0"/>
      <w:marRight w:val="0"/>
      <w:marTop w:val="0"/>
      <w:marBottom w:val="0"/>
      <w:divBdr>
        <w:top w:val="none" w:sz="0" w:space="0" w:color="auto"/>
        <w:left w:val="none" w:sz="0" w:space="0" w:color="auto"/>
        <w:bottom w:val="none" w:sz="0" w:space="0" w:color="auto"/>
        <w:right w:val="none" w:sz="0" w:space="0" w:color="auto"/>
      </w:divBdr>
    </w:div>
    <w:div w:id="1880850383">
      <w:bodyDiv w:val="1"/>
      <w:marLeft w:val="0"/>
      <w:marRight w:val="0"/>
      <w:marTop w:val="0"/>
      <w:marBottom w:val="0"/>
      <w:divBdr>
        <w:top w:val="none" w:sz="0" w:space="0" w:color="auto"/>
        <w:left w:val="none" w:sz="0" w:space="0" w:color="auto"/>
        <w:bottom w:val="none" w:sz="0" w:space="0" w:color="auto"/>
        <w:right w:val="none" w:sz="0" w:space="0" w:color="auto"/>
      </w:divBdr>
    </w:div>
    <w:div w:id="1893349341">
      <w:bodyDiv w:val="1"/>
      <w:marLeft w:val="0"/>
      <w:marRight w:val="0"/>
      <w:marTop w:val="0"/>
      <w:marBottom w:val="0"/>
      <w:divBdr>
        <w:top w:val="none" w:sz="0" w:space="0" w:color="auto"/>
        <w:left w:val="none" w:sz="0" w:space="0" w:color="auto"/>
        <w:bottom w:val="none" w:sz="0" w:space="0" w:color="auto"/>
        <w:right w:val="none" w:sz="0" w:space="0" w:color="auto"/>
      </w:divBdr>
    </w:div>
    <w:div w:id="1896309321">
      <w:bodyDiv w:val="1"/>
      <w:marLeft w:val="0"/>
      <w:marRight w:val="0"/>
      <w:marTop w:val="0"/>
      <w:marBottom w:val="0"/>
      <w:divBdr>
        <w:top w:val="none" w:sz="0" w:space="0" w:color="auto"/>
        <w:left w:val="none" w:sz="0" w:space="0" w:color="auto"/>
        <w:bottom w:val="none" w:sz="0" w:space="0" w:color="auto"/>
        <w:right w:val="none" w:sz="0" w:space="0" w:color="auto"/>
      </w:divBdr>
    </w:div>
    <w:div w:id="1899245638">
      <w:bodyDiv w:val="1"/>
      <w:marLeft w:val="0"/>
      <w:marRight w:val="0"/>
      <w:marTop w:val="0"/>
      <w:marBottom w:val="0"/>
      <w:divBdr>
        <w:top w:val="none" w:sz="0" w:space="0" w:color="auto"/>
        <w:left w:val="none" w:sz="0" w:space="0" w:color="auto"/>
        <w:bottom w:val="none" w:sz="0" w:space="0" w:color="auto"/>
        <w:right w:val="none" w:sz="0" w:space="0" w:color="auto"/>
      </w:divBdr>
    </w:div>
    <w:div w:id="1900747820">
      <w:bodyDiv w:val="1"/>
      <w:marLeft w:val="0"/>
      <w:marRight w:val="0"/>
      <w:marTop w:val="0"/>
      <w:marBottom w:val="0"/>
      <w:divBdr>
        <w:top w:val="none" w:sz="0" w:space="0" w:color="auto"/>
        <w:left w:val="none" w:sz="0" w:space="0" w:color="auto"/>
        <w:bottom w:val="none" w:sz="0" w:space="0" w:color="auto"/>
        <w:right w:val="none" w:sz="0" w:space="0" w:color="auto"/>
      </w:divBdr>
    </w:div>
    <w:div w:id="1907303087">
      <w:bodyDiv w:val="1"/>
      <w:marLeft w:val="0"/>
      <w:marRight w:val="0"/>
      <w:marTop w:val="0"/>
      <w:marBottom w:val="0"/>
      <w:divBdr>
        <w:top w:val="none" w:sz="0" w:space="0" w:color="auto"/>
        <w:left w:val="none" w:sz="0" w:space="0" w:color="auto"/>
        <w:bottom w:val="none" w:sz="0" w:space="0" w:color="auto"/>
        <w:right w:val="none" w:sz="0" w:space="0" w:color="auto"/>
      </w:divBdr>
    </w:div>
    <w:div w:id="1907446619">
      <w:bodyDiv w:val="1"/>
      <w:marLeft w:val="0"/>
      <w:marRight w:val="0"/>
      <w:marTop w:val="0"/>
      <w:marBottom w:val="0"/>
      <w:divBdr>
        <w:top w:val="none" w:sz="0" w:space="0" w:color="auto"/>
        <w:left w:val="none" w:sz="0" w:space="0" w:color="auto"/>
        <w:bottom w:val="none" w:sz="0" w:space="0" w:color="auto"/>
        <w:right w:val="none" w:sz="0" w:space="0" w:color="auto"/>
      </w:divBdr>
    </w:div>
    <w:div w:id="1909262716">
      <w:bodyDiv w:val="1"/>
      <w:marLeft w:val="0"/>
      <w:marRight w:val="0"/>
      <w:marTop w:val="0"/>
      <w:marBottom w:val="0"/>
      <w:divBdr>
        <w:top w:val="none" w:sz="0" w:space="0" w:color="auto"/>
        <w:left w:val="none" w:sz="0" w:space="0" w:color="auto"/>
        <w:bottom w:val="none" w:sz="0" w:space="0" w:color="auto"/>
        <w:right w:val="none" w:sz="0" w:space="0" w:color="auto"/>
      </w:divBdr>
    </w:div>
    <w:div w:id="1913081357">
      <w:bodyDiv w:val="1"/>
      <w:marLeft w:val="0"/>
      <w:marRight w:val="0"/>
      <w:marTop w:val="0"/>
      <w:marBottom w:val="0"/>
      <w:divBdr>
        <w:top w:val="none" w:sz="0" w:space="0" w:color="auto"/>
        <w:left w:val="none" w:sz="0" w:space="0" w:color="auto"/>
        <w:bottom w:val="none" w:sz="0" w:space="0" w:color="auto"/>
        <w:right w:val="none" w:sz="0" w:space="0" w:color="auto"/>
      </w:divBdr>
    </w:div>
    <w:div w:id="1919947211">
      <w:bodyDiv w:val="1"/>
      <w:marLeft w:val="0"/>
      <w:marRight w:val="0"/>
      <w:marTop w:val="0"/>
      <w:marBottom w:val="0"/>
      <w:divBdr>
        <w:top w:val="none" w:sz="0" w:space="0" w:color="auto"/>
        <w:left w:val="none" w:sz="0" w:space="0" w:color="auto"/>
        <w:bottom w:val="none" w:sz="0" w:space="0" w:color="auto"/>
        <w:right w:val="none" w:sz="0" w:space="0" w:color="auto"/>
      </w:divBdr>
    </w:div>
    <w:div w:id="1926064585">
      <w:bodyDiv w:val="1"/>
      <w:marLeft w:val="0"/>
      <w:marRight w:val="0"/>
      <w:marTop w:val="0"/>
      <w:marBottom w:val="0"/>
      <w:divBdr>
        <w:top w:val="none" w:sz="0" w:space="0" w:color="auto"/>
        <w:left w:val="none" w:sz="0" w:space="0" w:color="auto"/>
        <w:bottom w:val="none" w:sz="0" w:space="0" w:color="auto"/>
        <w:right w:val="none" w:sz="0" w:space="0" w:color="auto"/>
      </w:divBdr>
    </w:div>
    <w:div w:id="1934630187">
      <w:bodyDiv w:val="1"/>
      <w:marLeft w:val="0"/>
      <w:marRight w:val="0"/>
      <w:marTop w:val="0"/>
      <w:marBottom w:val="0"/>
      <w:divBdr>
        <w:top w:val="none" w:sz="0" w:space="0" w:color="auto"/>
        <w:left w:val="none" w:sz="0" w:space="0" w:color="auto"/>
        <w:bottom w:val="none" w:sz="0" w:space="0" w:color="auto"/>
        <w:right w:val="none" w:sz="0" w:space="0" w:color="auto"/>
      </w:divBdr>
    </w:div>
    <w:div w:id="1952127474">
      <w:bodyDiv w:val="1"/>
      <w:marLeft w:val="0"/>
      <w:marRight w:val="0"/>
      <w:marTop w:val="0"/>
      <w:marBottom w:val="0"/>
      <w:divBdr>
        <w:top w:val="none" w:sz="0" w:space="0" w:color="auto"/>
        <w:left w:val="none" w:sz="0" w:space="0" w:color="auto"/>
        <w:bottom w:val="none" w:sz="0" w:space="0" w:color="auto"/>
        <w:right w:val="none" w:sz="0" w:space="0" w:color="auto"/>
      </w:divBdr>
    </w:div>
    <w:div w:id="1956667134">
      <w:bodyDiv w:val="1"/>
      <w:marLeft w:val="0"/>
      <w:marRight w:val="0"/>
      <w:marTop w:val="0"/>
      <w:marBottom w:val="0"/>
      <w:divBdr>
        <w:top w:val="none" w:sz="0" w:space="0" w:color="auto"/>
        <w:left w:val="none" w:sz="0" w:space="0" w:color="auto"/>
        <w:bottom w:val="none" w:sz="0" w:space="0" w:color="auto"/>
        <w:right w:val="none" w:sz="0" w:space="0" w:color="auto"/>
      </w:divBdr>
    </w:div>
    <w:div w:id="1958443413">
      <w:bodyDiv w:val="1"/>
      <w:marLeft w:val="0"/>
      <w:marRight w:val="0"/>
      <w:marTop w:val="0"/>
      <w:marBottom w:val="0"/>
      <w:divBdr>
        <w:top w:val="none" w:sz="0" w:space="0" w:color="auto"/>
        <w:left w:val="none" w:sz="0" w:space="0" w:color="auto"/>
        <w:bottom w:val="none" w:sz="0" w:space="0" w:color="auto"/>
        <w:right w:val="none" w:sz="0" w:space="0" w:color="auto"/>
      </w:divBdr>
    </w:div>
    <w:div w:id="1964850510">
      <w:bodyDiv w:val="1"/>
      <w:marLeft w:val="0"/>
      <w:marRight w:val="0"/>
      <w:marTop w:val="0"/>
      <w:marBottom w:val="0"/>
      <w:divBdr>
        <w:top w:val="none" w:sz="0" w:space="0" w:color="auto"/>
        <w:left w:val="none" w:sz="0" w:space="0" w:color="auto"/>
        <w:bottom w:val="none" w:sz="0" w:space="0" w:color="auto"/>
        <w:right w:val="none" w:sz="0" w:space="0" w:color="auto"/>
      </w:divBdr>
    </w:div>
    <w:div w:id="1968077319">
      <w:bodyDiv w:val="1"/>
      <w:marLeft w:val="0"/>
      <w:marRight w:val="0"/>
      <w:marTop w:val="0"/>
      <w:marBottom w:val="0"/>
      <w:divBdr>
        <w:top w:val="none" w:sz="0" w:space="0" w:color="auto"/>
        <w:left w:val="none" w:sz="0" w:space="0" w:color="auto"/>
        <w:bottom w:val="none" w:sz="0" w:space="0" w:color="auto"/>
        <w:right w:val="none" w:sz="0" w:space="0" w:color="auto"/>
      </w:divBdr>
    </w:div>
    <w:div w:id="1970356300">
      <w:bodyDiv w:val="1"/>
      <w:marLeft w:val="0"/>
      <w:marRight w:val="0"/>
      <w:marTop w:val="0"/>
      <w:marBottom w:val="0"/>
      <w:divBdr>
        <w:top w:val="none" w:sz="0" w:space="0" w:color="auto"/>
        <w:left w:val="none" w:sz="0" w:space="0" w:color="auto"/>
        <w:bottom w:val="none" w:sz="0" w:space="0" w:color="auto"/>
        <w:right w:val="none" w:sz="0" w:space="0" w:color="auto"/>
      </w:divBdr>
    </w:div>
    <w:div w:id="1972706970">
      <w:bodyDiv w:val="1"/>
      <w:marLeft w:val="0"/>
      <w:marRight w:val="0"/>
      <w:marTop w:val="0"/>
      <w:marBottom w:val="0"/>
      <w:divBdr>
        <w:top w:val="none" w:sz="0" w:space="0" w:color="auto"/>
        <w:left w:val="none" w:sz="0" w:space="0" w:color="auto"/>
        <w:bottom w:val="none" w:sz="0" w:space="0" w:color="auto"/>
        <w:right w:val="none" w:sz="0" w:space="0" w:color="auto"/>
      </w:divBdr>
    </w:div>
    <w:div w:id="1972905348">
      <w:bodyDiv w:val="1"/>
      <w:marLeft w:val="0"/>
      <w:marRight w:val="0"/>
      <w:marTop w:val="0"/>
      <w:marBottom w:val="0"/>
      <w:divBdr>
        <w:top w:val="none" w:sz="0" w:space="0" w:color="auto"/>
        <w:left w:val="none" w:sz="0" w:space="0" w:color="auto"/>
        <w:bottom w:val="none" w:sz="0" w:space="0" w:color="auto"/>
        <w:right w:val="none" w:sz="0" w:space="0" w:color="auto"/>
      </w:divBdr>
    </w:div>
    <w:div w:id="1981688400">
      <w:bodyDiv w:val="1"/>
      <w:marLeft w:val="0"/>
      <w:marRight w:val="0"/>
      <w:marTop w:val="0"/>
      <w:marBottom w:val="0"/>
      <w:divBdr>
        <w:top w:val="none" w:sz="0" w:space="0" w:color="auto"/>
        <w:left w:val="none" w:sz="0" w:space="0" w:color="auto"/>
        <w:bottom w:val="none" w:sz="0" w:space="0" w:color="auto"/>
        <w:right w:val="none" w:sz="0" w:space="0" w:color="auto"/>
      </w:divBdr>
    </w:div>
    <w:div w:id="1983000918">
      <w:bodyDiv w:val="1"/>
      <w:marLeft w:val="0"/>
      <w:marRight w:val="0"/>
      <w:marTop w:val="0"/>
      <w:marBottom w:val="0"/>
      <w:divBdr>
        <w:top w:val="none" w:sz="0" w:space="0" w:color="auto"/>
        <w:left w:val="none" w:sz="0" w:space="0" w:color="auto"/>
        <w:bottom w:val="none" w:sz="0" w:space="0" w:color="auto"/>
        <w:right w:val="none" w:sz="0" w:space="0" w:color="auto"/>
      </w:divBdr>
    </w:div>
    <w:div w:id="1985625837">
      <w:bodyDiv w:val="1"/>
      <w:marLeft w:val="0"/>
      <w:marRight w:val="0"/>
      <w:marTop w:val="0"/>
      <w:marBottom w:val="0"/>
      <w:divBdr>
        <w:top w:val="none" w:sz="0" w:space="0" w:color="auto"/>
        <w:left w:val="none" w:sz="0" w:space="0" w:color="auto"/>
        <w:bottom w:val="none" w:sz="0" w:space="0" w:color="auto"/>
        <w:right w:val="none" w:sz="0" w:space="0" w:color="auto"/>
      </w:divBdr>
    </w:div>
    <w:div w:id="1995445970">
      <w:bodyDiv w:val="1"/>
      <w:marLeft w:val="0"/>
      <w:marRight w:val="0"/>
      <w:marTop w:val="0"/>
      <w:marBottom w:val="0"/>
      <w:divBdr>
        <w:top w:val="none" w:sz="0" w:space="0" w:color="auto"/>
        <w:left w:val="none" w:sz="0" w:space="0" w:color="auto"/>
        <w:bottom w:val="none" w:sz="0" w:space="0" w:color="auto"/>
        <w:right w:val="none" w:sz="0" w:space="0" w:color="auto"/>
      </w:divBdr>
    </w:div>
    <w:div w:id="1999068226">
      <w:bodyDiv w:val="1"/>
      <w:marLeft w:val="0"/>
      <w:marRight w:val="0"/>
      <w:marTop w:val="0"/>
      <w:marBottom w:val="0"/>
      <w:divBdr>
        <w:top w:val="none" w:sz="0" w:space="0" w:color="auto"/>
        <w:left w:val="none" w:sz="0" w:space="0" w:color="auto"/>
        <w:bottom w:val="none" w:sz="0" w:space="0" w:color="auto"/>
        <w:right w:val="none" w:sz="0" w:space="0" w:color="auto"/>
      </w:divBdr>
    </w:div>
    <w:div w:id="2007584635">
      <w:bodyDiv w:val="1"/>
      <w:marLeft w:val="0"/>
      <w:marRight w:val="0"/>
      <w:marTop w:val="0"/>
      <w:marBottom w:val="0"/>
      <w:divBdr>
        <w:top w:val="none" w:sz="0" w:space="0" w:color="auto"/>
        <w:left w:val="none" w:sz="0" w:space="0" w:color="auto"/>
        <w:bottom w:val="none" w:sz="0" w:space="0" w:color="auto"/>
        <w:right w:val="none" w:sz="0" w:space="0" w:color="auto"/>
      </w:divBdr>
    </w:div>
    <w:div w:id="2007977142">
      <w:bodyDiv w:val="1"/>
      <w:marLeft w:val="0"/>
      <w:marRight w:val="0"/>
      <w:marTop w:val="0"/>
      <w:marBottom w:val="0"/>
      <w:divBdr>
        <w:top w:val="none" w:sz="0" w:space="0" w:color="auto"/>
        <w:left w:val="none" w:sz="0" w:space="0" w:color="auto"/>
        <w:bottom w:val="none" w:sz="0" w:space="0" w:color="auto"/>
        <w:right w:val="none" w:sz="0" w:space="0" w:color="auto"/>
      </w:divBdr>
    </w:div>
    <w:div w:id="2017228168">
      <w:bodyDiv w:val="1"/>
      <w:marLeft w:val="0"/>
      <w:marRight w:val="0"/>
      <w:marTop w:val="0"/>
      <w:marBottom w:val="0"/>
      <w:divBdr>
        <w:top w:val="none" w:sz="0" w:space="0" w:color="auto"/>
        <w:left w:val="none" w:sz="0" w:space="0" w:color="auto"/>
        <w:bottom w:val="none" w:sz="0" w:space="0" w:color="auto"/>
        <w:right w:val="none" w:sz="0" w:space="0" w:color="auto"/>
      </w:divBdr>
    </w:div>
    <w:div w:id="2022277093">
      <w:bodyDiv w:val="1"/>
      <w:marLeft w:val="0"/>
      <w:marRight w:val="0"/>
      <w:marTop w:val="0"/>
      <w:marBottom w:val="0"/>
      <w:divBdr>
        <w:top w:val="none" w:sz="0" w:space="0" w:color="auto"/>
        <w:left w:val="none" w:sz="0" w:space="0" w:color="auto"/>
        <w:bottom w:val="none" w:sz="0" w:space="0" w:color="auto"/>
        <w:right w:val="none" w:sz="0" w:space="0" w:color="auto"/>
      </w:divBdr>
    </w:div>
    <w:div w:id="2026130860">
      <w:bodyDiv w:val="1"/>
      <w:marLeft w:val="0"/>
      <w:marRight w:val="0"/>
      <w:marTop w:val="0"/>
      <w:marBottom w:val="0"/>
      <w:divBdr>
        <w:top w:val="none" w:sz="0" w:space="0" w:color="auto"/>
        <w:left w:val="none" w:sz="0" w:space="0" w:color="auto"/>
        <w:bottom w:val="none" w:sz="0" w:space="0" w:color="auto"/>
        <w:right w:val="none" w:sz="0" w:space="0" w:color="auto"/>
      </w:divBdr>
    </w:div>
    <w:div w:id="2034257418">
      <w:bodyDiv w:val="1"/>
      <w:marLeft w:val="0"/>
      <w:marRight w:val="0"/>
      <w:marTop w:val="0"/>
      <w:marBottom w:val="0"/>
      <w:divBdr>
        <w:top w:val="none" w:sz="0" w:space="0" w:color="auto"/>
        <w:left w:val="none" w:sz="0" w:space="0" w:color="auto"/>
        <w:bottom w:val="none" w:sz="0" w:space="0" w:color="auto"/>
        <w:right w:val="none" w:sz="0" w:space="0" w:color="auto"/>
      </w:divBdr>
    </w:div>
    <w:div w:id="2041927036">
      <w:bodyDiv w:val="1"/>
      <w:marLeft w:val="0"/>
      <w:marRight w:val="0"/>
      <w:marTop w:val="0"/>
      <w:marBottom w:val="0"/>
      <w:divBdr>
        <w:top w:val="none" w:sz="0" w:space="0" w:color="auto"/>
        <w:left w:val="none" w:sz="0" w:space="0" w:color="auto"/>
        <w:bottom w:val="none" w:sz="0" w:space="0" w:color="auto"/>
        <w:right w:val="none" w:sz="0" w:space="0" w:color="auto"/>
      </w:divBdr>
    </w:div>
    <w:div w:id="2046372574">
      <w:bodyDiv w:val="1"/>
      <w:marLeft w:val="0"/>
      <w:marRight w:val="0"/>
      <w:marTop w:val="0"/>
      <w:marBottom w:val="0"/>
      <w:divBdr>
        <w:top w:val="none" w:sz="0" w:space="0" w:color="auto"/>
        <w:left w:val="none" w:sz="0" w:space="0" w:color="auto"/>
        <w:bottom w:val="none" w:sz="0" w:space="0" w:color="auto"/>
        <w:right w:val="none" w:sz="0" w:space="0" w:color="auto"/>
      </w:divBdr>
    </w:div>
    <w:div w:id="2047295038">
      <w:bodyDiv w:val="1"/>
      <w:marLeft w:val="0"/>
      <w:marRight w:val="0"/>
      <w:marTop w:val="0"/>
      <w:marBottom w:val="0"/>
      <w:divBdr>
        <w:top w:val="none" w:sz="0" w:space="0" w:color="auto"/>
        <w:left w:val="none" w:sz="0" w:space="0" w:color="auto"/>
        <w:bottom w:val="none" w:sz="0" w:space="0" w:color="auto"/>
        <w:right w:val="none" w:sz="0" w:space="0" w:color="auto"/>
      </w:divBdr>
    </w:div>
    <w:div w:id="2047942822">
      <w:bodyDiv w:val="1"/>
      <w:marLeft w:val="0"/>
      <w:marRight w:val="0"/>
      <w:marTop w:val="0"/>
      <w:marBottom w:val="0"/>
      <w:divBdr>
        <w:top w:val="none" w:sz="0" w:space="0" w:color="auto"/>
        <w:left w:val="none" w:sz="0" w:space="0" w:color="auto"/>
        <w:bottom w:val="none" w:sz="0" w:space="0" w:color="auto"/>
        <w:right w:val="none" w:sz="0" w:space="0" w:color="auto"/>
      </w:divBdr>
    </w:div>
    <w:div w:id="2050762643">
      <w:bodyDiv w:val="1"/>
      <w:marLeft w:val="0"/>
      <w:marRight w:val="0"/>
      <w:marTop w:val="0"/>
      <w:marBottom w:val="0"/>
      <w:divBdr>
        <w:top w:val="none" w:sz="0" w:space="0" w:color="auto"/>
        <w:left w:val="none" w:sz="0" w:space="0" w:color="auto"/>
        <w:bottom w:val="none" w:sz="0" w:space="0" w:color="auto"/>
        <w:right w:val="none" w:sz="0" w:space="0" w:color="auto"/>
      </w:divBdr>
    </w:div>
    <w:div w:id="2053653586">
      <w:bodyDiv w:val="1"/>
      <w:marLeft w:val="0"/>
      <w:marRight w:val="0"/>
      <w:marTop w:val="0"/>
      <w:marBottom w:val="0"/>
      <w:divBdr>
        <w:top w:val="none" w:sz="0" w:space="0" w:color="auto"/>
        <w:left w:val="none" w:sz="0" w:space="0" w:color="auto"/>
        <w:bottom w:val="none" w:sz="0" w:space="0" w:color="auto"/>
        <w:right w:val="none" w:sz="0" w:space="0" w:color="auto"/>
      </w:divBdr>
    </w:div>
    <w:div w:id="2053992992">
      <w:bodyDiv w:val="1"/>
      <w:marLeft w:val="0"/>
      <w:marRight w:val="0"/>
      <w:marTop w:val="0"/>
      <w:marBottom w:val="0"/>
      <w:divBdr>
        <w:top w:val="none" w:sz="0" w:space="0" w:color="auto"/>
        <w:left w:val="none" w:sz="0" w:space="0" w:color="auto"/>
        <w:bottom w:val="none" w:sz="0" w:space="0" w:color="auto"/>
        <w:right w:val="none" w:sz="0" w:space="0" w:color="auto"/>
      </w:divBdr>
    </w:div>
    <w:div w:id="2061904016">
      <w:bodyDiv w:val="1"/>
      <w:marLeft w:val="0"/>
      <w:marRight w:val="0"/>
      <w:marTop w:val="0"/>
      <w:marBottom w:val="0"/>
      <w:divBdr>
        <w:top w:val="none" w:sz="0" w:space="0" w:color="auto"/>
        <w:left w:val="none" w:sz="0" w:space="0" w:color="auto"/>
        <w:bottom w:val="none" w:sz="0" w:space="0" w:color="auto"/>
        <w:right w:val="none" w:sz="0" w:space="0" w:color="auto"/>
      </w:divBdr>
    </w:div>
    <w:div w:id="2073698944">
      <w:bodyDiv w:val="1"/>
      <w:marLeft w:val="0"/>
      <w:marRight w:val="0"/>
      <w:marTop w:val="0"/>
      <w:marBottom w:val="0"/>
      <w:divBdr>
        <w:top w:val="none" w:sz="0" w:space="0" w:color="auto"/>
        <w:left w:val="none" w:sz="0" w:space="0" w:color="auto"/>
        <w:bottom w:val="none" w:sz="0" w:space="0" w:color="auto"/>
        <w:right w:val="none" w:sz="0" w:space="0" w:color="auto"/>
      </w:divBdr>
    </w:div>
    <w:div w:id="2081559311">
      <w:bodyDiv w:val="1"/>
      <w:marLeft w:val="0"/>
      <w:marRight w:val="0"/>
      <w:marTop w:val="0"/>
      <w:marBottom w:val="0"/>
      <w:divBdr>
        <w:top w:val="none" w:sz="0" w:space="0" w:color="auto"/>
        <w:left w:val="none" w:sz="0" w:space="0" w:color="auto"/>
        <w:bottom w:val="none" w:sz="0" w:space="0" w:color="auto"/>
        <w:right w:val="none" w:sz="0" w:space="0" w:color="auto"/>
      </w:divBdr>
    </w:div>
    <w:div w:id="2082093504">
      <w:bodyDiv w:val="1"/>
      <w:marLeft w:val="0"/>
      <w:marRight w:val="0"/>
      <w:marTop w:val="0"/>
      <w:marBottom w:val="0"/>
      <w:divBdr>
        <w:top w:val="none" w:sz="0" w:space="0" w:color="auto"/>
        <w:left w:val="none" w:sz="0" w:space="0" w:color="auto"/>
        <w:bottom w:val="none" w:sz="0" w:space="0" w:color="auto"/>
        <w:right w:val="none" w:sz="0" w:space="0" w:color="auto"/>
      </w:divBdr>
    </w:div>
    <w:div w:id="2084717973">
      <w:bodyDiv w:val="1"/>
      <w:marLeft w:val="0"/>
      <w:marRight w:val="0"/>
      <w:marTop w:val="0"/>
      <w:marBottom w:val="0"/>
      <w:divBdr>
        <w:top w:val="none" w:sz="0" w:space="0" w:color="auto"/>
        <w:left w:val="none" w:sz="0" w:space="0" w:color="auto"/>
        <w:bottom w:val="none" w:sz="0" w:space="0" w:color="auto"/>
        <w:right w:val="none" w:sz="0" w:space="0" w:color="auto"/>
      </w:divBdr>
    </w:div>
    <w:div w:id="2090037897">
      <w:bodyDiv w:val="1"/>
      <w:marLeft w:val="0"/>
      <w:marRight w:val="0"/>
      <w:marTop w:val="0"/>
      <w:marBottom w:val="0"/>
      <w:divBdr>
        <w:top w:val="none" w:sz="0" w:space="0" w:color="auto"/>
        <w:left w:val="none" w:sz="0" w:space="0" w:color="auto"/>
        <w:bottom w:val="none" w:sz="0" w:space="0" w:color="auto"/>
        <w:right w:val="none" w:sz="0" w:space="0" w:color="auto"/>
      </w:divBdr>
    </w:div>
    <w:div w:id="2093089963">
      <w:bodyDiv w:val="1"/>
      <w:marLeft w:val="0"/>
      <w:marRight w:val="0"/>
      <w:marTop w:val="0"/>
      <w:marBottom w:val="0"/>
      <w:divBdr>
        <w:top w:val="none" w:sz="0" w:space="0" w:color="auto"/>
        <w:left w:val="none" w:sz="0" w:space="0" w:color="auto"/>
        <w:bottom w:val="none" w:sz="0" w:space="0" w:color="auto"/>
        <w:right w:val="none" w:sz="0" w:space="0" w:color="auto"/>
      </w:divBdr>
    </w:div>
    <w:div w:id="2096196571">
      <w:bodyDiv w:val="1"/>
      <w:marLeft w:val="0"/>
      <w:marRight w:val="0"/>
      <w:marTop w:val="0"/>
      <w:marBottom w:val="0"/>
      <w:divBdr>
        <w:top w:val="none" w:sz="0" w:space="0" w:color="auto"/>
        <w:left w:val="none" w:sz="0" w:space="0" w:color="auto"/>
        <w:bottom w:val="none" w:sz="0" w:space="0" w:color="auto"/>
        <w:right w:val="none" w:sz="0" w:space="0" w:color="auto"/>
      </w:divBdr>
    </w:div>
    <w:div w:id="2096323454">
      <w:bodyDiv w:val="1"/>
      <w:marLeft w:val="0"/>
      <w:marRight w:val="0"/>
      <w:marTop w:val="0"/>
      <w:marBottom w:val="0"/>
      <w:divBdr>
        <w:top w:val="none" w:sz="0" w:space="0" w:color="auto"/>
        <w:left w:val="none" w:sz="0" w:space="0" w:color="auto"/>
        <w:bottom w:val="none" w:sz="0" w:space="0" w:color="auto"/>
        <w:right w:val="none" w:sz="0" w:space="0" w:color="auto"/>
      </w:divBdr>
    </w:div>
    <w:div w:id="2102292158">
      <w:bodyDiv w:val="1"/>
      <w:marLeft w:val="0"/>
      <w:marRight w:val="0"/>
      <w:marTop w:val="0"/>
      <w:marBottom w:val="0"/>
      <w:divBdr>
        <w:top w:val="none" w:sz="0" w:space="0" w:color="auto"/>
        <w:left w:val="none" w:sz="0" w:space="0" w:color="auto"/>
        <w:bottom w:val="none" w:sz="0" w:space="0" w:color="auto"/>
        <w:right w:val="none" w:sz="0" w:space="0" w:color="auto"/>
      </w:divBdr>
    </w:div>
    <w:div w:id="2104183104">
      <w:bodyDiv w:val="1"/>
      <w:marLeft w:val="0"/>
      <w:marRight w:val="0"/>
      <w:marTop w:val="0"/>
      <w:marBottom w:val="0"/>
      <w:divBdr>
        <w:top w:val="none" w:sz="0" w:space="0" w:color="auto"/>
        <w:left w:val="none" w:sz="0" w:space="0" w:color="auto"/>
        <w:bottom w:val="none" w:sz="0" w:space="0" w:color="auto"/>
        <w:right w:val="none" w:sz="0" w:space="0" w:color="auto"/>
      </w:divBdr>
    </w:div>
    <w:div w:id="2104453565">
      <w:bodyDiv w:val="1"/>
      <w:marLeft w:val="0"/>
      <w:marRight w:val="0"/>
      <w:marTop w:val="0"/>
      <w:marBottom w:val="0"/>
      <w:divBdr>
        <w:top w:val="none" w:sz="0" w:space="0" w:color="auto"/>
        <w:left w:val="none" w:sz="0" w:space="0" w:color="auto"/>
        <w:bottom w:val="none" w:sz="0" w:space="0" w:color="auto"/>
        <w:right w:val="none" w:sz="0" w:space="0" w:color="auto"/>
      </w:divBdr>
    </w:div>
    <w:div w:id="2118669639">
      <w:bodyDiv w:val="1"/>
      <w:marLeft w:val="0"/>
      <w:marRight w:val="0"/>
      <w:marTop w:val="0"/>
      <w:marBottom w:val="0"/>
      <w:divBdr>
        <w:top w:val="none" w:sz="0" w:space="0" w:color="auto"/>
        <w:left w:val="none" w:sz="0" w:space="0" w:color="auto"/>
        <w:bottom w:val="none" w:sz="0" w:space="0" w:color="auto"/>
        <w:right w:val="none" w:sz="0" w:space="0" w:color="auto"/>
      </w:divBdr>
    </w:div>
    <w:div w:id="2127119971">
      <w:bodyDiv w:val="1"/>
      <w:marLeft w:val="0"/>
      <w:marRight w:val="0"/>
      <w:marTop w:val="0"/>
      <w:marBottom w:val="0"/>
      <w:divBdr>
        <w:top w:val="none" w:sz="0" w:space="0" w:color="auto"/>
        <w:left w:val="none" w:sz="0" w:space="0" w:color="auto"/>
        <w:bottom w:val="none" w:sz="0" w:space="0" w:color="auto"/>
        <w:right w:val="none" w:sz="0" w:space="0" w:color="auto"/>
      </w:divBdr>
    </w:div>
    <w:div w:id="2128040254">
      <w:bodyDiv w:val="1"/>
      <w:marLeft w:val="0"/>
      <w:marRight w:val="0"/>
      <w:marTop w:val="0"/>
      <w:marBottom w:val="0"/>
      <w:divBdr>
        <w:top w:val="none" w:sz="0" w:space="0" w:color="auto"/>
        <w:left w:val="none" w:sz="0" w:space="0" w:color="auto"/>
        <w:bottom w:val="none" w:sz="0" w:space="0" w:color="auto"/>
        <w:right w:val="none" w:sz="0" w:space="0" w:color="auto"/>
      </w:divBdr>
    </w:div>
    <w:div w:id="2130852812">
      <w:bodyDiv w:val="1"/>
      <w:marLeft w:val="0"/>
      <w:marRight w:val="0"/>
      <w:marTop w:val="0"/>
      <w:marBottom w:val="0"/>
      <w:divBdr>
        <w:top w:val="none" w:sz="0" w:space="0" w:color="auto"/>
        <w:left w:val="none" w:sz="0" w:space="0" w:color="auto"/>
        <w:bottom w:val="none" w:sz="0" w:space="0" w:color="auto"/>
        <w:right w:val="none" w:sz="0" w:space="0" w:color="auto"/>
      </w:divBdr>
    </w:div>
    <w:div w:id="2133163090">
      <w:bodyDiv w:val="1"/>
      <w:marLeft w:val="0"/>
      <w:marRight w:val="0"/>
      <w:marTop w:val="0"/>
      <w:marBottom w:val="0"/>
      <w:divBdr>
        <w:top w:val="none" w:sz="0" w:space="0" w:color="auto"/>
        <w:left w:val="none" w:sz="0" w:space="0" w:color="auto"/>
        <w:bottom w:val="none" w:sz="0" w:space="0" w:color="auto"/>
        <w:right w:val="none" w:sz="0" w:space="0" w:color="auto"/>
      </w:divBdr>
    </w:div>
    <w:div w:id="2138329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All04</b:Tag>
    <b:SourceType>JournalArticle</b:SourceType>
    <b:Guid>{38A21653-8731-46FE-BDE4-9089DA45F64A}</b:Guid>
    <b:Title>Financial intermediaries and markets</b:Title>
    <b:Year>2004</b:Year>
    <b:JournalName>Econometrica</b:JournalName>
    <b:Pages>1023-1061</b:Pages>
    <b:Volume>72</b:Volume>
    <b:Issue>4</b:Issue>
    <b:Author>
      <b:Author>
        <b:NameList>
          <b:Person>
            <b:Last>Allen</b:Last>
            <b:First>Franklin</b:First>
          </b:Person>
          <b:Person>
            <b:Last>Gale</b:Last>
            <b:First>Douglas</b:First>
          </b:Person>
        </b:NameList>
      </b:Author>
    </b:Author>
    <b:RefOrder>1</b:RefOrder>
  </b:Source>
  <b:Source>
    <b:Tag>Eco21</b:Tag>
    <b:SourceType>InternetSite</b:SourceType>
    <b:Guid>{2766587D-6E4F-4BD4-B725-63D8266B8A80}</b:Guid>
    <b:Title>Purpose of banks</b:Title>
    <b:Author>
      <b:Author>
        <b:Corporate>Economics Help</b:Corporate>
      </b:Author>
    </b:Author>
    <b:YearAccessed>2021</b:YearAccessed>
    <b:MonthAccessed>05</b:MonthAccessed>
    <b:DayAccessed>01</b:DayAccessed>
    <b:URL>https://www.economicshelp.org/blog/glossary/banks/</b:URL>
    <b:RefOrder>2</b:RefOrder>
  </b:Source>
  <b:Source>
    <b:Tag>Fin20</b:Tag>
    <b:SourceType>InternetSite</b:SourceType>
    <b:Guid>{73EE8370-99C9-4F16-A2B4-4D0F6855CB65}</b:Guid>
    <b:Author>
      <b:Author>
        <b:Corporate>Financial Conduct Authority</b:Corporate>
      </b:Author>
    </b:Author>
    <b:Title>About the FCA</b:Title>
    <b:Year>2020</b:Year>
    <b:YearAccessed>2021</b:YearAccessed>
    <b:MonthAccessed>05</b:MonthAccessed>
    <b:DayAccessed>01</b:DayAccessed>
    <b:URL>https://www.fca.org.uk/about/the-fca</b:URL>
    <b:RefOrder>3</b:RefOrder>
  </b:Source>
  <b:Source>
    <b:Tag>Mor87</b:Tag>
    <b:SourceType>JournalArticle</b:SourceType>
    <b:Guid>{A57B9705-4B6F-4953-B7EA-D5113C3A7303}</b:Guid>
    <b:Title>Signalling, Agency Theory And Accounting Policy Choice</b:Title>
    <b:Year>1987</b:Year>
    <b:Author>
      <b:Author>
        <b:NameList>
          <b:Person>
            <b:Last>Morris</b:Last>
            <b:First>Richard</b:First>
            <b:Middle>D</b:Middle>
          </b:Person>
        </b:NameList>
      </b:Author>
    </b:Author>
    <b:JournalName>Accounting and Business Research</b:JournalName>
    <b:Pages>47</b:Pages>
    <b:Volume>18</b:Volume>
    <b:Issue>69</b:Issue>
    <b:RefOrder>4</b:RefOrder>
  </b:Source>
  <b:Source>
    <b:Tag>Viv16</b:Tag>
    <b:SourceType>Book</b:SourceType>
    <b:Guid>{801AD0FA-3D3E-4759-BDCE-505C6F595CB8}</b:Guid>
    <b:Title>Competition on stability in banking: The role of regulation and competition policy</b:Title>
    <b:Year>2016</b:Year>
    <b:City>New Jersey</b:City>
    <b:Publisher>Princeton University Press</b:Publisher>
    <b:Author>
      <b:Author>
        <b:NameList>
          <b:Person>
            <b:Last>Vives</b:Last>
            <b:First>Xavier</b:First>
          </b:Person>
        </b:NameList>
      </b:Author>
    </b:Author>
    <b:RefOrder>5</b:RefOrder>
  </b:Source>
  <b:Source>
    <b:Tag>Lyn12</b:Tag>
    <b:SourceType>JournalArticle</b:SourceType>
    <b:Guid>{399C0A9A-63D1-4F2A-A970-1C4D64B209FA}</b:Guid>
    <b:Author>
      <b:Author>
        <b:NameList>
          <b:Person>
            <b:Last>Lyngen</b:Last>
            <b:First>Narissa</b:First>
          </b:Person>
        </b:NameList>
      </b:Author>
    </b:Author>
    <b:Title>Basel III: Dynamics of State Implementation</b:Title>
    <b:Year>2012</b:Year>
    <b:JournalName>Harvard International Law Journal</b:JournalName>
    <b:Volume>53</b:Volume>
    <b:Issue>2</b:Issue>
    <b:RefOrder>30</b:RefOrder>
  </b:Source>
  <b:Source>
    <b:Tag>Cos11</b:Tag>
    <b:SourceType>JournalArticle</b:SourceType>
    <b:Guid>{71B1A33A-879B-41E4-9C1E-4667B7AA8637}</b:Guid>
    <b:Title>Bank Behavior in Response to Basel III: A Cross-Country Analysis</b:Title>
    <b:Year>2011</b:Year>
    <b:Issue>119</b:Issue>
    <b:Author>
      <b:Author>
        <b:NameList>
          <b:Person>
            <b:Last>Cosimano</b:Last>
            <b:Middle>F</b:Middle>
            <b:First>Thomas</b:First>
          </b:Person>
          <b:Person>
            <b:Last>Hakura</b:Last>
            <b:Middle>S</b:Middle>
            <b:First>Dalia</b:First>
          </b:Person>
        </b:NameList>
      </b:Author>
    </b:Author>
    <b:RefOrder>31</b:RefOrder>
  </b:Source>
  <b:Source>
    <b:Tag>Adm10</b:Tag>
    <b:SourceType>JournalArticle</b:SourceType>
    <b:Guid>{540E3349-BFD1-4080-BCA5-E9F36451B279}</b:Guid>
    <b:Author>
      <b:Author>
        <b:NameList>
          <b:Person>
            <b:Last>Admati</b:Last>
            <b:First>A.</b:First>
            <b:Middle>R.</b:Middle>
          </b:Person>
          <b:Person>
            <b:Last>DeMarzo</b:Last>
            <b:First>P.</b:First>
            <b:Middle>M.</b:Middle>
          </b:Person>
          <b:Person>
            <b:Last>Hellwig</b:Last>
            <b:First>M.</b:First>
            <b:Middle>F.</b:Middle>
          </b:Person>
          <b:Person>
            <b:Last>Pfleiderer</b:Last>
            <b:First>P</b:First>
          </b:Person>
        </b:NameList>
      </b:Author>
    </b:Author>
    <b:Title>Fallacies, Irrelevant Facts, and Myths in the Discussion of Capital Regulation: Why Bank Equity is not Expensive</b:Title>
    <b:JournalName>Working Paper Graduate School of Business</b:JournalName>
    <b:Year>2010</b:Year>
    <b:RefOrder>32</b:RefOrder>
  </b:Source>
  <b:Source>
    <b:Tag>Ban13</b:Tag>
    <b:SourceType>InternetSite</b:SourceType>
    <b:Guid>{72D289C8-C3EC-4EA1-BF45-141C11BD00F9}</b:Guid>
    <b:Title>Basel III: The Liquidity Coverage Ratio and liquidity risk monitoring tools</b:Title>
    <b:Year>2013</b:Year>
    <b:Author>
      <b:Author>
        <b:Corporate>Bank for International Settlements</b:Corporate>
      </b:Author>
    </b:Author>
    <b:YearAccessed>2021</b:YearAccessed>
    <b:MonthAccessed>05</b:MonthAccessed>
    <b:DayAccessed>05</b:DayAccessed>
    <b:URL>https://www.bis.org/publ/bcbs238.pdf</b:URL>
    <b:RefOrder>33</b:RefOrder>
  </b:Source>
  <b:Source>
    <b:Tag>Bor10</b:Tag>
    <b:SourceType>JournalArticle</b:SourceType>
    <b:Guid>{ABED16FF-78C1-400A-A843-3E2C2C85E57C}</b:Guid>
    <b:Title>The global financial crisis of 2007-2008: Is it unprecedented?</b:Title>
    <b:Year>2010</b:Year>
    <b:JournalName>National Bureau of Economic Research</b:JournalName>
    <b:Author>
      <b:Author>
        <b:NameList>
          <b:Person>
            <b:Last>Bordo</b:Last>
            <b:Middle>D</b:Middle>
            <b:First>M</b:First>
          </b:Person>
          <b:Person>
            <b:Last>Landon-Lane</b:Last>
            <b:Middle>S</b:Middle>
            <b:First>J</b:First>
          </b:Person>
        </b:NameList>
      </b:Author>
    </b:Author>
    <b:RefOrder>6</b:RefOrder>
  </b:Source>
  <b:Source>
    <b:Tag>Kac10</b:Tag>
    <b:SourceType>JournalArticle</b:SourceType>
    <b:Guid>{0B339B3F-55A7-4BFB-B94D-3FBEB3335271}</b:Guid>
    <b:Title>When safe provided risky: Commercial paper during the financial crisis of 2007-2009</b:Title>
    <b:JournalName>Journal of Economic Perspectives</b:JournalName>
    <b:Year>2010</b:Year>
    <b:Pages>29-50</b:Pages>
    <b:Volume>24</b:Volume>
    <b:Issue>1</b:Issue>
    <b:Author>
      <b:Author>
        <b:NameList>
          <b:Person>
            <b:Last>Kacperczyk</b:Last>
            <b:First>M</b:First>
          </b:Person>
          <b:Person>
            <b:Last>Schnabl</b:Last>
            <b:First>P</b:First>
          </b:Person>
        </b:NameList>
      </b:Author>
    </b:Author>
    <b:RefOrder>7</b:RefOrder>
  </b:Source>
  <b:Source>
    <b:Tag>Baj11</b:Tag>
    <b:SourceType>InternetSite</b:SourceType>
    <b:Guid>{4BD842A3-E16D-4907-A808-4CDA4EF0E434}</b:Guid>
    <b:Author>
      <b:Author>
        <b:NameList>
          <b:Person>
            <b:Last>Bajpai</b:Last>
            <b:First>N</b:First>
          </b:Person>
        </b:NameList>
      </b:Author>
    </b:Author>
    <b:Title>Global Financial Crisis, Its Impact on India and the Policy Response</b:Title>
    <b:Year>2011</b:Year>
    <b:YearAccessed>2021</b:YearAccessed>
    <b:MonthAccessed>05</b:MonthAccessed>
    <b:DayAccessed>03</b:DayAccessed>
    <b:URL>https://academiccommons.columbia.edu/doi/10.7916/D85T3TQB</b:URL>
    <b:RefOrder>8</b:RefOrder>
  </b:Source>
  <b:Source>
    <b:Tag>Gab10</b:Tag>
    <b:SourceType>JournalArticle</b:SourceType>
    <b:Guid>{FA0A1F0D-14BD-42B9-9AE4-5DE1FF050FA5}</b:Guid>
    <b:Title>The functioning of the European interbank market during the 2007-2008 financial crisis</b:Title>
    <b:Year>2010</b:Year>
    <b:Author>
      <b:Author>
        <b:NameList>
          <b:Person>
            <b:Last>Gabrieli</b:Last>
            <b:First>S</b:First>
          </b:Person>
        </b:NameList>
      </b:Author>
    </b:Author>
    <b:JournalName>CEIS Research Paper</b:JournalName>
    <b:RefOrder>9</b:RefOrder>
  </b:Source>
  <b:Source>
    <b:Tag>Orh15</b:Tag>
    <b:SourceType>JournalArticle</b:SourceType>
    <b:Guid>{0253478C-C222-43F8-B5CA-49FCEA2C940D}</b:Guid>
    <b:Author>
      <b:Author>
        <b:NameList>
          <b:Person>
            <b:Last>Orhangazi</b:Last>
            <b:First>Özgür</b:First>
          </b:Person>
        </b:NameList>
      </b:Author>
    </b:Author>
    <b:Title>Financial deregulation and the 2007-2008 US financial crisis</b:Title>
    <b:JournalName>The Demise of Finance-dominated Capitalism: Explaining the Financial and Economic Crises</b:JournalName>
    <b:Year>2015</b:Year>
    <b:Pages>289</b:Pages>
    <b:RefOrder>10</b:RefOrder>
  </b:Source>
  <b:Source>
    <b:Tag>Hop11</b:Tag>
    <b:SourceType>JournalArticle</b:SourceType>
    <b:Guid>{7161689A-FFCA-4BA2-B4B8-A473C844D905}</b:Guid>
    <b:Title>Crisis of temporalities: Global capitalism after the 2007-2008 financial collapse</b:Title>
    <b:Year>2011</b:Year>
    <b:Author>
      <b:Author>
        <b:NameList>
          <b:Person>
            <b:Last>Hope</b:Last>
            <b:First>W</b:First>
          </b:Person>
        </b:NameList>
      </b:Author>
    </b:Author>
    <b:JournalName>Time &amp; Society</b:JournalName>
    <b:Pages>94-118</b:Pages>
    <b:Volume>39</b:Volume>
    <b:RefOrder>11</b:RefOrder>
  </b:Source>
  <b:Source>
    <b:Tag>Pla17</b:Tag>
    <b:SourceType>JournalArticle</b:SourceType>
    <b:Guid>{998CFC90-2378-421B-9CE4-E677016517B4}</b:Guid>
    <b:Title>Ipo or sbo: The increasing importance of operational performance for private equity exits following the global financial crisis of 2007–2008</b:Title>
    <b:Year>2017</b:Year>
    <b:Author>
      <b:Author>
        <b:NameList>
          <b:Person>
            <b:Last>Plagborg‐Møller</b:Last>
            <b:First>E.</b:First>
          </b:Person>
          <b:Person>
            <b:Last>Holm</b:Last>
            <b:First>M</b:First>
          </b:Person>
        </b:NameList>
      </b:Author>
    </b:Author>
    <b:JournalName>Journal of applied corporate finance</b:JournalName>
    <b:Pages>115-121</b:Pages>
    <b:Volume>29</b:Volume>
    <b:Issue>1</b:Issue>
    <b:RefOrder>13</b:RefOrder>
  </b:Source>
  <b:Source>
    <b:Tag>Ach13</b:Tag>
    <b:SourceType>JournalArticle</b:SourceType>
    <b:Guid>{627ED833-C0B1-4040-8A4A-CB44D0CF97E4}</b:Guid>
    <b:Author>
      <b:Author>
        <b:NameList>
          <b:Person>
            <b:Last>Acharya</b:Last>
            <b:First>V</b:First>
          </b:Person>
        </b:NameList>
      </b:Author>
    </b:Author>
    <b:Title>Understanding Financial Crises: Theory and Evidence from the Crisis of 2007-2008</b:Title>
    <b:JournalName>NYU Stern School of Business Working Paper</b:JournalName>
    <b:Year>2013</b:Year>
    <b:RefOrder>14</b:RefOrder>
  </b:Source>
  <b:Source>
    <b:Tag>Can12</b:Tag>
    <b:SourceType>JournalArticle</b:SourceType>
    <b:Guid>{F6D0D7E5-4114-40CB-AAD9-2E8FF4277EC9}</b:Guid>
    <b:Author>
      <b:Author>
        <b:NameList>
          <b:Person>
            <b:Last>Canova</b:Last>
            <b:First>N.</b:First>
            <b:Middle>P.</b:Middle>
          </b:Person>
          <b:Person>
            <b:Last>Hickey</b:Last>
            <b:First>G.</b:First>
            <b:Middle>M.</b:Middle>
          </b:Person>
        </b:NameList>
      </b:Author>
    </b:Author>
    <b:Title>Understanding the impacts of the 2007–2008 Global Financial Crisis on sustainable forest management in the Brazilian Amazon: A case study</b:Title>
    <b:JournalName>Ecological Economics</b:JournalName>
    <b:Year>2012</b:Year>
    <b:Pages>19-31</b:Pages>
    <b:Volume>83</b:Volume>
    <b:RefOrder>15</b:RefOrder>
  </b:Source>
  <b:Source>
    <b:Tag>Bar18</b:Tag>
    <b:SourceType>JournalArticle</b:SourceType>
    <b:Guid>{5D6E9BC5-2262-476D-B6FA-8EE5650F6AC1}</b:Guid>
    <b:Author>
      <b:Author>
        <b:NameList>
          <b:Person>
            <b:Last>Barnichon</b:Last>
            <b:First>R</b:First>
          </b:Person>
          <b:Person>
            <b:Last>Matthes</b:Last>
            <b:First>C</b:First>
          </b:Person>
          <b:Person>
            <b:Last>Ziegenbein</b:Last>
            <b:First>A</b:First>
          </b:Person>
        </b:NameList>
      </b:Author>
    </b:Author>
    <b:Title>The financial crisis at 10: Will we ever recover</b:Title>
    <b:JournalName>FRBSF Economic Letter</b:JournalName>
    <b:Year>2018</b:Year>
    <b:RefOrder>16</b:RefOrder>
  </b:Source>
  <b:Source>
    <b:Tag>Ana13</b:Tag>
    <b:SourceType>JournalArticle</b:SourceType>
    <b:Guid>{6E562BC1-1C06-48AD-BC0F-8756BE804511}</b:Guid>
    <b:Author>
      <b:Author>
        <b:NameList>
          <b:Person>
            <b:Last>Anand</b:Last>
            <b:First>A</b:First>
          </b:Person>
          <b:Person>
            <b:Last>Puckett</b:Last>
            <b:First>A</b:First>
          </b:Person>
          <b:Person>
            <b:Last>Irvine</b:Last>
            <b:First>P</b:First>
          </b:Person>
          <b:Person>
            <b:Last>Venkataraman</b:Last>
            <b:First>K</b:First>
          </b:Person>
        </b:NameList>
      </b:Author>
    </b:Author>
    <b:Title>Market crashes and institutional trading: Evidence from US equities during the financial crisis of 2007-2008</b:Title>
    <b:JournalName>Journal of Financial Economics</b:JournalName>
    <b:Year>2013</b:Year>
    <b:Pages>773-797</b:Pages>
    <b:Volume>108</b:Volume>
    <b:RefOrder>17</b:RefOrder>
  </b:Source>
  <b:Source>
    <b:Tag>Qui10</b:Tag>
    <b:SourceType>InternetSite</b:SourceType>
    <b:Guid>{88B52919-3D93-40BB-9614-628118C4D17A}</b:Guid>
    <b:Title>Monetary policy during the global financial</b:Title>
    <b:Year>2010</b:Year>
    <b:Author>
      <b:Author>
        <b:NameList>
          <b:Person>
            <b:Last>Quispe</b:Last>
            <b:First>Zenon</b:First>
          </b:Person>
          <b:Person>
            <b:Last>Rossini</b:Last>
            <b:First>Renzo</b:First>
          </b:Person>
        </b:NameList>
      </b:Author>
    </b:Author>
    <b:YearAccessed>2021</b:YearAccessed>
    <b:MonthAccessed>05</b:MonthAccessed>
    <b:DayAccessed>05</b:DayAccessed>
    <b:URL>https://www.bis.org/publ/bppdf/bispap54r.pdf</b:URL>
    <b:RefOrder>18</b:RefOrder>
  </b:Source>
  <b:Source>
    <b:Tag>San14</b:Tag>
    <b:SourceType>JournalArticle</b:SourceType>
    <b:Guid>{189E1163-8BCB-4572-B4A9-5BF3415ABF16}</b:Guid>
    <b:Title>Shadow Banking and the Crisis of 2007-2008</b:Title>
    <b:Year>2014</b:Year>
    <b:Author>
      <b:Author>
        <b:NameList>
          <b:Person>
            <b:Last>Sanchez</b:Last>
            <b:First>D</b:First>
          </b:Person>
        </b:NameList>
      </b:Author>
    </b:Author>
    <b:JournalName>Federal Reserve Bank of Philadelphia Business Review Q</b:JournalName>
    <b:Pages>7-14</b:Pages>
    <b:Volume>2</b:Volume>
    <b:RefOrder>19</b:RefOrder>
  </b:Source>
  <b:Source>
    <b:Tag>Bal10</b:Tag>
    <b:SourceType>JournalArticle</b:SourceType>
    <b:Guid>{537DFC38-295A-47D6-820E-C14BB2F426BB}</b:Guid>
    <b:Author>
      <b:Author>
        <b:NameList>
          <b:Person>
            <b:Last>Ball</b:Last>
            <b:First>M</b:First>
          </b:Person>
        </b:NameList>
      </b:Author>
    </b:Author>
    <b:Title>Critical Commentary. Cities and Housing Markets: Changes and Continuities in the Aftermath of the 2007—08 World Financial Crisis</b:Title>
    <b:JournalName>Urban Studies</b:JournalName>
    <b:Year>2010</b:Year>
    <b:Pages>931-944</b:Pages>
    <b:Volume>47</b:Volume>
    <b:Issue>5</b:Issue>
    <b:RefOrder>20</b:RefOrder>
  </b:Source>
  <b:Source>
    <b:Tag>Fer20</b:Tag>
    <b:SourceType>JournalArticle</b:SourceType>
    <b:Guid>{4BA907A1-B5D7-4920-83ED-6E39060214FA}</b:Guid>
    <b:Author>
      <b:Author>
        <b:NameList>
          <b:Person>
            <b:Last>Fernández Sánchez</b:Last>
            <b:First>J.</b:First>
            <b:Middle>L.</b:Middle>
          </b:Person>
          <b:Person>
            <b:Last>Odriozola Zamanillo</b:Last>
            <b:First>M.</b:First>
            <b:Middle>D.</b:Middle>
          </b:Person>
          <b:Person>
            <b:Last>Luna</b:Last>
            <b:First>M.</b:First>
          </b:Person>
        </b:NameList>
      </b:Author>
    </b:Author>
    <b:Title>How corporate governance mechanisms of banks have changed after the 2007–2008 financial crisis</b:Title>
    <b:JournalName>Global Policy</b:JournalName>
    <b:Year>2020</b:Year>
    <b:Pages>52-61</b:Pages>
    <b:Volume>11</b:Volume>
    <b:RefOrder>21</b:RefOrder>
  </b:Source>
  <b:Source>
    <b:Tag>Elm16</b:Tag>
    <b:SourceType>JournalArticle</b:SourceType>
    <b:Guid>{B315DA57-C4B3-4D7F-A08E-607C1A06A119}</b:Guid>
    <b:Author>
      <b:Author>
        <b:NameList>
          <b:Person>
            <b:Last>Elmagrhi</b:Last>
            <b:First>M.H.</b:First>
          </b:Person>
          <b:Person>
            <b:Last>Ntim</b:Last>
            <b:First>C.G.</b:First>
          </b:Person>
          <b:Person>
            <b:Last>Wang</b:Last>
            <b:First>Y.</b:First>
          </b:Person>
        </b:NameList>
      </b:Author>
    </b:Author>
    <b:Title>Antecedents of voluntary corporate governance disclosure: A post-2007/08 financial crisis evidence from the influential UK Combined Code</b:Title>
    <b:JournalName>Corporate Governance</b:JournalName>
    <b:Year>2016</b:Year>
    <b:RefOrder>22</b:RefOrder>
  </b:Source>
  <b:Source>
    <b:Tag>Fra12</b:Tag>
    <b:SourceType>JournalArticle</b:SourceType>
    <b:Guid>{9C78449E-A62B-4DC8-AECD-C9B758C6D1AC}</b:Guid>
    <b:Author>
      <b:Author>
        <b:NameList>
          <b:Person>
            <b:Last>Fratzscher</b:Last>
            <b:First>Marcel</b:First>
          </b:Person>
        </b:NameList>
      </b:Author>
    </b:Author>
    <b:Title>Liquidity, risk and the global transmission of the 2007-08 financial crisis and the 2010-2011 sovereign debt crisis</b:Title>
    <b:JournalName>Centre for Economic Policy Research (CEPR)</b:JournalName>
    <b:Year>2012</b:Year>
    <b:RefOrder>23</b:RefOrder>
  </b:Source>
  <b:Source>
    <b:Tag>Poo10</b:Tag>
    <b:SourceType>JournalArticle</b:SourceType>
    <b:Guid>{99776FDE-C94A-491E-8F51-777B8D73E39D}</b:Guid>
    <b:Author>
      <b:Author>
        <b:NameList>
          <b:Person>
            <b:Last>Poole</b:Last>
            <b:First>W</b:First>
          </b:Person>
        </b:NameList>
      </b:Author>
    </b:Author>
    <b:Title>Causes and Consequences of the Financial Crisis of 2007-2009</b:Title>
    <b:JournalName>Harvard Journal of Law and Public Policy</b:JournalName>
    <b:Year>2010</b:Year>
    <b:Pages>421</b:Pages>
    <b:Volume>33</b:Volume>
    <b:RefOrder>24</b:RefOrder>
  </b:Source>
  <b:Source>
    <b:Tag>Jef17</b:Tag>
    <b:SourceType>Book</b:SourceType>
    <b:Guid>{2C24E330-D1C2-4A27-AB85-AAA7965AE9F1}</b:Guid>
    <b:Title>The Dialectics of Liquidity Crisis: An interpretation of explanations of the financial crisis of 2007-2008</b:Title>
    <b:Year>2017</b:Year>
    <b:Author>
      <b:Author>
        <b:NameList>
          <b:Person>
            <b:Last>Jefferies</b:Last>
            <b:First>C</b:First>
          </b:Person>
        </b:NameList>
      </b:Author>
    </b:Author>
    <b:City>London</b:City>
    <b:Edition>1</b:Edition>
    <b:RefOrder>12</b:RefOrder>
  </b:Source>
  <b:Source>
    <b:Tag>Cha08</b:Tag>
    <b:SourceType>JournalArticle</b:SourceType>
    <b:Guid>{892522D2-EB9C-4A04-B230-9EFE660049D7}</b:Guid>
    <b:Author>
      <b:Author>
        <b:NameList>
          <b:Person>
            <b:Last>Chari</b:Last>
            <b:First>V.</b:First>
            <b:Middle>V.</b:Middle>
          </b:Person>
          <b:Person>
            <b:Last>Christiano</b:Last>
            <b:First>L.</b:First>
          </b:Person>
          <b:Person>
            <b:Last>Kehoe</b:Last>
            <b:First>P.</b:First>
            <b:Middle>J.</b:Middle>
          </b:Person>
        </b:NameList>
      </b:Author>
    </b:Author>
    <b:Title>Facts and Myths about the Financial Crisis of 2008</b:Title>
    <b:JournalName>Federal Reserve Bank of Minneapolis Working Paper</b:JournalName>
    <b:Year>2008</b:Year>
    <b:RefOrder>25</b:RefOrder>
  </b:Source>
  <b:Source>
    <b:Tag>Wil08</b:Tag>
    <b:SourceType>JournalArticle</b:SourceType>
    <b:Guid>{FA1533F7-27B6-41AB-9EF9-2896BC90B7FA}</b:Guid>
    <b:Author>
      <b:Author>
        <b:NameList>
          <b:Person>
            <b:Last>Wilmarth Jr</b:Last>
            <b:First>A.E.</b:First>
          </b:Person>
        </b:NameList>
      </b:Author>
    </b:Author>
    <b:Title>The dark side of universal banking: Financial conglomerates and the origins of the subprime financial crisis</b:Title>
    <b:JournalName>GW Law Faculty Publication</b:JournalName>
    <b:Year>2008</b:Year>
    <b:Pages>963</b:Pages>
    <b:Volume>41</b:Volume>
    <b:RefOrder>26</b:RefOrder>
  </b:Source>
  <b:Source>
    <b:Tag>Hea18</b:Tag>
    <b:SourceType>JournalArticle</b:SourceType>
    <b:Guid>{5D2F1B71-3B8E-4254-9C7D-495C33DBD0A0}</b:Guid>
    <b:Author>
      <b:Author>
        <b:NameList>
          <b:Person>
            <b:Last>Hearit</b:Last>
            <b:First>L.B.</b:First>
          </b:Person>
        </b:NameList>
      </b:Author>
    </b:Author>
    <b:Title>JPMorgan Chase, Bank of America, Wells Fargo, and the financial crisis of 2008</b:Title>
    <b:JournalName>International Journal of Business Communication</b:JournalName>
    <b:Year>2018</b:Year>
    <b:Pages>237-260</b:Pages>
    <b:Volume>55</b:Volume>
    <b:Issue>2</b:Issue>
    <b:RefOrder>27</b:RefOrder>
  </b:Source>
  <b:Source>
    <b:Tag>Bai15</b:Tag>
    <b:SourceType>JournalArticle</b:SourceType>
    <b:Guid>{4D1D0652-EF24-4DCA-A6F3-D00B700DC8B9}</b:Guid>
    <b:Author>
      <b:Author>
        <b:NameList>
          <b:Person>
            <b:Last>Baily</b:Last>
            <b:First>M.N.</b:First>
          </b:Person>
          <b:Person>
            <b:Last>Bekker</b:Last>
            <b:First>W</b:First>
          </b:Person>
          <b:Person>
            <b:Last>Holmes</b:Last>
            <b:First>S.E.</b:First>
          </b:Person>
        </b:NameList>
      </b:Author>
    </b:Author>
    <b:Title>Baily, M.N., Bekker, W. and Holmes, S.E., 2015. The big four banks: The evolution of the financial sector, Part I</b:Title>
    <b:JournalName>Economic Studies, Brookings</b:JournalName>
    <b:Year>2015</b:Year>
    <b:Pages>1-12</b:Pages>
    <b:RefOrder>28</b:RefOrder>
  </b:Source>
  <b:Source>
    <b:Tag>Erk12</b:Tag>
    <b:SourceType>JournalArticle</b:SourceType>
    <b:Guid>{6AC8F7DA-463A-4D94-8E8C-B70AD239873B}</b:Guid>
    <b:Author>
      <b:Author>
        <b:NameList>
          <b:Person>
            <b:Last>Erkens</b:Last>
            <b:First>D.H.</b:First>
          </b:Person>
          <b:Person>
            <b:Last>Hung</b:Last>
            <b:First>M.</b:First>
          </b:Person>
          <b:Person>
            <b:Last>Matos</b:Last>
            <b:First>P.</b:First>
          </b:Person>
        </b:NameList>
      </b:Author>
    </b:Author>
    <b:Title>Corporate governance in the 2007–2008 financial crisis: Evidence from financial institutions worldwide</b:Title>
    <b:JournalName>Journal of corporate finance</b:JournalName>
    <b:Year>2012</b:Year>
    <b:Pages>389-411</b:Pages>
    <b:Volume>18</b:Volume>
    <b:Issue>2</b:Issue>
    <b:RefOrder>35</b:RefOrder>
  </b:Source>
  <b:Source>
    <b:Tag>Abo16</b:Tag>
    <b:SourceType>JournalArticle</b:SourceType>
    <b:Guid>{5A57A20F-B278-4385-B5B7-90D04EF0445C}</b:Guid>
    <b:Author>
      <b:Author>
        <b:NameList>
          <b:Person>
            <b:Last>Abou-El-Sood</b:Last>
            <b:First>Heba</b:First>
          </b:Person>
        </b:NameList>
      </b:Author>
    </b:Author>
    <b:Title>Are regulatory capital adequacy ratios good indicators of bank failure? Evidence from US banks</b:Title>
    <b:JournalName>International Review of Financial Analysis</b:JournalName>
    <b:Year>2016</b:Year>
    <b:Pages>292-302</b:Pages>
    <b:Volume>48</b:Volume>
    <b:RefOrder>37</b:RefOrder>
  </b:Source>
  <b:Source>
    <b:Tag>Zhe19</b:Tag>
    <b:SourceType>JournalArticle</b:SourceType>
    <b:Guid>{407ED6AE-AF8E-46A0-B0C0-3BB45B4C2C96}</b:Guid>
    <b:Title>The moderating role of capital on the relationship between bank liquidity creation and failure risk</b:Title>
    <b:JournalName>Journal of Banking and Finance</b:JournalName>
    <b:Year>2019</b:Year>
    <b:Volume>108</b:Volume>
    <b:Author>
      <b:Author>
        <b:NameList>
          <b:Person>
            <b:Last>Zheng</b:Last>
            <b:First>Chen</b:First>
          </b:Person>
          <b:Person>
            <b:Last>Cheung</b:Last>
            <b:First>Adrian</b:First>
          </b:Person>
          <b:Person>
            <b:Last>Cronje</b:Last>
            <b:First>Tom</b:First>
          </b:Person>
        </b:NameList>
      </b:Author>
    </b:Author>
    <b:RefOrder>36</b:RefOrder>
  </b:Source>
  <b:Source>
    <b:Tag>McK18</b:Tag>
    <b:SourceType>InternetSite</b:SourceType>
    <b:Guid>{EEFA28AD-D82C-44A3-9275-BD67AE5C99DA}</b:Guid>
    <b:Title>A decade after the global financial crisis: What has (and hasn’t) changed?</b:Title>
    <b:Year>2018</b:Year>
    <b:Author>
      <b:Author>
        <b:Corporate>McKinsey Global Institute</b:Corporate>
      </b:Author>
    </b:Author>
    <b:YearAccessed>2021</b:YearAccessed>
    <b:MonthAccessed>05</b:MonthAccessed>
    <b:DayAccessed>10</b:DayAccessed>
    <b:URL>https://www.mckinsey.com/industries/financial-services/our-insights/a-decade-after-the-global-financial-crisis-what-has-and-hasnt-changed</b:URL>
    <b:RefOrder>34</b:RefOrder>
  </b:Source>
  <b:Source>
    <b:Tag>Bar08</b:Tag>
    <b:SourceType>JournalArticle</b:SourceType>
    <b:Guid>{85D70CCB-9C95-404D-91C9-3CAD198F2A78}</b:Guid>
    <b:Title>Bank Regulations are Changing: For Better or Worse?</b:Title>
    <b:Year>2008</b:Year>
    <b:JournalName>Comparative Economic Studies</b:JournalName>
    <b:Pages>537-563</b:Pages>
    <b:Volume>50</b:Volume>
    <b:Author>
      <b:Author>
        <b:NameList>
          <b:Person>
            <b:Last>Barth</b:Last>
            <b:Middle>R</b:Middle>
            <b:First>James</b:First>
          </b:Person>
          <b:Person>
            <b:Last>Caprio</b:Last>
            <b:Middle>JR</b:Middle>
            <b:First>Gerard</b:First>
          </b:Person>
          <b:Person>
            <b:Last>Levine</b:Last>
            <b:First>Ross</b:First>
          </b:Person>
        </b:NameList>
      </b:Author>
    </b:Author>
    <b:RefOrder>29</b:RefOrder>
  </b:Source>
</b:Sources>
</file>

<file path=customXml/itemProps1.xml><?xml version="1.0" encoding="utf-8"?>
<ds:datastoreItem xmlns:ds="http://schemas.openxmlformats.org/officeDocument/2006/customXml" ds:itemID="{0AD2B95C-5820-4F69-A5C7-57E2BE3E8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2067</TotalTime>
  <Pages>18</Pages>
  <Words>6817</Words>
  <Characters>38857</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Cristina-Georgiana Toma</dc:creator>
  <cp:keywords/>
  <dc:description/>
  <cp:lastModifiedBy>Cristina-Georgiana Toma</cp:lastModifiedBy>
  <cp:revision>97</cp:revision>
  <dcterms:created xsi:type="dcterms:W3CDTF">2021-05-08T14:36:00Z</dcterms:created>
  <dcterms:modified xsi:type="dcterms:W3CDTF">2021-05-10T18:41:00Z</dcterms:modified>
</cp:coreProperties>
</file>