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21F2E" w:rsidRPr="000936C1" w:rsidRDefault="00B21F2E" w:rsidP="000936C1">
      <w:pPr>
        <w:spacing w:line="360" w:lineRule="auto"/>
        <w:jc w:val="both"/>
        <w:rPr>
          <w:b/>
          <w:u w:val="single"/>
        </w:rPr>
      </w:pPr>
    </w:p>
    <w:p w:rsidR="001B69C8" w:rsidRPr="000936C1" w:rsidRDefault="001B69C8" w:rsidP="000936C1">
      <w:pPr>
        <w:spacing w:line="360" w:lineRule="auto"/>
        <w:jc w:val="both"/>
        <w:rPr>
          <w:b/>
          <w:u w:val="single"/>
        </w:rPr>
      </w:pPr>
    </w:p>
    <w:p w:rsidR="001B69C8" w:rsidRPr="000936C1" w:rsidRDefault="001B69C8" w:rsidP="000936C1">
      <w:pPr>
        <w:spacing w:line="360" w:lineRule="auto"/>
        <w:jc w:val="both"/>
        <w:rPr>
          <w:b/>
          <w:u w:val="single"/>
        </w:rPr>
      </w:pPr>
    </w:p>
    <w:p w:rsidR="00301AD0" w:rsidRPr="000936C1" w:rsidRDefault="001B6DB4" w:rsidP="000936C1">
      <w:pPr>
        <w:spacing w:line="360" w:lineRule="auto"/>
        <w:jc w:val="both"/>
        <w:rPr>
          <w:b/>
          <w:u w:val="single"/>
        </w:rPr>
      </w:pPr>
      <w:r w:rsidRPr="000936C1">
        <w:rPr>
          <w:b/>
          <w:u w:val="single"/>
        </w:rPr>
        <w:t>L</w:t>
      </w:r>
      <w:r w:rsidR="001B69C8" w:rsidRPr="000936C1">
        <w:rPr>
          <w:b/>
          <w:u w:val="single"/>
        </w:rPr>
        <w:t>E</w:t>
      </w:r>
      <w:r w:rsidRPr="000936C1">
        <w:rPr>
          <w:b/>
          <w:u w:val="single"/>
        </w:rPr>
        <w:t>V</w:t>
      </w:r>
      <w:r w:rsidR="001B69C8" w:rsidRPr="000936C1">
        <w:rPr>
          <w:b/>
          <w:u w:val="single"/>
        </w:rPr>
        <w:t>EL 4</w:t>
      </w:r>
      <w:r w:rsidR="00643CB9" w:rsidRPr="000936C1">
        <w:rPr>
          <w:b/>
          <w:u w:val="single"/>
        </w:rPr>
        <w:t>–</w:t>
      </w:r>
      <w:r w:rsidR="00B21F2E" w:rsidRPr="000936C1">
        <w:rPr>
          <w:b/>
          <w:u w:val="single"/>
        </w:rPr>
        <w:t xml:space="preserve">Student Journal </w:t>
      </w:r>
      <w:r w:rsidR="00A138AA" w:rsidRPr="000936C1">
        <w:rPr>
          <w:b/>
          <w:u w:val="single"/>
        </w:rPr>
        <w:t>(750 words)</w:t>
      </w:r>
    </w:p>
    <w:p w:rsidR="00C50AE7" w:rsidRPr="000936C1" w:rsidRDefault="00C50AE7" w:rsidP="000936C1">
      <w:pPr>
        <w:spacing w:line="360" w:lineRule="auto"/>
        <w:jc w:val="both"/>
        <w:rPr>
          <w:b/>
          <w:u w:val="single"/>
        </w:rPr>
      </w:pPr>
    </w:p>
    <w:p w:rsidR="00301AD0" w:rsidRPr="000936C1" w:rsidRDefault="00B21F2E" w:rsidP="000936C1">
      <w:pPr>
        <w:spacing w:line="360" w:lineRule="auto"/>
        <w:jc w:val="both"/>
      </w:pPr>
      <w:r w:rsidRPr="000936C1">
        <w:t xml:space="preserve">You are required to complete a </w:t>
      </w:r>
      <w:r w:rsidR="00AE799D" w:rsidRPr="000936C1">
        <w:t>j</w:t>
      </w:r>
      <w:r w:rsidRPr="000936C1">
        <w:t>ournal</w:t>
      </w:r>
      <w:r w:rsidR="00AE799D" w:rsidRPr="000936C1">
        <w:t xml:space="preserve"> entry</w:t>
      </w:r>
      <w:r w:rsidRPr="000936C1">
        <w:t xml:space="preserve"> to capture the learning experience and knowledge you </w:t>
      </w:r>
      <w:r w:rsidR="003617CF" w:rsidRPr="000936C1">
        <w:t>have</w:t>
      </w:r>
      <w:r w:rsidRPr="000936C1">
        <w:t xml:space="preserve"> acquiring during </w:t>
      </w:r>
      <w:r w:rsidR="003617CF" w:rsidRPr="000936C1">
        <w:t>a particular lecture</w:t>
      </w:r>
      <w:r w:rsidRPr="000936C1">
        <w:t xml:space="preserve">. </w:t>
      </w:r>
      <w:r w:rsidR="003617CF" w:rsidRPr="000936C1">
        <w:t>You may choose from the following topics:</w:t>
      </w:r>
    </w:p>
    <w:p w:rsidR="0079230B" w:rsidRPr="000936C1" w:rsidRDefault="0079230B" w:rsidP="000936C1">
      <w:pPr>
        <w:pStyle w:val="NormalWeb"/>
        <w:numPr>
          <w:ilvl w:val="0"/>
          <w:numId w:val="28"/>
        </w:numPr>
        <w:spacing w:line="360" w:lineRule="auto"/>
        <w:jc w:val="both"/>
      </w:pPr>
      <w:r w:rsidRPr="000936C1">
        <w:t xml:space="preserve">Allergies and Intolerances and the importance within the industry </w:t>
      </w:r>
    </w:p>
    <w:p w:rsidR="0079230B" w:rsidRPr="000936C1" w:rsidRDefault="0079230B" w:rsidP="000936C1">
      <w:pPr>
        <w:pStyle w:val="NormalWeb"/>
        <w:numPr>
          <w:ilvl w:val="0"/>
          <w:numId w:val="28"/>
        </w:numPr>
        <w:spacing w:line="360" w:lineRule="auto"/>
        <w:jc w:val="both"/>
      </w:pPr>
      <w:r w:rsidRPr="000936C1">
        <w:t xml:space="preserve">Ratings, Inspections and Reporting Procedures </w:t>
      </w:r>
    </w:p>
    <w:p w:rsidR="00B945EA" w:rsidRPr="000936C1" w:rsidRDefault="00B945EA" w:rsidP="000936C1">
      <w:pPr>
        <w:spacing w:line="360" w:lineRule="auto"/>
        <w:jc w:val="both"/>
      </w:pPr>
    </w:p>
    <w:p w:rsidR="00B21F2E" w:rsidRPr="000936C1" w:rsidRDefault="00B21F2E" w:rsidP="000936C1">
      <w:pPr>
        <w:spacing w:line="360" w:lineRule="auto"/>
        <w:jc w:val="both"/>
      </w:pPr>
      <w:r w:rsidRPr="000936C1">
        <w:t xml:space="preserve">Consider the </w:t>
      </w:r>
      <w:r w:rsidR="00C414B0" w:rsidRPr="000936C1">
        <w:t xml:space="preserve">appropriate </w:t>
      </w:r>
      <w:r w:rsidRPr="000936C1">
        <w:t>lecture</w:t>
      </w:r>
      <w:r w:rsidR="00C414B0" w:rsidRPr="000936C1">
        <w:t>s</w:t>
      </w:r>
      <w:r w:rsidRPr="000936C1">
        <w:t xml:space="preserve">. What was the </w:t>
      </w:r>
      <w:r w:rsidR="00B945EA" w:rsidRPr="000936C1">
        <w:t>topic and w</w:t>
      </w:r>
      <w:r w:rsidRPr="000936C1">
        <w:t>hat have you learn</w:t>
      </w:r>
      <w:r w:rsidR="0066732A" w:rsidRPr="000936C1">
        <w:t>t</w:t>
      </w:r>
      <w:r w:rsidRPr="000936C1">
        <w:t xml:space="preserve">? </w:t>
      </w:r>
      <w:r w:rsidR="001B69C8" w:rsidRPr="000936C1">
        <w:t xml:space="preserve">Provide a </w:t>
      </w:r>
      <w:r w:rsidR="001B69C8" w:rsidRPr="000936C1">
        <w:rPr>
          <w:b/>
          <w:bCs/>
        </w:rPr>
        <w:t>brief summary</w:t>
      </w:r>
      <w:r w:rsidR="001B69C8" w:rsidRPr="000936C1">
        <w:t xml:space="preserve">. </w:t>
      </w:r>
      <w:r w:rsidRPr="000936C1">
        <w:t xml:space="preserve">What </w:t>
      </w:r>
      <w:r w:rsidR="00B945EA" w:rsidRPr="000936C1">
        <w:rPr>
          <w:b/>
          <w:bCs/>
        </w:rPr>
        <w:t>new skills</w:t>
      </w:r>
      <w:r w:rsidR="00C414B0" w:rsidRPr="000936C1">
        <w:rPr>
          <w:b/>
          <w:bCs/>
        </w:rPr>
        <w:t xml:space="preserve"> / knowledge</w:t>
      </w:r>
      <w:r w:rsidR="00B945EA" w:rsidRPr="000936C1">
        <w:rPr>
          <w:b/>
          <w:bCs/>
        </w:rPr>
        <w:t xml:space="preserve"> have you acquired</w:t>
      </w:r>
      <w:r w:rsidR="00B945EA" w:rsidRPr="000936C1">
        <w:t xml:space="preserve">? How will you </w:t>
      </w:r>
      <w:r w:rsidR="00B945EA" w:rsidRPr="000936C1">
        <w:rPr>
          <w:b/>
          <w:bCs/>
        </w:rPr>
        <w:t>apply your knowledge</w:t>
      </w:r>
      <w:r w:rsidR="00C414B0" w:rsidRPr="000936C1">
        <w:rPr>
          <w:b/>
          <w:bCs/>
        </w:rPr>
        <w:t xml:space="preserve"> in the future</w:t>
      </w:r>
      <w:r w:rsidR="00B945EA" w:rsidRPr="000936C1">
        <w:t xml:space="preserve">? </w:t>
      </w:r>
      <w:r w:rsidR="0066732A" w:rsidRPr="000936C1">
        <w:t xml:space="preserve">What are your </w:t>
      </w:r>
      <w:r w:rsidR="0066732A" w:rsidRPr="000936C1">
        <w:rPr>
          <w:b/>
          <w:bCs/>
        </w:rPr>
        <w:t>personal reflections</w:t>
      </w:r>
      <w:r w:rsidR="00197F4A" w:rsidRPr="000936C1">
        <w:t xml:space="preserve"> on the subject</w:t>
      </w:r>
      <w:r w:rsidR="00C35AEF" w:rsidRPr="000936C1">
        <w:t xml:space="preserve">? </w:t>
      </w:r>
      <w:r w:rsidR="00CC3464" w:rsidRPr="000936C1">
        <w:t xml:space="preserve">Why is this </w:t>
      </w:r>
      <w:r w:rsidR="00CC3464" w:rsidRPr="000936C1">
        <w:rPr>
          <w:b/>
          <w:bCs/>
        </w:rPr>
        <w:t>topic impo</w:t>
      </w:r>
      <w:r w:rsidR="00CD40C2" w:rsidRPr="000936C1">
        <w:rPr>
          <w:b/>
          <w:bCs/>
        </w:rPr>
        <w:t>rtant within the industry</w:t>
      </w:r>
      <w:r w:rsidR="00CD40C2" w:rsidRPr="000936C1">
        <w:t xml:space="preserve">? </w:t>
      </w:r>
      <w:r w:rsidR="00C35AEF" w:rsidRPr="000936C1">
        <w:t xml:space="preserve">Provide </w:t>
      </w:r>
      <w:r w:rsidR="00C35AEF" w:rsidRPr="000936C1">
        <w:rPr>
          <w:b/>
          <w:bCs/>
        </w:rPr>
        <w:t>evidence of further reading</w:t>
      </w:r>
      <w:r w:rsidR="00CD40C2" w:rsidRPr="000936C1">
        <w:t>. Include a minimum of 5 references</w:t>
      </w:r>
      <w:r w:rsidR="00A138AA" w:rsidRPr="000936C1">
        <w:t>.</w:t>
      </w:r>
    </w:p>
    <w:p w:rsidR="00301AD0" w:rsidRPr="000936C1" w:rsidRDefault="00301AD0" w:rsidP="000936C1">
      <w:pPr>
        <w:spacing w:line="360" w:lineRule="auto"/>
        <w:jc w:val="both"/>
      </w:pPr>
    </w:p>
    <w:tbl>
      <w:tblPr>
        <w:tblStyle w:val="TableGrid"/>
        <w:tblW w:w="0" w:type="auto"/>
        <w:tblLook w:val="01E0"/>
      </w:tblPr>
      <w:tblGrid>
        <w:gridCol w:w="3987"/>
        <w:gridCol w:w="7195"/>
      </w:tblGrid>
      <w:tr w:rsidR="00B21F2E" w:rsidRPr="000936C1" w:rsidTr="00B21F2E">
        <w:tc>
          <w:tcPr>
            <w:tcW w:w="3987" w:type="dxa"/>
            <w:shd w:val="clear" w:color="auto" w:fill="8DB3E2" w:themeFill="text2" w:themeFillTint="66"/>
          </w:tcPr>
          <w:p w:rsidR="00B21F2E" w:rsidRPr="000936C1" w:rsidRDefault="00B21F2E" w:rsidP="000936C1">
            <w:pPr>
              <w:spacing w:line="360" w:lineRule="auto"/>
              <w:jc w:val="both"/>
              <w:rPr>
                <w:b/>
              </w:rPr>
            </w:pPr>
            <w:r w:rsidRPr="000936C1">
              <w:rPr>
                <w:b/>
              </w:rPr>
              <w:t>Student Name:</w:t>
            </w:r>
            <w:r w:rsidR="00996ACB">
              <w:rPr>
                <w:b/>
              </w:rPr>
              <w:t>Md wahidur Rahman</w:t>
            </w:r>
          </w:p>
          <w:p w:rsidR="001B69C8" w:rsidRPr="000936C1" w:rsidRDefault="001B69C8" w:rsidP="000936C1">
            <w:pPr>
              <w:spacing w:line="360" w:lineRule="auto"/>
              <w:jc w:val="both"/>
              <w:rPr>
                <w:b/>
              </w:rPr>
            </w:pPr>
          </w:p>
          <w:p w:rsidR="00B21F2E" w:rsidRPr="000936C1" w:rsidRDefault="001B69C8" w:rsidP="000936C1">
            <w:pPr>
              <w:spacing w:line="360" w:lineRule="auto"/>
              <w:jc w:val="both"/>
              <w:rPr>
                <w:b/>
              </w:rPr>
            </w:pPr>
            <w:r w:rsidRPr="000936C1">
              <w:rPr>
                <w:b/>
              </w:rPr>
              <w:t>Student Number:</w:t>
            </w:r>
            <w:r w:rsidR="00DA5FA8">
              <w:rPr>
                <w:b/>
              </w:rPr>
              <w:t>1908557</w:t>
            </w:r>
          </w:p>
          <w:p w:rsidR="00B21F2E" w:rsidRPr="000936C1" w:rsidRDefault="00B21F2E" w:rsidP="000936C1">
            <w:pPr>
              <w:spacing w:line="360" w:lineRule="auto"/>
              <w:jc w:val="both"/>
              <w:rPr>
                <w:b/>
              </w:rPr>
            </w:pPr>
          </w:p>
        </w:tc>
        <w:tc>
          <w:tcPr>
            <w:tcW w:w="7195" w:type="dxa"/>
            <w:shd w:val="clear" w:color="auto" w:fill="8DB3E2" w:themeFill="text2" w:themeFillTint="66"/>
          </w:tcPr>
          <w:p w:rsidR="00B21F2E" w:rsidRPr="000936C1" w:rsidRDefault="001B69C8" w:rsidP="000936C1">
            <w:pPr>
              <w:spacing w:line="360" w:lineRule="auto"/>
              <w:jc w:val="both"/>
              <w:rPr>
                <w:b/>
              </w:rPr>
            </w:pPr>
            <w:r w:rsidRPr="000936C1">
              <w:rPr>
                <w:b/>
              </w:rPr>
              <w:t>Module:</w:t>
            </w:r>
            <w:r w:rsidR="00DA5FA8">
              <w:rPr>
                <w:b/>
              </w:rPr>
              <w:t xml:space="preserve"> Food and Beverage operations</w:t>
            </w:r>
          </w:p>
          <w:p w:rsidR="00B21F2E" w:rsidRPr="000936C1" w:rsidRDefault="00B21F2E" w:rsidP="000936C1">
            <w:pPr>
              <w:spacing w:line="360" w:lineRule="auto"/>
              <w:jc w:val="both"/>
              <w:rPr>
                <w:b/>
              </w:rPr>
            </w:pPr>
          </w:p>
          <w:p w:rsidR="001B69C8" w:rsidRPr="000936C1" w:rsidRDefault="001B69C8" w:rsidP="000936C1">
            <w:pPr>
              <w:spacing w:line="360" w:lineRule="auto"/>
              <w:jc w:val="both"/>
              <w:rPr>
                <w:b/>
              </w:rPr>
            </w:pPr>
            <w:r w:rsidRPr="000936C1">
              <w:rPr>
                <w:b/>
              </w:rPr>
              <w:t>Lecturer:</w:t>
            </w:r>
            <w:r w:rsidR="00DA5FA8">
              <w:rPr>
                <w:b/>
              </w:rPr>
              <w:t>Ffion Cumberpatch</w:t>
            </w:r>
          </w:p>
        </w:tc>
      </w:tr>
    </w:tbl>
    <w:p w:rsidR="0062012D" w:rsidRPr="000936C1" w:rsidRDefault="0062012D" w:rsidP="000936C1">
      <w:pPr>
        <w:spacing w:line="360" w:lineRule="auto"/>
        <w:jc w:val="both"/>
      </w:pPr>
    </w:p>
    <w:tbl>
      <w:tblPr>
        <w:tblStyle w:val="TableGrid"/>
        <w:tblW w:w="0" w:type="auto"/>
        <w:tblLook w:val="01E0"/>
      </w:tblPr>
      <w:tblGrid>
        <w:gridCol w:w="3983"/>
        <w:gridCol w:w="7199"/>
      </w:tblGrid>
      <w:tr w:rsidR="00B21F2E" w:rsidRPr="000936C1" w:rsidTr="00563973">
        <w:tc>
          <w:tcPr>
            <w:tcW w:w="3983" w:type="dxa"/>
            <w:shd w:val="clear" w:color="auto" w:fill="FBD4B4" w:themeFill="accent6" w:themeFillTint="66"/>
          </w:tcPr>
          <w:p w:rsidR="00B21F2E" w:rsidRPr="000936C1" w:rsidRDefault="008F0D83" w:rsidP="000936C1">
            <w:pPr>
              <w:spacing w:line="360" w:lineRule="auto"/>
              <w:jc w:val="both"/>
              <w:rPr>
                <w:b/>
              </w:rPr>
            </w:pPr>
            <w:r w:rsidRPr="000936C1">
              <w:rPr>
                <w:b/>
              </w:rPr>
              <w:t>Topic of choice:</w:t>
            </w:r>
          </w:p>
        </w:tc>
        <w:tc>
          <w:tcPr>
            <w:tcW w:w="7199" w:type="dxa"/>
            <w:shd w:val="clear" w:color="auto" w:fill="FBD4B4" w:themeFill="accent6" w:themeFillTint="66"/>
          </w:tcPr>
          <w:p w:rsidR="00B21F2E" w:rsidRPr="000936C1" w:rsidRDefault="00B21F2E" w:rsidP="000936C1">
            <w:pPr>
              <w:spacing w:line="360" w:lineRule="auto"/>
              <w:jc w:val="both"/>
              <w:rPr>
                <w:b/>
              </w:rPr>
            </w:pPr>
          </w:p>
          <w:p w:rsidR="00B21F2E" w:rsidRPr="000936C1" w:rsidRDefault="009949DF" w:rsidP="000936C1">
            <w:pPr>
              <w:spacing w:line="360" w:lineRule="auto"/>
              <w:jc w:val="both"/>
              <w:rPr>
                <w:b/>
              </w:rPr>
            </w:pPr>
            <w:r w:rsidRPr="000936C1">
              <w:rPr>
                <w:b/>
              </w:rPr>
              <w:t>Allergies and Intolerances and the importance within the industry</w:t>
            </w:r>
          </w:p>
          <w:p w:rsidR="00B21F2E" w:rsidRPr="000936C1" w:rsidRDefault="00B21F2E" w:rsidP="000936C1">
            <w:pPr>
              <w:spacing w:line="360" w:lineRule="auto"/>
              <w:jc w:val="both"/>
              <w:rPr>
                <w:b/>
              </w:rPr>
            </w:pPr>
          </w:p>
        </w:tc>
      </w:tr>
      <w:tr w:rsidR="00B945EA" w:rsidRPr="000936C1" w:rsidTr="00A91FD6">
        <w:trPr>
          <w:trHeight w:val="2494"/>
        </w:trPr>
        <w:tc>
          <w:tcPr>
            <w:tcW w:w="11182" w:type="dxa"/>
            <w:gridSpan w:val="2"/>
          </w:tcPr>
          <w:p w:rsidR="00930456" w:rsidRPr="000936C1" w:rsidRDefault="00777E80" w:rsidP="000936C1">
            <w:pPr>
              <w:pStyle w:val="root-block-node"/>
              <w:spacing w:line="360" w:lineRule="auto"/>
              <w:jc w:val="both"/>
              <w:rPr>
                <w:color w:val="000000"/>
              </w:rPr>
            </w:pPr>
            <w:r w:rsidRPr="000936C1">
              <w:rPr>
                <w:color w:val="000000"/>
              </w:rPr>
              <w:t xml:space="preserve">There is great importance of allergies and intolerance in food industry as this might </w:t>
            </w:r>
            <w:r w:rsidR="00F62B48">
              <w:rPr>
                <w:color w:val="000000"/>
              </w:rPr>
              <w:t>severely impact the health of people</w:t>
            </w:r>
            <w:r w:rsidR="00BE6B9B" w:rsidRPr="000936C1">
              <w:rPr>
                <w:color w:val="000000"/>
              </w:rPr>
              <w:t>. Due to the potentially fatal consequences of an allergic reaction, food allergy research must be done carefully (Soon, 2019). Restaurants should be aware of food allergies and their consequences (</w:t>
            </w:r>
            <w:r w:rsidR="00550D27" w:rsidRPr="000936C1">
              <w:rPr>
                <w:color w:val="212121"/>
                <w:shd w:val="clear" w:color="auto" w:fill="FFFFFF"/>
              </w:rPr>
              <w:t>Boden et al., 2005</w:t>
            </w:r>
            <w:r w:rsidR="00BE6B9B" w:rsidRPr="000936C1">
              <w:rPr>
                <w:color w:val="000000"/>
              </w:rPr>
              <w:t xml:space="preserve">). This journal records my food safety encounters and industry responses. </w:t>
            </w:r>
            <w:r w:rsidR="00930456" w:rsidRPr="000936C1">
              <w:rPr>
                <w:color w:val="000000"/>
              </w:rPr>
              <w:t>The industry has managed to keep allergic reactions under control. A successful HACCP can help companies maintain a good reputation by providing high-quality food. Takeout and delivery hygiene rules are another important aspect of the food sector.</w:t>
            </w:r>
            <w:r w:rsidR="00EA74C5" w:rsidRPr="000936C1">
              <w:rPr>
                <w:color w:val="000000"/>
              </w:rPr>
              <w:t xml:space="preserve"> HACCP ensures food safety biochemically and physically. HACCP ensures food businesses' customers' safety (Soman and Raman, 2016). HACCP reduces meat-production risks. HACCP identifies food risks and determines and monitors CCPs. Level 2 HACCP for Catering and Retail teaches students how to comply with the law (Thomas et al., 2015).</w:t>
            </w:r>
            <w:r w:rsidR="00042C4B" w:rsidRPr="000936C1">
              <w:rPr>
                <w:color w:val="000000"/>
              </w:rPr>
              <w:t>All the learning in c</w:t>
            </w:r>
            <w:r w:rsidR="00EA74C5" w:rsidRPr="000936C1">
              <w:rPr>
                <w:color w:val="000000"/>
              </w:rPr>
              <w:t xml:space="preserve">lass </w:t>
            </w:r>
            <w:r w:rsidR="00042C4B" w:rsidRPr="000936C1">
              <w:rPr>
                <w:color w:val="000000"/>
              </w:rPr>
              <w:t>was</w:t>
            </w:r>
            <w:r w:rsidR="00EA74C5" w:rsidRPr="000936C1">
              <w:rPr>
                <w:color w:val="000000"/>
              </w:rPr>
              <w:t xml:space="preserve"> thrilling.</w:t>
            </w:r>
          </w:p>
          <w:p w:rsidR="00930456" w:rsidRPr="000936C1" w:rsidRDefault="00042C4B" w:rsidP="000936C1">
            <w:pPr>
              <w:pStyle w:val="root-block-node"/>
              <w:spacing w:line="360" w:lineRule="auto"/>
              <w:jc w:val="both"/>
              <w:rPr>
                <w:color w:val="000000"/>
              </w:rPr>
            </w:pPr>
            <w:r w:rsidRPr="000936C1">
              <w:rPr>
                <w:color w:val="000000"/>
              </w:rPr>
              <w:lastRenderedPageBreak/>
              <w:t xml:space="preserve">I learned about the food safety in my </w:t>
            </w:r>
            <w:r w:rsidR="00A46DA6">
              <w:rPr>
                <w:color w:val="000000"/>
              </w:rPr>
              <w:t>course</w:t>
            </w:r>
            <w:r w:rsidRPr="000936C1">
              <w:rPr>
                <w:color w:val="000000"/>
              </w:rPr>
              <w:t xml:space="preserve"> and</w:t>
            </w:r>
            <w:r w:rsidR="00A46DA6">
              <w:rPr>
                <w:color w:val="000000"/>
              </w:rPr>
              <w:t xml:space="preserve"> I</w:t>
            </w:r>
            <w:r w:rsidRPr="000936C1">
              <w:rPr>
                <w:color w:val="000000"/>
              </w:rPr>
              <w:t xml:space="preserve"> </w:t>
            </w:r>
            <w:r w:rsidR="00A46DA6">
              <w:rPr>
                <w:color w:val="000000"/>
              </w:rPr>
              <w:t>used to work in catering industry (Indian restaurant and take</w:t>
            </w:r>
            <w:r w:rsidR="008635AE">
              <w:rPr>
                <w:color w:val="000000"/>
              </w:rPr>
              <w:t>a</w:t>
            </w:r>
            <w:r w:rsidR="00A46DA6">
              <w:rPr>
                <w:color w:val="000000"/>
              </w:rPr>
              <w:t>way</w:t>
            </w:r>
            <w:r w:rsidR="008635AE">
              <w:rPr>
                <w:color w:val="000000"/>
              </w:rPr>
              <w:t>s</w:t>
            </w:r>
            <w:r w:rsidR="00A46DA6">
              <w:rPr>
                <w:color w:val="000000"/>
              </w:rPr>
              <w:t>) before and done my food  hygiene level 2 course from that experience i</w:t>
            </w:r>
            <w:r w:rsidRPr="000936C1">
              <w:rPr>
                <w:color w:val="000000"/>
              </w:rPr>
              <w:t xml:space="preserve"> think below 4 C’s should be considered by all food sector. </w:t>
            </w:r>
          </w:p>
          <w:p w:rsidR="00930456" w:rsidRPr="000936C1" w:rsidRDefault="00930456" w:rsidP="000936C1">
            <w:pPr>
              <w:pStyle w:val="root-block-node"/>
              <w:spacing w:line="360" w:lineRule="auto"/>
              <w:jc w:val="both"/>
              <w:rPr>
                <w:color w:val="000000"/>
              </w:rPr>
            </w:pPr>
            <w:r w:rsidRPr="000936C1">
              <w:rPr>
                <w:color w:val="000000"/>
              </w:rPr>
              <w:t>Clean</w:t>
            </w:r>
          </w:p>
          <w:p w:rsidR="00930456" w:rsidRPr="000936C1" w:rsidRDefault="00930456" w:rsidP="000936C1">
            <w:pPr>
              <w:pStyle w:val="root-block-node"/>
              <w:spacing w:line="360" w:lineRule="auto"/>
              <w:jc w:val="both"/>
              <w:rPr>
                <w:color w:val="000000"/>
              </w:rPr>
            </w:pPr>
            <w:r w:rsidRPr="000936C1">
              <w:rPr>
                <w:color w:val="000000"/>
              </w:rPr>
              <w:t>Hands, prep surfaces, and culinary equipment should all be washed on a regular basis. Using clean tools, wash your face. After handling food, hands must be washed. A dirty home may worsen a dust allergy, but routine cleaning may not be enough to alleviate symptoms. </w:t>
            </w:r>
          </w:p>
          <w:p w:rsidR="00930456" w:rsidRPr="000936C1" w:rsidRDefault="00930456" w:rsidP="000936C1">
            <w:pPr>
              <w:pStyle w:val="root-block-node"/>
              <w:spacing w:line="360" w:lineRule="auto"/>
              <w:jc w:val="both"/>
              <w:rPr>
                <w:color w:val="000000"/>
              </w:rPr>
            </w:pPr>
            <w:r w:rsidRPr="000936C1">
              <w:rPr>
                <w:color w:val="000000"/>
              </w:rPr>
              <w:t>Cross-contamination should be avoided at all costs. </w:t>
            </w:r>
          </w:p>
          <w:p w:rsidR="00930456" w:rsidRPr="000936C1" w:rsidRDefault="00930456" w:rsidP="000936C1">
            <w:pPr>
              <w:pStyle w:val="root-block-node"/>
              <w:spacing w:line="360" w:lineRule="auto"/>
              <w:jc w:val="both"/>
              <w:rPr>
                <w:color w:val="000000"/>
              </w:rPr>
            </w:pPr>
            <w:r w:rsidRPr="000936C1">
              <w:rPr>
                <w:color w:val="000000"/>
              </w:rPr>
              <w:t>Away from raw meat, poultry, and fish should be foods that will not be cooked (like fresh vegetables or bread). For prepared and raw meals, use different silverware, knives, utensils, and plates. It may also be transmitted by saliva following contact with utensils, surfaces, or objects. </w:t>
            </w:r>
          </w:p>
          <w:p w:rsidR="00930456" w:rsidRPr="000936C1" w:rsidRDefault="00930456" w:rsidP="000936C1">
            <w:pPr>
              <w:pStyle w:val="root-block-node"/>
              <w:spacing w:line="360" w:lineRule="auto"/>
              <w:jc w:val="both"/>
              <w:rPr>
                <w:color w:val="000000"/>
              </w:rPr>
            </w:pPr>
            <w:r w:rsidRPr="000936C1">
              <w:rPr>
                <w:color w:val="000000"/>
              </w:rPr>
              <w:t>Cooking</w:t>
            </w:r>
          </w:p>
          <w:p w:rsidR="00930456" w:rsidRPr="000936C1" w:rsidRDefault="00930456" w:rsidP="000936C1">
            <w:pPr>
              <w:pStyle w:val="root-block-node"/>
              <w:spacing w:line="360" w:lineRule="auto"/>
              <w:jc w:val="both"/>
              <w:rPr>
                <w:color w:val="000000"/>
              </w:rPr>
            </w:pPr>
            <w:r w:rsidRPr="000936C1">
              <w:rPr>
                <w:color w:val="000000"/>
              </w:rPr>
              <w:t>Ascertain that the food has reached the proper temperature. One of the greatest ways to guarantee that food workers are doing their jobs properly is to use a food thermometer. </w:t>
            </w:r>
          </w:p>
          <w:p w:rsidR="00930456" w:rsidRPr="000936C1" w:rsidRDefault="00930456" w:rsidP="000936C1">
            <w:pPr>
              <w:pStyle w:val="root-block-node"/>
              <w:spacing w:line="360" w:lineRule="auto"/>
              <w:jc w:val="both"/>
              <w:rPr>
                <w:color w:val="000000"/>
              </w:rPr>
            </w:pPr>
            <w:r w:rsidRPr="000936C1">
              <w:rPr>
                <w:color w:val="000000"/>
              </w:rPr>
              <w:t>Chilled</w:t>
            </w:r>
          </w:p>
          <w:p w:rsidR="00930456" w:rsidRPr="000936C1" w:rsidRDefault="00930456" w:rsidP="000936C1">
            <w:pPr>
              <w:pStyle w:val="root-block-node"/>
              <w:spacing w:line="360" w:lineRule="auto"/>
              <w:jc w:val="both"/>
              <w:rPr>
                <w:color w:val="000000"/>
              </w:rPr>
            </w:pPr>
            <w:r w:rsidRPr="000936C1">
              <w:rPr>
                <w:color w:val="000000"/>
              </w:rPr>
              <w:t xml:space="preserve">Within two hours following cooking, foods should be cooled (below 40°F). The common cold causes allergies in a small percentage of the population. After a meal has been chilled for over an hour, an itchy rash, redness, swelling, and hives often persist for less than 24 hours. </w:t>
            </w:r>
          </w:p>
          <w:p w:rsidR="00930456" w:rsidRPr="000936C1" w:rsidRDefault="00930456" w:rsidP="000936C1">
            <w:pPr>
              <w:pStyle w:val="root-block-node"/>
              <w:spacing w:line="360" w:lineRule="auto"/>
              <w:jc w:val="both"/>
              <w:rPr>
                <w:color w:val="000000"/>
              </w:rPr>
            </w:pPr>
            <w:r w:rsidRPr="000936C1">
              <w:rPr>
                <w:color w:val="000000"/>
              </w:rPr>
              <w:t>Understanding this problem has allowed me to be more inventive in my approach to training food workers about cross-contamination risks. In the food sector, there are a variety of health and safety risks to be aware of, and adequate training is required. </w:t>
            </w:r>
          </w:p>
          <w:p w:rsidR="00930456" w:rsidRPr="000936C1" w:rsidRDefault="00930456" w:rsidP="000936C1">
            <w:pPr>
              <w:pStyle w:val="root-block-node"/>
              <w:spacing w:line="360" w:lineRule="auto"/>
              <w:jc w:val="both"/>
              <w:rPr>
                <w:color w:val="000000"/>
              </w:rPr>
            </w:pPr>
            <w:r w:rsidRPr="000936C1">
              <w:rPr>
                <w:color w:val="000000"/>
              </w:rPr>
              <w:t>Natasha's Law is a life-saving policy and a big step forward in our fight to protect Americans with food allergies. This new regulation will increase the trust of people with food allergies when purchasing pre-packaged items such as sandwiches and salads. Yes, owing to improvements in allergy labelling for pre-packaged foods brought about by Natasha's Law, it's now essential</w:t>
            </w:r>
            <w:r w:rsidR="00550D27" w:rsidRPr="000936C1">
              <w:rPr>
                <w:color w:val="000000"/>
              </w:rPr>
              <w:t xml:space="preserve"> (</w:t>
            </w:r>
            <w:r w:rsidR="00550D27" w:rsidRPr="000936C1">
              <w:rPr>
                <w:color w:val="212121"/>
                <w:shd w:val="clear" w:color="auto" w:fill="FFFFFF"/>
              </w:rPr>
              <w:t>Begen et al., 2016)</w:t>
            </w:r>
            <w:r w:rsidRPr="000936C1">
              <w:rPr>
                <w:color w:val="000000"/>
              </w:rPr>
              <w:t xml:space="preserve">. For PPDS foods, there are new allergy labelling guidelines. Natasha's Law from a variety of angles This is a positive step forward in the UK's food labelling rules, </w:t>
            </w:r>
            <w:r w:rsidRPr="000936C1">
              <w:rPr>
                <w:color w:val="000000"/>
              </w:rPr>
              <w:lastRenderedPageBreak/>
              <w:t>and I think it will have a substantial impact on the food industry. This law will not only save lives, but it will also reassure and safeguard the 2 million people in the United Kingdom who have food allergies. Natasha's Law may affect staff training on ingredients and labelling; as well as training and labelling expenses and labelling time; may be affected by Natasha's Law. All of these features may be pricey for small firms to execute. Eventually, lives will be saved, and the need to know about food allergies will be widely recognised (Soon and Wahab, 2021).</w:t>
            </w:r>
          </w:p>
          <w:p w:rsidR="00BE6B9B" w:rsidRPr="000936C1" w:rsidRDefault="00930456" w:rsidP="000936C1">
            <w:pPr>
              <w:pStyle w:val="root-block-node"/>
              <w:spacing w:line="360" w:lineRule="auto"/>
              <w:jc w:val="both"/>
              <w:rPr>
                <w:color w:val="000000"/>
              </w:rPr>
            </w:pPr>
            <w:r w:rsidRPr="000936C1">
              <w:rPr>
                <w:color w:val="000000"/>
              </w:rPr>
              <w:t xml:space="preserve">In the future, in accordance with Natasha's Law, I will require all food employees to attend mandatory food allergy awareness training before beginning work. Natasha's Law will help me concentrate on my capacity to be more creative in allergy education for my employees. Due to many health and safety considerations, effective training is necessary in the food business. Employees may safeguard teammates and customers by understanding possible dangers and how to reduce them </w:t>
            </w:r>
            <w:r w:rsidR="00BE6B9B" w:rsidRPr="000936C1">
              <w:rPr>
                <w:color w:val="000000"/>
              </w:rPr>
              <w:t>(Bray</w:t>
            </w:r>
            <w:r w:rsidRPr="000936C1">
              <w:rPr>
                <w:color w:val="000000"/>
              </w:rPr>
              <w:t xml:space="preserve"> et al., </w:t>
            </w:r>
            <w:r w:rsidR="00BE6B9B" w:rsidRPr="000936C1">
              <w:rPr>
                <w:color w:val="000000"/>
              </w:rPr>
              <w:t xml:space="preserve">2020). </w:t>
            </w:r>
          </w:p>
          <w:p w:rsidR="00EA74C5" w:rsidRPr="000936C1" w:rsidRDefault="00EA74C5" w:rsidP="000936C1">
            <w:pPr>
              <w:pStyle w:val="root-block-node"/>
              <w:spacing w:line="360" w:lineRule="auto"/>
              <w:jc w:val="both"/>
              <w:rPr>
                <w:color w:val="000000"/>
              </w:rPr>
            </w:pPr>
            <w:r w:rsidRPr="000936C1">
              <w:rPr>
                <w:color w:val="000000"/>
              </w:rPr>
              <w:t>UK takeaways must maintain food hygiene. Businesses that don't follow hygiene rules can be closed, fined, and damaged. Uber Eats and Just Eat deliver clean food. All Uber Eats businesses must follow all food, drink, and product laws, including food safety and hygiene (Lord et al., 2022). Food vendors must follow dietary restrictions. Separate halal food from non-halal. It guarantees healthy food. Just Eat will invest $1 million in UK food safety. New restaurants must have a Food Hygiene Rating of 3 (FHRS). Just Eats restaurants receive free food safety training (Lord et al., 2022). After a government inspection, the company will update its API.</w:t>
            </w:r>
          </w:p>
          <w:p w:rsidR="00BE6B9B" w:rsidRPr="000936C1" w:rsidRDefault="00BE6B9B" w:rsidP="000936C1">
            <w:pPr>
              <w:spacing w:line="360" w:lineRule="auto"/>
              <w:jc w:val="both"/>
            </w:pPr>
          </w:p>
          <w:p w:rsidR="00EA74C5" w:rsidRPr="000936C1" w:rsidRDefault="00EA74C5" w:rsidP="000936C1">
            <w:pPr>
              <w:spacing w:line="360" w:lineRule="auto"/>
              <w:jc w:val="both"/>
            </w:pPr>
          </w:p>
          <w:p w:rsidR="00EA74C5" w:rsidRPr="000936C1" w:rsidRDefault="00EA74C5" w:rsidP="000936C1">
            <w:pPr>
              <w:spacing w:line="360" w:lineRule="auto"/>
              <w:jc w:val="both"/>
            </w:pPr>
          </w:p>
        </w:tc>
      </w:tr>
    </w:tbl>
    <w:p w:rsidR="00B00678" w:rsidRPr="000936C1" w:rsidRDefault="00B00678" w:rsidP="000936C1">
      <w:pPr>
        <w:spacing w:line="360" w:lineRule="auto"/>
        <w:jc w:val="both"/>
        <w:rPr>
          <w:b/>
        </w:rPr>
      </w:pPr>
    </w:p>
    <w:tbl>
      <w:tblPr>
        <w:tblStyle w:val="TableGrid"/>
        <w:tblW w:w="0" w:type="auto"/>
        <w:tblLook w:val="01E0"/>
      </w:tblPr>
      <w:tblGrid>
        <w:gridCol w:w="10910"/>
        <w:gridCol w:w="272"/>
      </w:tblGrid>
      <w:tr w:rsidR="00375882" w:rsidRPr="000936C1" w:rsidTr="00375882">
        <w:tc>
          <w:tcPr>
            <w:tcW w:w="10910" w:type="dxa"/>
            <w:shd w:val="clear" w:color="auto" w:fill="FBD4B4" w:themeFill="accent6" w:themeFillTint="66"/>
          </w:tcPr>
          <w:p w:rsidR="00375882" w:rsidRPr="000936C1" w:rsidRDefault="00375882" w:rsidP="000936C1">
            <w:pPr>
              <w:spacing w:line="360" w:lineRule="auto"/>
              <w:jc w:val="both"/>
              <w:rPr>
                <w:b/>
              </w:rPr>
            </w:pPr>
            <w:r w:rsidRPr="000936C1">
              <w:rPr>
                <w:b/>
              </w:rPr>
              <w:t xml:space="preserve">REFERENCE LIST </w:t>
            </w:r>
            <w:r w:rsidR="00A138AA" w:rsidRPr="000936C1">
              <w:rPr>
                <w:b/>
              </w:rPr>
              <w:t>(not included in word count)</w:t>
            </w:r>
          </w:p>
        </w:tc>
        <w:tc>
          <w:tcPr>
            <w:tcW w:w="272" w:type="dxa"/>
            <w:shd w:val="clear" w:color="auto" w:fill="FBD4B4" w:themeFill="accent6" w:themeFillTint="66"/>
          </w:tcPr>
          <w:p w:rsidR="00375882" w:rsidRPr="000936C1" w:rsidRDefault="00375882" w:rsidP="000936C1">
            <w:pPr>
              <w:spacing w:line="360" w:lineRule="auto"/>
              <w:jc w:val="both"/>
              <w:rPr>
                <w:b/>
              </w:rPr>
            </w:pPr>
          </w:p>
          <w:p w:rsidR="00375882" w:rsidRPr="000936C1" w:rsidRDefault="00375882" w:rsidP="000936C1">
            <w:pPr>
              <w:spacing w:line="360" w:lineRule="auto"/>
              <w:jc w:val="both"/>
              <w:rPr>
                <w:b/>
              </w:rPr>
            </w:pPr>
          </w:p>
        </w:tc>
      </w:tr>
      <w:tr w:rsidR="00375882" w:rsidRPr="000936C1" w:rsidTr="002F4F2B">
        <w:trPr>
          <w:trHeight w:val="70"/>
        </w:trPr>
        <w:tc>
          <w:tcPr>
            <w:tcW w:w="11182" w:type="dxa"/>
            <w:gridSpan w:val="2"/>
          </w:tcPr>
          <w:p w:rsidR="008D3EF7" w:rsidRPr="000936C1" w:rsidRDefault="008D3EF7" w:rsidP="000936C1">
            <w:pPr>
              <w:spacing w:line="360" w:lineRule="auto"/>
              <w:jc w:val="both"/>
            </w:pPr>
            <w:r w:rsidRPr="000936C1">
              <w:t>Bray, J., Hartwell, H., Appleton, K. and Price, S., 2020. Consumer communication when eating out of home: the role of technology. British Food Journal, 123(1), pp.373-386.</w:t>
            </w:r>
          </w:p>
          <w:p w:rsidR="000936C1" w:rsidRPr="000936C1" w:rsidRDefault="000936C1" w:rsidP="000936C1">
            <w:pPr>
              <w:spacing w:line="360" w:lineRule="auto"/>
              <w:jc w:val="both"/>
            </w:pPr>
          </w:p>
          <w:p w:rsidR="00550D27" w:rsidRPr="000936C1" w:rsidRDefault="00550D27" w:rsidP="000936C1">
            <w:pPr>
              <w:spacing w:line="360" w:lineRule="auto"/>
              <w:jc w:val="both"/>
              <w:rPr>
                <w:color w:val="212121"/>
                <w:shd w:val="clear" w:color="auto" w:fill="FFFFFF"/>
              </w:rPr>
            </w:pPr>
            <w:r w:rsidRPr="000936C1">
              <w:rPr>
                <w:color w:val="212121"/>
                <w:shd w:val="clear" w:color="auto" w:fill="FFFFFF"/>
              </w:rPr>
              <w:t>Begen, F. M., Barnett, J., Payne, R., Roy, D., Gowland, M. H., &amp; Lucas, J. S. 2016. Consumer Preferences for Written and Oral Information about Allergens When Eating Out.</w:t>
            </w:r>
            <w:r w:rsidRPr="000936C1">
              <w:rPr>
                <w:rStyle w:val="apple-converted-space"/>
                <w:color w:val="212121"/>
                <w:shd w:val="clear" w:color="auto" w:fill="FFFFFF"/>
              </w:rPr>
              <w:t> </w:t>
            </w:r>
            <w:r w:rsidRPr="000936C1">
              <w:rPr>
                <w:i/>
                <w:iCs/>
                <w:color w:val="212121"/>
              </w:rPr>
              <w:t>PloS one</w:t>
            </w:r>
            <w:r w:rsidRPr="000936C1">
              <w:rPr>
                <w:color w:val="212121"/>
                <w:shd w:val="clear" w:color="auto" w:fill="FFFFFF"/>
              </w:rPr>
              <w:t>,</w:t>
            </w:r>
            <w:r w:rsidRPr="000936C1">
              <w:rPr>
                <w:rStyle w:val="apple-converted-space"/>
                <w:color w:val="212121"/>
                <w:shd w:val="clear" w:color="auto" w:fill="FFFFFF"/>
              </w:rPr>
              <w:t> </w:t>
            </w:r>
            <w:r w:rsidRPr="000936C1">
              <w:rPr>
                <w:i/>
                <w:iCs/>
                <w:color w:val="212121"/>
              </w:rPr>
              <w:t>11</w:t>
            </w:r>
            <w:r w:rsidRPr="000936C1">
              <w:rPr>
                <w:color w:val="212121"/>
                <w:shd w:val="clear" w:color="auto" w:fill="FFFFFF"/>
              </w:rPr>
              <w:t xml:space="preserve">(5), e0156073. </w:t>
            </w:r>
            <w:hyperlink r:id="rId7" w:history="1">
              <w:r w:rsidRPr="000936C1">
                <w:rPr>
                  <w:rStyle w:val="Hyperlink"/>
                  <w:shd w:val="clear" w:color="auto" w:fill="FFFFFF"/>
                </w:rPr>
                <w:t>https://doi.org/10.1371/journal.pone.0156073</w:t>
              </w:r>
            </w:hyperlink>
          </w:p>
          <w:p w:rsidR="00550D27" w:rsidRPr="000936C1" w:rsidRDefault="00550D27" w:rsidP="000936C1">
            <w:pPr>
              <w:spacing w:line="360" w:lineRule="auto"/>
              <w:jc w:val="both"/>
            </w:pPr>
          </w:p>
          <w:p w:rsidR="00550D27" w:rsidRPr="000936C1" w:rsidRDefault="00550D27" w:rsidP="000936C1">
            <w:pPr>
              <w:spacing w:line="360" w:lineRule="auto"/>
              <w:jc w:val="both"/>
            </w:pPr>
            <w:r w:rsidRPr="000936C1">
              <w:rPr>
                <w:color w:val="212121"/>
                <w:shd w:val="clear" w:color="auto" w:fill="FFFFFF"/>
              </w:rPr>
              <w:t xml:space="preserve">Boden, M., Dadswell, R., &amp; Hattersley, S. 2005. Review of statutory and voluntary labelling of food </w:t>
            </w:r>
            <w:r w:rsidRPr="000936C1">
              <w:rPr>
                <w:color w:val="212121"/>
                <w:shd w:val="clear" w:color="auto" w:fill="FFFFFF"/>
              </w:rPr>
              <w:lastRenderedPageBreak/>
              <w:t>allergens.</w:t>
            </w:r>
            <w:r w:rsidRPr="000936C1">
              <w:rPr>
                <w:rStyle w:val="apple-converted-space"/>
                <w:color w:val="212121"/>
                <w:shd w:val="clear" w:color="auto" w:fill="FFFFFF"/>
              </w:rPr>
              <w:t> </w:t>
            </w:r>
            <w:r w:rsidRPr="000936C1">
              <w:rPr>
                <w:i/>
                <w:iCs/>
                <w:color w:val="212121"/>
              </w:rPr>
              <w:t>The Proceedings of the Nutrition Society</w:t>
            </w:r>
            <w:r w:rsidRPr="000936C1">
              <w:rPr>
                <w:color w:val="212121"/>
                <w:shd w:val="clear" w:color="auto" w:fill="FFFFFF"/>
              </w:rPr>
              <w:t>,</w:t>
            </w:r>
            <w:r w:rsidRPr="000936C1">
              <w:rPr>
                <w:rStyle w:val="apple-converted-space"/>
                <w:color w:val="212121"/>
                <w:shd w:val="clear" w:color="auto" w:fill="FFFFFF"/>
              </w:rPr>
              <w:t> </w:t>
            </w:r>
            <w:r w:rsidRPr="000936C1">
              <w:rPr>
                <w:i/>
                <w:iCs/>
                <w:color w:val="212121"/>
              </w:rPr>
              <w:t>64</w:t>
            </w:r>
            <w:r w:rsidRPr="000936C1">
              <w:rPr>
                <w:color w:val="212121"/>
                <w:shd w:val="clear" w:color="auto" w:fill="FFFFFF"/>
              </w:rPr>
              <w:t>(4), 475–480. https://doi.org/10.1079/pns2005453</w:t>
            </w:r>
          </w:p>
          <w:p w:rsidR="00930456" w:rsidRPr="000936C1" w:rsidRDefault="00930456" w:rsidP="000936C1">
            <w:pPr>
              <w:spacing w:line="360" w:lineRule="auto"/>
              <w:jc w:val="both"/>
            </w:pPr>
          </w:p>
          <w:p w:rsidR="008D3EF7" w:rsidRPr="000936C1" w:rsidRDefault="008D3EF7" w:rsidP="000936C1">
            <w:pPr>
              <w:spacing w:line="360" w:lineRule="auto"/>
              <w:jc w:val="both"/>
            </w:pPr>
            <w:r w:rsidRPr="000936C1">
              <w:t>Lord, C., Bates, O., Friday, A., McLeod, F., Cherrett, T., Martinez-Sykora, A. and Oakey, A., 2022. The sustainability of the gig economy food delivery system (Deliveroo, UberEATS and Just-Eat): Histories and futures of rebound, lock-in and path dependency. International Journal of Sustainable Transportation, pp.1-13.</w:t>
            </w:r>
          </w:p>
          <w:p w:rsidR="00930456" w:rsidRPr="000936C1" w:rsidRDefault="00930456" w:rsidP="000936C1">
            <w:pPr>
              <w:spacing w:line="360" w:lineRule="auto"/>
              <w:jc w:val="both"/>
            </w:pPr>
          </w:p>
          <w:p w:rsidR="008D3EF7" w:rsidRPr="000936C1" w:rsidRDefault="008D3EF7" w:rsidP="000936C1">
            <w:pPr>
              <w:spacing w:line="360" w:lineRule="auto"/>
              <w:jc w:val="both"/>
            </w:pPr>
            <w:r w:rsidRPr="000936C1">
              <w:t>Soman, R. and Raman, M., 2016. HACCP system – hazard analysis and assessment, based on ISO 22000:2005 methodology. Food Control, 69, pp.191-195.</w:t>
            </w:r>
          </w:p>
          <w:p w:rsidR="00930456" w:rsidRPr="000936C1" w:rsidRDefault="00930456" w:rsidP="000936C1">
            <w:pPr>
              <w:spacing w:line="360" w:lineRule="auto"/>
              <w:jc w:val="both"/>
            </w:pPr>
          </w:p>
          <w:p w:rsidR="008D3EF7" w:rsidRPr="000936C1" w:rsidRDefault="008D3EF7" w:rsidP="000936C1">
            <w:pPr>
              <w:spacing w:line="360" w:lineRule="auto"/>
              <w:jc w:val="both"/>
            </w:pPr>
            <w:r w:rsidRPr="000936C1">
              <w:t>Soon, J., 2019. Food allergen knowledge, attitude and practices among UK consumers: A structural modelling approach. Food Research International, 120, pp.375-381.</w:t>
            </w:r>
          </w:p>
          <w:p w:rsidR="000936C1" w:rsidRPr="000936C1" w:rsidRDefault="000936C1" w:rsidP="000936C1">
            <w:pPr>
              <w:spacing w:line="360" w:lineRule="auto"/>
              <w:jc w:val="both"/>
            </w:pPr>
          </w:p>
          <w:p w:rsidR="000936C1" w:rsidRPr="000936C1" w:rsidRDefault="000936C1" w:rsidP="000936C1">
            <w:pPr>
              <w:spacing w:line="360" w:lineRule="auto"/>
              <w:jc w:val="both"/>
            </w:pPr>
            <w:r w:rsidRPr="000936C1">
              <w:rPr>
                <w:color w:val="212121"/>
                <w:shd w:val="clear" w:color="auto" w:fill="FFFFFF"/>
              </w:rPr>
              <w:t>Taylor, S. L., &amp;Hefle, S. L. (2006). Food allergen labeling in the USA and Europe.</w:t>
            </w:r>
            <w:r w:rsidRPr="000936C1">
              <w:rPr>
                <w:rStyle w:val="apple-converted-space"/>
                <w:color w:val="212121"/>
                <w:shd w:val="clear" w:color="auto" w:fill="FFFFFF"/>
              </w:rPr>
              <w:t> </w:t>
            </w:r>
            <w:r w:rsidRPr="000936C1">
              <w:rPr>
                <w:i/>
                <w:iCs/>
                <w:color w:val="212121"/>
              </w:rPr>
              <w:t>Current opinion in allergy and clinical immunology</w:t>
            </w:r>
            <w:r w:rsidRPr="000936C1">
              <w:rPr>
                <w:color w:val="212121"/>
                <w:shd w:val="clear" w:color="auto" w:fill="FFFFFF"/>
              </w:rPr>
              <w:t>,</w:t>
            </w:r>
            <w:r w:rsidRPr="000936C1">
              <w:rPr>
                <w:rStyle w:val="apple-converted-space"/>
                <w:color w:val="212121"/>
                <w:shd w:val="clear" w:color="auto" w:fill="FFFFFF"/>
              </w:rPr>
              <w:t> </w:t>
            </w:r>
            <w:r w:rsidRPr="000936C1">
              <w:rPr>
                <w:i/>
                <w:iCs/>
                <w:color w:val="212121"/>
              </w:rPr>
              <w:t>6</w:t>
            </w:r>
            <w:r w:rsidRPr="000936C1">
              <w:rPr>
                <w:color w:val="212121"/>
                <w:shd w:val="clear" w:color="auto" w:fill="FFFFFF"/>
              </w:rPr>
              <w:t>(3), 186–190. https://doi.org/10.1097/01.all.0000225158.75521.ad</w:t>
            </w:r>
          </w:p>
          <w:p w:rsidR="00930456" w:rsidRPr="000936C1" w:rsidRDefault="00930456" w:rsidP="000936C1">
            <w:pPr>
              <w:spacing w:line="360" w:lineRule="auto"/>
              <w:jc w:val="both"/>
            </w:pPr>
          </w:p>
          <w:p w:rsidR="00375882" w:rsidRPr="000936C1" w:rsidRDefault="008D3EF7" w:rsidP="000936C1">
            <w:pPr>
              <w:spacing w:line="360" w:lineRule="auto"/>
              <w:jc w:val="both"/>
            </w:pPr>
            <w:r w:rsidRPr="000936C1">
              <w:t>Thomas, A., White, G., Plant, E. and Zhou, P., 2015. Challenges and practices in Halal meat preparation: a case study investigation of a UK slaughterhouse. Total Quality Management &amp;amp; Business Excellence, 28(1-2), pp.12-31.</w:t>
            </w:r>
          </w:p>
          <w:p w:rsidR="00375882" w:rsidRPr="000936C1" w:rsidRDefault="00375882" w:rsidP="000936C1">
            <w:pPr>
              <w:spacing w:line="360" w:lineRule="auto"/>
              <w:jc w:val="both"/>
            </w:pPr>
          </w:p>
        </w:tc>
      </w:tr>
    </w:tbl>
    <w:p w:rsidR="00B00678" w:rsidRPr="000936C1" w:rsidRDefault="00B00678" w:rsidP="000936C1">
      <w:pPr>
        <w:spacing w:line="360" w:lineRule="auto"/>
        <w:jc w:val="both"/>
        <w:rPr>
          <w:b/>
        </w:rPr>
      </w:pPr>
    </w:p>
    <w:p w:rsidR="00B00678" w:rsidRPr="000936C1" w:rsidRDefault="00B00678" w:rsidP="000936C1">
      <w:pPr>
        <w:spacing w:line="360" w:lineRule="auto"/>
        <w:jc w:val="both"/>
        <w:rPr>
          <w:b/>
        </w:rPr>
      </w:pPr>
    </w:p>
    <w:p w:rsidR="00B00678" w:rsidRPr="000936C1" w:rsidRDefault="00B00678" w:rsidP="000936C1">
      <w:pPr>
        <w:spacing w:line="360" w:lineRule="auto"/>
        <w:jc w:val="both"/>
        <w:rPr>
          <w:b/>
        </w:rPr>
      </w:pPr>
    </w:p>
    <w:p w:rsidR="00B00678" w:rsidRPr="000936C1" w:rsidRDefault="00B00678" w:rsidP="000936C1">
      <w:pPr>
        <w:spacing w:line="360" w:lineRule="auto"/>
        <w:jc w:val="both"/>
        <w:rPr>
          <w:b/>
        </w:rPr>
      </w:pPr>
    </w:p>
    <w:p w:rsidR="00B00678" w:rsidRPr="000936C1" w:rsidRDefault="00B00678" w:rsidP="000936C1">
      <w:pPr>
        <w:spacing w:line="360" w:lineRule="auto"/>
        <w:jc w:val="both"/>
        <w:rPr>
          <w:b/>
        </w:rPr>
      </w:pPr>
    </w:p>
    <w:p w:rsidR="00B00678" w:rsidRPr="000936C1" w:rsidRDefault="00B00678" w:rsidP="000936C1">
      <w:pPr>
        <w:spacing w:line="360" w:lineRule="auto"/>
        <w:jc w:val="both"/>
        <w:rPr>
          <w:b/>
        </w:rPr>
      </w:pPr>
    </w:p>
    <w:p w:rsidR="00A45D42" w:rsidRPr="000936C1" w:rsidRDefault="00A45D42" w:rsidP="000936C1">
      <w:pPr>
        <w:spacing w:line="360" w:lineRule="auto"/>
        <w:jc w:val="both"/>
        <w:rPr>
          <w:b/>
        </w:rPr>
      </w:pPr>
    </w:p>
    <w:sectPr w:rsidR="00A45D42" w:rsidRPr="000936C1"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510FF" w:rsidRDefault="002510FF">
      <w:r>
        <w:separator/>
      </w:r>
    </w:p>
  </w:endnote>
  <w:endnote w:type="continuationSeparator" w:id="1">
    <w:p w:rsidR="002510FF" w:rsidRDefault="002510FF">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34016876"/>
      <w:docPartObj>
        <w:docPartGallery w:val="Page Numbers (Bottom of Page)"/>
        <w:docPartUnique/>
      </w:docPartObj>
    </w:sdtPr>
    <w:sdtEndPr>
      <w:rPr>
        <w:noProof/>
      </w:rPr>
    </w:sdtEndPr>
    <w:sdtContent>
      <w:p w:rsidR="00B44B68" w:rsidRDefault="004A71CC">
        <w:pPr>
          <w:pStyle w:val="Footer"/>
          <w:jc w:val="right"/>
        </w:pPr>
        <w:r>
          <w:fldChar w:fldCharType="begin"/>
        </w:r>
        <w:r w:rsidR="00B44B68">
          <w:instrText xml:space="preserve"> PAGE   \* MERGEFORMAT </w:instrText>
        </w:r>
        <w:r>
          <w:fldChar w:fldCharType="separate"/>
        </w:r>
        <w:r w:rsidR="008635AE">
          <w:rPr>
            <w:noProof/>
          </w:rPr>
          <w:t>1</w:t>
        </w:r>
        <w:r>
          <w:rPr>
            <w:noProof/>
          </w:rPr>
          <w:fldChar w:fldCharType="end"/>
        </w:r>
      </w:p>
    </w:sdtContent>
  </w:sdt>
  <w:p w:rsidR="00112CE0" w:rsidRDefault="00112CE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510FF" w:rsidRDefault="002510FF">
      <w:r>
        <w:separator/>
      </w:r>
    </w:p>
  </w:footnote>
  <w:footnote w:type="continuationSeparator" w:id="1">
    <w:p w:rsidR="002510FF" w:rsidRDefault="002510FF">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tretch>
                    <a:fillRect/>
                  </a:stretch>
                </pic:blipFill>
                <pic:spPr>
                  <a:xfrm>
                    <a:off x="0" y="0"/>
                    <a:ext cx="2303780" cy="765175"/>
                  </a:xfrm>
                  <a:prstGeom prst="rect">
                    <a:avLst/>
                  </a:prstGeom>
                </pic:spPr>
              </pic:pic>
            </a:graphicData>
          </a:graphic>
        </wp:anchor>
      </w:drawing>
    </w:r>
    <w:r w:rsidR="001B69C8" w:rsidRPr="001B69C8">
      <w:rPr>
        <w:rFonts w:asciiTheme="minorHAnsi" w:hAnsiTheme="minorHAnsi"/>
      </w:rPr>
      <w:t>International Hotel Management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stylePaneFormatFilter w:val="3F01"/>
  <w:defaultTabStop w:val="720"/>
  <w:characterSpacingControl w:val="doNotCompress"/>
  <w:hdrShapeDefaults>
    <o:shapedefaults v:ext="edit" spidmax="8194"/>
  </w:hdrShapeDefaults>
  <w:footnotePr>
    <w:footnote w:id="0"/>
    <w:footnote w:id="1"/>
  </w:footnotePr>
  <w:endnotePr>
    <w:endnote w:id="0"/>
    <w:endnote w:id="1"/>
  </w:endnotePr>
  <w:compat/>
  <w:rsids>
    <w:rsidRoot w:val="00301AD0"/>
    <w:rsid w:val="000304DF"/>
    <w:rsid w:val="00040CE8"/>
    <w:rsid w:val="00042C4B"/>
    <w:rsid w:val="0004729E"/>
    <w:rsid w:val="00076F40"/>
    <w:rsid w:val="00077E55"/>
    <w:rsid w:val="00085CFD"/>
    <w:rsid w:val="000936C1"/>
    <w:rsid w:val="000A0C53"/>
    <w:rsid w:val="000B2F4F"/>
    <w:rsid w:val="000F2E7C"/>
    <w:rsid w:val="00112CE0"/>
    <w:rsid w:val="001269FA"/>
    <w:rsid w:val="00137AE3"/>
    <w:rsid w:val="00162FE2"/>
    <w:rsid w:val="0016363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510FF"/>
    <w:rsid w:val="002659F5"/>
    <w:rsid w:val="00283BE2"/>
    <w:rsid w:val="00294842"/>
    <w:rsid w:val="002E127C"/>
    <w:rsid w:val="002F4F2B"/>
    <w:rsid w:val="002F7DD0"/>
    <w:rsid w:val="00301AD0"/>
    <w:rsid w:val="003036C9"/>
    <w:rsid w:val="00313631"/>
    <w:rsid w:val="0032684A"/>
    <w:rsid w:val="00332099"/>
    <w:rsid w:val="00340C62"/>
    <w:rsid w:val="003478CE"/>
    <w:rsid w:val="003605B1"/>
    <w:rsid w:val="003617CF"/>
    <w:rsid w:val="00364940"/>
    <w:rsid w:val="00365786"/>
    <w:rsid w:val="00366D9C"/>
    <w:rsid w:val="00375882"/>
    <w:rsid w:val="00382DB9"/>
    <w:rsid w:val="0038432B"/>
    <w:rsid w:val="00396412"/>
    <w:rsid w:val="003C3341"/>
    <w:rsid w:val="003C7C45"/>
    <w:rsid w:val="003E36D1"/>
    <w:rsid w:val="003E46A6"/>
    <w:rsid w:val="003E4E4B"/>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71CC"/>
    <w:rsid w:val="004B113B"/>
    <w:rsid w:val="004C08E2"/>
    <w:rsid w:val="004C7E23"/>
    <w:rsid w:val="005036DE"/>
    <w:rsid w:val="00517154"/>
    <w:rsid w:val="00522B05"/>
    <w:rsid w:val="00542C5B"/>
    <w:rsid w:val="00550D27"/>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1950"/>
    <w:rsid w:val="00744482"/>
    <w:rsid w:val="007451E8"/>
    <w:rsid w:val="00777E80"/>
    <w:rsid w:val="0078654A"/>
    <w:rsid w:val="0079230B"/>
    <w:rsid w:val="00797115"/>
    <w:rsid w:val="007A5E44"/>
    <w:rsid w:val="007D18CA"/>
    <w:rsid w:val="007E500C"/>
    <w:rsid w:val="007E7BB4"/>
    <w:rsid w:val="007F055A"/>
    <w:rsid w:val="007F418B"/>
    <w:rsid w:val="00814801"/>
    <w:rsid w:val="0082407E"/>
    <w:rsid w:val="00826699"/>
    <w:rsid w:val="00857F36"/>
    <w:rsid w:val="008635AE"/>
    <w:rsid w:val="00895843"/>
    <w:rsid w:val="008B4B9C"/>
    <w:rsid w:val="008B534C"/>
    <w:rsid w:val="008D3EF7"/>
    <w:rsid w:val="008E2A5A"/>
    <w:rsid w:val="008F0B0D"/>
    <w:rsid w:val="008F0D83"/>
    <w:rsid w:val="009061F1"/>
    <w:rsid w:val="00911C43"/>
    <w:rsid w:val="009139BF"/>
    <w:rsid w:val="00923E76"/>
    <w:rsid w:val="00930456"/>
    <w:rsid w:val="009425D4"/>
    <w:rsid w:val="009448FE"/>
    <w:rsid w:val="00946B23"/>
    <w:rsid w:val="00985CF1"/>
    <w:rsid w:val="009949DF"/>
    <w:rsid w:val="00996ACB"/>
    <w:rsid w:val="009B1D87"/>
    <w:rsid w:val="009C438C"/>
    <w:rsid w:val="009C6CAE"/>
    <w:rsid w:val="009D0DDA"/>
    <w:rsid w:val="00A02728"/>
    <w:rsid w:val="00A138AA"/>
    <w:rsid w:val="00A14DA0"/>
    <w:rsid w:val="00A43B8E"/>
    <w:rsid w:val="00A44FA9"/>
    <w:rsid w:val="00A45D42"/>
    <w:rsid w:val="00A46DA6"/>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B7AF0"/>
    <w:rsid w:val="00BB7D85"/>
    <w:rsid w:val="00BC4D17"/>
    <w:rsid w:val="00BC7F1B"/>
    <w:rsid w:val="00BE2584"/>
    <w:rsid w:val="00BE6B9B"/>
    <w:rsid w:val="00C10069"/>
    <w:rsid w:val="00C21568"/>
    <w:rsid w:val="00C34D09"/>
    <w:rsid w:val="00C35AEF"/>
    <w:rsid w:val="00C414B0"/>
    <w:rsid w:val="00C421F0"/>
    <w:rsid w:val="00C44B74"/>
    <w:rsid w:val="00C50AE7"/>
    <w:rsid w:val="00C6009E"/>
    <w:rsid w:val="00C70D4E"/>
    <w:rsid w:val="00C72708"/>
    <w:rsid w:val="00C76757"/>
    <w:rsid w:val="00C85B9B"/>
    <w:rsid w:val="00CA1BF5"/>
    <w:rsid w:val="00CB67B6"/>
    <w:rsid w:val="00CC3464"/>
    <w:rsid w:val="00CC557E"/>
    <w:rsid w:val="00CC63E6"/>
    <w:rsid w:val="00CC6DCB"/>
    <w:rsid w:val="00CD008D"/>
    <w:rsid w:val="00CD40C2"/>
    <w:rsid w:val="00CD461B"/>
    <w:rsid w:val="00CF773D"/>
    <w:rsid w:val="00D1657F"/>
    <w:rsid w:val="00D80D6E"/>
    <w:rsid w:val="00D833FD"/>
    <w:rsid w:val="00D95816"/>
    <w:rsid w:val="00DA09FA"/>
    <w:rsid w:val="00DA5FA8"/>
    <w:rsid w:val="00DD00CB"/>
    <w:rsid w:val="00DE6434"/>
    <w:rsid w:val="00E00580"/>
    <w:rsid w:val="00E26639"/>
    <w:rsid w:val="00E30C3C"/>
    <w:rsid w:val="00E42568"/>
    <w:rsid w:val="00E469CC"/>
    <w:rsid w:val="00E672A4"/>
    <w:rsid w:val="00E75FB8"/>
    <w:rsid w:val="00EA74C5"/>
    <w:rsid w:val="00EB1AD3"/>
    <w:rsid w:val="00EB4BAF"/>
    <w:rsid w:val="00EC294D"/>
    <w:rsid w:val="00ED52B6"/>
    <w:rsid w:val="00EF41E3"/>
    <w:rsid w:val="00F007E2"/>
    <w:rsid w:val="00F118EC"/>
    <w:rsid w:val="00F34E01"/>
    <w:rsid w:val="00F37A71"/>
    <w:rsid w:val="00F43CED"/>
    <w:rsid w:val="00F51904"/>
    <w:rsid w:val="00F537E9"/>
    <w:rsid w:val="00F62B48"/>
    <w:rsid w:val="00F720CF"/>
    <w:rsid w:val="00FB2CA9"/>
    <w:rsid w:val="00FB3B29"/>
    <w:rsid w:val="00FB7AE7"/>
    <w:rsid w:val="00FC7773"/>
    <w:rsid w:val="00FD0ECE"/>
    <w:rsid w:val="00FD3B67"/>
    <w:rsid w:val="00FD3E0B"/>
    <w:rsid w:val="00FE2B7D"/>
    <w:rsid w:val="00FE2C83"/>
    <w:rsid w:val="00FF2DC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4"/>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macro" w:semiHidden="0" w:unhideWhenUsed="0"/>
    <w:lsdException w:name="List Bullet" w:semiHidden="0" w:unhideWhenUsed="0"/>
    <w:lsdException w:name="List Number" w:semiHidden="0" w:unhideWhenUsed="0"/>
    <w:lsdException w:name="Title" w:semiHidden="0" w:unhideWhenUsed="0" w:qFormat="1"/>
    <w:lsdException w:name="List Continue 3" w:semiHidden="0" w:unhideWhenUsed="0"/>
    <w:lsdException w:name="List Continue 4" w:semiHidden="0" w:unhideWhenUsed="0"/>
    <w:lsdException w:name="List Continue 5" w:semiHidden="0" w:unhideWhenUsed="0"/>
    <w:lsdException w:name="Message Header" w:semiHidden="0" w:unhideWhenUsed="0"/>
    <w:lsdException w:name="Subtitle" w:semiHidden="0" w:unhideWhenUsed="0" w:qFormat="1"/>
    <w:lsdException w:name="Strong" w:semiHidden="0" w:unhideWhenUsed="0" w:qFormat="1"/>
    <w:lsdException w:name="Emphasis" w:semiHidden="0" w:unhideWhenUsed="0" w:qFormat="1"/>
    <w:lsdException w:name="Normal (Web)" w:uiPriority="99"/>
    <w:lsdException w:name="Table Grid"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50D27"/>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paragraph" w:customStyle="1" w:styleId="root-block-node">
    <w:name w:val="root-block-node"/>
    <w:basedOn w:val="Normal"/>
    <w:rsid w:val="00BE6B9B"/>
    <w:pPr>
      <w:spacing w:before="100" w:beforeAutospacing="1" w:after="100" w:afterAutospacing="1"/>
    </w:pPr>
  </w:style>
  <w:style w:type="character" w:customStyle="1" w:styleId="apple-converted-space">
    <w:name w:val="apple-converted-space"/>
    <w:basedOn w:val="DefaultParagraphFont"/>
    <w:rsid w:val="00550D27"/>
  </w:style>
  <w:style w:type="character" w:styleId="Hyperlink">
    <w:name w:val="Hyperlink"/>
    <w:basedOn w:val="DefaultParagraphFont"/>
    <w:unhideWhenUsed/>
    <w:rsid w:val="00550D27"/>
    <w:rPr>
      <w:color w:val="0000FF" w:themeColor="hyperlink"/>
      <w:u w:val="single"/>
    </w:rPr>
  </w:style>
  <w:style w:type="character" w:customStyle="1" w:styleId="UnresolvedMention">
    <w:name w:val="Unresolved Mention"/>
    <w:basedOn w:val="DefaultParagraphFont"/>
    <w:uiPriority w:val="99"/>
    <w:semiHidden/>
    <w:unhideWhenUsed/>
    <w:rsid w:val="00550D27"/>
    <w:rPr>
      <w:color w:val="605E5C"/>
      <w:shd w:val="clear" w:color="auto" w:fill="E1DFDD"/>
    </w:rPr>
  </w:style>
</w:styles>
</file>

<file path=word/webSettings.xml><?xml version="1.0" encoding="utf-8"?>
<w:webSettings xmlns:r="http://schemas.openxmlformats.org/officeDocument/2006/relationships" xmlns:w="http://schemas.openxmlformats.org/wordprocessingml/2006/main">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78798983">
      <w:bodyDiv w:val="1"/>
      <w:marLeft w:val="0"/>
      <w:marRight w:val="0"/>
      <w:marTop w:val="0"/>
      <w:marBottom w:val="0"/>
      <w:divBdr>
        <w:top w:val="none" w:sz="0" w:space="0" w:color="auto"/>
        <w:left w:val="none" w:sz="0" w:space="0" w:color="auto"/>
        <w:bottom w:val="none" w:sz="0" w:space="0" w:color="auto"/>
        <w:right w:val="none" w:sz="0" w:space="0" w:color="auto"/>
      </w:divBdr>
    </w:div>
    <w:div w:id="3174598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754133986">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39151525">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524510509">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69296524">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354179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i.org/10.1371/journal.pone.0156073"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27</TotalTime>
  <Pages>4</Pages>
  <Words>1139</Words>
  <Characters>6493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7617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USER</cp:lastModifiedBy>
  <cp:revision>4</cp:revision>
  <cp:lastPrinted>2020-09-28T20:53:00Z</cp:lastPrinted>
  <dcterms:created xsi:type="dcterms:W3CDTF">2022-05-30T12:05:00Z</dcterms:created>
  <dcterms:modified xsi:type="dcterms:W3CDTF">2022-05-30T13:01:00Z</dcterms:modified>
</cp:coreProperties>
</file>