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6AC7B" w14:textId="77777777" w:rsidR="00C0428D" w:rsidRDefault="00C0428D">
      <w:pPr>
        <w:spacing w:before="120" w:after="120"/>
      </w:pPr>
    </w:p>
    <w:p w14:paraId="25F3D2B0" w14:textId="77777777" w:rsidR="00C0428D" w:rsidRDefault="00C0428D">
      <w:pPr>
        <w:spacing w:before="120" w:after="120"/>
      </w:pPr>
    </w:p>
    <w:p w14:paraId="15E661E9" w14:textId="77777777" w:rsidR="00C0428D" w:rsidRDefault="00C0428D">
      <w:pPr>
        <w:spacing w:before="120" w:after="120"/>
      </w:pPr>
    </w:p>
    <w:p w14:paraId="4246F56C" w14:textId="77777777" w:rsidR="00C0428D" w:rsidRDefault="00C0428D">
      <w:pPr>
        <w:spacing w:before="120" w:after="120"/>
      </w:pPr>
    </w:p>
    <w:p w14:paraId="3741F88B" w14:textId="77777777" w:rsidR="00C0428D" w:rsidRDefault="00C0428D">
      <w:pPr>
        <w:spacing w:before="120" w:after="120"/>
      </w:pPr>
    </w:p>
    <w:p w14:paraId="78E8AAD5" w14:textId="77777777" w:rsidR="00C0428D" w:rsidRDefault="00000000">
      <w:pPr>
        <w:pStyle w:val="Heading2"/>
        <w:keepNext w:val="0"/>
        <w:keepLines w:val="0"/>
        <w:spacing w:before="360" w:after="180"/>
        <w:jc w:val="center"/>
      </w:pPr>
      <w:r>
        <w:rPr>
          <w:color w:val="auto"/>
        </w:rPr>
        <w:t>Coexistent Perspectives</w:t>
      </w:r>
    </w:p>
    <w:p w14:paraId="10EEB261" w14:textId="77777777" w:rsidR="00C0428D" w:rsidRDefault="00000000">
      <w:pPr>
        <w:pStyle w:val="Heading2"/>
        <w:keepNext w:val="0"/>
        <w:keepLines w:val="0"/>
        <w:spacing w:before="180" w:after="180"/>
        <w:jc w:val="center"/>
      </w:pPr>
      <w:r>
        <w:rPr>
          <w:color w:val="auto"/>
        </w:rPr>
        <w:t>ADAA7000</w:t>
      </w:r>
    </w:p>
    <w:p w14:paraId="303DF69A" w14:textId="77777777" w:rsidR="00C0428D" w:rsidRDefault="00C0428D">
      <w:pPr>
        <w:spacing w:before="120" w:after="120"/>
      </w:pPr>
    </w:p>
    <w:p w14:paraId="542A30BC" w14:textId="77777777" w:rsidR="00C0428D" w:rsidRDefault="00000000">
      <w:pPr>
        <w:pStyle w:val="Heading2"/>
        <w:keepNext w:val="0"/>
        <w:keepLines w:val="0"/>
        <w:spacing w:before="360" w:after="180"/>
        <w:jc w:val="center"/>
      </w:pPr>
      <w:r>
        <w:rPr>
          <w:color w:val="auto"/>
        </w:rPr>
        <w:t>Rebecca Burrows</w:t>
      </w:r>
    </w:p>
    <w:p w14:paraId="719C7E60" w14:textId="77777777" w:rsidR="00C0428D" w:rsidRDefault="00000000">
      <w:pPr>
        <w:pStyle w:val="Heading2"/>
        <w:keepNext w:val="0"/>
        <w:keepLines w:val="0"/>
        <w:spacing w:before="180" w:after="180"/>
        <w:jc w:val="center"/>
      </w:pPr>
      <w:r>
        <w:rPr>
          <w:color w:val="auto"/>
        </w:rPr>
        <w:t>2200741</w:t>
      </w:r>
    </w:p>
    <w:p w14:paraId="1BA9202A" w14:textId="77777777" w:rsidR="00C0428D" w:rsidRDefault="00C0428D">
      <w:pPr>
        <w:spacing w:before="120" w:after="120"/>
      </w:pPr>
    </w:p>
    <w:p w14:paraId="4243A554" w14:textId="77777777" w:rsidR="00C0428D" w:rsidRDefault="00C0428D">
      <w:pPr>
        <w:spacing w:before="120" w:after="120"/>
      </w:pPr>
    </w:p>
    <w:p w14:paraId="382A5897" w14:textId="77777777" w:rsidR="00C0428D" w:rsidRDefault="00000000">
      <w:pPr>
        <w:pStyle w:val="Heading2"/>
        <w:keepNext w:val="0"/>
        <w:keepLines w:val="0"/>
        <w:spacing w:before="360" w:after="180"/>
        <w:jc w:val="center"/>
      </w:pPr>
      <w:r>
        <w:rPr>
          <w:color w:val="auto"/>
        </w:rPr>
        <w:t>De/constructing the Human</w:t>
      </w:r>
    </w:p>
    <w:p w14:paraId="4B9560DC" w14:textId="77777777" w:rsidR="00C0428D" w:rsidRDefault="00C0428D">
      <w:pPr>
        <w:spacing w:before="120" w:after="120"/>
      </w:pPr>
    </w:p>
    <w:p w14:paraId="3CB1C71E" w14:textId="77777777" w:rsidR="00C0428D" w:rsidRDefault="00C0428D">
      <w:pPr>
        <w:spacing w:before="120" w:after="120"/>
      </w:pPr>
    </w:p>
    <w:p w14:paraId="0B3092A8" w14:textId="77777777" w:rsidR="00C0428D" w:rsidRDefault="00C0428D">
      <w:pPr>
        <w:spacing w:before="120" w:after="120"/>
      </w:pPr>
    </w:p>
    <w:p w14:paraId="6176F8D1" w14:textId="77777777" w:rsidR="00C0428D" w:rsidRPr="00BD5D71" w:rsidRDefault="00000000">
      <w:pPr>
        <w:pStyle w:val="Heading2"/>
        <w:keepNext w:val="0"/>
        <w:keepLines w:val="0"/>
        <w:spacing w:before="360" w:after="180"/>
        <w:jc w:val="center"/>
        <w:rPr>
          <w:b w:val="0"/>
          <w:bCs w:val="0"/>
        </w:rPr>
      </w:pPr>
      <w:r w:rsidRPr="00BD5D71">
        <w:rPr>
          <w:b w:val="0"/>
          <w:bCs w:val="0"/>
          <w:color w:val="auto"/>
        </w:rPr>
        <w:t>In what ways do the film and video practices of Trinh T. Minh-ha and Shirin Neshat deconstruct the human subject through feminist frameworks, and how might their reconfigurations of identity and embodiment resonate with notions of selfhood, distance, and relationality?</w:t>
      </w:r>
    </w:p>
    <w:p w14:paraId="2C345633" w14:textId="77777777" w:rsidR="00C0428D" w:rsidRDefault="00C0428D">
      <w:pPr>
        <w:spacing w:before="120" w:after="120"/>
      </w:pPr>
    </w:p>
    <w:p w14:paraId="1572E1BD" w14:textId="77777777" w:rsidR="00BD5D71" w:rsidRDefault="00BD5D71">
      <w:pPr>
        <w:spacing w:before="120" w:after="120"/>
      </w:pPr>
    </w:p>
    <w:p w14:paraId="193AC436" w14:textId="77777777" w:rsidR="00BD5D71" w:rsidRDefault="00BD5D71">
      <w:pPr>
        <w:spacing w:before="120" w:after="120"/>
      </w:pPr>
    </w:p>
    <w:p w14:paraId="6EDBA80F" w14:textId="77777777" w:rsidR="00C0428D" w:rsidRDefault="00C0428D">
      <w:pPr>
        <w:spacing w:before="120" w:after="120"/>
      </w:pPr>
    </w:p>
    <w:p w14:paraId="7BCB36DD" w14:textId="77777777" w:rsidR="00C0428D" w:rsidRDefault="00C0428D">
      <w:pPr>
        <w:spacing w:before="120" w:after="120"/>
      </w:pPr>
    </w:p>
    <w:p w14:paraId="3E04C062" w14:textId="77777777" w:rsidR="00C0428D" w:rsidRPr="00BD5D71" w:rsidRDefault="00000000">
      <w:pPr>
        <w:pStyle w:val="Heading2"/>
        <w:keepNext w:val="0"/>
        <w:keepLines w:val="0"/>
        <w:spacing w:before="360" w:after="180"/>
        <w:jc w:val="center"/>
      </w:pPr>
      <w:r w:rsidRPr="00BD5D71">
        <w:rPr>
          <w:color w:val="auto"/>
        </w:rPr>
        <w:lastRenderedPageBreak/>
        <w:t>Abstract</w:t>
      </w:r>
    </w:p>
    <w:p w14:paraId="5755526E" w14:textId="77777777" w:rsidR="00C0428D" w:rsidRPr="00BD5D71" w:rsidRDefault="00C0428D">
      <w:pPr>
        <w:spacing w:before="120" w:after="120"/>
        <w:rPr>
          <w:sz w:val="32"/>
          <w:szCs w:val="32"/>
        </w:rPr>
      </w:pPr>
    </w:p>
    <w:p w14:paraId="7F483633" w14:textId="4E856C47" w:rsidR="00C0428D" w:rsidRPr="00BD5D71" w:rsidRDefault="005556DB">
      <w:pPr>
        <w:pStyle w:val="Heading3"/>
        <w:keepNext w:val="0"/>
        <w:keepLines w:val="0"/>
        <w:spacing w:before="281" w:after="140"/>
        <w:rPr>
          <w:b w:val="0"/>
          <w:bCs w:val="0"/>
          <w:sz w:val="32"/>
          <w:szCs w:val="32"/>
        </w:rPr>
      </w:pPr>
      <w:r>
        <w:rPr>
          <w:b w:val="0"/>
          <w:bCs w:val="0"/>
          <w:color w:val="auto"/>
          <w:sz w:val="32"/>
          <w:szCs w:val="32"/>
        </w:rPr>
        <w:t xml:space="preserve">This essay explores how the film and video practices of Trinh T. Minh-ha and Shirin Neshat deconstruct the human subject through feminist frameworks, challenging dominant ideas of identity as stable, autonomous, or universal. Using feminist theory, film phenomenology, and postcolonial thought, it examines how fragmentation, distance, and embodied experience serve as key strategies in their work. Through detailed analysis of Minh-ha’s </w:t>
      </w:r>
      <w:r w:rsidRPr="00EC04A8">
        <w:rPr>
          <w:b w:val="0"/>
          <w:bCs w:val="0"/>
          <w:color w:val="auto"/>
          <w:sz w:val="32"/>
          <w:szCs w:val="32"/>
        </w:rPr>
        <w:t xml:space="preserve">Reassemblage (1982) and Neshat’s Turbulent (1998), Rapture (1999), and Women Without Men (2009), the essay shows how both artists undermine representational authority and </w:t>
      </w:r>
      <w:r>
        <w:rPr>
          <w:b w:val="0"/>
          <w:bCs w:val="0"/>
          <w:color w:val="auto"/>
          <w:sz w:val="32"/>
          <w:szCs w:val="32"/>
        </w:rPr>
        <w:t>reveal how gendered, political, and spatial conditions influence subjectivity. Minh-ha’s rejection of explanatory narration and her concept of speaking nearby articulate an ethics of distance that resists appropriation. Simultaneously, Neshat’s use of divided space, voice, and narrative disruption highlights the regulation of gendered embodiment. Incorporating insights from feminist theorists such as Judith Butler, Donna Haraway, Sara Ahmed, and Rosi Braidotti, these practices reconceptualise the human as embodied, relational, and non-sovereign. Ultimately, the essay argues that Minh-ha and Neshat employ feminist moving-image strategies to reimagine the self as contingent, situated, and ethically connected to relations of power and difference.</w:t>
      </w:r>
    </w:p>
    <w:p w14:paraId="1054467B" w14:textId="77777777" w:rsidR="00C0428D" w:rsidRPr="00BD5D71" w:rsidRDefault="00C0428D">
      <w:pPr>
        <w:spacing w:before="120" w:after="120"/>
        <w:rPr>
          <w:sz w:val="32"/>
          <w:szCs w:val="32"/>
        </w:rPr>
      </w:pPr>
    </w:p>
    <w:p w14:paraId="0C208B38" w14:textId="77777777" w:rsidR="00C0428D" w:rsidRPr="00BD5D71" w:rsidRDefault="00C0428D">
      <w:pPr>
        <w:spacing w:before="120" w:after="120"/>
        <w:rPr>
          <w:sz w:val="32"/>
          <w:szCs w:val="32"/>
        </w:rPr>
      </w:pPr>
    </w:p>
    <w:p w14:paraId="57898F1A" w14:textId="77777777" w:rsidR="00C0428D" w:rsidRPr="00BD5D71" w:rsidRDefault="00C0428D">
      <w:pPr>
        <w:spacing w:before="120" w:after="120"/>
        <w:rPr>
          <w:sz w:val="32"/>
          <w:szCs w:val="32"/>
        </w:rPr>
      </w:pPr>
    </w:p>
    <w:p w14:paraId="5343B548" w14:textId="77777777" w:rsidR="00C0428D" w:rsidRPr="00BD5D71" w:rsidRDefault="00C0428D">
      <w:pPr>
        <w:spacing w:before="120" w:after="120"/>
        <w:rPr>
          <w:sz w:val="32"/>
          <w:szCs w:val="32"/>
        </w:rPr>
      </w:pPr>
    </w:p>
    <w:p w14:paraId="678E6704" w14:textId="77777777" w:rsidR="00C0428D" w:rsidRPr="00BD5D71" w:rsidRDefault="00C0428D">
      <w:pPr>
        <w:spacing w:before="120" w:after="120"/>
        <w:rPr>
          <w:sz w:val="32"/>
          <w:szCs w:val="32"/>
        </w:rPr>
      </w:pPr>
    </w:p>
    <w:p w14:paraId="7A0A5A2D" w14:textId="77777777" w:rsidR="00BD5D71" w:rsidRPr="00BD5D71" w:rsidRDefault="00BD5D71">
      <w:pPr>
        <w:spacing w:before="120" w:after="120"/>
        <w:rPr>
          <w:sz w:val="32"/>
          <w:szCs w:val="32"/>
        </w:rPr>
      </w:pPr>
    </w:p>
    <w:p w14:paraId="3BE04723" w14:textId="77777777" w:rsidR="00C0428D" w:rsidRDefault="00C0428D">
      <w:pPr>
        <w:spacing w:before="120" w:after="120"/>
        <w:rPr>
          <w:sz w:val="32"/>
          <w:szCs w:val="32"/>
        </w:rPr>
      </w:pPr>
    </w:p>
    <w:p w14:paraId="2A0A925E" w14:textId="77777777" w:rsidR="00BD5D71" w:rsidRPr="00BD5D71" w:rsidRDefault="00BD5D71">
      <w:pPr>
        <w:spacing w:before="120" w:after="120"/>
        <w:rPr>
          <w:sz w:val="32"/>
          <w:szCs w:val="32"/>
        </w:rPr>
      </w:pPr>
    </w:p>
    <w:p w14:paraId="2615E20F" w14:textId="77777777" w:rsidR="00C0428D" w:rsidRPr="00BD5D71" w:rsidRDefault="00000000">
      <w:pPr>
        <w:pStyle w:val="Heading2"/>
        <w:keepNext w:val="0"/>
        <w:keepLines w:val="0"/>
        <w:spacing w:before="360" w:after="180"/>
        <w:jc w:val="center"/>
      </w:pPr>
      <w:r w:rsidRPr="00BD5D71">
        <w:rPr>
          <w:color w:val="auto"/>
        </w:rPr>
        <w:lastRenderedPageBreak/>
        <w:t>Introduction</w:t>
      </w:r>
    </w:p>
    <w:p w14:paraId="308E12D8" w14:textId="77777777" w:rsidR="00C0428D" w:rsidRPr="00BD5D71" w:rsidRDefault="00C0428D">
      <w:pPr>
        <w:spacing w:before="120" w:after="120"/>
        <w:rPr>
          <w:sz w:val="32"/>
          <w:szCs w:val="32"/>
        </w:rPr>
      </w:pPr>
    </w:p>
    <w:p w14:paraId="5575C78D" w14:textId="274188FA" w:rsidR="00C0428D" w:rsidRPr="00BD5D71" w:rsidRDefault="00CB1B79">
      <w:pPr>
        <w:pStyle w:val="Heading3"/>
        <w:keepNext w:val="0"/>
        <w:keepLines w:val="0"/>
        <w:spacing w:before="281" w:after="140"/>
        <w:rPr>
          <w:b w:val="0"/>
          <w:bCs w:val="0"/>
          <w:sz w:val="32"/>
          <w:szCs w:val="32"/>
        </w:rPr>
      </w:pPr>
      <w:r>
        <w:rPr>
          <w:b w:val="0"/>
          <w:bCs w:val="0"/>
          <w:color w:val="auto"/>
          <w:sz w:val="32"/>
          <w:szCs w:val="32"/>
        </w:rPr>
        <w:t>Trinh T. Minh-Ha is a Vietnamese filmmaker, literary theorist, and author who challenges dominant representations of women from a pluricultural perspective (Aware, 2024). Her personal experience of immigration informs her practices, which are particularly embedded in her field research across various African countries, where she directed her notable work, Reassemblage (Minh-ha, 1989).</w:t>
      </w:r>
    </w:p>
    <w:p w14:paraId="22755952" w14:textId="1DC6EAC1" w:rsidR="00C0428D" w:rsidRPr="00BD5D71" w:rsidRDefault="00CB1B79">
      <w:pPr>
        <w:pStyle w:val="Heading3"/>
        <w:keepNext w:val="0"/>
        <w:keepLines w:val="0"/>
        <w:spacing w:before="140" w:after="140"/>
        <w:rPr>
          <w:b w:val="0"/>
          <w:bCs w:val="0"/>
          <w:sz w:val="32"/>
          <w:szCs w:val="32"/>
        </w:rPr>
      </w:pPr>
      <w:r>
        <w:rPr>
          <w:b w:val="0"/>
          <w:bCs w:val="0"/>
          <w:color w:val="auto"/>
          <w:sz w:val="32"/>
          <w:szCs w:val="32"/>
        </w:rPr>
        <w:t>Shirin Neshat is an Iranian photographer and filmmaker whose work explores the role of women in both Iranian and Western societies (NMWA, 2015). Her experience of displacement following the Islamic Revolution significantly influences her practice, shaping her engagement with themes of exile, cultural tension, and the negotiation of identity within male-dominated social and political structures. These themes first appear in her early photographic series, Women of Allah (Neshat, 1993–97), which initiates her ongoing exploration of how women’s bodies become symbols of visibility, control, and resistance.</w:t>
      </w:r>
    </w:p>
    <w:p w14:paraId="0AF06440" w14:textId="10899647" w:rsidR="00C0428D" w:rsidRDefault="00CB1B79">
      <w:pPr>
        <w:pStyle w:val="Heading3"/>
        <w:keepNext w:val="0"/>
        <w:keepLines w:val="0"/>
        <w:spacing w:before="140" w:after="140"/>
        <w:rPr>
          <w:b w:val="0"/>
          <w:bCs w:val="0"/>
          <w:color w:val="auto"/>
          <w:sz w:val="32"/>
          <w:szCs w:val="32"/>
        </w:rPr>
      </w:pPr>
      <w:r>
        <w:rPr>
          <w:b w:val="0"/>
          <w:bCs w:val="0"/>
          <w:color w:val="auto"/>
          <w:sz w:val="32"/>
          <w:szCs w:val="32"/>
        </w:rPr>
        <w:t xml:space="preserve">Despite working in different cultural contexts, both artists deconstruct the human subject through feminist frameworks, demonstrating how identity, embodiment, and relationality are fluid, contingent, and shaped by intersecting forces of power, history, and culture (Hall, 1996; Minh-ha, 1989). Minh-ha’s work challenges traditional representations of the body and identity through a decolonial rejection of fixed meanings and dominant voices, questioning how women’s bodies are depicted within patriarchal and colonial narratives. Similarly, Neshat’s exploration of gendered embodiment critiques how women’s identities are shaped through both state control and societal norms (Butler, 1990). In their reconfigurations of selfhood and relationality, both artists </w:t>
      </w:r>
      <w:proofErr w:type="spellStart"/>
      <w:r>
        <w:rPr>
          <w:b w:val="0"/>
          <w:bCs w:val="0"/>
          <w:color w:val="auto"/>
          <w:sz w:val="32"/>
          <w:szCs w:val="32"/>
        </w:rPr>
        <w:t>emphasise</w:t>
      </w:r>
      <w:proofErr w:type="spellEnd"/>
      <w:r>
        <w:rPr>
          <w:b w:val="0"/>
          <w:bCs w:val="0"/>
          <w:color w:val="auto"/>
          <w:sz w:val="32"/>
          <w:szCs w:val="32"/>
        </w:rPr>
        <w:t xml:space="preserve"> the uncertainty of identity as a continuous negotiation between cultural memory, political structures, and lived experience.</w:t>
      </w:r>
    </w:p>
    <w:p w14:paraId="2E8F92FC" w14:textId="77777777" w:rsidR="00BD5D71" w:rsidRDefault="00BD5D71" w:rsidP="00BD5D71"/>
    <w:p w14:paraId="78CC6F9A" w14:textId="77777777" w:rsidR="00BD5D71" w:rsidRPr="00BD5D71" w:rsidRDefault="00BD5D71" w:rsidP="00BD5D71"/>
    <w:p w14:paraId="4342AD56" w14:textId="77777777" w:rsidR="00C0428D" w:rsidRPr="00BD5D71" w:rsidRDefault="00000000">
      <w:pPr>
        <w:pStyle w:val="Heading2"/>
        <w:keepNext w:val="0"/>
        <w:keepLines w:val="0"/>
        <w:spacing w:before="180" w:after="180"/>
        <w:jc w:val="center"/>
      </w:pPr>
      <w:r w:rsidRPr="00BD5D71">
        <w:rPr>
          <w:color w:val="auto"/>
        </w:rPr>
        <w:lastRenderedPageBreak/>
        <w:t>Theoretical Framework</w:t>
      </w:r>
    </w:p>
    <w:p w14:paraId="70009E05" w14:textId="77777777" w:rsidR="00C0428D" w:rsidRPr="00BD5D71" w:rsidRDefault="00C0428D">
      <w:pPr>
        <w:spacing w:before="120" w:after="120"/>
        <w:rPr>
          <w:sz w:val="32"/>
          <w:szCs w:val="32"/>
        </w:rPr>
      </w:pPr>
    </w:p>
    <w:p w14:paraId="62BB2797" w14:textId="3065A3DE" w:rsidR="00C0428D" w:rsidRPr="00BD5D71" w:rsidRDefault="00CB1B79">
      <w:pPr>
        <w:pStyle w:val="Heading3"/>
        <w:keepNext w:val="0"/>
        <w:keepLines w:val="0"/>
        <w:spacing w:before="281" w:after="140"/>
        <w:rPr>
          <w:b w:val="0"/>
          <w:bCs w:val="0"/>
          <w:sz w:val="32"/>
          <w:szCs w:val="32"/>
        </w:rPr>
      </w:pPr>
      <w:r>
        <w:rPr>
          <w:b w:val="0"/>
          <w:bCs w:val="0"/>
          <w:color w:val="auto"/>
          <w:sz w:val="32"/>
          <w:szCs w:val="32"/>
        </w:rPr>
        <w:t xml:space="preserve">Feminist theory challenges the idea that the human is a stable, neutral, or universal category. Instead, it argues that dominant ideas of the human have historically been shaped by power, often privileging masculine, Western, and rational forms of subjectivity while </w:t>
      </w:r>
      <w:proofErr w:type="spellStart"/>
      <w:r>
        <w:rPr>
          <w:b w:val="0"/>
          <w:bCs w:val="0"/>
          <w:color w:val="auto"/>
          <w:sz w:val="32"/>
          <w:szCs w:val="32"/>
        </w:rPr>
        <w:t>marginalising</w:t>
      </w:r>
      <w:proofErr w:type="spellEnd"/>
      <w:r>
        <w:rPr>
          <w:b w:val="0"/>
          <w:bCs w:val="0"/>
          <w:color w:val="auto"/>
          <w:sz w:val="32"/>
          <w:szCs w:val="32"/>
        </w:rPr>
        <w:t xml:space="preserve"> others (Butler, 1990; Hall, 1996). This critique is typically aimed at liberal humanist models of subjectivity, which see the human as an autonomous and rational individual capable of self-determination and personal freedom (Fukuyama, 2002). Feminist theorists contend that such models are rooted in masculine norms and overlook how women’s identities are shaped by embodiment, dependency, and structural inequality (Weedon, 1997). From this perspective, identity is not fixed or natural but is created through social norms, cultural representations, and lived bodily experience.</w:t>
      </w:r>
    </w:p>
    <w:p w14:paraId="40EABCC6" w14:textId="48FE4C67" w:rsidR="00C0428D" w:rsidRPr="00BD5D71" w:rsidRDefault="00CB1B79">
      <w:pPr>
        <w:pStyle w:val="Heading3"/>
        <w:keepNext w:val="0"/>
        <w:keepLines w:val="0"/>
        <w:spacing w:before="140" w:after="140"/>
        <w:rPr>
          <w:b w:val="0"/>
          <w:bCs w:val="0"/>
          <w:sz w:val="32"/>
          <w:szCs w:val="32"/>
        </w:rPr>
      </w:pPr>
      <w:r>
        <w:rPr>
          <w:b w:val="0"/>
          <w:bCs w:val="0"/>
          <w:color w:val="auto"/>
          <w:sz w:val="32"/>
          <w:szCs w:val="32"/>
        </w:rPr>
        <w:t xml:space="preserve">Thinkers like Judith Butler and Donna Haraway have played a key role in demonstrating how the human subject is constructed through gendered practices and located ways of knowing, rather than existing as an autonomous or self-contained individual (Butler, 2004; Haraway, 1988). This view </w:t>
      </w:r>
      <w:proofErr w:type="gramStart"/>
      <w:r>
        <w:rPr>
          <w:b w:val="0"/>
          <w:bCs w:val="0"/>
          <w:color w:val="auto"/>
          <w:sz w:val="32"/>
          <w:szCs w:val="32"/>
        </w:rPr>
        <w:t>of the human</w:t>
      </w:r>
      <w:proofErr w:type="gramEnd"/>
      <w:r>
        <w:rPr>
          <w:b w:val="0"/>
          <w:bCs w:val="0"/>
          <w:color w:val="auto"/>
          <w:sz w:val="32"/>
          <w:szCs w:val="32"/>
        </w:rPr>
        <w:t xml:space="preserve"> as embodied, partial, and relational offers a vital framework for analysing the film and video works of Trinh T. Minh-ha and Shirin Neshat, whose creations challenge conventional representations of identity through fragmentation, distance, and disrupted forms of voice and visibility (Minh-ha, 1989; Marks, 2000).</w:t>
      </w:r>
    </w:p>
    <w:p w14:paraId="0858C782" w14:textId="77777777" w:rsidR="00C0428D" w:rsidRPr="00BD5D71" w:rsidRDefault="00C0428D">
      <w:pPr>
        <w:spacing w:before="120" w:after="120"/>
        <w:rPr>
          <w:sz w:val="32"/>
          <w:szCs w:val="32"/>
        </w:rPr>
      </w:pPr>
    </w:p>
    <w:p w14:paraId="50EA75F5" w14:textId="77777777" w:rsidR="00C0428D" w:rsidRPr="00BD5D71" w:rsidRDefault="00C0428D">
      <w:pPr>
        <w:spacing w:before="120" w:after="120"/>
        <w:rPr>
          <w:sz w:val="32"/>
          <w:szCs w:val="32"/>
        </w:rPr>
      </w:pPr>
    </w:p>
    <w:p w14:paraId="4DBC0687" w14:textId="77777777" w:rsidR="00C0428D" w:rsidRPr="00BD5D71" w:rsidRDefault="00C0428D">
      <w:pPr>
        <w:spacing w:before="120" w:after="120"/>
        <w:rPr>
          <w:sz w:val="32"/>
          <w:szCs w:val="32"/>
        </w:rPr>
      </w:pPr>
    </w:p>
    <w:p w14:paraId="415350AB" w14:textId="77777777" w:rsidR="00C0428D" w:rsidRPr="00BD5D71" w:rsidRDefault="00C0428D">
      <w:pPr>
        <w:spacing w:before="120" w:after="120"/>
        <w:rPr>
          <w:sz w:val="32"/>
          <w:szCs w:val="32"/>
        </w:rPr>
      </w:pPr>
    </w:p>
    <w:p w14:paraId="344A91FA" w14:textId="77777777" w:rsidR="00C0428D" w:rsidRPr="00BD5D71" w:rsidRDefault="00C0428D">
      <w:pPr>
        <w:spacing w:before="120" w:after="120"/>
        <w:rPr>
          <w:sz w:val="32"/>
          <w:szCs w:val="32"/>
        </w:rPr>
      </w:pPr>
    </w:p>
    <w:p w14:paraId="2BCF0634" w14:textId="77777777" w:rsidR="00C0428D" w:rsidRPr="00BD5D71" w:rsidRDefault="00C0428D">
      <w:pPr>
        <w:spacing w:before="120" w:after="120"/>
        <w:rPr>
          <w:sz w:val="32"/>
          <w:szCs w:val="32"/>
        </w:rPr>
      </w:pPr>
    </w:p>
    <w:p w14:paraId="402DBF53" w14:textId="4FC60005" w:rsidR="00C0428D" w:rsidRPr="00BD5D71" w:rsidRDefault="00CB1B79">
      <w:pPr>
        <w:pStyle w:val="Heading3"/>
        <w:keepNext w:val="0"/>
        <w:keepLines w:val="0"/>
        <w:spacing w:before="281" w:after="140"/>
        <w:rPr>
          <w:b w:val="0"/>
          <w:bCs w:val="0"/>
          <w:sz w:val="32"/>
          <w:szCs w:val="32"/>
        </w:rPr>
      </w:pPr>
      <w:r>
        <w:rPr>
          <w:b w:val="0"/>
          <w:bCs w:val="0"/>
          <w:color w:val="auto"/>
          <w:sz w:val="32"/>
          <w:szCs w:val="32"/>
        </w:rPr>
        <w:lastRenderedPageBreak/>
        <w:t xml:space="preserve">Building on feminist critiques of the autonomous human subject, theories of embodiment and sensory experience shift attention from abstract identity to the ways subjectivity is lived, perceived, and formed through the body in relation to others and space. Sara Ahmed’s feminist work </w:t>
      </w:r>
      <w:proofErr w:type="spellStart"/>
      <w:r>
        <w:rPr>
          <w:b w:val="0"/>
          <w:bCs w:val="0"/>
          <w:color w:val="auto"/>
          <w:sz w:val="32"/>
          <w:szCs w:val="32"/>
        </w:rPr>
        <w:t>emphasises</w:t>
      </w:r>
      <w:proofErr w:type="spellEnd"/>
      <w:r>
        <w:rPr>
          <w:b w:val="0"/>
          <w:bCs w:val="0"/>
          <w:color w:val="auto"/>
          <w:sz w:val="32"/>
          <w:szCs w:val="32"/>
        </w:rPr>
        <w:t xml:space="preserve"> embodiment as a matter of orientation, where bodies are directed towards </w:t>
      </w:r>
      <w:proofErr w:type="gramStart"/>
      <w:r>
        <w:rPr>
          <w:b w:val="0"/>
          <w:bCs w:val="0"/>
          <w:color w:val="auto"/>
          <w:sz w:val="32"/>
          <w:szCs w:val="32"/>
        </w:rPr>
        <w:t>particular objects</w:t>
      </w:r>
      <w:proofErr w:type="gramEnd"/>
      <w:r>
        <w:rPr>
          <w:b w:val="0"/>
          <w:bCs w:val="0"/>
          <w:color w:val="auto"/>
          <w:sz w:val="32"/>
          <w:szCs w:val="32"/>
        </w:rPr>
        <w:t xml:space="preserve">, norms, and social arrangements, shaping what feels reachable or distant (Ahmed, 2004; Ahmed, 2006). Ahmed frames feminism not as an </w:t>
      </w:r>
      <w:proofErr w:type="spellStart"/>
      <w:r>
        <w:rPr>
          <w:b w:val="0"/>
          <w:bCs w:val="0"/>
          <w:color w:val="auto"/>
          <w:sz w:val="32"/>
          <w:szCs w:val="32"/>
        </w:rPr>
        <w:t>idealised</w:t>
      </w:r>
      <w:proofErr w:type="spellEnd"/>
      <w:r>
        <w:rPr>
          <w:b w:val="0"/>
          <w:bCs w:val="0"/>
          <w:color w:val="auto"/>
          <w:sz w:val="32"/>
          <w:szCs w:val="32"/>
        </w:rPr>
        <w:t xml:space="preserve"> concept but as an ongoing, imperfect practice of attending to how power influences everyday bodily experience, especially in relation to race, gender, and postcolonial histories (Ahmed, 2004; Ahmed, 2017). Her focus on how bodies are orientated within inherited social and cultural worlds highlights how norms about inclusion and visibility are unevenly distributed, shaping relational experiences and access to space (Ahmed, 2006). </w:t>
      </w:r>
    </w:p>
    <w:p w14:paraId="3611A31A" w14:textId="644E847E" w:rsidR="00C0428D" w:rsidRPr="00BD5D71" w:rsidRDefault="00CB1B79">
      <w:pPr>
        <w:pStyle w:val="Heading3"/>
        <w:keepNext w:val="0"/>
        <w:keepLines w:val="0"/>
        <w:spacing w:before="140" w:after="140"/>
        <w:rPr>
          <w:b w:val="0"/>
          <w:bCs w:val="0"/>
          <w:sz w:val="32"/>
          <w:szCs w:val="32"/>
        </w:rPr>
      </w:pPr>
      <w:r>
        <w:rPr>
          <w:b w:val="0"/>
          <w:bCs w:val="0"/>
          <w:color w:val="auto"/>
          <w:sz w:val="32"/>
          <w:szCs w:val="32"/>
        </w:rPr>
        <w:t xml:space="preserve">While Ahmed’s work highlights how bodies are positioned within social and spatial relations, Donna Haraway’s feminist epistemology further challenges universal notions of the human by asserting that all knowledge is situated, partial, and embodied. Her concept of ‘situated knowledge’ questions the assumption that knowledge can be objective or universal, arguing that all understanding originates from specific, embodied positions. She critiques what she calls the ‘god trick’ of viewing everything from nowhere, suggesting that claims to neutrality often obscure relations of power and authority (Haraway, 1988). In visual culture, Haraway’s framework is important, as it challenges representational practices that claim mastery or transparency, providing a conceptual foundation for feminist film practices that resist </w:t>
      </w:r>
      <w:proofErr w:type="spellStart"/>
      <w:r>
        <w:rPr>
          <w:b w:val="0"/>
          <w:bCs w:val="0"/>
          <w:color w:val="auto"/>
          <w:sz w:val="32"/>
          <w:szCs w:val="32"/>
        </w:rPr>
        <w:t>totalising</w:t>
      </w:r>
      <w:proofErr w:type="spellEnd"/>
      <w:r>
        <w:rPr>
          <w:b w:val="0"/>
          <w:bCs w:val="0"/>
          <w:color w:val="auto"/>
          <w:sz w:val="32"/>
          <w:szCs w:val="32"/>
        </w:rPr>
        <w:t xml:space="preserve"> visions and dominant voices.</w:t>
      </w:r>
    </w:p>
    <w:p w14:paraId="5DAAEF04" w14:textId="77777777" w:rsidR="00C0428D" w:rsidRPr="00BD5D71" w:rsidRDefault="00C0428D">
      <w:pPr>
        <w:spacing w:before="120" w:after="120"/>
        <w:rPr>
          <w:sz w:val="32"/>
          <w:szCs w:val="32"/>
        </w:rPr>
      </w:pPr>
    </w:p>
    <w:p w14:paraId="01A04CBD" w14:textId="77777777" w:rsidR="00C0428D" w:rsidRDefault="00C0428D">
      <w:pPr>
        <w:spacing w:before="120" w:after="120"/>
        <w:rPr>
          <w:sz w:val="32"/>
          <w:szCs w:val="32"/>
        </w:rPr>
      </w:pPr>
    </w:p>
    <w:p w14:paraId="69E6AB30" w14:textId="77777777" w:rsidR="00BD5D71" w:rsidRPr="00BD5D71" w:rsidRDefault="00BD5D71">
      <w:pPr>
        <w:spacing w:before="120" w:after="120"/>
        <w:rPr>
          <w:sz w:val="32"/>
          <w:szCs w:val="32"/>
        </w:rPr>
      </w:pPr>
    </w:p>
    <w:p w14:paraId="7DACB1CB" w14:textId="77777777" w:rsidR="00C0428D" w:rsidRPr="00BD5D71" w:rsidRDefault="00C0428D">
      <w:pPr>
        <w:spacing w:before="120" w:after="120"/>
        <w:rPr>
          <w:sz w:val="32"/>
          <w:szCs w:val="32"/>
        </w:rPr>
      </w:pPr>
    </w:p>
    <w:p w14:paraId="652DAF5B" w14:textId="64A84607" w:rsidR="00C0428D" w:rsidRPr="00BD5D71" w:rsidRDefault="00CB1B79" w:rsidP="00BD5D71">
      <w:pPr>
        <w:pStyle w:val="Heading3"/>
        <w:keepNext w:val="0"/>
        <w:keepLines w:val="0"/>
        <w:spacing w:before="281" w:after="140"/>
        <w:ind w:firstLine="720"/>
        <w:rPr>
          <w:b w:val="0"/>
          <w:bCs w:val="0"/>
          <w:sz w:val="32"/>
          <w:szCs w:val="32"/>
        </w:rPr>
      </w:pPr>
      <w:r>
        <w:rPr>
          <w:b w:val="0"/>
          <w:bCs w:val="0"/>
          <w:color w:val="auto"/>
          <w:sz w:val="32"/>
          <w:szCs w:val="32"/>
        </w:rPr>
        <w:lastRenderedPageBreak/>
        <w:t xml:space="preserve">Building on Haraway’s critique of universal knowledge, theories of film phenomenology and sensory perception examine how embodiment and distance influence the viewer’s relational encounter with the moving image. Vivian Sobchack’s phenomenological approach to film argues that cinematic experience is rooted in embodied spectatorship, </w:t>
      </w:r>
      <w:r w:rsidR="00EC04A8">
        <w:rPr>
          <w:b w:val="0"/>
          <w:bCs w:val="0"/>
          <w:color w:val="auto"/>
          <w:sz w:val="32"/>
          <w:szCs w:val="32"/>
        </w:rPr>
        <w:t>in which meaning arises from the viewer’s sensory and perceptual engagement with the moving image rather than from</w:t>
      </w:r>
      <w:r>
        <w:rPr>
          <w:b w:val="0"/>
          <w:bCs w:val="0"/>
          <w:color w:val="auto"/>
          <w:sz w:val="32"/>
          <w:szCs w:val="32"/>
        </w:rPr>
        <w:t xml:space="preserve"> detached observation alone (</w:t>
      </w:r>
      <w:proofErr w:type="spellStart"/>
      <w:r>
        <w:rPr>
          <w:b w:val="0"/>
          <w:bCs w:val="0"/>
          <w:color w:val="auto"/>
          <w:sz w:val="32"/>
          <w:szCs w:val="32"/>
        </w:rPr>
        <w:t>Sobchack</w:t>
      </w:r>
      <w:proofErr w:type="spellEnd"/>
      <w:r>
        <w:rPr>
          <w:b w:val="0"/>
          <w:bCs w:val="0"/>
          <w:color w:val="auto"/>
          <w:sz w:val="32"/>
          <w:szCs w:val="32"/>
        </w:rPr>
        <w:t>, 2004). From this perspective, the relationship between viewer and image is inherently relational, shaped by bodily awareness, affect, and temporal experience.</w:t>
      </w:r>
    </w:p>
    <w:p w14:paraId="24AD301E" w14:textId="23F429FB" w:rsidR="00C0428D" w:rsidRPr="00BD5D71" w:rsidRDefault="00CB1B79">
      <w:pPr>
        <w:pStyle w:val="Heading3"/>
        <w:keepNext w:val="0"/>
        <w:keepLines w:val="0"/>
        <w:spacing w:before="140" w:after="140"/>
        <w:rPr>
          <w:b w:val="0"/>
          <w:bCs w:val="0"/>
          <w:sz w:val="32"/>
          <w:szCs w:val="32"/>
        </w:rPr>
      </w:pPr>
      <w:r>
        <w:rPr>
          <w:b w:val="0"/>
          <w:bCs w:val="0"/>
          <w:color w:val="auto"/>
          <w:sz w:val="32"/>
          <w:szCs w:val="32"/>
        </w:rPr>
        <w:t>Laura Marks challenges dominant visual regimes through her concept of ‘haptic visuality’, describing modes of viewing that privilege touch, texture, and closeness over optical mastery (Marks, 2000). Haptic images invite a form of engagement that is intimate yet incomplete, encouraging viewers to experience distance not as a lack of knowledge, but as an ethical relationship that resists total understanding. Collectively, these approaches reframe distance as a condition of relationality rather than separation, offering a framework for understanding how feminist film practices deconstruct the human subject through partial presence, sensory disruption, and embodied modes of seeing.</w:t>
      </w:r>
    </w:p>
    <w:p w14:paraId="231BC49E" w14:textId="7382D265" w:rsidR="00C0428D" w:rsidRPr="00BD5D71" w:rsidRDefault="00CB1B79">
      <w:pPr>
        <w:pStyle w:val="Heading3"/>
        <w:keepNext w:val="0"/>
        <w:keepLines w:val="0"/>
        <w:spacing w:before="140" w:after="140"/>
        <w:rPr>
          <w:b w:val="0"/>
          <w:bCs w:val="0"/>
          <w:sz w:val="32"/>
          <w:szCs w:val="32"/>
        </w:rPr>
      </w:pPr>
      <w:r>
        <w:rPr>
          <w:b w:val="0"/>
          <w:bCs w:val="0"/>
          <w:color w:val="auto"/>
          <w:sz w:val="32"/>
          <w:szCs w:val="32"/>
        </w:rPr>
        <w:t>Together, these feminist frameworks provide a conceptual basis for analysing how Minh-ha and Neshat deconstruct the human subject through fragmentation, distance, and embodied relationality in their film and video practices.</w:t>
      </w:r>
    </w:p>
    <w:p w14:paraId="7B52B371" w14:textId="77777777" w:rsidR="00C0428D" w:rsidRPr="00BD5D71" w:rsidRDefault="00C0428D">
      <w:pPr>
        <w:spacing w:before="120" w:after="120"/>
        <w:rPr>
          <w:sz w:val="32"/>
          <w:szCs w:val="32"/>
        </w:rPr>
      </w:pPr>
    </w:p>
    <w:p w14:paraId="2EBAF249" w14:textId="77777777" w:rsidR="00C0428D" w:rsidRDefault="00C0428D">
      <w:pPr>
        <w:spacing w:before="120" w:after="120"/>
        <w:rPr>
          <w:sz w:val="32"/>
          <w:szCs w:val="32"/>
        </w:rPr>
      </w:pPr>
    </w:p>
    <w:p w14:paraId="74877E81" w14:textId="77777777" w:rsidR="00BD5D71" w:rsidRDefault="00BD5D71">
      <w:pPr>
        <w:spacing w:before="120" w:after="120"/>
        <w:rPr>
          <w:sz w:val="32"/>
          <w:szCs w:val="32"/>
        </w:rPr>
      </w:pPr>
    </w:p>
    <w:p w14:paraId="468CFE45" w14:textId="77777777" w:rsidR="00BD5D71" w:rsidRDefault="00BD5D71">
      <w:pPr>
        <w:spacing w:before="120" w:after="120"/>
        <w:rPr>
          <w:sz w:val="32"/>
          <w:szCs w:val="32"/>
        </w:rPr>
      </w:pPr>
    </w:p>
    <w:p w14:paraId="63908175" w14:textId="77777777" w:rsidR="00BD5D71" w:rsidRPr="00BD5D71" w:rsidRDefault="00BD5D71">
      <w:pPr>
        <w:spacing w:before="120" w:after="120"/>
        <w:rPr>
          <w:sz w:val="32"/>
          <w:szCs w:val="32"/>
        </w:rPr>
      </w:pPr>
    </w:p>
    <w:p w14:paraId="54ED944A" w14:textId="77777777" w:rsidR="00C0428D" w:rsidRPr="00BD5D71" w:rsidRDefault="00C0428D">
      <w:pPr>
        <w:spacing w:before="120" w:after="120"/>
        <w:rPr>
          <w:sz w:val="32"/>
          <w:szCs w:val="32"/>
        </w:rPr>
      </w:pPr>
    </w:p>
    <w:p w14:paraId="395EB672" w14:textId="77777777" w:rsidR="00C0428D" w:rsidRPr="00BD5D71" w:rsidRDefault="00C0428D">
      <w:pPr>
        <w:spacing w:before="120" w:after="120"/>
        <w:rPr>
          <w:sz w:val="32"/>
          <w:szCs w:val="32"/>
        </w:rPr>
      </w:pPr>
    </w:p>
    <w:p w14:paraId="018A0BE9" w14:textId="77777777" w:rsidR="00C0428D" w:rsidRPr="00BD5D71" w:rsidRDefault="00000000">
      <w:pPr>
        <w:pStyle w:val="Heading2"/>
        <w:keepNext w:val="0"/>
        <w:keepLines w:val="0"/>
        <w:spacing w:before="360" w:after="180"/>
        <w:jc w:val="center"/>
      </w:pPr>
      <w:r w:rsidRPr="00BD5D71">
        <w:rPr>
          <w:color w:val="auto"/>
        </w:rPr>
        <w:lastRenderedPageBreak/>
        <w:t>Trinh T. Minh-Ha</w:t>
      </w:r>
    </w:p>
    <w:p w14:paraId="27F78A9D" w14:textId="77777777" w:rsidR="00C0428D" w:rsidRPr="00BD5D71" w:rsidRDefault="00C0428D">
      <w:pPr>
        <w:spacing w:before="120" w:after="120"/>
        <w:rPr>
          <w:sz w:val="32"/>
          <w:szCs w:val="32"/>
        </w:rPr>
      </w:pPr>
    </w:p>
    <w:p w14:paraId="5E8D7FE0" w14:textId="34798063" w:rsidR="00C0428D" w:rsidRPr="00BD5D71" w:rsidRDefault="00CB1B79">
      <w:pPr>
        <w:pStyle w:val="Heading3"/>
        <w:keepNext w:val="0"/>
        <w:keepLines w:val="0"/>
        <w:spacing w:before="281" w:after="140"/>
        <w:rPr>
          <w:b w:val="0"/>
          <w:bCs w:val="0"/>
          <w:sz w:val="32"/>
          <w:szCs w:val="32"/>
        </w:rPr>
      </w:pPr>
      <w:r>
        <w:rPr>
          <w:b w:val="0"/>
          <w:bCs w:val="0"/>
          <w:color w:val="auto"/>
          <w:sz w:val="32"/>
          <w:szCs w:val="32"/>
        </w:rPr>
        <w:t xml:space="preserve">Minh Ha introduces the concept of ‘the boundary event’ in her published work, *Elsewhere, Within Here*, as a way of understanding identity as transitional, unstable, and formed in relation to shifting cultural and political contexts (Minh Ha, 2011). Rather than conceiving boundaries as fixed divisions, Minh-ha </w:t>
      </w:r>
      <w:proofErr w:type="spellStart"/>
      <w:r>
        <w:rPr>
          <w:b w:val="0"/>
          <w:bCs w:val="0"/>
          <w:color w:val="auto"/>
          <w:sz w:val="32"/>
          <w:szCs w:val="32"/>
        </w:rPr>
        <w:t>emphasises</w:t>
      </w:r>
      <w:proofErr w:type="spellEnd"/>
      <w:r>
        <w:rPr>
          <w:b w:val="0"/>
          <w:bCs w:val="0"/>
          <w:color w:val="auto"/>
          <w:sz w:val="32"/>
          <w:szCs w:val="32"/>
        </w:rPr>
        <w:t xml:space="preserve"> moments of in-betweenness, where a sense of self and community are unsettled and open to reconfiguration. The intervals in imposed boundaries and moments of instability in personal identity and affiliation create the potential for shifts that open new opportunities. In her earlier work, *Women, Native, Other*, Minh-ha similarly reflects on experiences of living between places, languages, and cultural structures, alluding to displacement defined by histories of immigration and refugeeism (Minh-ha, 1989). These boundary conditions inform her broader film practice, in which identity is not presented as coherent or unified, but as fractured and negotiated through distance, interruption, and refusal of mastery. These ideas provide a conceptual foundation for analysing how Minh-ha’s film practice uses fragmentation, distance, and a disrupted voice to deconstruct the human subject by challenging representational authority.</w:t>
      </w:r>
    </w:p>
    <w:p w14:paraId="756FADB8" w14:textId="77777777" w:rsidR="00C0428D" w:rsidRPr="00BD5D71" w:rsidRDefault="00C0428D">
      <w:pPr>
        <w:spacing w:before="120" w:after="120"/>
        <w:rPr>
          <w:sz w:val="32"/>
          <w:szCs w:val="32"/>
        </w:rPr>
      </w:pPr>
    </w:p>
    <w:p w14:paraId="58685F3B" w14:textId="77777777" w:rsidR="00C0428D" w:rsidRPr="00BD5D71" w:rsidRDefault="00C0428D">
      <w:pPr>
        <w:spacing w:before="120" w:after="120"/>
        <w:rPr>
          <w:sz w:val="32"/>
          <w:szCs w:val="32"/>
        </w:rPr>
      </w:pPr>
    </w:p>
    <w:p w14:paraId="371A5026" w14:textId="77777777" w:rsidR="00C0428D" w:rsidRDefault="00C0428D">
      <w:pPr>
        <w:spacing w:before="120" w:after="120"/>
        <w:rPr>
          <w:sz w:val="32"/>
          <w:szCs w:val="32"/>
        </w:rPr>
      </w:pPr>
    </w:p>
    <w:p w14:paraId="15FC9B21" w14:textId="77777777" w:rsidR="00BD5D71" w:rsidRPr="00BD5D71" w:rsidRDefault="00BD5D71">
      <w:pPr>
        <w:spacing w:before="120" w:after="120"/>
        <w:rPr>
          <w:sz w:val="32"/>
          <w:szCs w:val="32"/>
        </w:rPr>
      </w:pPr>
    </w:p>
    <w:p w14:paraId="078182FF" w14:textId="77777777" w:rsidR="00C0428D" w:rsidRPr="00BD5D71" w:rsidRDefault="00C0428D">
      <w:pPr>
        <w:spacing w:before="120" w:after="120"/>
        <w:rPr>
          <w:sz w:val="32"/>
          <w:szCs w:val="32"/>
        </w:rPr>
      </w:pPr>
    </w:p>
    <w:p w14:paraId="0E8B252A" w14:textId="77777777" w:rsidR="00C0428D" w:rsidRPr="00BD5D71" w:rsidRDefault="00C0428D">
      <w:pPr>
        <w:spacing w:before="120" w:after="120"/>
        <w:rPr>
          <w:sz w:val="32"/>
          <w:szCs w:val="32"/>
        </w:rPr>
      </w:pPr>
    </w:p>
    <w:p w14:paraId="0B1D7C66" w14:textId="77777777" w:rsidR="00C0428D" w:rsidRPr="00BD5D71" w:rsidRDefault="00C0428D">
      <w:pPr>
        <w:spacing w:before="120" w:after="120"/>
        <w:rPr>
          <w:sz w:val="32"/>
          <w:szCs w:val="32"/>
        </w:rPr>
      </w:pPr>
    </w:p>
    <w:p w14:paraId="053A1B1E" w14:textId="77777777" w:rsidR="00C0428D" w:rsidRDefault="00C0428D">
      <w:pPr>
        <w:spacing w:before="120" w:after="120"/>
        <w:rPr>
          <w:sz w:val="32"/>
          <w:szCs w:val="32"/>
        </w:rPr>
      </w:pPr>
    </w:p>
    <w:p w14:paraId="0FD5B7DC" w14:textId="77777777" w:rsidR="00CB1B79" w:rsidRPr="00BD5D71" w:rsidRDefault="00CB1B79">
      <w:pPr>
        <w:spacing w:before="120" w:after="120"/>
        <w:rPr>
          <w:sz w:val="32"/>
          <w:szCs w:val="32"/>
        </w:rPr>
      </w:pPr>
    </w:p>
    <w:p w14:paraId="212EFB02" w14:textId="1A67BCFB" w:rsidR="00C0428D" w:rsidRPr="00BD5D71" w:rsidRDefault="00CB1B79">
      <w:pPr>
        <w:pStyle w:val="Heading3"/>
        <w:keepNext w:val="0"/>
        <w:keepLines w:val="0"/>
        <w:spacing w:before="281" w:after="140"/>
        <w:rPr>
          <w:b w:val="0"/>
          <w:bCs w:val="0"/>
          <w:sz w:val="32"/>
          <w:szCs w:val="32"/>
        </w:rPr>
      </w:pPr>
      <w:r>
        <w:rPr>
          <w:b w:val="0"/>
          <w:bCs w:val="0"/>
          <w:color w:val="auto"/>
          <w:sz w:val="32"/>
          <w:szCs w:val="32"/>
        </w:rPr>
        <w:lastRenderedPageBreak/>
        <w:t>In Reassemblage (Minh-ha, 1982), Trinh T. Minh-ha questions the conventions of ethnographic filmmaking by rejecting explanatory narration and representational coherence. Instead of portraying the filmed subject as an object that can be known or interpreted with certainty, the film challenges ethnographic authority through fragmented relationships between sound and image. Voice-over, music, and visual sequences rarely align in a stable or interpretive manner, making it hard for the viewer to take interpretive control. This formal disjunction questions the idea that the filmmaker can fully understand or transparently depict the “other,” a view historically assigned to women within dominant knowledge frameworks that define masculinity as the neutral human standard (de Beauvoir, 2011). Minh-ha’s approach aligns with Donna Haraway’s critique of objectivity as a form of representational mastery that hides its own power relations (Haraway, 1988).</w:t>
      </w:r>
    </w:p>
    <w:p w14:paraId="22603C8B" w14:textId="7698C26C" w:rsidR="00C0428D" w:rsidRPr="00BD5D71" w:rsidRDefault="00CB1B79">
      <w:pPr>
        <w:pStyle w:val="Heading3"/>
        <w:keepNext w:val="0"/>
        <w:keepLines w:val="0"/>
        <w:spacing w:before="140" w:after="140"/>
        <w:rPr>
          <w:b w:val="0"/>
          <w:bCs w:val="0"/>
          <w:sz w:val="32"/>
          <w:szCs w:val="32"/>
        </w:rPr>
      </w:pPr>
      <w:r>
        <w:rPr>
          <w:b w:val="0"/>
          <w:bCs w:val="0"/>
          <w:color w:val="auto"/>
          <w:sz w:val="32"/>
          <w:szCs w:val="32"/>
        </w:rPr>
        <w:t xml:space="preserve">Minh-ha’s anti-representational strategies thus function as a feminist rejection of mastery, </w:t>
      </w:r>
      <w:proofErr w:type="spellStart"/>
      <w:r>
        <w:rPr>
          <w:b w:val="0"/>
          <w:bCs w:val="0"/>
          <w:color w:val="auto"/>
          <w:sz w:val="32"/>
          <w:szCs w:val="32"/>
        </w:rPr>
        <w:t>destabilising</w:t>
      </w:r>
      <w:proofErr w:type="spellEnd"/>
      <w:r>
        <w:rPr>
          <w:b w:val="0"/>
          <w:bCs w:val="0"/>
          <w:color w:val="auto"/>
          <w:sz w:val="32"/>
          <w:szCs w:val="32"/>
        </w:rPr>
        <w:t xml:space="preserve"> the human subject as a unified, coherent, or fully knowable entity. Through repetition and interruption, Reassemblage (Minh-ha, 1982) opposes the creation of stable meaning. Repeated shots of women’s bodies and everyday activities are shown without contextual explanation, while voice-over commentary remains fragmented and deliberately non-informative. These strategies </w:t>
      </w:r>
      <w:proofErr w:type="spellStart"/>
      <w:r>
        <w:rPr>
          <w:b w:val="0"/>
          <w:bCs w:val="0"/>
          <w:color w:val="auto"/>
          <w:sz w:val="32"/>
          <w:szCs w:val="32"/>
        </w:rPr>
        <w:t>emphasise</w:t>
      </w:r>
      <w:proofErr w:type="spellEnd"/>
      <w:r>
        <w:rPr>
          <w:b w:val="0"/>
          <w:bCs w:val="0"/>
          <w:color w:val="auto"/>
          <w:sz w:val="32"/>
          <w:szCs w:val="32"/>
        </w:rPr>
        <w:t xml:space="preserve"> uncertainty and partial perception rather than clarity or completeness. By reframing representation as an ethical issue rather than a neutral practice, Minh-ha deconstructs the human subject as fixed or transparent, presenting it instead as relational, mediated, and incomplete. This ethical challenge to representational mastery enhances her broader project of questioning how the human is constructed through visual regimes of knowledge and authority.</w:t>
      </w:r>
    </w:p>
    <w:p w14:paraId="60FF588A" w14:textId="77777777" w:rsidR="00C0428D" w:rsidRDefault="00C0428D">
      <w:pPr>
        <w:spacing w:before="120" w:after="120"/>
        <w:rPr>
          <w:sz w:val="32"/>
          <w:szCs w:val="32"/>
        </w:rPr>
      </w:pPr>
    </w:p>
    <w:p w14:paraId="78B2C967" w14:textId="77777777" w:rsidR="00BD5D71" w:rsidRPr="00BD5D71" w:rsidRDefault="00BD5D71">
      <w:pPr>
        <w:spacing w:before="120" w:after="120"/>
        <w:rPr>
          <w:sz w:val="32"/>
          <w:szCs w:val="32"/>
        </w:rPr>
      </w:pPr>
    </w:p>
    <w:p w14:paraId="3EF4A13E" w14:textId="77777777" w:rsidR="00C0428D" w:rsidRPr="00BD5D71" w:rsidRDefault="00C0428D">
      <w:pPr>
        <w:spacing w:before="120" w:after="120"/>
        <w:rPr>
          <w:sz w:val="32"/>
          <w:szCs w:val="32"/>
        </w:rPr>
      </w:pPr>
    </w:p>
    <w:p w14:paraId="49DA8BB5" w14:textId="22488D7D" w:rsidR="00C0428D" w:rsidRPr="00BD5D71" w:rsidRDefault="00CB1B79">
      <w:pPr>
        <w:pStyle w:val="Heading3"/>
        <w:keepNext w:val="0"/>
        <w:keepLines w:val="0"/>
        <w:spacing w:before="281" w:after="140"/>
        <w:rPr>
          <w:b w:val="0"/>
          <w:bCs w:val="0"/>
          <w:sz w:val="32"/>
          <w:szCs w:val="32"/>
        </w:rPr>
      </w:pPr>
      <w:r>
        <w:rPr>
          <w:b w:val="0"/>
          <w:bCs w:val="0"/>
          <w:color w:val="auto"/>
          <w:sz w:val="32"/>
          <w:szCs w:val="32"/>
        </w:rPr>
        <w:lastRenderedPageBreak/>
        <w:t xml:space="preserve">Beyond questions of form and representation, Minh-ha’s work also advocates an ethical approach to connection itself, expressed through her concept of ‘speaking nearby’. Minh-ha’s idea of “speaking nearby” articulates a feminist ethics of relation that resists both appropriation and detachment. Instead of speaking about or for others, which risks fixing them as objects of knowledge, speaking nearby maintains a position of proximity that </w:t>
      </w:r>
      <w:proofErr w:type="spellStart"/>
      <w:r>
        <w:rPr>
          <w:b w:val="0"/>
          <w:bCs w:val="0"/>
          <w:color w:val="auto"/>
          <w:sz w:val="32"/>
          <w:szCs w:val="32"/>
        </w:rPr>
        <w:t>recognises</w:t>
      </w:r>
      <w:proofErr w:type="spellEnd"/>
      <w:r>
        <w:rPr>
          <w:b w:val="0"/>
          <w:bCs w:val="0"/>
          <w:color w:val="auto"/>
          <w:sz w:val="32"/>
          <w:szCs w:val="32"/>
        </w:rPr>
        <w:t xml:space="preserve"> difference without trying to dominate or resolve it (Minh-ha, 1989). This method highlights distance not as a failure to represent, but as a conscious ethical stance that acknowledges the limits of understanding and the violence that can come with claims to complete knowledge. In this way, distance becomes a condition for relation rather than a retreat from it.</w:t>
      </w:r>
    </w:p>
    <w:p w14:paraId="602E83D5" w14:textId="4E385807" w:rsidR="00C0428D" w:rsidRPr="00BD5D71" w:rsidRDefault="00CB1B79">
      <w:pPr>
        <w:pStyle w:val="Heading3"/>
        <w:keepNext w:val="0"/>
        <w:keepLines w:val="0"/>
        <w:spacing w:before="140" w:after="140"/>
        <w:rPr>
          <w:b w:val="0"/>
          <w:bCs w:val="0"/>
          <w:sz w:val="32"/>
          <w:szCs w:val="32"/>
        </w:rPr>
      </w:pPr>
      <w:r>
        <w:rPr>
          <w:b w:val="0"/>
          <w:bCs w:val="0"/>
          <w:color w:val="auto"/>
          <w:sz w:val="32"/>
          <w:szCs w:val="32"/>
        </w:rPr>
        <w:t xml:space="preserve">Speaking nearby functions as a feminist rejection of appropriation by resisting the urge to make the other fully visible, understandable, or contained within dominant representational frameworks. Minh-ha </w:t>
      </w:r>
      <w:proofErr w:type="spellStart"/>
      <w:r>
        <w:rPr>
          <w:b w:val="0"/>
          <w:bCs w:val="0"/>
          <w:color w:val="auto"/>
          <w:sz w:val="32"/>
          <w:szCs w:val="32"/>
        </w:rPr>
        <w:t>emphasises</w:t>
      </w:r>
      <w:proofErr w:type="spellEnd"/>
      <w:r>
        <w:rPr>
          <w:b w:val="0"/>
          <w:bCs w:val="0"/>
          <w:color w:val="auto"/>
          <w:sz w:val="32"/>
          <w:szCs w:val="32"/>
        </w:rPr>
        <w:t xml:space="preserve"> accountability and restraint, positioning the filmmaker as involved in the act of representation rather than standing outside it as an authoritative observer. This ethical stance challenges liberal humanist assumptions of a sovereign subject who can observe, interpret, and represent others from a position of neutrality. Instead, </w:t>
      </w:r>
      <w:proofErr w:type="gramStart"/>
      <w:r>
        <w:rPr>
          <w:b w:val="0"/>
          <w:bCs w:val="0"/>
          <w:color w:val="auto"/>
          <w:sz w:val="32"/>
          <w:szCs w:val="32"/>
        </w:rPr>
        <w:t>relation is</w:t>
      </w:r>
      <w:proofErr w:type="gramEnd"/>
      <w:r>
        <w:rPr>
          <w:b w:val="0"/>
          <w:bCs w:val="0"/>
          <w:color w:val="auto"/>
          <w:sz w:val="32"/>
          <w:szCs w:val="32"/>
        </w:rPr>
        <w:t xml:space="preserve"> understood as partial, situated, and conditioned by power.</w:t>
      </w:r>
    </w:p>
    <w:p w14:paraId="73845D7D" w14:textId="77777777" w:rsidR="00C0428D" w:rsidRPr="00BD5D71" w:rsidRDefault="00000000">
      <w:pPr>
        <w:pStyle w:val="Heading3"/>
        <w:keepNext w:val="0"/>
        <w:keepLines w:val="0"/>
        <w:spacing w:before="140" w:after="140"/>
        <w:rPr>
          <w:b w:val="0"/>
          <w:bCs w:val="0"/>
          <w:sz w:val="32"/>
          <w:szCs w:val="32"/>
        </w:rPr>
      </w:pPr>
      <w:r w:rsidRPr="00BD5D71">
        <w:rPr>
          <w:b w:val="0"/>
          <w:bCs w:val="0"/>
          <w:color w:val="auto"/>
          <w:sz w:val="32"/>
          <w:szCs w:val="32"/>
        </w:rPr>
        <w:t xml:space="preserve">This system closely corresponds to Donna Haraway’s insistence on situated knowledge, which rejects claims to objectivity in </w:t>
      </w:r>
      <w:proofErr w:type="spellStart"/>
      <w:r w:rsidRPr="00BD5D71">
        <w:rPr>
          <w:b w:val="0"/>
          <w:bCs w:val="0"/>
          <w:color w:val="auto"/>
          <w:sz w:val="32"/>
          <w:szCs w:val="32"/>
        </w:rPr>
        <w:t>favour</w:t>
      </w:r>
      <w:proofErr w:type="spellEnd"/>
      <w:r w:rsidRPr="00BD5D71">
        <w:rPr>
          <w:b w:val="0"/>
          <w:bCs w:val="0"/>
          <w:color w:val="auto"/>
          <w:sz w:val="32"/>
          <w:szCs w:val="32"/>
        </w:rPr>
        <w:t xml:space="preserve"> of partial and accountable perspectives </w:t>
      </w:r>
      <w:r w:rsidRPr="00BD5D71">
        <w:rPr>
          <w:b w:val="0"/>
          <w:bCs w:val="0"/>
          <w:color w:val="A91E1E"/>
          <w:sz w:val="32"/>
          <w:szCs w:val="32"/>
        </w:rPr>
        <w:t xml:space="preserve">(Haraway, 1988). </w:t>
      </w:r>
      <w:r w:rsidRPr="00BD5D71">
        <w:rPr>
          <w:b w:val="0"/>
          <w:bCs w:val="0"/>
          <w:color w:val="auto"/>
          <w:sz w:val="32"/>
          <w:szCs w:val="32"/>
        </w:rPr>
        <w:t xml:space="preserve">Both thinkers </w:t>
      </w:r>
      <w:proofErr w:type="spellStart"/>
      <w:r w:rsidRPr="00BD5D71">
        <w:rPr>
          <w:b w:val="0"/>
          <w:bCs w:val="0"/>
          <w:color w:val="auto"/>
          <w:sz w:val="32"/>
          <w:szCs w:val="32"/>
        </w:rPr>
        <w:t>emphasise</w:t>
      </w:r>
      <w:proofErr w:type="spellEnd"/>
      <w:r w:rsidRPr="00BD5D71">
        <w:rPr>
          <w:b w:val="0"/>
          <w:bCs w:val="0"/>
          <w:color w:val="auto"/>
          <w:sz w:val="32"/>
          <w:szCs w:val="32"/>
        </w:rPr>
        <w:t xml:space="preserve"> the necessity of acknowledging one’s positionality and the impossibility of total vision. Similarly, Judith Butler’s critique of the autonomous subject supports this relational model, in which identity and agency are produced through social relations rather than existing independently </w:t>
      </w:r>
      <w:r w:rsidRPr="00BD5D71">
        <w:rPr>
          <w:b w:val="0"/>
          <w:bCs w:val="0"/>
          <w:color w:val="A91E1E"/>
          <w:sz w:val="32"/>
          <w:szCs w:val="32"/>
        </w:rPr>
        <w:t xml:space="preserve">(Butler, 2004). </w:t>
      </w:r>
      <w:r w:rsidRPr="00BD5D71">
        <w:rPr>
          <w:b w:val="0"/>
          <w:bCs w:val="0"/>
          <w:color w:val="auto"/>
          <w:sz w:val="32"/>
          <w:szCs w:val="32"/>
        </w:rPr>
        <w:t>Read through these feminist frameworks, speaking nearby reconfigures selfhood as non-sovereign and relational, offering an ethical model for interacting with others that underpins Minh-ha’s broader deconstruction of the human subject.</w:t>
      </w:r>
    </w:p>
    <w:p w14:paraId="38037FD1" w14:textId="77777777" w:rsidR="00C0428D" w:rsidRPr="00BD5D71" w:rsidRDefault="00C0428D">
      <w:pPr>
        <w:spacing w:before="120" w:after="120"/>
        <w:rPr>
          <w:sz w:val="32"/>
          <w:szCs w:val="32"/>
        </w:rPr>
      </w:pPr>
    </w:p>
    <w:p w14:paraId="794B550E" w14:textId="14AB3A17" w:rsidR="00C0428D" w:rsidRPr="00BD5D71" w:rsidRDefault="00CB1B79">
      <w:pPr>
        <w:pStyle w:val="Heading3"/>
        <w:keepNext w:val="0"/>
        <w:keepLines w:val="0"/>
        <w:spacing w:before="281" w:after="140"/>
        <w:rPr>
          <w:b w:val="0"/>
          <w:bCs w:val="0"/>
          <w:sz w:val="32"/>
          <w:szCs w:val="32"/>
        </w:rPr>
      </w:pPr>
      <w:r>
        <w:rPr>
          <w:b w:val="0"/>
          <w:bCs w:val="0"/>
          <w:color w:val="auto"/>
          <w:sz w:val="32"/>
          <w:szCs w:val="32"/>
        </w:rPr>
        <w:lastRenderedPageBreak/>
        <w:t>Minh-ha’s deconstruction of the human subject is developed through the embodied experience of spectatorship, in which meaning emerges from sensory involvement rather than narrative transparency or representational coherence. Drawing on Vivian Sobchack’s phenomenological approach to film, cinematic meaning derives from an encounter between the viewer’s body and the moving image, rather than from detached observation alone (</w:t>
      </w:r>
      <w:proofErr w:type="spellStart"/>
      <w:r>
        <w:rPr>
          <w:b w:val="0"/>
          <w:bCs w:val="0"/>
          <w:color w:val="auto"/>
          <w:sz w:val="32"/>
          <w:szCs w:val="32"/>
        </w:rPr>
        <w:t>Sobchack</w:t>
      </w:r>
      <w:proofErr w:type="spellEnd"/>
      <w:r>
        <w:rPr>
          <w:b w:val="0"/>
          <w:bCs w:val="0"/>
          <w:color w:val="auto"/>
          <w:sz w:val="32"/>
          <w:szCs w:val="32"/>
        </w:rPr>
        <w:t xml:space="preserve">, 2004). In Reassemblage (Minh-ha, 1982), this encounter is formed by partial views, broken rhythms, and a lack of interpretive guidance, placing the viewer in a state of bodily awareness and perceptual uncertainty. The human subject is therefore not presented as a stable figure to be </w:t>
      </w:r>
      <w:proofErr w:type="spellStart"/>
      <w:r>
        <w:rPr>
          <w:b w:val="0"/>
          <w:bCs w:val="0"/>
          <w:color w:val="auto"/>
          <w:sz w:val="32"/>
          <w:szCs w:val="32"/>
        </w:rPr>
        <w:t>recognised</w:t>
      </w:r>
      <w:proofErr w:type="spellEnd"/>
      <w:r>
        <w:rPr>
          <w:b w:val="0"/>
          <w:bCs w:val="0"/>
          <w:color w:val="auto"/>
          <w:sz w:val="32"/>
          <w:szCs w:val="32"/>
        </w:rPr>
        <w:t xml:space="preserve"> or understood, but as something encountered through sensation, time, and affect.</w:t>
      </w:r>
    </w:p>
    <w:p w14:paraId="5A0AFC03" w14:textId="0EFFB6BA" w:rsidR="00C0428D" w:rsidRPr="00BD5D71" w:rsidRDefault="00CB1B79">
      <w:pPr>
        <w:pStyle w:val="Heading3"/>
        <w:keepNext w:val="0"/>
        <w:keepLines w:val="0"/>
        <w:spacing w:before="140" w:after="140"/>
        <w:rPr>
          <w:b w:val="0"/>
          <w:bCs w:val="0"/>
          <w:sz w:val="32"/>
          <w:szCs w:val="32"/>
        </w:rPr>
      </w:pPr>
      <w:r>
        <w:rPr>
          <w:b w:val="0"/>
          <w:bCs w:val="0"/>
          <w:color w:val="auto"/>
          <w:sz w:val="32"/>
          <w:szCs w:val="32"/>
        </w:rPr>
        <w:t xml:space="preserve">This focus on embodied spectatorship aligns with Rosi Braidotti’s feminist critique of the unified human subject, which views subjectivity as relational and ongoing rather than autonomous or unified (Braidotti, 2013). Bodies in Reassemblage appear briefly and without narrative grounding, resisting identification and mental complexity. As Judith Butler argues, bodies do not exist prior to meaning but are shaped through norms that determine which bodies are made visible and which remain unstable or disjointed (Butler, 1993). Minh-ha’s fragmented presentation of bodies reveals the contingency of embodiment, </w:t>
      </w:r>
      <w:proofErr w:type="spellStart"/>
      <w:r>
        <w:rPr>
          <w:b w:val="0"/>
          <w:bCs w:val="0"/>
          <w:color w:val="auto"/>
          <w:sz w:val="32"/>
          <w:szCs w:val="32"/>
        </w:rPr>
        <w:t>criticising</w:t>
      </w:r>
      <w:proofErr w:type="spellEnd"/>
      <w:r>
        <w:rPr>
          <w:b w:val="0"/>
          <w:bCs w:val="0"/>
          <w:color w:val="auto"/>
          <w:sz w:val="32"/>
          <w:szCs w:val="32"/>
        </w:rPr>
        <w:t xml:space="preserve"> models that </w:t>
      </w:r>
      <w:proofErr w:type="spellStart"/>
      <w:r>
        <w:rPr>
          <w:b w:val="0"/>
          <w:bCs w:val="0"/>
          <w:color w:val="auto"/>
          <w:sz w:val="32"/>
          <w:szCs w:val="32"/>
        </w:rPr>
        <w:t>stabilise</w:t>
      </w:r>
      <w:proofErr w:type="spellEnd"/>
      <w:r>
        <w:rPr>
          <w:b w:val="0"/>
          <w:bCs w:val="0"/>
          <w:color w:val="auto"/>
          <w:sz w:val="32"/>
          <w:szCs w:val="32"/>
        </w:rPr>
        <w:t xml:space="preserve"> the human as coherent and </w:t>
      </w:r>
      <w:proofErr w:type="spellStart"/>
      <w:r>
        <w:rPr>
          <w:b w:val="0"/>
          <w:bCs w:val="0"/>
          <w:color w:val="auto"/>
          <w:sz w:val="32"/>
          <w:szCs w:val="32"/>
        </w:rPr>
        <w:t>recognisable</w:t>
      </w:r>
      <w:proofErr w:type="spellEnd"/>
      <w:r>
        <w:rPr>
          <w:b w:val="0"/>
          <w:bCs w:val="0"/>
          <w:color w:val="auto"/>
          <w:sz w:val="32"/>
          <w:szCs w:val="32"/>
        </w:rPr>
        <w:t>.</w:t>
      </w:r>
    </w:p>
    <w:p w14:paraId="7272D7BA" w14:textId="77777777" w:rsidR="00C0428D" w:rsidRPr="00BD5D71" w:rsidRDefault="00000000">
      <w:pPr>
        <w:pStyle w:val="Heading3"/>
        <w:keepNext w:val="0"/>
        <w:keepLines w:val="0"/>
        <w:spacing w:before="140" w:after="140"/>
        <w:rPr>
          <w:b w:val="0"/>
          <w:bCs w:val="0"/>
          <w:sz w:val="32"/>
          <w:szCs w:val="32"/>
        </w:rPr>
      </w:pPr>
      <w:r w:rsidRPr="00BD5D71">
        <w:rPr>
          <w:b w:val="0"/>
          <w:bCs w:val="0"/>
          <w:color w:val="auto"/>
          <w:sz w:val="32"/>
          <w:szCs w:val="32"/>
        </w:rPr>
        <w:t xml:space="preserve">Sensory perception in </w:t>
      </w:r>
      <w:r w:rsidRPr="00BD5D71">
        <w:rPr>
          <w:b w:val="0"/>
          <w:bCs w:val="0"/>
          <w:i/>
          <w:iCs/>
          <w:color w:val="auto"/>
          <w:sz w:val="32"/>
          <w:szCs w:val="32"/>
        </w:rPr>
        <w:t>Reassemblage</w:t>
      </w:r>
      <w:r w:rsidRPr="00BD5D71">
        <w:rPr>
          <w:b w:val="0"/>
          <w:bCs w:val="0"/>
          <w:color w:val="auto"/>
          <w:sz w:val="32"/>
          <w:szCs w:val="32"/>
        </w:rPr>
        <w:t xml:space="preserve"> further reinforces this instability of identity. Laura Marks’ concept of haptic visuality explains how Minh-ha’s images invite a mode of viewing grounded in touch, texture, and closeness while withholding visual mastery </w:t>
      </w:r>
      <w:r w:rsidRPr="00BD5D71">
        <w:rPr>
          <w:b w:val="0"/>
          <w:bCs w:val="0"/>
          <w:color w:val="A91E1E"/>
          <w:sz w:val="32"/>
          <w:szCs w:val="32"/>
        </w:rPr>
        <w:t xml:space="preserve">(Marks, 2000). </w:t>
      </w:r>
      <w:r w:rsidRPr="00BD5D71">
        <w:rPr>
          <w:b w:val="0"/>
          <w:bCs w:val="0"/>
          <w:color w:val="auto"/>
          <w:sz w:val="32"/>
          <w:szCs w:val="32"/>
        </w:rPr>
        <w:t>This perceptual lack foregrounds relation rather than possession, positioning the human subject as mediated and interdependent. Through embodied spectatorship and fragmented perception, Minh-ha presents the human as non-sovereign and incomplete, providing a bridge to Shirin Neshat’s practice, where divided spaces and fragmented narratives similarly explore selfhood through distance and relation.</w:t>
      </w:r>
    </w:p>
    <w:p w14:paraId="3ACAF634" w14:textId="77777777" w:rsidR="00C0428D" w:rsidRPr="00BD5D71" w:rsidRDefault="00000000">
      <w:pPr>
        <w:pStyle w:val="Heading2"/>
        <w:keepNext w:val="0"/>
        <w:keepLines w:val="0"/>
        <w:spacing w:before="180" w:after="180"/>
        <w:jc w:val="center"/>
      </w:pPr>
      <w:r w:rsidRPr="00BD5D71">
        <w:rPr>
          <w:color w:val="auto"/>
        </w:rPr>
        <w:lastRenderedPageBreak/>
        <w:t>Shirin Neshat</w:t>
      </w:r>
    </w:p>
    <w:p w14:paraId="1753F7A5" w14:textId="77777777" w:rsidR="00C0428D" w:rsidRPr="00BD5D71" w:rsidRDefault="00C0428D">
      <w:pPr>
        <w:spacing w:before="120" w:after="120"/>
        <w:rPr>
          <w:sz w:val="32"/>
          <w:szCs w:val="32"/>
        </w:rPr>
      </w:pPr>
    </w:p>
    <w:p w14:paraId="0B5024C0" w14:textId="2C2CC50F" w:rsidR="00C0428D" w:rsidRPr="00BD5D71" w:rsidRDefault="00CB1B79">
      <w:pPr>
        <w:pStyle w:val="Heading3"/>
        <w:keepNext w:val="0"/>
        <w:keepLines w:val="0"/>
        <w:spacing w:before="281" w:after="140"/>
        <w:rPr>
          <w:b w:val="0"/>
          <w:bCs w:val="0"/>
          <w:sz w:val="32"/>
          <w:szCs w:val="32"/>
        </w:rPr>
      </w:pPr>
      <w:r>
        <w:rPr>
          <w:b w:val="0"/>
          <w:bCs w:val="0"/>
          <w:color w:val="auto"/>
          <w:sz w:val="32"/>
          <w:szCs w:val="32"/>
        </w:rPr>
        <w:t xml:space="preserve">While Minh-ha’s film practice </w:t>
      </w:r>
      <w:proofErr w:type="spellStart"/>
      <w:r>
        <w:rPr>
          <w:b w:val="0"/>
          <w:bCs w:val="0"/>
          <w:color w:val="auto"/>
          <w:sz w:val="32"/>
          <w:szCs w:val="32"/>
        </w:rPr>
        <w:t>emphasises</w:t>
      </w:r>
      <w:proofErr w:type="spellEnd"/>
      <w:r>
        <w:rPr>
          <w:b w:val="0"/>
          <w:bCs w:val="0"/>
          <w:color w:val="auto"/>
          <w:sz w:val="32"/>
          <w:szCs w:val="32"/>
        </w:rPr>
        <w:t xml:space="preserve"> fragmentation and ethical distance as a way of resisting representational mastery (Minh-ha, 1989; Haraway, 1988), Shirin Neshat similarly deconstructs the human subject through partitioned spaces, fractured narratives, and gendered regimes of visibility and vocal expression, where Minh-ha rejects coherence through interruption and intimacy. Neshat, however, stages separation and opposition to explore how identity and embodiment are shaped through distance, regulation, and relational tension (Butler, 2004).</w:t>
      </w:r>
    </w:p>
    <w:p w14:paraId="1C9E88E2" w14:textId="79C1E410" w:rsidR="00C0428D" w:rsidRPr="00BD5D71" w:rsidRDefault="00CB1B79">
      <w:pPr>
        <w:pStyle w:val="Heading3"/>
        <w:keepNext w:val="0"/>
        <w:keepLines w:val="0"/>
        <w:spacing w:before="140" w:after="140"/>
        <w:rPr>
          <w:b w:val="0"/>
          <w:bCs w:val="0"/>
          <w:sz w:val="32"/>
          <w:szCs w:val="32"/>
        </w:rPr>
      </w:pPr>
      <w:r>
        <w:rPr>
          <w:b w:val="0"/>
          <w:bCs w:val="0"/>
          <w:color w:val="auto"/>
          <w:sz w:val="32"/>
          <w:szCs w:val="32"/>
        </w:rPr>
        <w:t xml:space="preserve">Through Neshat’s film installation Turbulent (Neshat, 1998), she reveals the gendered politics of voice and visibility through dual screening. The film stages a sharp opposition between two performers on separate screens, </w:t>
      </w:r>
      <w:proofErr w:type="spellStart"/>
      <w:r>
        <w:rPr>
          <w:b w:val="0"/>
          <w:bCs w:val="0"/>
          <w:color w:val="auto"/>
          <w:sz w:val="32"/>
          <w:szCs w:val="32"/>
        </w:rPr>
        <w:t>emphasising</w:t>
      </w:r>
      <w:proofErr w:type="spellEnd"/>
      <w:r>
        <w:rPr>
          <w:b w:val="0"/>
          <w:bCs w:val="0"/>
          <w:color w:val="auto"/>
          <w:sz w:val="32"/>
          <w:szCs w:val="32"/>
        </w:rPr>
        <w:t xml:space="preserve"> the </w:t>
      </w:r>
      <w:r w:rsidR="00EC04A8">
        <w:rPr>
          <w:b w:val="0"/>
          <w:bCs w:val="0"/>
          <w:color w:val="auto"/>
          <w:sz w:val="32"/>
          <w:szCs w:val="32"/>
        </w:rPr>
        <w:t>power division</w:t>
      </w:r>
      <w:r>
        <w:rPr>
          <w:b w:val="0"/>
          <w:bCs w:val="0"/>
          <w:color w:val="auto"/>
          <w:sz w:val="32"/>
          <w:szCs w:val="32"/>
        </w:rPr>
        <w:t xml:space="preserve"> created by </w:t>
      </w:r>
      <w:proofErr w:type="gramStart"/>
      <w:r>
        <w:rPr>
          <w:b w:val="0"/>
          <w:bCs w:val="0"/>
          <w:color w:val="auto"/>
          <w:sz w:val="32"/>
          <w:szCs w:val="32"/>
        </w:rPr>
        <w:t>the physical</w:t>
      </w:r>
      <w:proofErr w:type="gramEnd"/>
      <w:r>
        <w:rPr>
          <w:b w:val="0"/>
          <w:bCs w:val="0"/>
          <w:color w:val="auto"/>
          <w:sz w:val="32"/>
          <w:szCs w:val="32"/>
        </w:rPr>
        <w:t xml:space="preserve"> space. In one </w:t>
      </w:r>
      <w:proofErr w:type="gramStart"/>
      <w:r>
        <w:rPr>
          <w:b w:val="0"/>
          <w:bCs w:val="0"/>
          <w:color w:val="auto"/>
          <w:sz w:val="32"/>
          <w:szCs w:val="32"/>
        </w:rPr>
        <w:t>particular scene</w:t>
      </w:r>
      <w:proofErr w:type="gramEnd"/>
      <w:r>
        <w:rPr>
          <w:b w:val="0"/>
          <w:bCs w:val="0"/>
          <w:color w:val="auto"/>
          <w:sz w:val="32"/>
          <w:szCs w:val="32"/>
        </w:rPr>
        <w:t xml:space="preserve">, a male singer performs before an audience, whilst on the opposing screen, a female singer faces an empty auditorium. Within this context, Neshat portrays silence as imposed rather than chosen, exposing how access to voice is unevenly distributed within gendered constructs. Although the female performer occupies the same visual space as the male singer, her lack of an audience reveals the limitations of the authority she embodies. The woman’s silence in Turbulent should therefore not be interpreted as absence or passivity, but rather as a condition shaped by social and political restrictions. This scene can be directly linked to Butler’s theory of regulated embodiment, which argues that subjectivity is not freely expressed but produced through norms that determine which voices are considered intelligible in the public eye (Butler, 2004). Within this conceptual framework, the unequal conditions of audibility staged in Turbulent reflect how women’s voices have historically been excluded from public recognition, especially </w:t>
      </w:r>
      <w:r w:rsidR="00EC04A8">
        <w:rPr>
          <w:b w:val="0"/>
          <w:bCs w:val="0"/>
          <w:color w:val="auto"/>
          <w:sz w:val="32"/>
          <w:szCs w:val="32"/>
        </w:rPr>
        <w:t>in Iran's social and political context</w:t>
      </w:r>
      <w:r>
        <w:rPr>
          <w:b w:val="0"/>
          <w:bCs w:val="0"/>
          <w:color w:val="auto"/>
          <w:sz w:val="32"/>
          <w:szCs w:val="32"/>
        </w:rPr>
        <w:t>.</w:t>
      </w:r>
    </w:p>
    <w:p w14:paraId="08F6033F" w14:textId="77777777" w:rsidR="00C0428D" w:rsidRPr="00BD5D71" w:rsidRDefault="00C0428D">
      <w:pPr>
        <w:spacing w:before="120" w:after="120"/>
        <w:rPr>
          <w:sz w:val="32"/>
          <w:szCs w:val="32"/>
        </w:rPr>
      </w:pPr>
    </w:p>
    <w:p w14:paraId="60E743C1" w14:textId="77777777" w:rsidR="00C0428D" w:rsidRPr="00BD5D71" w:rsidRDefault="00C0428D">
      <w:pPr>
        <w:spacing w:before="120" w:after="120"/>
        <w:rPr>
          <w:sz w:val="32"/>
          <w:szCs w:val="32"/>
        </w:rPr>
      </w:pPr>
    </w:p>
    <w:p w14:paraId="231F21F9" w14:textId="78FFA340" w:rsidR="00C0428D" w:rsidRPr="00BD5D71" w:rsidRDefault="00CB1B79">
      <w:pPr>
        <w:pStyle w:val="Heading3"/>
        <w:keepNext w:val="0"/>
        <w:keepLines w:val="0"/>
        <w:spacing w:before="281" w:after="140"/>
        <w:rPr>
          <w:b w:val="0"/>
          <w:bCs w:val="0"/>
          <w:sz w:val="32"/>
          <w:szCs w:val="32"/>
        </w:rPr>
      </w:pPr>
      <w:r>
        <w:rPr>
          <w:b w:val="0"/>
          <w:bCs w:val="0"/>
          <w:color w:val="auto"/>
          <w:sz w:val="32"/>
          <w:szCs w:val="32"/>
        </w:rPr>
        <w:lastRenderedPageBreak/>
        <w:t xml:space="preserve">In a later dual-screen installation, Rapture (Neshat, 1999), Shirin Neshat further </w:t>
      </w:r>
      <w:proofErr w:type="spellStart"/>
      <w:r>
        <w:rPr>
          <w:b w:val="0"/>
          <w:bCs w:val="0"/>
          <w:color w:val="auto"/>
          <w:sz w:val="32"/>
          <w:szCs w:val="32"/>
        </w:rPr>
        <w:t>emphasises</w:t>
      </w:r>
      <w:proofErr w:type="spellEnd"/>
      <w:r>
        <w:rPr>
          <w:b w:val="0"/>
          <w:bCs w:val="0"/>
          <w:color w:val="auto"/>
          <w:sz w:val="32"/>
          <w:szCs w:val="32"/>
        </w:rPr>
        <w:t xml:space="preserve"> spatial division as a form of power, following the same conventions as Turbulent (Neshat, 1998). A particularly striking scene in Rapture highlights this gender divide. On one screen, a group of men are positioned inside a stone fortress, enclosed by walls. They appear calm and controlled. On the other screen, a group of women </w:t>
      </w:r>
      <w:r w:rsidR="00EC04A8">
        <w:rPr>
          <w:b w:val="0"/>
          <w:bCs w:val="0"/>
          <w:color w:val="auto"/>
          <w:sz w:val="32"/>
          <w:szCs w:val="32"/>
        </w:rPr>
        <w:t xml:space="preserve">is in an open, exposed desert landscape, </w:t>
      </w:r>
      <w:r>
        <w:rPr>
          <w:b w:val="0"/>
          <w:bCs w:val="0"/>
          <w:color w:val="auto"/>
          <w:sz w:val="32"/>
          <w:szCs w:val="32"/>
        </w:rPr>
        <w:t xml:space="preserve">visible, vulnerable, and without shelter. This opposition is maintained throughout the film, with shots of the women drifting out to sea while the men remain within their fortress. Importantly, the women’s movement towards the sea does not resolve this spatial division but rather intensifies their displacement from social structures of belonging. This contrast between enclosure and exposure </w:t>
      </w:r>
      <w:proofErr w:type="spellStart"/>
      <w:r>
        <w:rPr>
          <w:b w:val="0"/>
          <w:bCs w:val="0"/>
          <w:color w:val="auto"/>
          <w:sz w:val="32"/>
          <w:szCs w:val="32"/>
        </w:rPr>
        <w:t>visualises</w:t>
      </w:r>
      <w:proofErr w:type="spellEnd"/>
      <w:r>
        <w:rPr>
          <w:b w:val="0"/>
          <w:bCs w:val="0"/>
          <w:color w:val="auto"/>
          <w:sz w:val="32"/>
          <w:szCs w:val="32"/>
        </w:rPr>
        <w:t xml:space="preserve"> how gendered subjectivity is shaped through space.</w:t>
      </w:r>
    </w:p>
    <w:p w14:paraId="7C6725A5" w14:textId="29F717FE" w:rsidR="00C0428D" w:rsidRPr="00BD5D71" w:rsidRDefault="00CB1B79">
      <w:pPr>
        <w:pStyle w:val="Heading3"/>
        <w:keepNext w:val="0"/>
        <w:keepLines w:val="0"/>
        <w:spacing w:before="140" w:after="140"/>
        <w:rPr>
          <w:b w:val="0"/>
          <w:bCs w:val="0"/>
          <w:sz w:val="32"/>
          <w:szCs w:val="32"/>
        </w:rPr>
      </w:pPr>
      <w:r>
        <w:rPr>
          <w:b w:val="0"/>
          <w:bCs w:val="0"/>
          <w:color w:val="auto"/>
          <w:sz w:val="32"/>
          <w:szCs w:val="32"/>
        </w:rPr>
        <w:t xml:space="preserve">The distance is not solely physical but also political and relational, with women being exposed and moving towards the sea, indicating a lack of place within the dominant societal structures. Using Sara Ahmed’s theory of orientation, this spatial division can be seen as shaping how bodies are directed towards or away from social belonging, with men positioned within protected power structures. Meanwhile, women </w:t>
      </w:r>
      <w:proofErr w:type="gramStart"/>
      <w:r>
        <w:rPr>
          <w:b w:val="0"/>
          <w:bCs w:val="0"/>
          <w:color w:val="auto"/>
          <w:sz w:val="32"/>
          <w:szCs w:val="32"/>
        </w:rPr>
        <w:t>are located in</w:t>
      </w:r>
      <w:proofErr w:type="gramEnd"/>
      <w:r>
        <w:rPr>
          <w:b w:val="0"/>
          <w:bCs w:val="0"/>
          <w:color w:val="auto"/>
          <w:sz w:val="32"/>
          <w:szCs w:val="32"/>
        </w:rPr>
        <w:t xml:space="preserve"> spaces of exposure and displacement (Ahmed, 2006). Distance in Rapture thus functions as a form of relational constraint, influencing how subjects are positioned in relation to power rather than offering neutrality or freedom. Through this divided spatial logic, Neshat deconstructs the human subject as autonomous, instead portraying selfhood as fractured and dependent on spatial and political contexts. The contrast between enclosure and exposure demonstrates that identity is not freely chosen but </w:t>
      </w:r>
      <w:r w:rsidR="00EC04A8">
        <w:rPr>
          <w:b w:val="0"/>
          <w:bCs w:val="0"/>
          <w:color w:val="auto"/>
          <w:sz w:val="32"/>
          <w:szCs w:val="32"/>
        </w:rPr>
        <w:t>is shaped by where bodies are allowed to be and by how they are situated in relation to</w:t>
      </w:r>
      <w:r>
        <w:rPr>
          <w:b w:val="0"/>
          <w:bCs w:val="0"/>
          <w:color w:val="auto"/>
          <w:sz w:val="32"/>
          <w:szCs w:val="32"/>
        </w:rPr>
        <w:t xml:space="preserve"> power.</w:t>
      </w:r>
    </w:p>
    <w:p w14:paraId="1C1C2321" w14:textId="77777777" w:rsidR="00C0428D" w:rsidRPr="00BD5D71" w:rsidRDefault="00C0428D">
      <w:pPr>
        <w:spacing w:before="120" w:after="120"/>
        <w:rPr>
          <w:sz w:val="32"/>
          <w:szCs w:val="32"/>
        </w:rPr>
      </w:pPr>
    </w:p>
    <w:p w14:paraId="7E7C69F3" w14:textId="77777777" w:rsidR="00C0428D" w:rsidRDefault="00C0428D">
      <w:pPr>
        <w:spacing w:before="120" w:after="120"/>
        <w:rPr>
          <w:sz w:val="32"/>
          <w:szCs w:val="32"/>
        </w:rPr>
      </w:pPr>
    </w:p>
    <w:p w14:paraId="1CC03775" w14:textId="77777777" w:rsidR="00BD5D71" w:rsidRPr="00BD5D71" w:rsidRDefault="00BD5D71">
      <w:pPr>
        <w:spacing w:before="120" w:after="120"/>
        <w:rPr>
          <w:sz w:val="32"/>
          <w:szCs w:val="32"/>
        </w:rPr>
      </w:pPr>
    </w:p>
    <w:p w14:paraId="05F97BA1" w14:textId="7BCB0E25" w:rsidR="00C0428D" w:rsidRDefault="00CB1B79">
      <w:pPr>
        <w:pStyle w:val="Heading3"/>
        <w:keepNext w:val="0"/>
        <w:keepLines w:val="0"/>
        <w:spacing w:before="281" w:after="140"/>
        <w:rPr>
          <w:b w:val="0"/>
          <w:bCs w:val="0"/>
          <w:color w:val="auto"/>
          <w:sz w:val="32"/>
          <w:szCs w:val="32"/>
        </w:rPr>
      </w:pPr>
      <w:r>
        <w:rPr>
          <w:b w:val="0"/>
          <w:bCs w:val="0"/>
          <w:color w:val="auto"/>
          <w:sz w:val="32"/>
          <w:szCs w:val="32"/>
        </w:rPr>
        <w:t xml:space="preserve">Whilst Turbulent (Neshat, 1998) and Rapture (Neshat, 1999) highlight how voice and space shape gendered subjectivity, Women Without Men </w:t>
      </w:r>
      <w:r>
        <w:rPr>
          <w:b w:val="0"/>
          <w:bCs w:val="0"/>
          <w:color w:val="auto"/>
          <w:sz w:val="32"/>
          <w:szCs w:val="32"/>
        </w:rPr>
        <w:lastRenderedPageBreak/>
        <w:t xml:space="preserve">(Neshat, 2009) shifts this focus inward, </w:t>
      </w:r>
      <w:proofErr w:type="spellStart"/>
      <w:r>
        <w:rPr>
          <w:b w:val="0"/>
          <w:bCs w:val="0"/>
          <w:color w:val="auto"/>
          <w:sz w:val="32"/>
          <w:szCs w:val="32"/>
        </w:rPr>
        <w:t>emphasising</w:t>
      </w:r>
      <w:proofErr w:type="spellEnd"/>
      <w:r>
        <w:rPr>
          <w:b w:val="0"/>
          <w:bCs w:val="0"/>
          <w:color w:val="auto"/>
          <w:sz w:val="32"/>
          <w:szCs w:val="32"/>
        </w:rPr>
        <w:t xml:space="preserve"> fragmentation, interiority, and the instability of selfhood. Women Without Men is a narrative film with a non-linear structure and shifting perspectives. Neshat moves away from spatial opposition in </w:t>
      </w:r>
      <w:proofErr w:type="spellStart"/>
      <w:r>
        <w:rPr>
          <w:b w:val="0"/>
          <w:bCs w:val="0"/>
          <w:color w:val="auto"/>
          <w:sz w:val="32"/>
          <w:szCs w:val="32"/>
        </w:rPr>
        <w:t>favour</w:t>
      </w:r>
      <w:proofErr w:type="spellEnd"/>
      <w:r>
        <w:rPr>
          <w:b w:val="0"/>
          <w:bCs w:val="0"/>
          <w:color w:val="auto"/>
          <w:sz w:val="32"/>
          <w:szCs w:val="32"/>
        </w:rPr>
        <w:t xml:space="preserve"> of narrative fragmentation, mirroring the experiences of the film's female characters. This is evident in the recurring orchard scenes, which serve as quiet, suspended spaces removed from political conflict, where time feels unstable, and identity appears fragmented rather than resolved, offering no straightforward narrative or emotional closure (Neshat, 2009). This fragmented depiction aligns with feminist critiques of the autonomous human subject, especially Rosi Braidotti’s theory of posthuman subjectivity, which views identity as relational, unstable, and constantly evolving (Braidotti, 2013). Instead of presenting identity as fixed, the film constructs selfhood through rupture and affect, shaped by political violence, emotional dislocation, and gendered constraints. Rupture in Women Without Men (Neshat, 2009) manifests through moments of emotional instability rather than narrative resolution, as characters experience fear, longing, and loss without these states culminating in a coherent sense of identity. Consequently, affect becomes central to </w:t>
      </w:r>
      <w:r w:rsidR="00EC04A8">
        <w:rPr>
          <w:b w:val="0"/>
          <w:bCs w:val="0"/>
          <w:color w:val="auto"/>
          <w:sz w:val="32"/>
          <w:szCs w:val="32"/>
        </w:rPr>
        <w:t>the experience of subjectivity</w:t>
      </w:r>
      <w:r>
        <w:rPr>
          <w:b w:val="0"/>
          <w:bCs w:val="0"/>
          <w:color w:val="auto"/>
          <w:sz w:val="32"/>
          <w:szCs w:val="32"/>
        </w:rPr>
        <w:t>, reflecting the pressure of historical and political conditions on the body. This focus on affective experience echoes Sara Ahmed’s account of how emotions orient bodies within social worlds, influencing movement, attachment, and distance rather than expressing internal freedom (Ahmed, 2004). In conjunction with Judith Butler’s argument that subjectivity is produced through vulnerability and constraint, these emotional ruptures imply that identity is constructed relationally rather than autonomously (Butler, 2004). Through fragmentation, affect, and non-linear narrative, Women Without Men (Neshat, 2009) deconstructs the human subject as a unified entity, presenting selfhood as contingent, relational, and shaped by lived political experience.</w:t>
      </w:r>
    </w:p>
    <w:p w14:paraId="29BE17FF" w14:textId="77777777" w:rsidR="00CB1B79" w:rsidRPr="00CB1B79" w:rsidRDefault="00CB1B79" w:rsidP="00CB1B79"/>
    <w:p w14:paraId="4F0875C7" w14:textId="77777777" w:rsidR="00C0428D" w:rsidRPr="00CB1B79" w:rsidRDefault="00000000">
      <w:pPr>
        <w:pStyle w:val="Heading2"/>
        <w:keepNext w:val="0"/>
        <w:keepLines w:val="0"/>
        <w:spacing w:before="180" w:after="180"/>
        <w:jc w:val="center"/>
      </w:pPr>
      <w:r w:rsidRPr="00CB1B79">
        <w:rPr>
          <w:color w:val="auto"/>
        </w:rPr>
        <w:t>Convergences</w:t>
      </w:r>
    </w:p>
    <w:p w14:paraId="129B262B" w14:textId="77777777" w:rsidR="00C0428D" w:rsidRPr="00BD5D71" w:rsidRDefault="00C0428D">
      <w:pPr>
        <w:spacing w:before="120" w:after="120"/>
        <w:rPr>
          <w:sz w:val="32"/>
          <w:szCs w:val="32"/>
        </w:rPr>
      </w:pPr>
    </w:p>
    <w:p w14:paraId="6513EF0C" w14:textId="213AC6B4" w:rsidR="00C0428D" w:rsidRPr="00BD5D71" w:rsidRDefault="00CB1B79">
      <w:pPr>
        <w:pStyle w:val="Heading3"/>
        <w:keepNext w:val="0"/>
        <w:keepLines w:val="0"/>
        <w:spacing w:before="281" w:after="140"/>
        <w:rPr>
          <w:b w:val="0"/>
          <w:bCs w:val="0"/>
          <w:sz w:val="32"/>
          <w:szCs w:val="32"/>
        </w:rPr>
      </w:pPr>
      <w:r>
        <w:rPr>
          <w:b w:val="0"/>
          <w:bCs w:val="0"/>
          <w:color w:val="auto"/>
          <w:sz w:val="32"/>
          <w:szCs w:val="32"/>
        </w:rPr>
        <w:t xml:space="preserve">Although Trinh T. Minh-ha and Shirin Neshat employ markedly different cinematic forms and visual languages, their practices converge through shared feminist strategies that challenge dominant constructions of the human subject. Both artists oppose stable meaning and coherent depiction, instead </w:t>
      </w:r>
      <w:proofErr w:type="spellStart"/>
      <w:r>
        <w:rPr>
          <w:b w:val="0"/>
          <w:bCs w:val="0"/>
          <w:color w:val="auto"/>
          <w:sz w:val="32"/>
          <w:szCs w:val="32"/>
        </w:rPr>
        <w:t>utilising</w:t>
      </w:r>
      <w:proofErr w:type="spellEnd"/>
      <w:r>
        <w:rPr>
          <w:b w:val="0"/>
          <w:bCs w:val="0"/>
          <w:color w:val="auto"/>
          <w:sz w:val="32"/>
          <w:szCs w:val="32"/>
        </w:rPr>
        <w:t xml:space="preserve"> fragmentation as an analytical approach. In Minh-ha’s films, fragmentation manifests through the disruption of sound and image, where narration and visual sequences fail to align predictably, particularly in Reassemblage (Minh-ha, 1982). Neshat similarly uses fragmentation, </w:t>
      </w:r>
      <w:r w:rsidR="00EC04A8">
        <w:rPr>
          <w:b w:val="0"/>
          <w:bCs w:val="0"/>
          <w:color w:val="auto"/>
          <w:sz w:val="32"/>
          <w:szCs w:val="32"/>
        </w:rPr>
        <w:t>primarily</w:t>
      </w:r>
      <w:r>
        <w:rPr>
          <w:b w:val="0"/>
          <w:bCs w:val="0"/>
          <w:color w:val="auto"/>
          <w:sz w:val="32"/>
          <w:szCs w:val="32"/>
        </w:rPr>
        <w:t xml:space="preserve"> through voice, narrative, and spatial division, most notably in Rapture (Neshat, 1999), where identity is built through separation rather than continuity. In both cases, fragmentation acts as a rejection of coherence, hindering the formation of a unified or fully legible subject.</w:t>
      </w:r>
    </w:p>
    <w:p w14:paraId="48C69EBD" w14:textId="1D77BA97" w:rsidR="00C0428D" w:rsidRPr="00BD5D71" w:rsidRDefault="00CB1B79">
      <w:pPr>
        <w:pStyle w:val="Heading3"/>
        <w:keepNext w:val="0"/>
        <w:keepLines w:val="0"/>
        <w:spacing w:before="140" w:after="140"/>
        <w:rPr>
          <w:b w:val="0"/>
          <w:bCs w:val="0"/>
          <w:sz w:val="32"/>
          <w:szCs w:val="32"/>
        </w:rPr>
      </w:pPr>
      <w:r>
        <w:rPr>
          <w:b w:val="0"/>
          <w:bCs w:val="0"/>
          <w:color w:val="auto"/>
          <w:sz w:val="32"/>
          <w:szCs w:val="32"/>
        </w:rPr>
        <w:t>Both artists also challenge traditional forms of authority, particularly through their treatment of voice. Minh-ha rejects explanatory narration and dominant commentary, refusing the assumption that the filmmaker can fully understand or represent others. Neshat, by contrast, highlights the unequal distribution of voice through gendered opposition, especially in Turbulent (Neshat, 1998), where voice and silence are used as symbols of power. When read alongside feminist critiques of subjectivity, such as Judith Butler’s argument that social norms regulate voice and recognition, these strategies demonstrate how authority is socially constructed rather than innate.</w:t>
      </w:r>
    </w:p>
    <w:p w14:paraId="06C48A69" w14:textId="09D7FDF0" w:rsidR="00C0428D" w:rsidRDefault="00CB1B79">
      <w:pPr>
        <w:pStyle w:val="Heading3"/>
        <w:keepNext w:val="0"/>
        <w:keepLines w:val="0"/>
        <w:spacing w:before="140" w:after="140"/>
        <w:rPr>
          <w:b w:val="0"/>
          <w:bCs w:val="0"/>
          <w:color w:val="auto"/>
          <w:sz w:val="32"/>
          <w:szCs w:val="32"/>
        </w:rPr>
      </w:pPr>
      <w:r>
        <w:rPr>
          <w:b w:val="0"/>
          <w:bCs w:val="0"/>
          <w:color w:val="auto"/>
          <w:sz w:val="32"/>
          <w:szCs w:val="32"/>
        </w:rPr>
        <w:t xml:space="preserve">Crucially, neither artist presents a stable or unified human subject. Instead, identity seems partial, contingent, and shaped by power, relation, and mediation. Through fragmentation and </w:t>
      </w:r>
      <w:proofErr w:type="spellStart"/>
      <w:r>
        <w:rPr>
          <w:b w:val="0"/>
          <w:bCs w:val="0"/>
          <w:color w:val="auto"/>
          <w:sz w:val="32"/>
          <w:szCs w:val="32"/>
        </w:rPr>
        <w:t>destabilised</w:t>
      </w:r>
      <w:proofErr w:type="spellEnd"/>
      <w:r>
        <w:rPr>
          <w:b w:val="0"/>
          <w:bCs w:val="0"/>
          <w:color w:val="auto"/>
          <w:sz w:val="32"/>
          <w:szCs w:val="32"/>
        </w:rPr>
        <w:t xml:space="preserve"> authority, Minh-ha and Neshat jointly challenge liberal humanist assumptions of autonomy, creating space for alternative, feminist understandings of the human as non-sovereign and relational.</w:t>
      </w:r>
    </w:p>
    <w:p w14:paraId="77DA7CD1" w14:textId="77777777" w:rsidR="00BD5D71" w:rsidRDefault="00BD5D71" w:rsidP="00BD5D71"/>
    <w:p w14:paraId="78863FB8" w14:textId="77777777" w:rsidR="00BD5D71" w:rsidRPr="00BD5D71" w:rsidRDefault="00BD5D71" w:rsidP="00BD5D71"/>
    <w:p w14:paraId="3CFE9824" w14:textId="7A8F5D17" w:rsidR="00C0428D" w:rsidRPr="00BD5D71" w:rsidRDefault="0042268D">
      <w:pPr>
        <w:pStyle w:val="Heading3"/>
        <w:keepNext w:val="0"/>
        <w:keepLines w:val="0"/>
        <w:spacing w:before="140" w:after="140"/>
        <w:rPr>
          <w:b w:val="0"/>
          <w:bCs w:val="0"/>
          <w:sz w:val="32"/>
          <w:szCs w:val="32"/>
        </w:rPr>
      </w:pPr>
      <w:r>
        <w:rPr>
          <w:b w:val="0"/>
          <w:bCs w:val="0"/>
          <w:color w:val="auto"/>
          <w:sz w:val="32"/>
          <w:szCs w:val="32"/>
        </w:rPr>
        <w:lastRenderedPageBreak/>
        <w:t xml:space="preserve">While fragmentation functions as a shared formal strategy in the work of Trinh T. Minh-ha and Shirin Neshat, distance emerges as a key ethical and political principle through which both artists reinterpret feminist relations. Instead of functioning as absence or withdrawal, distance is used as a means of resisting appropriation, mastery, and false intimacy. In Minh-ha’s work, distance is created through a refusal of explanatory narration and interpretive closure, most notably in Reassemblage (Minh-ha, 1982). By withholding contextual clarity and disrupting ethnographic authority, Minh-ha maintains a critical space between filmmaker, subject, and viewer, </w:t>
      </w:r>
      <w:proofErr w:type="spellStart"/>
      <w:r>
        <w:rPr>
          <w:b w:val="0"/>
          <w:bCs w:val="0"/>
          <w:color w:val="auto"/>
          <w:sz w:val="32"/>
          <w:szCs w:val="32"/>
        </w:rPr>
        <w:t>emphasising</w:t>
      </w:r>
      <w:proofErr w:type="spellEnd"/>
      <w:r>
        <w:rPr>
          <w:b w:val="0"/>
          <w:bCs w:val="0"/>
          <w:color w:val="auto"/>
          <w:sz w:val="32"/>
          <w:szCs w:val="32"/>
        </w:rPr>
        <w:t xml:space="preserve"> the limits of representation and the violence embedded in claims to complete knowledge. This perspective aligns closely with Donna Haraway’s concept of situated knowledge, which rejects objectivity in </w:t>
      </w:r>
      <w:proofErr w:type="spellStart"/>
      <w:r>
        <w:rPr>
          <w:b w:val="0"/>
          <w:bCs w:val="0"/>
          <w:color w:val="auto"/>
          <w:sz w:val="32"/>
          <w:szCs w:val="32"/>
        </w:rPr>
        <w:t>favour</w:t>
      </w:r>
      <w:proofErr w:type="spellEnd"/>
      <w:r>
        <w:rPr>
          <w:b w:val="0"/>
          <w:bCs w:val="0"/>
          <w:color w:val="auto"/>
          <w:sz w:val="32"/>
          <w:szCs w:val="32"/>
        </w:rPr>
        <w:t xml:space="preserve"> of partial and accountable perspectives (Haraway, 1988). Here, distance becomes an ethical condition, insisting that relation is grounded not in proximity or identification, but in the recognition of what cannot be fully known or possessed.</w:t>
      </w:r>
    </w:p>
    <w:p w14:paraId="01E68D5A" w14:textId="2129E8CA" w:rsidR="00C0428D" w:rsidRDefault="0042268D" w:rsidP="00BD5D71">
      <w:pPr>
        <w:pStyle w:val="Heading3"/>
        <w:keepNext w:val="0"/>
        <w:keepLines w:val="0"/>
        <w:spacing w:before="140" w:after="140"/>
        <w:rPr>
          <w:b w:val="0"/>
          <w:bCs w:val="0"/>
          <w:color w:val="auto"/>
          <w:sz w:val="32"/>
          <w:szCs w:val="32"/>
        </w:rPr>
      </w:pPr>
      <w:r>
        <w:rPr>
          <w:b w:val="0"/>
          <w:bCs w:val="0"/>
          <w:color w:val="auto"/>
          <w:sz w:val="32"/>
          <w:szCs w:val="32"/>
        </w:rPr>
        <w:t xml:space="preserve">In Neshat’s work, distance becomes more visible through spatial and symbolic separation. In Turbulent (Neshat, 1998) and Rapture (Neshat, 1999), divided screens, enclosed interiors, and exposed </w:t>
      </w:r>
      <w:proofErr w:type="gramStart"/>
      <w:r>
        <w:rPr>
          <w:b w:val="0"/>
          <w:bCs w:val="0"/>
          <w:color w:val="auto"/>
          <w:sz w:val="32"/>
          <w:szCs w:val="32"/>
        </w:rPr>
        <w:t>landscapes</w:t>
      </w:r>
      <w:proofErr w:type="gramEnd"/>
      <w:r>
        <w:rPr>
          <w:b w:val="0"/>
          <w:bCs w:val="0"/>
          <w:color w:val="auto"/>
          <w:sz w:val="32"/>
          <w:szCs w:val="32"/>
        </w:rPr>
        <w:t xml:space="preserve"> structure gendered power relations, creating distance both physically and politically. Drawing on Sara Ahmed’s theory of orientation, these spatial divisions influence how bodies are directed towards or away from social belonging, positioning men within protected structures of authority while women occupy spaces of exposure and displacement (Ahmed, 2006). Throughout both practices, distance functions as a feminist strategy that opposes domination and possession. Instead of seeking closure or unity, Minh-ha and Neshat regard distance as a relational mode that maintains difference, accountability, and ethical restraint, reframing separation as an essential condition for feminist relation rather than a sign of disengagement. </w:t>
      </w:r>
    </w:p>
    <w:p w14:paraId="3A4401AA" w14:textId="77777777" w:rsidR="00BD5D71" w:rsidRPr="00BD5D71" w:rsidRDefault="00BD5D71" w:rsidP="00BD5D71"/>
    <w:p w14:paraId="04C95B9D" w14:textId="63088B43" w:rsidR="00C0428D" w:rsidRPr="00BD5D71" w:rsidRDefault="0042268D">
      <w:pPr>
        <w:pStyle w:val="Heading3"/>
        <w:keepNext w:val="0"/>
        <w:keepLines w:val="0"/>
        <w:spacing w:before="281" w:after="140"/>
        <w:rPr>
          <w:b w:val="0"/>
          <w:bCs w:val="0"/>
          <w:sz w:val="32"/>
          <w:szCs w:val="32"/>
        </w:rPr>
      </w:pPr>
      <w:r>
        <w:rPr>
          <w:b w:val="0"/>
          <w:bCs w:val="0"/>
          <w:color w:val="auto"/>
          <w:sz w:val="32"/>
          <w:szCs w:val="32"/>
        </w:rPr>
        <w:lastRenderedPageBreak/>
        <w:t xml:space="preserve">Taken together, these feminist strategies of fragmentation and distance do not simply </w:t>
      </w:r>
      <w:proofErr w:type="spellStart"/>
      <w:r>
        <w:rPr>
          <w:b w:val="0"/>
          <w:bCs w:val="0"/>
          <w:color w:val="auto"/>
          <w:sz w:val="32"/>
          <w:szCs w:val="32"/>
        </w:rPr>
        <w:t>criticise</w:t>
      </w:r>
      <w:proofErr w:type="spellEnd"/>
      <w:r>
        <w:rPr>
          <w:b w:val="0"/>
          <w:bCs w:val="0"/>
          <w:color w:val="auto"/>
          <w:sz w:val="32"/>
          <w:szCs w:val="32"/>
        </w:rPr>
        <w:t xml:space="preserve"> representation or power structures but fundamentally alter how the human subject is understood within moving-image practice. Across the works of Trinh T. Minh-ha and Shirin Neshat, the human is no longer seen as independent, coherent, or sovereign, but as embodied, relational, and shaped by conditions of power, mediation, and constraint.</w:t>
      </w:r>
    </w:p>
    <w:p w14:paraId="3BCC4611" w14:textId="19B42C0A" w:rsidR="00C0428D" w:rsidRPr="00BD5D71" w:rsidRDefault="0042268D">
      <w:pPr>
        <w:pStyle w:val="Heading3"/>
        <w:keepNext w:val="0"/>
        <w:keepLines w:val="0"/>
        <w:spacing w:before="140" w:after="140"/>
        <w:rPr>
          <w:b w:val="0"/>
          <w:bCs w:val="0"/>
          <w:sz w:val="32"/>
          <w:szCs w:val="32"/>
        </w:rPr>
      </w:pPr>
      <w:r>
        <w:rPr>
          <w:b w:val="0"/>
          <w:bCs w:val="0"/>
          <w:color w:val="auto"/>
          <w:sz w:val="32"/>
          <w:szCs w:val="32"/>
        </w:rPr>
        <w:t>Both artists highlight embodiment as a space where meaning and subjectivity are constructed, through Minh-ha’s focus on sensory experience and partial perception in Reassemblage (Minh-ha, 1982), or by Neshat’s portrayal of gendered bodies within divided spatial and political contexts in Turbulent (Neshat, 1998), Rapture (Neshat, 1999), and Women Without Men (Neshat, 2009). In each instance, the body is not a transparent vessel of identity, but a contested and regulated site shaped by visibility, silence, and spatial arrangement.</w:t>
      </w:r>
    </w:p>
    <w:p w14:paraId="26A8D535" w14:textId="2E48D210" w:rsidR="00C0428D" w:rsidRPr="00BD5D71" w:rsidRDefault="0042268D">
      <w:pPr>
        <w:pStyle w:val="Heading3"/>
        <w:keepNext w:val="0"/>
        <w:keepLines w:val="0"/>
        <w:spacing w:before="140" w:after="140"/>
        <w:rPr>
          <w:b w:val="0"/>
          <w:bCs w:val="0"/>
          <w:sz w:val="32"/>
          <w:szCs w:val="32"/>
        </w:rPr>
      </w:pPr>
      <w:r>
        <w:rPr>
          <w:b w:val="0"/>
          <w:bCs w:val="0"/>
          <w:color w:val="auto"/>
          <w:sz w:val="32"/>
          <w:szCs w:val="32"/>
        </w:rPr>
        <w:t>This reconfiguration aligns with feminist theoretical critiques that challenge liberal humanist models of the self. Drawing on thinkers such as Butler and Braidotti, subjectivity is seen as non-sovereign and interdependent, formed through relational forces rather than individual autonomy (Butler, 2004; Braidotti, 2013). By rejecting stable identity and representational mastery, Minh-ha and Neshat contribute to feminist moving-image practices that reimagine the human as partial, situated, and ethically accountable within systems of power.</w:t>
      </w:r>
    </w:p>
    <w:p w14:paraId="3608110B" w14:textId="77777777" w:rsidR="00C0428D" w:rsidRPr="00BD5D71" w:rsidRDefault="00C0428D">
      <w:pPr>
        <w:spacing w:before="120" w:after="120"/>
        <w:rPr>
          <w:sz w:val="32"/>
          <w:szCs w:val="32"/>
        </w:rPr>
      </w:pPr>
    </w:p>
    <w:p w14:paraId="6E82B513" w14:textId="77777777" w:rsidR="00C0428D" w:rsidRPr="00BD5D71" w:rsidRDefault="00C0428D">
      <w:pPr>
        <w:spacing w:before="120" w:after="120"/>
        <w:rPr>
          <w:sz w:val="32"/>
          <w:szCs w:val="32"/>
        </w:rPr>
      </w:pPr>
    </w:p>
    <w:p w14:paraId="27699131" w14:textId="77777777" w:rsidR="00C0428D" w:rsidRPr="00BD5D71" w:rsidRDefault="00C0428D">
      <w:pPr>
        <w:spacing w:before="120" w:after="120"/>
        <w:rPr>
          <w:sz w:val="32"/>
          <w:szCs w:val="32"/>
        </w:rPr>
      </w:pPr>
    </w:p>
    <w:p w14:paraId="17F3BEDF" w14:textId="77777777" w:rsidR="00C0428D" w:rsidRPr="00BD5D71" w:rsidRDefault="00C0428D">
      <w:pPr>
        <w:spacing w:before="120" w:after="120"/>
        <w:rPr>
          <w:sz w:val="32"/>
          <w:szCs w:val="32"/>
        </w:rPr>
      </w:pPr>
    </w:p>
    <w:p w14:paraId="7CEE4215" w14:textId="77777777" w:rsidR="00C0428D" w:rsidRPr="00BD5D71" w:rsidRDefault="00C0428D">
      <w:pPr>
        <w:spacing w:before="120" w:after="120"/>
        <w:rPr>
          <w:sz w:val="32"/>
          <w:szCs w:val="32"/>
        </w:rPr>
      </w:pPr>
    </w:p>
    <w:p w14:paraId="5B6A0DFF" w14:textId="77777777" w:rsidR="00C0428D" w:rsidRDefault="00C0428D">
      <w:pPr>
        <w:spacing w:before="120" w:after="120"/>
        <w:rPr>
          <w:sz w:val="32"/>
          <w:szCs w:val="32"/>
        </w:rPr>
      </w:pPr>
    </w:p>
    <w:p w14:paraId="5CF0BED4" w14:textId="77777777" w:rsidR="00BD5D71" w:rsidRDefault="00BD5D71">
      <w:pPr>
        <w:spacing w:before="120" w:after="120"/>
        <w:rPr>
          <w:sz w:val="32"/>
          <w:szCs w:val="32"/>
        </w:rPr>
      </w:pPr>
    </w:p>
    <w:p w14:paraId="131F0058" w14:textId="77777777" w:rsidR="00BD5D71" w:rsidRPr="00BD5D71" w:rsidRDefault="00BD5D71">
      <w:pPr>
        <w:spacing w:before="120" w:after="120"/>
        <w:rPr>
          <w:sz w:val="32"/>
          <w:szCs w:val="32"/>
        </w:rPr>
      </w:pPr>
    </w:p>
    <w:p w14:paraId="0EA7DEE9" w14:textId="77777777" w:rsidR="00C0428D" w:rsidRPr="00BD5D71" w:rsidRDefault="00000000">
      <w:pPr>
        <w:pStyle w:val="Heading2"/>
        <w:keepNext w:val="0"/>
        <w:keepLines w:val="0"/>
        <w:spacing w:before="360" w:after="180"/>
        <w:jc w:val="center"/>
      </w:pPr>
      <w:r w:rsidRPr="00BD5D71">
        <w:rPr>
          <w:color w:val="auto"/>
        </w:rPr>
        <w:lastRenderedPageBreak/>
        <w:t>Conclusion</w:t>
      </w:r>
    </w:p>
    <w:p w14:paraId="591F3A01" w14:textId="77777777" w:rsidR="00C0428D" w:rsidRPr="00BD5D71" w:rsidRDefault="00C0428D">
      <w:pPr>
        <w:spacing w:before="120" w:after="120"/>
        <w:rPr>
          <w:sz w:val="32"/>
          <w:szCs w:val="32"/>
        </w:rPr>
      </w:pPr>
    </w:p>
    <w:p w14:paraId="1E011C65" w14:textId="4ED6ADFF" w:rsidR="00C0428D" w:rsidRPr="00BD5D71" w:rsidRDefault="0042268D">
      <w:pPr>
        <w:pStyle w:val="Heading3"/>
        <w:keepNext w:val="0"/>
        <w:keepLines w:val="0"/>
        <w:spacing w:before="281" w:after="140"/>
        <w:rPr>
          <w:b w:val="0"/>
          <w:bCs w:val="0"/>
          <w:sz w:val="32"/>
          <w:szCs w:val="32"/>
        </w:rPr>
      </w:pPr>
      <w:r>
        <w:rPr>
          <w:b w:val="0"/>
          <w:bCs w:val="0"/>
          <w:color w:val="auto"/>
          <w:sz w:val="32"/>
          <w:szCs w:val="32"/>
        </w:rPr>
        <w:t xml:space="preserve">This essay has explored how the film and video practices of Trinh T. Minh-ha and Shirin Neshat deconstruct the human subject through feminist lenses, highlighting identity and embodiment as contingent, relational, and shaped by power rather than autonomous or universal. Operating within diverse cultural, political, and aesthetic contexts, both artists challenge liberal humanist assumptions of a coherent, sovereign self by </w:t>
      </w:r>
      <w:proofErr w:type="spellStart"/>
      <w:r>
        <w:rPr>
          <w:b w:val="0"/>
          <w:bCs w:val="0"/>
          <w:color w:val="auto"/>
          <w:sz w:val="32"/>
          <w:szCs w:val="32"/>
        </w:rPr>
        <w:t>emphasising</w:t>
      </w:r>
      <w:proofErr w:type="spellEnd"/>
      <w:r>
        <w:rPr>
          <w:b w:val="0"/>
          <w:bCs w:val="0"/>
          <w:color w:val="auto"/>
          <w:sz w:val="32"/>
          <w:szCs w:val="32"/>
        </w:rPr>
        <w:t xml:space="preserve"> fragmentation, distance, and embodied experience as key elements of feminist modes of representation.</w:t>
      </w:r>
    </w:p>
    <w:p w14:paraId="2BAB14FA" w14:textId="5833CB3F" w:rsidR="00C0428D" w:rsidRPr="00BD5D71" w:rsidRDefault="0042268D">
      <w:pPr>
        <w:pStyle w:val="Heading3"/>
        <w:keepNext w:val="0"/>
        <w:keepLines w:val="0"/>
        <w:spacing w:before="140" w:after="140"/>
        <w:rPr>
          <w:b w:val="0"/>
          <w:bCs w:val="0"/>
          <w:sz w:val="32"/>
          <w:szCs w:val="32"/>
        </w:rPr>
      </w:pPr>
      <w:r>
        <w:rPr>
          <w:b w:val="0"/>
          <w:bCs w:val="0"/>
          <w:color w:val="auto"/>
          <w:sz w:val="32"/>
          <w:szCs w:val="32"/>
        </w:rPr>
        <w:t xml:space="preserve">In Minh-ha’s work, particularly Reassemblage (1982), the deconstruction of the human subject appears through a rejection of representational mastery. By disrupting ethnographic authority, fragmenting sound and image, and rejecting explanatory narration, Minh-ha </w:t>
      </w:r>
      <w:proofErr w:type="spellStart"/>
      <w:r>
        <w:rPr>
          <w:b w:val="0"/>
          <w:bCs w:val="0"/>
          <w:color w:val="auto"/>
          <w:sz w:val="32"/>
          <w:szCs w:val="32"/>
        </w:rPr>
        <w:t>destabilises</w:t>
      </w:r>
      <w:proofErr w:type="spellEnd"/>
      <w:r>
        <w:rPr>
          <w:b w:val="0"/>
          <w:bCs w:val="0"/>
          <w:color w:val="auto"/>
          <w:sz w:val="32"/>
          <w:szCs w:val="32"/>
        </w:rPr>
        <w:t xml:space="preserve"> the idea that the human can be fully known or transparently represented. Her concepts of the boundary event and speaking nearby articulate an ethics of distance that resists appropriation and fixes neither identity nor meaning. When read through feminist frameworks such as Haraway’s situated knowledge and Butler’s critique of autonomous subjectivity, Minh-ha’s practice redefines the human as partial, mediated, and ethically connected to the limits of representation. Embodiment in her work is experienced through sensation and perception rather than recognition, aligning with phenomenological and haptic approaches that </w:t>
      </w:r>
      <w:proofErr w:type="spellStart"/>
      <w:r>
        <w:rPr>
          <w:b w:val="0"/>
          <w:bCs w:val="0"/>
          <w:color w:val="auto"/>
          <w:sz w:val="32"/>
          <w:szCs w:val="32"/>
        </w:rPr>
        <w:t>emphasise</w:t>
      </w:r>
      <w:proofErr w:type="spellEnd"/>
      <w:r>
        <w:rPr>
          <w:b w:val="0"/>
          <w:bCs w:val="0"/>
          <w:color w:val="auto"/>
          <w:sz w:val="32"/>
          <w:szCs w:val="32"/>
        </w:rPr>
        <w:t xml:space="preserve"> relational spectatorship over visual mastery.</w:t>
      </w:r>
    </w:p>
    <w:p w14:paraId="5D507CD5" w14:textId="54E43227" w:rsidR="00C0428D" w:rsidRPr="00BD5D71" w:rsidRDefault="0042268D">
      <w:pPr>
        <w:pStyle w:val="Heading3"/>
        <w:keepNext w:val="0"/>
        <w:keepLines w:val="0"/>
        <w:spacing w:before="140" w:after="140"/>
        <w:rPr>
          <w:b w:val="0"/>
          <w:bCs w:val="0"/>
          <w:sz w:val="32"/>
          <w:szCs w:val="32"/>
        </w:rPr>
      </w:pPr>
      <w:r>
        <w:rPr>
          <w:b w:val="0"/>
          <w:bCs w:val="0"/>
          <w:color w:val="auto"/>
          <w:sz w:val="32"/>
          <w:szCs w:val="32"/>
        </w:rPr>
        <w:t xml:space="preserve">Neshat similarly deconstructs the human subject, though through more explicit spatial, narrative, and symbolic methods. In Turbulent (1998), Rapture (1999), and Women Without Men (2009), identity is shaped by controlled voice, divided space, and narrative disruption. Neshat reveals how gendered subjectivity is constructed through access to visibility, audibility, and belonging, highlighting the political conditions that influence embodiment. Drawing on feminist theories such as Butler’s regulated embodiment and Ahmed’s concept of orientation, her work </w:t>
      </w:r>
      <w:r>
        <w:rPr>
          <w:b w:val="0"/>
          <w:bCs w:val="0"/>
          <w:color w:val="auto"/>
          <w:sz w:val="32"/>
          <w:szCs w:val="32"/>
        </w:rPr>
        <w:lastRenderedPageBreak/>
        <w:t xml:space="preserve">shows how distance functions not as absence but as a relational constraint that unevenly positions bodies within social and spatial frameworks. In Women Without Men (Neshat, 2009), fragmentation and affect further </w:t>
      </w:r>
      <w:proofErr w:type="spellStart"/>
      <w:r>
        <w:rPr>
          <w:b w:val="0"/>
          <w:bCs w:val="0"/>
          <w:color w:val="auto"/>
          <w:sz w:val="32"/>
          <w:szCs w:val="32"/>
        </w:rPr>
        <w:t>destabilise</w:t>
      </w:r>
      <w:proofErr w:type="spellEnd"/>
      <w:r>
        <w:rPr>
          <w:b w:val="0"/>
          <w:bCs w:val="0"/>
          <w:color w:val="auto"/>
          <w:sz w:val="32"/>
          <w:szCs w:val="32"/>
        </w:rPr>
        <w:t xml:space="preserve"> the self, portraying identity as experienced through emotional rupture and historical pressure rather than narrative coherence.</w:t>
      </w:r>
    </w:p>
    <w:p w14:paraId="73D1D230" w14:textId="07A2F7F5" w:rsidR="00C0428D" w:rsidRPr="00BD5D71" w:rsidRDefault="0042268D">
      <w:pPr>
        <w:pStyle w:val="Heading3"/>
        <w:keepNext w:val="0"/>
        <w:keepLines w:val="0"/>
        <w:spacing w:before="140" w:after="140"/>
        <w:rPr>
          <w:b w:val="0"/>
          <w:bCs w:val="0"/>
          <w:sz w:val="32"/>
          <w:szCs w:val="32"/>
        </w:rPr>
      </w:pPr>
      <w:r>
        <w:rPr>
          <w:b w:val="0"/>
          <w:bCs w:val="0"/>
          <w:color w:val="auto"/>
          <w:sz w:val="32"/>
          <w:szCs w:val="32"/>
        </w:rPr>
        <w:t xml:space="preserve">Taken together, Minh-ha and Neshat </w:t>
      </w:r>
      <w:proofErr w:type="spellStart"/>
      <w:r>
        <w:rPr>
          <w:b w:val="0"/>
          <w:bCs w:val="0"/>
          <w:color w:val="auto"/>
          <w:sz w:val="32"/>
          <w:szCs w:val="32"/>
        </w:rPr>
        <w:t>reconceptualise</w:t>
      </w:r>
      <w:proofErr w:type="spellEnd"/>
      <w:r>
        <w:rPr>
          <w:b w:val="0"/>
          <w:bCs w:val="0"/>
          <w:color w:val="auto"/>
          <w:sz w:val="32"/>
          <w:szCs w:val="32"/>
        </w:rPr>
        <w:t xml:space="preserve"> the human subject as embodied, relational, and non-sovereign. Distance in their work functions as a feminist strategy that resists domination, possession, and false universality, while fragmentation dismantles the illusion of a unified identity. Their practices resonate strongly with feminist critiques that locate selfhood not in autonomy or mastery, but amid vulnerability, mediation, and relation. By rejecting stable representation and embracing partiality, both artists help to develop feminist moving-image practices that reimagine what it means to be human, </w:t>
      </w:r>
      <w:proofErr w:type="spellStart"/>
      <w:r>
        <w:rPr>
          <w:b w:val="0"/>
          <w:bCs w:val="0"/>
          <w:color w:val="auto"/>
          <w:sz w:val="32"/>
          <w:szCs w:val="32"/>
        </w:rPr>
        <w:t>emphasising</w:t>
      </w:r>
      <w:proofErr w:type="spellEnd"/>
      <w:r>
        <w:rPr>
          <w:b w:val="0"/>
          <w:bCs w:val="0"/>
          <w:color w:val="auto"/>
          <w:sz w:val="32"/>
          <w:szCs w:val="32"/>
        </w:rPr>
        <w:t xml:space="preserve"> ethics, accountability, and embodied relation as central to subjectivity itself.</w:t>
      </w:r>
    </w:p>
    <w:p w14:paraId="53798155" w14:textId="77777777" w:rsidR="00C0428D" w:rsidRDefault="00C0428D">
      <w:pPr>
        <w:spacing w:before="120" w:after="120"/>
      </w:pPr>
    </w:p>
    <w:p w14:paraId="77638A7E" w14:textId="77777777" w:rsidR="00C0428D" w:rsidRDefault="00C0428D">
      <w:pPr>
        <w:spacing w:before="120" w:after="120"/>
      </w:pPr>
    </w:p>
    <w:p w14:paraId="40C50433" w14:textId="77777777" w:rsidR="00C0428D" w:rsidRDefault="00C0428D">
      <w:pPr>
        <w:spacing w:before="120" w:after="120"/>
      </w:pPr>
    </w:p>
    <w:p w14:paraId="613EFF41" w14:textId="77777777" w:rsidR="00C0428D" w:rsidRDefault="00C0428D">
      <w:pPr>
        <w:spacing w:before="120" w:after="120"/>
      </w:pPr>
    </w:p>
    <w:p w14:paraId="48D33B93" w14:textId="77777777" w:rsidR="00C0428D" w:rsidRDefault="00C0428D">
      <w:pPr>
        <w:spacing w:before="120" w:after="120"/>
      </w:pPr>
    </w:p>
    <w:p w14:paraId="6AA163DF" w14:textId="77777777" w:rsidR="00C0428D" w:rsidRDefault="00C0428D">
      <w:pPr>
        <w:spacing w:before="120" w:after="120"/>
      </w:pPr>
    </w:p>
    <w:p w14:paraId="4C814A50" w14:textId="77777777" w:rsidR="00C0428D" w:rsidRDefault="00C0428D">
      <w:pPr>
        <w:spacing w:before="120" w:after="120"/>
      </w:pPr>
    </w:p>
    <w:p w14:paraId="170CB2E9" w14:textId="77777777" w:rsidR="00C0428D" w:rsidRDefault="00C0428D">
      <w:pPr>
        <w:spacing w:before="120" w:after="120"/>
      </w:pPr>
    </w:p>
    <w:p w14:paraId="5D3851EF" w14:textId="77777777" w:rsidR="00C0428D" w:rsidRDefault="00C0428D">
      <w:pPr>
        <w:spacing w:before="120" w:after="120"/>
      </w:pPr>
    </w:p>
    <w:p w14:paraId="54AC2DFE" w14:textId="77777777" w:rsidR="00C0428D" w:rsidRDefault="00C0428D">
      <w:pPr>
        <w:spacing w:before="120" w:after="120"/>
      </w:pPr>
    </w:p>
    <w:p w14:paraId="3168FFC5" w14:textId="77777777" w:rsidR="00BD5D71" w:rsidRDefault="00BD5D71">
      <w:pPr>
        <w:spacing w:before="120" w:after="120"/>
      </w:pPr>
    </w:p>
    <w:p w14:paraId="50C4AA31" w14:textId="77777777" w:rsidR="00BD5D71" w:rsidRDefault="00BD5D71">
      <w:pPr>
        <w:spacing w:before="120" w:after="120"/>
      </w:pPr>
    </w:p>
    <w:p w14:paraId="61ACD7C2" w14:textId="77777777" w:rsidR="00BD5D71" w:rsidRDefault="00BD5D71">
      <w:pPr>
        <w:spacing w:before="120" w:after="120"/>
      </w:pPr>
    </w:p>
    <w:p w14:paraId="69F33BC1" w14:textId="77777777" w:rsidR="00BD5D71" w:rsidRDefault="00BD5D71">
      <w:pPr>
        <w:spacing w:before="120" w:after="120"/>
      </w:pPr>
    </w:p>
    <w:p w14:paraId="78C1B128" w14:textId="77777777" w:rsidR="00BD5D71" w:rsidRDefault="00BD5D71">
      <w:pPr>
        <w:spacing w:before="120" w:after="120"/>
      </w:pPr>
    </w:p>
    <w:p w14:paraId="6C6D3FE3" w14:textId="77777777" w:rsidR="00C0428D" w:rsidRDefault="00C0428D">
      <w:pPr>
        <w:spacing w:before="120" w:after="120"/>
      </w:pPr>
    </w:p>
    <w:p w14:paraId="3638E6C5" w14:textId="77777777" w:rsidR="00C0428D" w:rsidRDefault="00000000">
      <w:pPr>
        <w:pStyle w:val="Heading2"/>
        <w:keepNext w:val="0"/>
        <w:keepLines w:val="0"/>
        <w:spacing w:before="360" w:after="180"/>
        <w:jc w:val="center"/>
      </w:pPr>
      <w:r>
        <w:rPr>
          <w:color w:val="auto"/>
        </w:rPr>
        <w:lastRenderedPageBreak/>
        <w:t>Reference List</w:t>
      </w:r>
    </w:p>
    <w:p w14:paraId="3FF9DE6C" w14:textId="77777777" w:rsidR="00C0428D" w:rsidRDefault="00C0428D">
      <w:pPr>
        <w:spacing w:before="120" w:after="120"/>
      </w:pPr>
    </w:p>
    <w:p w14:paraId="6FD69A51" w14:textId="77777777" w:rsidR="00C0428D" w:rsidRPr="00B84785" w:rsidRDefault="00C0428D">
      <w:pPr>
        <w:spacing w:before="120" w:after="120"/>
        <w:rPr>
          <w:sz w:val="32"/>
          <w:szCs w:val="32"/>
        </w:rPr>
      </w:pPr>
    </w:p>
    <w:p w14:paraId="0E1D4638" w14:textId="77777777" w:rsidR="00B84785" w:rsidRPr="00B84785" w:rsidRDefault="00B84785" w:rsidP="00B84785">
      <w:pPr>
        <w:rPr>
          <w:sz w:val="32"/>
          <w:szCs w:val="32"/>
        </w:rPr>
      </w:pPr>
      <w:r w:rsidRPr="00B84785">
        <w:rPr>
          <w:sz w:val="32"/>
          <w:szCs w:val="32"/>
        </w:rPr>
        <w:t xml:space="preserve">Aware 2024 - </w:t>
      </w:r>
      <w:hyperlink r:id="rId4" w:history="1">
        <w:r w:rsidRPr="00B84785">
          <w:rPr>
            <w:rStyle w:val="Hyperlink"/>
            <w:color w:val="auto"/>
            <w:sz w:val="32"/>
            <w:szCs w:val="32"/>
          </w:rPr>
          <w:t>https://awarewomenartists.com/en/artiste/trinh-t-minh-ha/</w:t>
        </w:r>
      </w:hyperlink>
    </w:p>
    <w:p w14:paraId="141B9B67" w14:textId="77777777" w:rsidR="00B84785" w:rsidRDefault="00B84785" w:rsidP="00B84785">
      <w:pPr>
        <w:rPr>
          <w:sz w:val="32"/>
          <w:szCs w:val="32"/>
        </w:rPr>
      </w:pPr>
      <w:r w:rsidRPr="00B84785">
        <w:rPr>
          <w:sz w:val="32"/>
          <w:szCs w:val="32"/>
        </w:rPr>
        <w:t>Reassemblage 1989</w:t>
      </w:r>
    </w:p>
    <w:p w14:paraId="352C4B9E" w14:textId="77777777" w:rsidR="00EC04A8" w:rsidRPr="00B84785" w:rsidRDefault="00EC04A8" w:rsidP="00B84785">
      <w:pPr>
        <w:rPr>
          <w:sz w:val="32"/>
          <w:szCs w:val="32"/>
        </w:rPr>
      </w:pPr>
    </w:p>
    <w:p w14:paraId="022575B8" w14:textId="77777777" w:rsidR="00B84785" w:rsidRPr="00B84785" w:rsidRDefault="00B84785" w:rsidP="00B84785">
      <w:pPr>
        <w:rPr>
          <w:sz w:val="32"/>
          <w:szCs w:val="32"/>
        </w:rPr>
      </w:pPr>
      <w:r w:rsidRPr="00B84785">
        <w:rPr>
          <w:sz w:val="32"/>
          <w:szCs w:val="32"/>
        </w:rPr>
        <w:t xml:space="preserve">NWMA 2015-  </w:t>
      </w:r>
      <w:hyperlink r:id="rId5" w:history="1">
        <w:r w:rsidRPr="00B84785">
          <w:rPr>
            <w:rStyle w:val="Hyperlink"/>
            <w:color w:val="auto"/>
            <w:sz w:val="32"/>
            <w:szCs w:val="32"/>
          </w:rPr>
          <w:t>https://nmwa.org/art/artists/shirin-neshat/</w:t>
        </w:r>
      </w:hyperlink>
    </w:p>
    <w:p w14:paraId="7221C944" w14:textId="77777777" w:rsidR="00B84785" w:rsidRDefault="00B84785" w:rsidP="00B84785">
      <w:pPr>
        <w:rPr>
          <w:sz w:val="32"/>
          <w:szCs w:val="32"/>
        </w:rPr>
      </w:pPr>
      <w:r w:rsidRPr="00B84785">
        <w:rPr>
          <w:sz w:val="32"/>
          <w:szCs w:val="32"/>
        </w:rPr>
        <w:t>Women of Allah 1993-97</w:t>
      </w:r>
    </w:p>
    <w:p w14:paraId="4C9BF78C" w14:textId="77777777" w:rsidR="00EC04A8" w:rsidRPr="00B84785" w:rsidRDefault="00EC04A8" w:rsidP="00B84785">
      <w:pPr>
        <w:rPr>
          <w:sz w:val="32"/>
          <w:szCs w:val="32"/>
        </w:rPr>
      </w:pPr>
    </w:p>
    <w:p w14:paraId="1533231B" w14:textId="75C52D57" w:rsidR="00B84785" w:rsidRDefault="00B84785" w:rsidP="00B84785">
      <w:pPr>
        <w:rPr>
          <w:sz w:val="32"/>
          <w:szCs w:val="32"/>
        </w:rPr>
      </w:pPr>
      <w:r w:rsidRPr="00B84785">
        <w:rPr>
          <w:sz w:val="32"/>
          <w:szCs w:val="32"/>
        </w:rPr>
        <w:t>Hall, S. (1996)</w:t>
      </w:r>
      <w:r w:rsidR="00EC04A8">
        <w:rPr>
          <w:sz w:val="32"/>
          <w:szCs w:val="32"/>
        </w:rPr>
        <w:t>.</w:t>
      </w:r>
      <w:r w:rsidRPr="00B84785">
        <w:rPr>
          <w:sz w:val="32"/>
          <w:szCs w:val="32"/>
        </w:rPr>
        <w:t xml:space="preserve"> </w:t>
      </w:r>
      <w:r w:rsidRPr="00B84785">
        <w:rPr>
          <w:i/>
          <w:iCs/>
          <w:sz w:val="32"/>
          <w:szCs w:val="32"/>
        </w:rPr>
        <w:t>Introduction: Who Needs “Identity”?</w:t>
      </w:r>
      <w:r w:rsidRPr="00B84785">
        <w:rPr>
          <w:sz w:val="32"/>
          <w:szCs w:val="32"/>
        </w:rPr>
        <w:t xml:space="preserve"> In: Hall, S. and du Gay, P. (eds.) </w:t>
      </w:r>
      <w:r w:rsidRPr="00B84785">
        <w:rPr>
          <w:b/>
          <w:bCs/>
          <w:sz w:val="32"/>
          <w:szCs w:val="32"/>
        </w:rPr>
        <w:t>Questions of Cultural Identity</w:t>
      </w:r>
      <w:r w:rsidRPr="00B84785">
        <w:rPr>
          <w:sz w:val="32"/>
          <w:szCs w:val="32"/>
        </w:rPr>
        <w:t>. London: Sage, pp. 1–17.</w:t>
      </w:r>
    </w:p>
    <w:p w14:paraId="0F7D65EE" w14:textId="77777777" w:rsidR="00EC04A8" w:rsidRPr="00B84785" w:rsidRDefault="00EC04A8" w:rsidP="00B84785">
      <w:pPr>
        <w:rPr>
          <w:sz w:val="32"/>
          <w:szCs w:val="32"/>
        </w:rPr>
      </w:pPr>
    </w:p>
    <w:p w14:paraId="65D66E7D" w14:textId="50E58391" w:rsidR="00B84785" w:rsidRDefault="00B84785" w:rsidP="00B84785">
      <w:pPr>
        <w:rPr>
          <w:sz w:val="32"/>
          <w:szCs w:val="32"/>
        </w:rPr>
      </w:pPr>
      <w:r w:rsidRPr="00B84785">
        <w:rPr>
          <w:sz w:val="32"/>
          <w:szCs w:val="32"/>
        </w:rPr>
        <w:t>Minh-ha, T.T. (1989)</w:t>
      </w:r>
      <w:r w:rsidR="00EC04A8">
        <w:rPr>
          <w:sz w:val="32"/>
          <w:szCs w:val="32"/>
        </w:rPr>
        <w:t>.</w:t>
      </w:r>
      <w:r w:rsidRPr="00B84785">
        <w:rPr>
          <w:sz w:val="32"/>
          <w:szCs w:val="32"/>
        </w:rPr>
        <w:t xml:space="preserve"> </w:t>
      </w:r>
      <w:r w:rsidRPr="00B84785">
        <w:rPr>
          <w:i/>
          <w:iCs/>
          <w:sz w:val="32"/>
          <w:szCs w:val="32"/>
        </w:rPr>
        <w:t>Woman, Native, Other: Writing Postcoloniality and Feminism</w:t>
      </w:r>
      <w:r w:rsidRPr="00B84785">
        <w:rPr>
          <w:sz w:val="32"/>
          <w:szCs w:val="32"/>
        </w:rPr>
        <w:t>. Bloomington: Indiana University Press.</w:t>
      </w:r>
    </w:p>
    <w:p w14:paraId="40766BCB" w14:textId="77777777" w:rsidR="00EC04A8" w:rsidRPr="00B84785" w:rsidRDefault="00EC04A8" w:rsidP="00B84785">
      <w:pPr>
        <w:rPr>
          <w:sz w:val="32"/>
          <w:szCs w:val="32"/>
        </w:rPr>
      </w:pPr>
    </w:p>
    <w:p w14:paraId="6E59ADA4" w14:textId="20EB502D" w:rsidR="00B84785" w:rsidRDefault="00B84785" w:rsidP="00B84785">
      <w:pPr>
        <w:rPr>
          <w:sz w:val="32"/>
          <w:szCs w:val="32"/>
        </w:rPr>
      </w:pPr>
      <w:r w:rsidRPr="00B84785">
        <w:rPr>
          <w:sz w:val="32"/>
          <w:szCs w:val="32"/>
        </w:rPr>
        <w:t>Butler, J. (1990)</w:t>
      </w:r>
      <w:r w:rsidR="00EC04A8">
        <w:rPr>
          <w:sz w:val="32"/>
          <w:szCs w:val="32"/>
        </w:rPr>
        <w:t>.</w:t>
      </w:r>
      <w:r w:rsidRPr="00B84785">
        <w:rPr>
          <w:sz w:val="32"/>
          <w:szCs w:val="32"/>
        </w:rPr>
        <w:t xml:space="preserve"> </w:t>
      </w:r>
      <w:r w:rsidRPr="00B84785">
        <w:rPr>
          <w:i/>
          <w:iCs/>
          <w:sz w:val="32"/>
          <w:szCs w:val="32"/>
        </w:rPr>
        <w:t>Gender Trouble: Feminism and the Subversion of Identity</w:t>
      </w:r>
      <w:r w:rsidRPr="00B84785">
        <w:rPr>
          <w:sz w:val="32"/>
          <w:szCs w:val="32"/>
        </w:rPr>
        <w:t>. New York: Routledge</w:t>
      </w:r>
    </w:p>
    <w:p w14:paraId="4385B203" w14:textId="77777777" w:rsidR="00EC04A8" w:rsidRPr="00B84785" w:rsidRDefault="00EC04A8" w:rsidP="00B84785">
      <w:pPr>
        <w:rPr>
          <w:sz w:val="32"/>
          <w:szCs w:val="32"/>
        </w:rPr>
      </w:pPr>
    </w:p>
    <w:p w14:paraId="01674C91" w14:textId="1F3ABFCA" w:rsidR="00B84785" w:rsidRDefault="00B84785" w:rsidP="00B84785">
      <w:pPr>
        <w:rPr>
          <w:sz w:val="32"/>
          <w:szCs w:val="32"/>
        </w:rPr>
      </w:pPr>
      <w:r w:rsidRPr="00B84785">
        <w:rPr>
          <w:sz w:val="32"/>
          <w:szCs w:val="32"/>
        </w:rPr>
        <w:t>Fukuyama, F. (2002)</w:t>
      </w:r>
      <w:r w:rsidR="00EC04A8">
        <w:rPr>
          <w:sz w:val="32"/>
          <w:szCs w:val="32"/>
        </w:rPr>
        <w:t>.</w:t>
      </w:r>
      <w:r w:rsidRPr="00B84785">
        <w:rPr>
          <w:sz w:val="32"/>
          <w:szCs w:val="32"/>
        </w:rPr>
        <w:t xml:space="preserve"> </w:t>
      </w:r>
      <w:r w:rsidRPr="00B84785">
        <w:rPr>
          <w:i/>
          <w:iCs/>
          <w:sz w:val="32"/>
          <w:szCs w:val="32"/>
        </w:rPr>
        <w:t>Our Posthuman Future: Consequences of the Biotechnology Revolution</w:t>
      </w:r>
      <w:r w:rsidRPr="00B84785">
        <w:rPr>
          <w:sz w:val="32"/>
          <w:szCs w:val="32"/>
        </w:rPr>
        <w:t>. London: Profile Books.</w:t>
      </w:r>
    </w:p>
    <w:p w14:paraId="6D9BE68C" w14:textId="77777777" w:rsidR="00EC04A8" w:rsidRPr="00B84785" w:rsidRDefault="00EC04A8" w:rsidP="00B84785">
      <w:pPr>
        <w:rPr>
          <w:sz w:val="32"/>
          <w:szCs w:val="32"/>
        </w:rPr>
      </w:pPr>
    </w:p>
    <w:p w14:paraId="72F0FE03" w14:textId="1F3001FE" w:rsidR="00B84785" w:rsidRDefault="00B84785" w:rsidP="00B84785">
      <w:pPr>
        <w:rPr>
          <w:sz w:val="32"/>
          <w:szCs w:val="32"/>
        </w:rPr>
      </w:pPr>
      <w:r w:rsidRPr="00B84785">
        <w:rPr>
          <w:sz w:val="32"/>
          <w:szCs w:val="32"/>
        </w:rPr>
        <w:t>Weedon, C. (1997)</w:t>
      </w:r>
      <w:r w:rsidR="00EC04A8">
        <w:rPr>
          <w:sz w:val="32"/>
          <w:szCs w:val="32"/>
        </w:rPr>
        <w:t>.</w:t>
      </w:r>
      <w:r w:rsidRPr="00B84785">
        <w:rPr>
          <w:sz w:val="32"/>
          <w:szCs w:val="32"/>
        </w:rPr>
        <w:t xml:space="preserve"> </w:t>
      </w:r>
      <w:r w:rsidRPr="00B84785">
        <w:rPr>
          <w:i/>
          <w:iCs/>
          <w:sz w:val="32"/>
          <w:szCs w:val="32"/>
        </w:rPr>
        <w:t>Feminist Practice and Poststructuralist Theory</w:t>
      </w:r>
      <w:r w:rsidRPr="00B84785">
        <w:rPr>
          <w:sz w:val="32"/>
          <w:szCs w:val="32"/>
        </w:rPr>
        <w:t xml:space="preserve">. 2nd </w:t>
      </w:r>
      <w:proofErr w:type="spellStart"/>
      <w:proofErr w:type="gramStart"/>
      <w:r w:rsidRPr="00B84785">
        <w:rPr>
          <w:sz w:val="32"/>
          <w:szCs w:val="32"/>
        </w:rPr>
        <w:t>edn</w:t>
      </w:r>
      <w:proofErr w:type="spellEnd"/>
      <w:proofErr w:type="gramEnd"/>
      <w:r w:rsidRPr="00B84785">
        <w:rPr>
          <w:sz w:val="32"/>
          <w:szCs w:val="32"/>
        </w:rPr>
        <w:t>. Oxford: Blackwell.</w:t>
      </w:r>
    </w:p>
    <w:p w14:paraId="3FDFAA9A" w14:textId="77777777" w:rsidR="00EC04A8" w:rsidRPr="00B84785" w:rsidRDefault="00EC04A8" w:rsidP="00B84785">
      <w:pPr>
        <w:rPr>
          <w:sz w:val="32"/>
          <w:szCs w:val="32"/>
        </w:rPr>
      </w:pPr>
    </w:p>
    <w:p w14:paraId="224DA0CB" w14:textId="149FEB77" w:rsidR="00B84785" w:rsidRDefault="00B84785" w:rsidP="00B84785">
      <w:pPr>
        <w:rPr>
          <w:sz w:val="32"/>
          <w:szCs w:val="32"/>
        </w:rPr>
      </w:pPr>
      <w:r w:rsidRPr="00B84785">
        <w:rPr>
          <w:sz w:val="32"/>
          <w:szCs w:val="32"/>
        </w:rPr>
        <w:t>Butler, J. (2004)</w:t>
      </w:r>
      <w:r w:rsidR="00EC04A8">
        <w:rPr>
          <w:sz w:val="32"/>
          <w:szCs w:val="32"/>
        </w:rPr>
        <w:t>.</w:t>
      </w:r>
      <w:r w:rsidRPr="00B84785">
        <w:rPr>
          <w:sz w:val="32"/>
          <w:szCs w:val="32"/>
        </w:rPr>
        <w:t xml:space="preserve"> </w:t>
      </w:r>
      <w:r w:rsidRPr="00B84785">
        <w:rPr>
          <w:i/>
          <w:iCs/>
          <w:sz w:val="32"/>
          <w:szCs w:val="32"/>
        </w:rPr>
        <w:t>Undoing Gender</w:t>
      </w:r>
      <w:r w:rsidRPr="00B84785">
        <w:rPr>
          <w:sz w:val="32"/>
          <w:szCs w:val="32"/>
        </w:rPr>
        <w:t>. New York: Routledge</w:t>
      </w:r>
    </w:p>
    <w:p w14:paraId="66234A9E" w14:textId="77777777" w:rsidR="00EC04A8" w:rsidRPr="00B84785" w:rsidRDefault="00EC04A8" w:rsidP="00B84785">
      <w:pPr>
        <w:rPr>
          <w:sz w:val="32"/>
          <w:szCs w:val="32"/>
        </w:rPr>
      </w:pPr>
    </w:p>
    <w:p w14:paraId="171E59C0" w14:textId="13723944" w:rsidR="00B84785" w:rsidRDefault="00B84785" w:rsidP="00B84785">
      <w:pPr>
        <w:rPr>
          <w:sz w:val="32"/>
          <w:szCs w:val="32"/>
        </w:rPr>
      </w:pPr>
      <w:r w:rsidRPr="00B84785">
        <w:rPr>
          <w:sz w:val="32"/>
          <w:szCs w:val="32"/>
        </w:rPr>
        <w:t>Haraway, D. (1988)</w:t>
      </w:r>
      <w:r w:rsidR="00EC04A8">
        <w:rPr>
          <w:sz w:val="32"/>
          <w:szCs w:val="32"/>
        </w:rPr>
        <w:t>.</w:t>
      </w:r>
      <w:r w:rsidRPr="00B84785">
        <w:rPr>
          <w:sz w:val="32"/>
          <w:szCs w:val="32"/>
        </w:rPr>
        <w:t xml:space="preserve"> ‘Situated Knowledges: The Science Question in Feminism and the Privilege of Partial Perspective’, </w:t>
      </w:r>
      <w:r w:rsidRPr="00B84785">
        <w:rPr>
          <w:i/>
          <w:iCs/>
          <w:sz w:val="32"/>
          <w:szCs w:val="32"/>
        </w:rPr>
        <w:t>Feminist Studies</w:t>
      </w:r>
      <w:r w:rsidRPr="00B84785">
        <w:rPr>
          <w:sz w:val="32"/>
          <w:szCs w:val="32"/>
        </w:rPr>
        <w:t>, 14(3), pp. 575–599.</w:t>
      </w:r>
    </w:p>
    <w:p w14:paraId="5A967C7F" w14:textId="77777777" w:rsidR="00EC04A8" w:rsidRPr="00B84785" w:rsidRDefault="00EC04A8" w:rsidP="00B84785">
      <w:pPr>
        <w:rPr>
          <w:sz w:val="32"/>
          <w:szCs w:val="32"/>
        </w:rPr>
      </w:pPr>
    </w:p>
    <w:p w14:paraId="0265D19A" w14:textId="5338C712" w:rsidR="00B84785" w:rsidRDefault="00B84785" w:rsidP="00B84785">
      <w:pPr>
        <w:rPr>
          <w:sz w:val="32"/>
          <w:szCs w:val="32"/>
        </w:rPr>
      </w:pPr>
      <w:r w:rsidRPr="00B84785">
        <w:rPr>
          <w:sz w:val="32"/>
          <w:szCs w:val="32"/>
        </w:rPr>
        <w:t>Marks, L.U. (2000)</w:t>
      </w:r>
      <w:r w:rsidR="00EC04A8">
        <w:rPr>
          <w:sz w:val="32"/>
          <w:szCs w:val="32"/>
        </w:rPr>
        <w:t>.</w:t>
      </w:r>
      <w:r w:rsidRPr="00B84785">
        <w:rPr>
          <w:sz w:val="32"/>
          <w:szCs w:val="32"/>
        </w:rPr>
        <w:t xml:space="preserve"> </w:t>
      </w:r>
      <w:r w:rsidRPr="00B84785">
        <w:rPr>
          <w:i/>
          <w:iCs/>
          <w:sz w:val="32"/>
          <w:szCs w:val="32"/>
        </w:rPr>
        <w:t>The Skin of the Film: Intercultural Cinema, Embodiment, and the Senses</w:t>
      </w:r>
      <w:r w:rsidRPr="00B84785">
        <w:rPr>
          <w:sz w:val="32"/>
          <w:szCs w:val="32"/>
        </w:rPr>
        <w:t>. Durham, NC: Duke University Press.</w:t>
      </w:r>
    </w:p>
    <w:p w14:paraId="6F0E5F6C" w14:textId="77777777" w:rsidR="00EC04A8" w:rsidRPr="00B84785" w:rsidRDefault="00EC04A8" w:rsidP="00B84785">
      <w:pPr>
        <w:rPr>
          <w:sz w:val="32"/>
          <w:szCs w:val="32"/>
        </w:rPr>
      </w:pPr>
    </w:p>
    <w:p w14:paraId="74EA34CD" w14:textId="77777777" w:rsidR="00EC04A8" w:rsidRDefault="00B84785" w:rsidP="00B84785">
      <w:pPr>
        <w:rPr>
          <w:sz w:val="32"/>
          <w:szCs w:val="32"/>
        </w:rPr>
      </w:pPr>
      <w:r w:rsidRPr="00B84785">
        <w:rPr>
          <w:sz w:val="32"/>
          <w:szCs w:val="32"/>
        </w:rPr>
        <w:lastRenderedPageBreak/>
        <w:t>Ahmed, S. (2004)</w:t>
      </w:r>
      <w:r w:rsidR="00EC04A8">
        <w:rPr>
          <w:sz w:val="32"/>
          <w:szCs w:val="32"/>
        </w:rPr>
        <w:t>.</w:t>
      </w:r>
      <w:r w:rsidRPr="00B84785">
        <w:rPr>
          <w:sz w:val="32"/>
          <w:szCs w:val="32"/>
        </w:rPr>
        <w:t xml:space="preserve"> </w:t>
      </w:r>
      <w:r w:rsidRPr="00B84785">
        <w:rPr>
          <w:i/>
          <w:iCs/>
          <w:sz w:val="32"/>
          <w:szCs w:val="32"/>
        </w:rPr>
        <w:t>The Cultural Politics of Emotion</w:t>
      </w:r>
      <w:r w:rsidRPr="00B84785">
        <w:rPr>
          <w:sz w:val="32"/>
          <w:szCs w:val="32"/>
        </w:rPr>
        <w:t>. Edinburgh: Edinburgh University Press.</w:t>
      </w:r>
    </w:p>
    <w:p w14:paraId="73DC75D7" w14:textId="77777777" w:rsidR="00EC04A8" w:rsidRDefault="00B84785" w:rsidP="00B84785">
      <w:pPr>
        <w:rPr>
          <w:sz w:val="32"/>
          <w:szCs w:val="32"/>
        </w:rPr>
      </w:pPr>
      <w:r w:rsidRPr="00B84785">
        <w:rPr>
          <w:sz w:val="32"/>
          <w:szCs w:val="32"/>
        </w:rPr>
        <w:br/>
        <w:t>Ahmed, S. (2006)</w:t>
      </w:r>
      <w:r w:rsidR="00EC04A8">
        <w:rPr>
          <w:sz w:val="32"/>
          <w:szCs w:val="32"/>
        </w:rPr>
        <w:t>.</w:t>
      </w:r>
      <w:r w:rsidRPr="00B84785">
        <w:rPr>
          <w:sz w:val="32"/>
          <w:szCs w:val="32"/>
        </w:rPr>
        <w:t xml:space="preserve"> </w:t>
      </w:r>
      <w:r w:rsidRPr="00B84785">
        <w:rPr>
          <w:i/>
          <w:iCs/>
          <w:sz w:val="32"/>
          <w:szCs w:val="32"/>
        </w:rPr>
        <w:t>Queer Phenomenology: Orientations, Objects, Others</w:t>
      </w:r>
      <w:r w:rsidRPr="00B84785">
        <w:rPr>
          <w:sz w:val="32"/>
          <w:szCs w:val="32"/>
        </w:rPr>
        <w:t>. Durham, NC: Duke University Press.</w:t>
      </w:r>
    </w:p>
    <w:p w14:paraId="1726B2ED" w14:textId="57F88393" w:rsidR="00B84785" w:rsidRPr="00B84785" w:rsidRDefault="00B84785" w:rsidP="00B84785">
      <w:pPr>
        <w:rPr>
          <w:sz w:val="32"/>
          <w:szCs w:val="32"/>
        </w:rPr>
      </w:pPr>
      <w:r w:rsidRPr="00B84785">
        <w:rPr>
          <w:sz w:val="32"/>
          <w:szCs w:val="32"/>
        </w:rPr>
        <w:br/>
        <w:t>Ahmed, S. (2017)</w:t>
      </w:r>
      <w:r w:rsidR="00EC04A8">
        <w:rPr>
          <w:sz w:val="32"/>
          <w:szCs w:val="32"/>
        </w:rPr>
        <w:t>.</w:t>
      </w:r>
      <w:r w:rsidRPr="00B84785">
        <w:rPr>
          <w:sz w:val="32"/>
          <w:szCs w:val="32"/>
        </w:rPr>
        <w:t xml:space="preserve"> </w:t>
      </w:r>
      <w:r w:rsidRPr="00B84785">
        <w:rPr>
          <w:i/>
          <w:iCs/>
          <w:sz w:val="32"/>
          <w:szCs w:val="32"/>
        </w:rPr>
        <w:t>Living a Feminist Life</w:t>
      </w:r>
      <w:r w:rsidRPr="00B84785">
        <w:rPr>
          <w:sz w:val="32"/>
          <w:szCs w:val="32"/>
        </w:rPr>
        <w:t xml:space="preserve">. Durham, NC: Duke University Press. </w:t>
      </w:r>
    </w:p>
    <w:p w14:paraId="42AAE77F" w14:textId="77777777" w:rsidR="00B84785" w:rsidRPr="00B84785" w:rsidRDefault="00B84785" w:rsidP="00B84785">
      <w:pPr>
        <w:rPr>
          <w:i/>
          <w:iCs/>
          <w:sz w:val="32"/>
          <w:szCs w:val="32"/>
        </w:rPr>
      </w:pPr>
    </w:p>
    <w:p w14:paraId="317FC2DD" w14:textId="411CD6A0" w:rsidR="00B84785" w:rsidRPr="00B84785" w:rsidRDefault="00B84785" w:rsidP="00B84785">
      <w:pPr>
        <w:rPr>
          <w:sz w:val="32"/>
          <w:szCs w:val="32"/>
        </w:rPr>
      </w:pPr>
      <w:proofErr w:type="spellStart"/>
      <w:r w:rsidRPr="00B84785">
        <w:rPr>
          <w:sz w:val="32"/>
          <w:szCs w:val="32"/>
        </w:rPr>
        <w:t>Sobchack</w:t>
      </w:r>
      <w:proofErr w:type="spellEnd"/>
      <w:r w:rsidRPr="00B84785">
        <w:rPr>
          <w:sz w:val="32"/>
          <w:szCs w:val="32"/>
        </w:rPr>
        <w:t>, V. (2004)</w:t>
      </w:r>
      <w:r w:rsidR="00EC04A8">
        <w:rPr>
          <w:sz w:val="32"/>
          <w:szCs w:val="32"/>
        </w:rPr>
        <w:t>.</w:t>
      </w:r>
      <w:r w:rsidRPr="00B84785">
        <w:rPr>
          <w:sz w:val="32"/>
          <w:szCs w:val="32"/>
        </w:rPr>
        <w:t xml:space="preserve"> </w:t>
      </w:r>
      <w:r w:rsidRPr="00B84785">
        <w:rPr>
          <w:i/>
          <w:iCs/>
          <w:sz w:val="32"/>
          <w:szCs w:val="32"/>
        </w:rPr>
        <w:t>Carnal Thoughts: Embodiment and Moving Image Culture</w:t>
      </w:r>
      <w:r w:rsidRPr="00B84785">
        <w:rPr>
          <w:sz w:val="32"/>
          <w:szCs w:val="32"/>
        </w:rPr>
        <w:t>. Berkeley: University of California Press.</w:t>
      </w:r>
      <w:r w:rsidRPr="00B84785">
        <w:rPr>
          <w:sz w:val="32"/>
          <w:szCs w:val="32"/>
        </w:rPr>
        <w:br/>
      </w:r>
    </w:p>
    <w:p w14:paraId="0D6355F4" w14:textId="6DA2AE39" w:rsidR="00B84785" w:rsidRDefault="00B84785" w:rsidP="00B84785">
      <w:pPr>
        <w:rPr>
          <w:sz w:val="32"/>
          <w:szCs w:val="32"/>
        </w:rPr>
      </w:pPr>
      <w:r w:rsidRPr="00B84785">
        <w:rPr>
          <w:sz w:val="32"/>
          <w:szCs w:val="32"/>
        </w:rPr>
        <w:t>Minh-ha, T.T. (2011)</w:t>
      </w:r>
      <w:r w:rsidR="00EC04A8">
        <w:rPr>
          <w:sz w:val="32"/>
          <w:szCs w:val="32"/>
        </w:rPr>
        <w:t>.</w:t>
      </w:r>
      <w:r w:rsidRPr="00B84785">
        <w:rPr>
          <w:sz w:val="32"/>
          <w:szCs w:val="32"/>
        </w:rPr>
        <w:t xml:space="preserve"> </w:t>
      </w:r>
      <w:r w:rsidRPr="00B84785">
        <w:rPr>
          <w:i/>
          <w:iCs/>
          <w:sz w:val="32"/>
          <w:szCs w:val="32"/>
        </w:rPr>
        <w:t>Elsewhere, Within Here: Immigration, Refugeeism and the Boundary Event</w:t>
      </w:r>
      <w:r w:rsidRPr="00B84785">
        <w:rPr>
          <w:sz w:val="32"/>
          <w:szCs w:val="32"/>
        </w:rPr>
        <w:t>. New York: Routledge.</w:t>
      </w:r>
    </w:p>
    <w:p w14:paraId="36297F34" w14:textId="77777777" w:rsidR="00EC04A8" w:rsidRPr="00B84785" w:rsidRDefault="00EC04A8" w:rsidP="00B84785">
      <w:pPr>
        <w:rPr>
          <w:sz w:val="32"/>
          <w:szCs w:val="32"/>
        </w:rPr>
      </w:pPr>
    </w:p>
    <w:p w14:paraId="36E537ED" w14:textId="7821DFC3" w:rsidR="00B84785" w:rsidRDefault="00B84785" w:rsidP="00B84785">
      <w:pPr>
        <w:rPr>
          <w:sz w:val="32"/>
          <w:szCs w:val="32"/>
        </w:rPr>
      </w:pPr>
      <w:r w:rsidRPr="00B84785">
        <w:rPr>
          <w:sz w:val="32"/>
          <w:szCs w:val="32"/>
        </w:rPr>
        <w:t>de Beauvoir, S. (2011)</w:t>
      </w:r>
      <w:r w:rsidR="00EC04A8">
        <w:rPr>
          <w:sz w:val="32"/>
          <w:szCs w:val="32"/>
        </w:rPr>
        <w:t>.</w:t>
      </w:r>
      <w:r w:rsidRPr="00B84785">
        <w:rPr>
          <w:sz w:val="32"/>
          <w:szCs w:val="32"/>
        </w:rPr>
        <w:t xml:space="preserve"> </w:t>
      </w:r>
      <w:r w:rsidRPr="00B84785">
        <w:rPr>
          <w:i/>
          <w:iCs/>
          <w:sz w:val="32"/>
          <w:szCs w:val="32"/>
        </w:rPr>
        <w:t>The Second Sex</w:t>
      </w:r>
      <w:r w:rsidRPr="00B84785">
        <w:rPr>
          <w:sz w:val="32"/>
          <w:szCs w:val="32"/>
        </w:rPr>
        <w:t xml:space="preserve">. Translated by C. Borde and S. </w:t>
      </w:r>
      <w:proofErr w:type="spellStart"/>
      <w:r w:rsidRPr="00B84785">
        <w:rPr>
          <w:sz w:val="32"/>
          <w:szCs w:val="32"/>
        </w:rPr>
        <w:t>Malovany</w:t>
      </w:r>
      <w:proofErr w:type="spellEnd"/>
      <w:r w:rsidRPr="00B84785">
        <w:rPr>
          <w:sz w:val="32"/>
          <w:szCs w:val="32"/>
        </w:rPr>
        <w:t>-Chevallier. London: Vintage.</w:t>
      </w:r>
    </w:p>
    <w:p w14:paraId="6AE83328" w14:textId="77777777" w:rsidR="00EC04A8" w:rsidRPr="00B84785" w:rsidRDefault="00EC04A8" w:rsidP="00B84785">
      <w:pPr>
        <w:rPr>
          <w:sz w:val="32"/>
          <w:szCs w:val="32"/>
        </w:rPr>
      </w:pPr>
    </w:p>
    <w:p w14:paraId="129F411D" w14:textId="519C2F67" w:rsidR="00B84785" w:rsidRDefault="00B84785" w:rsidP="00B84785">
      <w:pPr>
        <w:rPr>
          <w:sz w:val="32"/>
          <w:szCs w:val="32"/>
        </w:rPr>
      </w:pPr>
      <w:r w:rsidRPr="00B84785">
        <w:rPr>
          <w:sz w:val="32"/>
          <w:szCs w:val="32"/>
        </w:rPr>
        <w:t>Braidotti, R. (2013)</w:t>
      </w:r>
      <w:r w:rsidR="00EC04A8">
        <w:rPr>
          <w:sz w:val="32"/>
          <w:szCs w:val="32"/>
        </w:rPr>
        <w:t>.</w:t>
      </w:r>
      <w:r w:rsidRPr="00B84785">
        <w:rPr>
          <w:sz w:val="32"/>
          <w:szCs w:val="32"/>
        </w:rPr>
        <w:t xml:space="preserve"> </w:t>
      </w:r>
      <w:r w:rsidRPr="00B84785">
        <w:rPr>
          <w:i/>
          <w:iCs/>
          <w:sz w:val="32"/>
          <w:szCs w:val="32"/>
        </w:rPr>
        <w:t>The Posthuman</w:t>
      </w:r>
      <w:r w:rsidRPr="00B84785">
        <w:rPr>
          <w:sz w:val="32"/>
          <w:szCs w:val="32"/>
        </w:rPr>
        <w:t>. Cambridge: Polity Press.</w:t>
      </w:r>
    </w:p>
    <w:p w14:paraId="2C3EE01E" w14:textId="77777777" w:rsidR="00EC04A8" w:rsidRPr="00B84785" w:rsidRDefault="00EC04A8" w:rsidP="00B84785">
      <w:pPr>
        <w:rPr>
          <w:sz w:val="32"/>
          <w:szCs w:val="32"/>
        </w:rPr>
      </w:pPr>
    </w:p>
    <w:p w14:paraId="0291A9FD" w14:textId="17DD9943" w:rsidR="00B84785" w:rsidRDefault="00B84785" w:rsidP="00B84785">
      <w:pPr>
        <w:rPr>
          <w:sz w:val="32"/>
          <w:szCs w:val="32"/>
        </w:rPr>
      </w:pPr>
      <w:r w:rsidRPr="00B84785">
        <w:rPr>
          <w:sz w:val="32"/>
          <w:szCs w:val="32"/>
        </w:rPr>
        <w:t>Neshat, S. (1998)</w:t>
      </w:r>
      <w:r w:rsidR="00EC04A8">
        <w:rPr>
          <w:sz w:val="32"/>
          <w:szCs w:val="32"/>
        </w:rPr>
        <w:t>.</w:t>
      </w:r>
      <w:r w:rsidRPr="00B84785">
        <w:rPr>
          <w:sz w:val="32"/>
          <w:szCs w:val="32"/>
        </w:rPr>
        <w:t xml:space="preserve"> </w:t>
      </w:r>
      <w:r w:rsidRPr="00B84785">
        <w:rPr>
          <w:i/>
          <w:iCs/>
          <w:sz w:val="32"/>
          <w:szCs w:val="32"/>
        </w:rPr>
        <w:t>Turbulent</w:t>
      </w:r>
      <w:r w:rsidRPr="00B84785">
        <w:rPr>
          <w:sz w:val="32"/>
          <w:szCs w:val="32"/>
        </w:rPr>
        <w:t>. Video installation. New York: Gladstone Gallery.</w:t>
      </w:r>
    </w:p>
    <w:p w14:paraId="4886C766" w14:textId="77777777" w:rsidR="00EC04A8" w:rsidRPr="00B84785" w:rsidRDefault="00EC04A8" w:rsidP="00B84785">
      <w:pPr>
        <w:rPr>
          <w:sz w:val="32"/>
          <w:szCs w:val="32"/>
        </w:rPr>
      </w:pPr>
    </w:p>
    <w:p w14:paraId="29330815" w14:textId="5462D576" w:rsidR="00B84785" w:rsidRDefault="00B84785" w:rsidP="00B84785">
      <w:pPr>
        <w:rPr>
          <w:sz w:val="32"/>
          <w:szCs w:val="32"/>
        </w:rPr>
      </w:pPr>
      <w:r w:rsidRPr="00B84785">
        <w:rPr>
          <w:sz w:val="32"/>
          <w:szCs w:val="32"/>
        </w:rPr>
        <w:t>Neshat, S. (1999)</w:t>
      </w:r>
      <w:r w:rsidR="00EC04A8">
        <w:rPr>
          <w:sz w:val="32"/>
          <w:szCs w:val="32"/>
        </w:rPr>
        <w:t>.</w:t>
      </w:r>
      <w:r w:rsidRPr="00B84785">
        <w:rPr>
          <w:sz w:val="32"/>
          <w:szCs w:val="32"/>
        </w:rPr>
        <w:t xml:space="preserve"> </w:t>
      </w:r>
      <w:r w:rsidRPr="00B84785">
        <w:rPr>
          <w:i/>
          <w:iCs/>
          <w:sz w:val="32"/>
          <w:szCs w:val="32"/>
        </w:rPr>
        <w:t>Rapture</w:t>
      </w:r>
      <w:r w:rsidRPr="00B84785">
        <w:rPr>
          <w:sz w:val="32"/>
          <w:szCs w:val="32"/>
        </w:rPr>
        <w:t>. Two-channel video installation. New York: Gladstone Gallery.</w:t>
      </w:r>
    </w:p>
    <w:p w14:paraId="0BCF42C7" w14:textId="77777777" w:rsidR="00EC04A8" w:rsidRPr="00B84785" w:rsidRDefault="00EC04A8" w:rsidP="00B84785">
      <w:pPr>
        <w:rPr>
          <w:sz w:val="32"/>
          <w:szCs w:val="32"/>
        </w:rPr>
      </w:pPr>
    </w:p>
    <w:p w14:paraId="25C9D7D0" w14:textId="47685811" w:rsidR="00B84785" w:rsidRPr="00B84785" w:rsidRDefault="00B84785" w:rsidP="00B84785">
      <w:pPr>
        <w:rPr>
          <w:sz w:val="32"/>
          <w:szCs w:val="32"/>
        </w:rPr>
      </w:pPr>
      <w:r w:rsidRPr="00B84785">
        <w:rPr>
          <w:sz w:val="32"/>
          <w:szCs w:val="32"/>
        </w:rPr>
        <w:t>Neshat, S. (2009)</w:t>
      </w:r>
      <w:r w:rsidR="00EC04A8">
        <w:rPr>
          <w:sz w:val="32"/>
          <w:szCs w:val="32"/>
        </w:rPr>
        <w:t>.</w:t>
      </w:r>
      <w:r w:rsidRPr="00B84785">
        <w:rPr>
          <w:sz w:val="32"/>
          <w:szCs w:val="32"/>
        </w:rPr>
        <w:t xml:space="preserve"> </w:t>
      </w:r>
      <w:r w:rsidRPr="00B84785">
        <w:rPr>
          <w:i/>
          <w:iCs/>
          <w:sz w:val="32"/>
          <w:szCs w:val="32"/>
        </w:rPr>
        <w:t>Women Without Men</w:t>
      </w:r>
      <w:r w:rsidRPr="00B84785">
        <w:rPr>
          <w:sz w:val="32"/>
          <w:szCs w:val="32"/>
        </w:rPr>
        <w:t>. Feature film. Dir. Shirin Neshat.</w:t>
      </w:r>
    </w:p>
    <w:p w14:paraId="16EB0166" w14:textId="77777777" w:rsidR="00C0428D" w:rsidRDefault="00C0428D">
      <w:pPr>
        <w:spacing w:before="120" w:after="120"/>
      </w:pPr>
    </w:p>
    <w:p w14:paraId="50A17627" w14:textId="77777777" w:rsidR="00C0428D" w:rsidRDefault="00C0428D">
      <w:pPr>
        <w:spacing w:before="120" w:after="120"/>
      </w:pPr>
    </w:p>
    <w:p w14:paraId="5D3E96AD" w14:textId="77777777" w:rsidR="00C0428D" w:rsidRDefault="00C0428D">
      <w:pPr>
        <w:spacing w:before="120" w:after="120"/>
      </w:pPr>
    </w:p>
    <w:p w14:paraId="62295B1B" w14:textId="77777777" w:rsidR="00C0428D" w:rsidRDefault="00C0428D">
      <w:pPr>
        <w:spacing w:before="120" w:after="120"/>
      </w:pPr>
    </w:p>
    <w:p w14:paraId="60580C91" w14:textId="77777777" w:rsidR="00560773" w:rsidRDefault="00560773">
      <w:pPr>
        <w:spacing w:before="120" w:after="120"/>
      </w:pPr>
    </w:p>
    <w:p w14:paraId="76DF1D12" w14:textId="77777777" w:rsidR="00C0428D" w:rsidRDefault="00000000" w:rsidP="00560773">
      <w:pPr>
        <w:pStyle w:val="Heading2"/>
        <w:keepNext w:val="0"/>
        <w:keepLines w:val="0"/>
        <w:spacing w:before="360" w:after="180"/>
        <w:jc w:val="center"/>
        <w:rPr>
          <w:color w:val="auto"/>
        </w:rPr>
      </w:pPr>
      <w:r>
        <w:rPr>
          <w:color w:val="auto"/>
        </w:rPr>
        <w:lastRenderedPageBreak/>
        <w:t>Bibliography</w:t>
      </w:r>
    </w:p>
    <w:p w14:paraId="79A013BA" w14:textId="77777777" w:rsidR="00246BE0" w:rsidRPr="00246BE0" w:rsidRDefault="00246BE0" w:rsidP="00246BE0"/>
    <w:p w14:paraId="4234B2A4" w14:textId="77777777" w:rsidR="00CD6CB7" w:rsidRDefault="00CD6CB7" w:rsidP="00CD6CB7"/>
    <w:p w14:paraId="794B22DB" w14:textId="77777777" w:rsidR="00246BE0" w:rsidRPr="00246BE0" w:rsidRDefault="00246BE0" w:rsidP="00246BE0">
      <w:pPr>
        <w:rPr>
          <w:sz w:val="32"/>
          <w:szCs w:val="32"/>
          <w:lang w:val="en-GB"/>
        </w:rPr>
      </w:pPr>
      <w:r w:rsidRPr="00246BE0">
        <w:rPr>
          <w:sz w:val="32"/>
          <w:szCs w:val="32"/>
          <w:lang w:val="en-GB"/>
        </w:rPr>
        <w:t xml:space="preserve">Minh-ha, Trinh. T. “Elsewhere, within Here.” </w:t>
      </w:r>
      <w:r w:rsidRPr="00246BE0">
        <w:rPr>
          <w:i/>
          <w:iCs/>
          <w:sz w:val="32"/>
          <w:szCs w:val="32"/>
          <w:lang w:val="en-GB"/>
        </w:rPr>
        <w:t>Google Books</w:t>
      </w:r>
      <w:r w:rsidRPr="00246BE0">
        <w:rPr>
          <w:sz w:val="32"/>
          <w:szCs w:val="32"/>
          <w:lang w:val="en-GB"/>
        </w:rPr>
        <w:t>, 2026, books.google.com.pa/books?id=3ZstCgAAQBAJ&amp;printsec=frontcover#v=onepage&amp;q&amp;f=false. Accessed 18 Jan. 2026.</w:t>
      </w:r>
    </w:p>
    <w:p w14:paraId="34BECBCA" w14:textId="77777777" w:rsidR="00CD6CB7" w:rsidRDefault="00CD6CB7" w:rsidP="00CD6CB7"/>
    <w:p w14:paraId="2426AA27" w14:textId="5894A9B3" w:rsidR="00246BE0" w:rsidRDefault="00C77D38" w:rsidP="00CD6CB7">
      <w:pPr>
        <w:rPr>
          <w:sz w:val="32"/>
          <w:szCs w:val="32"/>
        </w:rPr>
      </w:pPr>
      <w:r w:rsidRPr="00C77D38">
        <w:rPr>
          <w:i/>
          <w:iCs/>
          <w:sz w:val="32"/>
          <w:szCs w:val="32"/>
        </w:rPr>
        <w:t>Yuval Noah Harari and ‘liberal humanism’</w:t>
      </w:r>
      <w:r w:rsidRPr="00C77D38">
        <w:rPr>
          <w:sz w:val="32"/>
          <w:szCs w:val="32"/>
        </w:rPr>
        <w:t xml:space="preserve"> (no date) </w:t>
      </w:r>
      <w:r w:rsidRPr="00C77D38">
        <w:rPr>
          <w:i/>
          <w:iCs/>
          <w:sz w:val="32"/>
          <w:szCs w:val="32"/>
        </w:rPr>
        <w:t>Humanists UK</w:t>
      </w:r>
      <w:r w:rsidRPr="00C77D38">
        <w:rPr>
          <w:sz w:val="32"/>
          <w:szCs w:val="32"/>
        </w:rPr>
        <w:t>. Available at: https://humanists.uk/humanism/humanism-today/yuval-noah-harari-liberal-humanism/#:~:text=Harari’s%20liberal%20humanism%20is%20</w:t>
      </w:r>
      <w:proofErr w:type="gramStart"/>
      <w:r w:rsidRPr="00C77D38">
        <w:rPr>
          <w:sz w:val="32"/>
          <w:szCs w:val="32"/>
        </w:rPr>
        <w:t>more,Harari’s</w:t>
      </w:r>
      <w:proofErr w:type="gramEnd"/>
      <w:r w:rsidRPr="00C77D38">
        <w:rPr>
          <w:sz w:val="32"/>
          <w:szCs w:val="32"/>
        </w:rPr>
        <w:t>%20definition%20of%20’secularism</w:t>
      </w:r>
      <w:proofErr w:type="gramStart"/>
      <w:r w:rsidRPr="00C77D38">
        <w:rPr>
          <w:sz w:val="32"/>
          <w:szCs w:val="32"/>
        </w:rPr>
        <w:t>’.v</w:t>
      </w:r>
      <w:proofErr w:type="gramEnd"/>
      <w:r w:rsidRPr="00C77D38">
        <w:rPr>
          <w:sz w:val="32"/>
          <w:szCs w:val="32"/>
        </w:rPr>
        <w:t xml:space="preserve"> (Accessed: 19 December 2025).</w:t>
      </w:r>
    </w:p>
    <w:p w14:paraId="665E96B6" w14:textId="77777777" w:rsidR="00C77D38" w:rsidRDefault="00C77D38" w:rsidP="00CD6CB7">
      <w:pPr>
        <w:rPr>
          <w:sz w:val="32"/>
          <w:szCs w:val="32"/>
        </w:rPr>
      </w:pPr>
    </w:p>
    <w:p w14:paraId="65282B98" w14:textId="41CC4E66" w:rsidR="0034778B" w:rsidRDefault="0034778B" w:rsidP="0034778B">
      <w:pPr>
        <w:rPr>
          <w:sz w:val="32"/>
          <w:szCs w:val="32"/>
          <w:lang w:val="en-GB"/>
        </w:rPr>
      </w:pPr>
      <w:proofErr w:type="spellStart"/>
      <w:r w:rsidRPr="0034778B">
        <w:rPr>
          <w:sz w:val="32"/>
          <w:szCs w:val="32"/>
          <w:lang w:val="en-GB"/>
        </w:rPr>
        <w:t>Artfinder</w:t>
      </w:r>
      <w:proofErr w:type="spellEnd"/>
      <w:r w:rsidRPr="0034778B">
        <w:rPr>
          <w:sz w:val="32"/>
          <w:szCs w:val="32"/>
          <w:lang w:val="en-GB"/>
        </w:rPr>
        <w:t xml:space="preserve">. (2026). </w:t>
      </w:r>
      <w:r w:rsidRPr="0034778B">
        <w:rPr>
          <w:i/>
          <w:iCs/>
          <w:sz w:val="32"/>
          <w:szCs w:val="32"/>
          <w:lang w:val="en-GB"/>
        </w:rPr>
        <w:t>The most sought-after themes for artwork in lockdown</w:t>
      </w:r>
      <w:r w:rsidRPr="0034778B">
        <w:rPr>
          <w:sz w:val="32"/>
          <w:szCs w:val="32"/>
          <w:lang w:val="en-GB"/>
        </w:rPr>
        <w:t>. [online] Available at: https://www.artfinder.com/blog/post/most-popular-art-themes-scenery-in-lockdown/?srsltid=AfmBOoo_UA5YL9KPuvH0TsArV5UTw7FWHuxa42N6Ipq4Z9gE71tbUIu6#/</w:t>
      </w:r>
    </w:p>
    <w:p w14:paraId="4BBAA99E" w14:textId="77777777" w:rsidR="0034778B" w:rsidRPr="0034778B" w:rsidRDefault="0034778B" w:rsidP="0034778B">
      <w:pPr>
        <w:rPr>
          <w:sz w:val="32"/>
          <w:szCs w:val="32"/>
          <w:lang w:val="en-GB"/>
        </w:rPr>
      </w:pPr>
    </w:p>
    <w:p w14:paraId="511D4F44" w14:textId="77777777" w:rsidR="0034778B" w:rsidRDefault="0034778B" w:rsidP="0034778B">
      <w:pPr>
        <w:rPr>
          <w:sz w:val="32"/>
          <w:szCs w:val="32"/>
          <w:lang w:val="en-GB"/>
        </w:rPr>
      </w:pPr>
      <w:r w:rsidRPr="0034778B">
        <w:rPr>
          <w:i/>
          <w:iCs/>
          <w:sz w:val="32"/>
          <w:szCs w:val="32"/>
          <w:lang w:val="en-GB"/>
        </w:rPr>
        <w:t>Becoming Alluvium</w:t>
      </w:r>
      <w:r w:rsidRPr="0034778B">
        <w:rPr>
          <w:sz w:val="32"/>
          <w:szCs w:val="32"/>
          <w:lang w:val="en-GB"/>
        </w:rPr>
        <w:t>. (2019).</w:t>
      </w:r>
    </w:p>
    <w:p w14:paraId="4FE35859" w14:textId="77777777" w:rsidR="0034778B" w:rsidRPr="0034778B" w:rsidRDefault="0034778B" w:rsidP="0034778B">
      <w:pPr>
        <w:rPr>
          <w:sz w:val="32"/>
          <w:szCs w:val="32"/>
          <w:lang w:val="en-GB"/>
        </w:rPr>
      </w:pPr>
    </w:p>
    <w:p w14:paraId="6C76D6DE" w14:textId="77777777" w:rsidR="0034778B" w:rsidRDefault="0034778B" w:rsidP="0034778B">
      <w:pPr>
        <w:rPr>
          <w:sz w:val="32"/>
          <w:szCs w:val="32"/>
          <w:lang w:val="en-GB"/>
        </w:rPr>
      </w:pPr>
      <w:r w:rsidRPr="0034778B">
        <w:rPr>
          <w:sz w:val="32"/>
          <w:szCs w:val="32"/>
          <w:lang w:val="en-GB"/>
        </w:rPr>
        <w:t xml:space="preserve">Berlant, L. (2011). </w:t>
      </w:r>
      <w:r w:rsidRPr="0034778B">
        <w:rPr>
          <w:i/>
          <w:iCs/>
          <w:sz w:val="32"/>
          <w:szCs w:val="32"/>
          <w:lang w:val="en-GB"/>
        </w:rPr>
        <w:t>Cruel Optimism</w:t>
      </w:r>
      <w:r w:rsidRPr="0034778B">
        <w:rPr>
          <w:sz w:val="32"/>
          <w:szCs w:val="32"/>
          <w:lang w:val="en-GB"/>
        </w:rPr>
        <w:t>. Durham: Duke University Press.</w:t>
      </w:r>
    </w:p>
    <w:p w14:paraId="12F211D8" w14:textId="77777777" w:rsidR="0034778B" w:rsidRPr="0034778B" w:rsidRDefault="0034778B" w:rsidP="0034778B">
      <w:pPr>
        <w:rPr>
          <w:sz w:val="32"/>
          <w:szCs w:val="32"/>
          <w:lang w:val="en-GB"/>
        </w:rPr>
      </w:pPr>
    </w:p>
    <w:p w14:paraId="261DE375" w14:textId="77777777" w:rsidR="0034778B" w:rsidRDefault="0034778B" w:rsidP="0034778B">
      <w:pPr>
        <w:rPr>
          <w:sz w:val="32"/>
          <w:szCs w:val="32"/>
          <w:lang w:val="en-GB"/>
        </w:rPr>
      </w:pPr>
      <w:r w:rsidRPr="0034778B">
        <w:rPr>
          <w:sz w:val="32"/>
          <w:szCs w:val="32"/>
          <w:lang w:val="en-GB"/>
        </w:rPr>
        <w:t xml:space="preserve">Braidotti, R. (2013). </w:t>
      </w:r>
      <w:r w:rsidRPr="0034778B">
        <w:rPr>
          <w:i/>
          <w:iCs/>
          <w:sz w:val="32"/>
          <w:szCs w:val="32"/>
          <w:lang w:val="en-GB"/>
        </w:rPr>
        <w:t>The Posthuman</w:t>
      </w:r>
      <w:r w:rsidRPr="0034778B">
        <w:rPr>
          <w:sz w:val="32"/>
          <w:szCs w:val="32"/>
          <w:lang w:val="en-GB"/>
        </w:rPr>
        <w:t>. Cambridge: Polity press.</w:t>
      </w:r>
    </w:p>
    <w:p w14:paraId="73EE7656" w14:textId="77777777" w:rsidR="0034778B" w:rsidRPr="0034778B" w:rsidRDefault="0034778B" w:rsidP="0034778B">
      <w:pPr>
        <w:rPr>
          <w:sz w:val="32"/>
          <w:szCs w:val="32"/>
          <w:lang w:val="en-GB"/>
        </w:rPr>
      </w:pPr>
    </w:p>
    <w:p w14:paraId="63ABCD0E" w14:textId="77777777" w:rsidR="0034778B" w:rsidRDefault="0034778B" w:rsidP="0034778B">
      <w:pPr>
        <w:rPr>
          <w:sz w:val="32"/>
          <w:szCs w:val="32"/>
          <w:lang w:val="en-GB"/>
        </w:rPr>
      </w:pPr>
      <w:r w:rsidRPr="0034778B">
        <w:rPr>
          <w:sz w:val="32"/>
          <w:szCs w:val="32"/>
          <w:lang w:val="en-GB"/>
        </w:rPr>
        <w:t xml:space="preserve">Butler, J. (1993). </w:t>
      </w:r>
      <w:r w:rsidRPr="0034778B">
        <w:rPr>
          <w:i/>
          <w:iCs/>
          <w:sz w:val="32"/>
          <w:szCs w:val="32"/>
          <w:lang w:val="en-GB"/>
        </w:rPr>
        <w:t>Bodies that Matter: on the Discursive Limits of ‘Sex’</w:t>
      </w:r>
      <w:r w:rsidRPr="0034778B">
        <w:rPr>
          <w:sz w:val="32"/>
          <w:szCs w:val="32"/>
          <w:lang w:val="en-GB"/>
        </w:rPr>
        <w:t>. New York: Routledge.</w:t>
      </w:r>
    </w:p>
    <w:p w14:paraId="68E0808A" w14:textId="77777777" w:rsidR="0034778B" w:rsidRPr="0034778B" w:rsidRDefault="0034778B" w:rsidP="0034778B">
      <w:pPr>
        <w:rPr>
          <w:sz w:val="32"/>
          <w:szCs w:val="32"/>
          <w:lang w:val="en-GB"/>
        </w:rPr>
      </w:pPr>
    </w:p>
    <w:p w14:paraId="50E66BD9" w14:textId="77777777" w:rsidR="0034778B" w:rsidRDefault="0034778B" w:rsidP="0034778B">
      <w:pPr>
        <w:rPr>
          <w:sz w:val="32"/>
          <w:szCs w:val="32"/>
          <w:lang w:val="en-GB"/>
        </w:rPr>
      </w:pPr>
      <w:r w:rsidRPr="0034778B">
        <w:rPr>
          <w:sz w:val="32"/>
          <w:szCs w:val="32"/>
          <w:lang w:val="en-GB"/>
        </w:rPr>
        <w:t xml:space="preserve">Butler, J. (2004). </w:t>
      </w:r>
      <w:r w:rsidRPr="0034778B">
        <w:rPr>
          <w:i/>
          <w:iCs/>
          <w:sz w:val="32"/>
          <w:szCs w:val="32"/>
          <w:lang w:val="en-GB"/>
        </w:rPr>
        <w:t>Precarious Life: The Powers of Mourning and Violence</w:t>
      </w:r>
      <w:r w:rsidRPr="0034778B">
        <w:rPr>
          <w:sz w:val="32"/>
          <w:szCs w:val="32"/>
          <w:lang w:val="en-GB"/>
        </w:rPr>
        <w:t>. London ; New York: Verso.</w:t>
      </w:r>
    </w:p>
    <w:p w14:paraId="57845CB8" w14:textId="77777777" w:rsidR="0094016B" w:rsidRPr="0034778B" w:rsidRDefault="0094016B" w:rsidP="0034778B">
      <w:pPr>
        <w:rPr>
          <w:sz w:val="32"/>
          <w:szCs w:val="32"/>
          <w:lang w:val="en-GB"/>
        </w:rPr>
      </w:pPr>
    </w:p>
    <w:p w14:paraId="32C454E6" w14:textId="0BE5D1FB" w:rsidR="0034778B" w:rsidRDefault="0034778B" w:rsidP="0034778B">
      <w:pPr>
        <w:rPr>
          <w:sz w:val="32"/>
          <w:szCs w:val="32"/>
          <w:lang w:val="en-GB"/>
        </w:rPr>
      </w:pPr>
      <w:r w:rsidRPr="0034778B">
        <w:rPr>
          <w:sz w:val="32"/>
          <w:szCs w:val="32"/>
          <w:lang w:val="en-GB"/>
        </w:rPr>
        <w:lastRenderedPageBreak/>
        <w:t xml:space="preserve">circulation (2021). </w:t>
      </w:r>
      <w:r w:rsidRPr="0034778B">
        <w:rPr>
          <w:i/>
          <w:iCs/>
          <w:sz w:val="32"/>
          <w:szCs w:val="32"/>
          <w:lang w:val="en-GB"/>
        </w:rPr>
        <w:t>Candice Lin: Seeping, Rotting, Resting, Weeping - Art Papers</w:t>
      </w:r>
      <w:r w:rsidRPr="0034778B">
        <w:rPr>
          <w:sz w:val="32"/>
          <w:szCs w:val="32"/>
          <w:lang w:val="en-GB"/>
        </w:rPr>
        <w:t xml:space="preserve">. [online] Art Papers. Available at: https://www.artpapers.org/candice-lin-seeping-rotting-resting-weeping/ </w:t>
      </w:r>
    </w:p>
    <w:p w14:paraId="66366C20" w14:textId="77777777" w:rsidR="0094016B" w:rsidRPr="0034778B" w:rsidRDefault="0094016B" w:rsidP="0034778B">
      <w:pPr>
        <w:rPr>
          <w:sz w:val="32"/>
          <w:szCs w:val="32"/>
          <w:lang w:val="en-GB"/>
        </w:rPr>
      </w:pPr>
    </w:p>
    <w:p w14:paraId="30F9D911" w14:textId="77777777" w:rsidR="0034778B" w:rsidRDefault="0034778B" w:rsidP="0034778B">
      <w:pPr>
        <w:rPr>
          <w:sz w:val="32"/>
          <w:szCs w:val="32"/>
          <w:lang w:val="en-GB"/>
        </w:rPr>
      </w:pPr>
      <w:r w:rsidRPr="0034778B">
        <w:rPr>
          <w:sz w:val="32"/>
          <w:szCs w:val="32"/>
          <w:lang w:val="en-GB"/>
        </w:rPr>
        <w:t xml:space="preserve">Cover, R. (2021). Identity in the disrupted time of COVID-19: Performativity, crisis, mobility and ethics. </w:t>
      </w:r>
      <w:r w:rsidRPr="0034778B">
        <w:rPr>
          <w:i/>
          <w:iCs/>
          <w:sz w:val="32"/>
          <w:szCs w:val="32"/>
          <w:lang w:val="en-GB"/>
        </w:rPr>
        <w:t>Social Sciences &amp; Humanities Open</w:t>
      </w:r>
      <w:r w:rsidRPr="0034778B">
        <w:rPr>
          <w:sz w:val="32"/>
          <w:szCs w:val="32"/>
          <w:lang w:val="en-GB"/>
        </w:rPr>
        <w:t xml:space="preserve">, 4(1), p.100175. </w:t>
      </w:r>
      <w:proofErr w:type="spellStart"/>
      <w:r w:rsidRPr="0034778B">
        <w:rPr>
          <w:sz w:val="32"/>
          <w:szCs w:val="32"/>
          <w:lang w:val="en-GB"/>
        </w:rPr>
        <w:t>doi:https</w:t>
      </w:r>
      <w:proofErr w:type="spellEnd"/>
      <w:r w:rsidRPr="0034778B">
        <w:rPr>
          <w:sz w:val="32"/>
          <w:szCs w:val="32"/>
          <w:lang w:val="en-GB"/>
        </w:rPr>
        <w:t>://doi.org/10.1016/j.ssaho.2021.100175.</w:t>
      </w:r>
    </w:p>
    <w:p w14:paraId="13A72AF2" w14:textId="77777777" w:rsidR="0094016B" w:rsidRPr="0034778B" w:rsidRDefault="0094016B" w:rsidP="0034778B">
      <w:pPr>
        <w:rPr>
          <w:sz w:val="32"/>
          <w:szCs w:val="32"/>
          <w:lang w:val="en-GB"/>
        </w:rPr>
      </w:pPr>
    </w:p>
    <w:p w14:paraId="7C092F06" w14:textId="77777777" w:rsidR="0034778B" w:rsidRDefault="0034778B" w:rsidP="0034778B">
      <w:pPr>
        <w:rPr>
          <w:sz w:val="32"/>
          <w:szCs w:val="32"/>
          <w:lang w:val="en-GB"/>
        </w:rPr>
      </w:pPr>
      <w:r w:rsidRPr="0034778B">
        <w:rPr>
          <w:sz w:val="32"/>
          <w:szCs w:val="32"/>
          <w:lang w:val="en-GB"/>
        </w:rPr>
        <w:t xml:space="preserve">Donna Jeanne Haraway (2000). </w:t>
      </w:r>
      <w:r w:rsidRPr="0034778B">
        <w:rPr>
          <w:i/>
          <w:iCs/>
          <w:sz w:val="32"/>
          <w:szCs w:val="32"/>
          <w:lang w:val="en-GB"/>
        </w:rPr>
        <w:t>Situated knowledges</w:t>
      </w:r>
      <w:r w:rsidRPr="0034778B">
        <w:rPr>
          <w:sz w:val="32"/>
          <w:szCs w:val="32"/>
          <w:lang w:val="en-GB"/>
        </w:rPr>
        <w:t>.</w:t>
      </w:r>
    </w:p>
    <w:p w14:paraId="704A120E" w14:textId="77777777" w:rsidR="0094016B" w:rsidRPr="0034778B" w:rsidRDefault="0094016B" w:rsidP="0034778B">
      <w:pPr>
        <w:rPr>
          <w:sz w:val="32"/>
          <w:szCs w:val="32"/>
          <w:lang w:val="en-GB"/>
        </w:rPr>
      </w:pPr>
    </w:p>
    <w:p w14:paraId="075DEED2" w14:textId="77777777" w:rsidR="0034778B" w:rsidRPr="0034778B" w:rsidRDefault="0034778B" w:rsidP="0034778B">
      <w:pPr>
        <w:rPr>
          <w:sz w:val="32"/>
          <w:szCs w:val="32"/>
          <w:lang w:val="en-GB"/>
        </w:rPr>
      </w:pPr>
      <w:proofErr w:type="spellStart"/>
      <w:r w:rsidRPr="0034778B">
        <w:rPr>
          <w:sz w:val="32"/>
          <w:szCs w:val="32"/>
          <w:lang w:val="en-GB"/>
        </w:rPr>
        <w:t>Essaydi</w:t>
      </w:r>
      <w:proofErr w:type="spellEnd"/>
      <w:r w:rsidRPr="0034778B">
        <w:rPr>
          <w:sz w:val="32"/>
          <w:szCs w:val="32"/>
          <w:lang w:val="en-GB"/>
        </w:rPr>
        <w:t xml:space="preserve">, L. (n.d.). </w:t>
      </w:r>
      <w:r w:rsidRPr="0034778B">
        <w:rPr>
          <w:i/>
          <w:iCs/>
          <w:sz w:val="32"/>
          <w:szCs w:val="32"/>
          <w:lang w:val="en-GB"/>
        </w:rPr>
        <w:t>LALLA ESSAYDI</w:t>
      </w:r>
      <w:r w:rsidRPr="0034778B">
        <w:rPr>
          <w:sz w:val="32"/>
          <w:szCs w:val="32"/>
          <w:lang w:val="en-GB"/>
        </w:rPr>
        <w:t>. [online] lallaessaydi.com. Available at: http://lallaessaydi.com/.</w:t>
      </w:r>
    </w:p>
    <w:p w14:paraId="399FA8A9" w14:textId="77777777" w:rsidR="0034778B" w:rsidRPr="0034778B" w:rsidRDefault="0034778B" w:rsidP="0034778B">
      <w:pPr>
        <w:rPr>
          <w:sz w:val="32"/>
          <w:szCs w:val="32"/>
          <w:lang w:val="en-GB"/>
        </w:rPr>
      </w:pPr>
      <w:r w:rsidRPr="0034778B">
        <w:rPr>
          <w:sz w:val="32"/>
          <w:szCs w:val="32"/>
          <w:lang w:val="en-GB"/>
        </w:rPr>
        <w:t xml:space="preserve">Hauser &amp; Wirth. (n.d.). </w:t>
      </w:r>
      <w:proofErr w:type="spellStart"/>
      <w:r w:rsidRPr="0034778B">
        <w:rPr>
          <w:i/>
          <w:iCs/>
          <w:sz w:val="32"/>
          <w:szCs w:val="32"/>
          <w:lang w:val="en-GB"/>
        </w:rPr>
        <w:t>Firelei</w:t>
      </w:r>
      <w:proofErr w:type="spellEnd"/>
      <w:r w:rsidRPr="0034778B">
        <w:rPr>
          <w:i/>
          <w:iCs/>
          <w:sz w:val="32"/>
          <w:szCs w:val="32"/>
          <w:lang w:val="en-GB"/>
        </w:rPr>
        <w:t xml:space="preserve"> Báez</w:t>
      </w:r>
      <w:r w:rsidRPr="0034778B">
        <w:rPr>
          <w:sz w:val="32"/>
          <w:szCs w:val="32"/>
          <w:lang w:val="en-GB"/>
        </w:rPr>
        <w:t>. [online] Available at: https://www.hauserwirth.com/artists/firelei-baez/.</w:t>
      </w:r>
    </w:p>
    <w:p w14:paraId="3D1621FA" w14:textId="05E40B4A" w:rsidR="0034778B" w:rsidRDefault="0034778B" w:rsidP="0034778B">
      <w:pPr>
        <w:rPr>
          <w:sz w:val="32"/>
          <w:szCs w:val="32"/>
          <w:lang w:val="en-GB"/>
        </w:rPr>
      </w:pPr>
      <w:r w:rsidRPr="0034778B">
        <w:rPr>
          <w:sz w:val="32"/>
          <w:szCs w:val="32"/>
          <w:lang w:val="en-GB"/>
        </w:rPr>
        <w:t xml:space="preserve">kameelahr.com. (n.d.). </w:t>
      </w:r>
      <w:r w:rsidRPr="0034778B">
        <w:rPr>
          <w:i/>
          <w:iCs/>
          <w:sz w:val="32"/>
          <w:szCs w:val="32"/>
          <w:lang w:val="en-GB"/>
        </w:rPr>
        <w:t>Kameelah Janan Rasheed</w:t>
      </w:r>
      <w:r w:rsidRPr="0034778B">
        <w:rPr>
          <w:sz w:val="32"/>
          <w:szCs w:val="32"/>
          <w:lang w:val="en-GB"/>
        </w:rPr>
        <w:t xml:space="preserve">. [online] Available at: </w:t>
      </w:r>
      <w:hyperlink r:id="rId6" w:history="1">
        <w:r w:rsidR="0094016B" w:rsidRPr="0034778B">
          <w:rPr>
            <w:rStyle w:val="Hyperlink"/>
            <w:sz w:val="32"/>
            <w:szCs w:val="32"/>
            <w:lang w:val="en-GB"/>
          </w:rPr>
          <w:t>https://kameelahr.com/</w:t>
        </w:r>
      </w:hyperlink>
      <w:r w:rsidRPr="0034778B">
        <w:rPr>
          <w:sz w:val="32"/>
          <w:szCs w:val="32"/>
          <w:lang w:val="en-GB"/>
        </w:rPr>
        <w:t>.</w:t>
      </w:r>
    </w:p>
    <w:p w14:paraId="7440851D" w14:textId="77777777" w:rsidR="0094016B" w:rsidRPr="0034778B" w:rsidRDefault="0094016B" w:rsidP="0034778B">
      <w:pPr>
        <w:rPr>
          <w:sz w:val="32"/>
          <w:szCs w:val="32"/>
          <w:lang w:val="en-GB"/>
        </w:rPr>
      </w:pPr>
    </w:p>
    <w:p w14:paraId="152251B5" w14:textId="77777777" w:rsidR="0034778B" w:rsidRPr="0034778B" w:rsidRDefault="0034778B" w:rsidP="0034778B">
      <w:pPr>
        <w:rPr>
          <w:sz w:val="32"/>
          <w:szCs w:val="32"/>
          <w:lang w:val="en-GB"/>
        </w:rPr>
      </w:pPr>
      <w:r w:rsidRPr="0034778B">
        <w:rPr>
          <w:sz w:val="32"/>
          <w:szCs w:val="32"/>
          <w:lang w:val="en-GB"/>
        </w:rPr>
        <w:t xml:space="preserve">Lakh, E., </w:t>
      </w:r>
      <w:proofErr w:type="spellStart"/>
      <w:r w:rsidRPr="0034778B">
        <w:rPr>
          <w:sz w:val="32"/>
          <w:szCs w:val="32"/>
          <w:lang w:val="en-GB"/>
        </w:rPr>
        <w:t>Shamri</w:t>
      </w:r>
      <w:proofErr w:type="spellEnd"/>
      <w:r w:rsidRPr="0034778B">
        <w:rPr>
          <w:sz w:val="32"/>
          <w:szCs w:val="32"/>
          <w:lang w:val="en-GB"/>
        </w:rPr>
        <w:t xml:space="preserve">-Zeevi, L. and </w:t>
      </w:r>
      <w:proofErr w:type="spellStart"/>
      <w:r w:rsidRPr="0034778B">
        <w:rPr>
          <w:sz w:val="32"/>
          <w:szCs w:val="32"/>
          <w:lang w:val="en-GB"/>
        </w:rPr>
        <w:t>Kalmanowitz</w:t>
      </w:r>
      <w:proofErr w:type="spellEnd"/>
      <w:r w:rsidRPr="0034778B">
        <w:rPr>
          <w:sz w:val="32"/>
          <w:szCs w:val="32"/>
          <w:lang w:val="en-GB"/>
        </w:rPr>
        <w:t xml:space="preserve">, D. (2021). Art in the time of corona: A thematic analysis. </w:t>
      </w:r>
      <w:r w:rsidRPr="0034778B">
        <w:rPr>
          <w:i/>
          <w:iCs/>
          <w:sz w:val="32"/>
          <w:szCs w:val="32"/>
          <w:lang w:val="en-GB"/>
        </w:rPr>
        <w:t>The Arts in Psychotherapy</w:t>
      </w:r>
      <w:r w:rsidRPr="0034778B">
        <w:rPr>
          <w:sz w:val="32"/>
          <w:szCs w:val="32"/>
          <w:lang w:val="en-GB"/>
        </w:rPr>
        <w:t xml:space="preserve">, 75, p.101824. </w:t>
      </w:r>
      <w:proofErr w:type="spellStart"/>
      <w:r w:rsidRPr="0034778B">
        <w:rPr>
          <w:sz w:val="32"/>
          <w:szCs w:val="32"/>
          <w:lang w:val="en-GB"/>
        </w:rPr>
        <w:t>doi:https</w:t>
      </w:r>
      <w:proofErr w:type="spellEnd"/>
      <w:r w:rsidRPr="0034778B">
        <w:rPr>
          <w:sz w:val="32"/>
          <w:szCs w:val="32"/>
          <w:lang w:val="en-GB"/>
        </w:rPr>
        <w:t>://doi.org/10.1016/j.aip.2021.101824.</w:t>
      </w:r>
    </w:p>
    <w:p w14:paraId="60A55715" w14:textId="77777777" w:rsidR="0034778B" w:rsidRDefault="0034778B" w:rsidP="0034778B">
      <w:pPr>
        <w:rPr>
          <w:sz w:val="32"/>
          <w:szCs w:val="32"/>
          <w:lang w:val="en-GB"/>
        </w:rPr>
      </w:pPr>
      <w:r w:rsidRPr="0034778B">
        <w:rPr>
          <w:sz w:val="32"/>
          <w:szCs w:val="32"/>
          <w:lang w:val="en-GB"/>
        </w:rPr>
        <w:t xml:space="preserve">Marks, L.U. (2000). </w:t>
      </w:r>
      <w:r w:rsidRPr="0034778B">
        <w:rPr>
          <w:i/>
          <w:iCs/>
          <w:sz w:val="32"/>
          <w:szCs w:val="32"/>
          <w:lang w:val="en-GB"/>
        </w:rPr>
        <w:t>The Skin of the Film Intercultural cinema, embodiment, and the Senses</w:t>
      </w:r>
      <w:r w:rsidRPr="0034778B">
        <w:rPr>
          <w:sz w:val="32"/>
          <w:szCs w:val="32"/>
          <w:lang w:val="en-GB"/>
        </w:rPr>
        <w:t>. Durham: Duke University Press.</w:t>
      </w:r>
    </w:p>
    <w:p w14:paraId="2020C93B" w14:textId="77777777" w:rsidR="0094016B" w:rsidRPr="0034778B" w:rsidRDefault="0094016B" w:rsidP="0034778B">
      <w:pPr>
        <w:rPr>
          <w:sz w:val="32"/>
          <w:szCs w:val="32"/>
          <w:lang w:val="en-GB"/>
        </w:rPr>
      </w:pPr>
    </w:p>
    <w:p w14:paraId="420AA1A9" w14:textId="0204FD2D" w:rsidR="0034778B" w:rsidRDefault="0034778B" w:rsidP="0034778B">
      <w:pPr>
        <w:rPr>
          <w:sz w:val="32"/>
          <w:szCs w:val="32"/>
          <w:lang w:val="en-GB"/>
        </w:rPr>
      </w:pPr>
      <w:r w:rsidRPr="0034778B">
        <w:rPr>
          <w:sz w:val="32"/>
          <w:szCs w:val="32"/>
          <w:lang w:val="en-GB"/>
        </w:rPr>
        <w:t xml:space="preserve">Minh-ha, </w:t>
      </w:r>
      <w:proofErr w:type="spellStart"/>
      <w:r w:rsidRPr="0034778B">
        <w:rPr>
          <w:sz w:val="32"/>
          <w:szCs w:val="32"/>
          <w:lang w:val="en-GB"/>
        </w:rPr>
        <w:t>Trinh.T</w:t>
      </w:r>
      <w:proofErr w:type="spellEnd"/>
      <w:r w:rsidRPr="0034778B">
        <w:rPr>
          <w:sz w:val="32"/>
          <w:szCs w:val="32"/>
          <w:lang w:val="en-GB"/>
        </w:rPr>
        <w:t xml:space="preserve">. (2026). </w:t>
      </w:r>
      <w:r w:rsidRPr="0034778B">
        <w:rPr>
          <w:i/>
          <w:iCs/>
          <w:sz w:val="32"/>
          <w:szCs w:val="32"/>
          <w:lang w:val="en-GB"/>
        </w:rPr>
        <w:t>Elsewhere, Within Here</w:t>
      </w:r>
      <w:r w:rsidRPr="0034778B">
        <w:rPr>
          <w:sz w:val="32"/>
          <w:szCs w:val="32"/>
          <w:lang w:val="en-GB"/>
        </w:rPr>
        <w:t xml:space="preserve">. [online] Google Books. Available at: </w:t>
      </w:r>
      <w:hyperlink r:id="rId7" w:history="1">
        <w:r w:rsidR="0094016B" w:rsidRPr="0034778B">
          <w:rPr>
            <w:rStyle w:val="Hyperlink"/>
            <w:sz w:val="32"/>
            <w:szCs w:val="32"/>
            <w:lang w:val="en-GB"/>
          </w:rPr>
          <w:t>https://books.google.com.pa/books?id=3ZstCgAAQBAJ&amp;printsec=frontcover#v=onepage&amp;q&amp;f=false</w:t>
        </w:r>
      </w:hyperlink>
    </w:p>
    <w:p w14:paraId="548DCD82" w14:textId="77777777" w:rsidR="0094016B" w:rsidRPr="0034778B" w:rsidRDefault="0094016B" w:rsidP="0034778B">
      <w:pPr>
        <w:rPr>
          <w:sz w:val="32"/>
          <w:szCs w:val="32"/>
          <w:lang w:val="en-GB"/>
        </w:rPr>
      </w:pPr>
    </w:p>
    <w:p w14:paraId="2CE8B2DA" w14:textId="77777777" w:rsidR="0034778B" w:rsidRDefault="0034778B" w:rsidP="0034778B">
      <w:pPr>
        <w:rPr>
          <w:sz w:val="32"/>
          <w:szCs w:val="32"/>
          <w:lang w:val="en-GB"/>
        </w:rPr>
      </w:pPr>
      <w:r w:rsidRPr="0034778B">
        <w:rPr>
          <w:i/>
          <w:iCs/>
          <w:sz w:val="32"/>
          <w:szCs w:val="32"/>
          <w:lang w:val="en-GB"/>
        </w:rPr>
        <w:t>Never Rest / Unrest</w:t>
      </w:r>
      <w:r w:rsidRPr="0034778B">
        <w:rPr>
          <w:sz w:val="32"/>
          <w:szCs w:val="32"/>
          <w:lang w:val="en-GB"/>
        </w:rPr>
        <w:t>. (2020).</w:t>
      </w:r>
    </w:p>
    <w:p w14:paraId="110CF6EE" w14:textId="77777777" w:rsidR="0094016B" w:rsidRPr="0034778B" w:rsidRDefault="0094016B" w:rsidP="0034778B">
      <w:pPr>
        <w:rPr>
          <w:sz w:val="32"/>
          <w:szCs w:val="32"/>
          <w:lang w:val="en-GB"/>
        </w:rPr>
      </w:pPr>
    </w:p>
    <w:p w14:paraId="1696136A" w14:textId="77777777" w:rsidR="0034778B" w:rsidRPr="0034778B" w:rsidRDefault="0034778B" w:rsidP="0034778B">
      <w:pPr>
        <w:rPr>
          <w:sz w:val="32"/>
          <w:szCs w:val="32"/>
          <w:lang w:val="en-GB"/>
        </w:rPr>
      </w:pPr>
      <w:r w:rsidRPr="0034778B">
        <w:rPr>
          <w:sz w:val="32"/>
          <w:szCs w:val="32"/>
          <w:lang w:val="en-GB"/>
        </w:rPr>
        <w:t xml:space="preserve">Sylvia Chou, W.-Y. and Gaysynsky, A. (2021). Racism and Xenophobia in a Pandemic: Interactions of Online and Offline Worlds. </w:t>
      </w:r>
      <w:r w:rsidRPr="0034778B">
        <w:rPr>
          <w:i/>
          <w:iCs/>
          <w:sz w:val="32"/>
          <w:szCs w:val="32"/>
          <w:lang w:val="en-GB"/>
        </w:rPr>
        <w:t>American Journal of Public Health</w:t>
      </w:r>
      <w:r w:rsidRPr="0034778B">
        <w:rPr>
          <w:sz w:val="32"/>
          <w:szCs w:val="32"/>
          <w:lang w:val="en-GB"/>
        </w:rPr>
        <w:t xml:space="preserve">, [online] 111(5), pp.773–775. </w:t>
      </w:r>
      <w:proofErr w:type="spellStart"/>
      <w:r w:rsidRPr="0034778B">
        <w:rPr>
          <w:sz w:val="32"/>
          <w:szCs w:val="32"/>
          <w:lang w:val="en-GB"/>
        </w:rPr>
        <w:t>doi:https</w:t>
      </w:r>
      <w:proofErr w:type="spellEnd"/>
      <w:r w:rsidRPr="0034778B">
        <w:rPr>
          <w:sz w:val="32"/>
          <w:szCs w:val="32"/>
          <w:lang w:val="en-GB"/>
        </w:rPr>
        <w:t>://doi.org/10.2105/ajph.2021.306230.</w:t>
      </w:r>
    </w:p>
    <w:p w14:paraId="16737618" w14:textId="323ABA19" w:rsidR="0034778B" w:rsidRDefault="002B1929" w:rsidP="0034778B">
      <w:pPr>
        <w:rPr>
          <w:sz w:val="32"/>
          <w:szCs w:val="32"/>
          <w:lang w:val="en-GB"/>
        </w:rPr>
      </w:pPr>
      <w:r>
        <w:rPr>
          <w:sz w:val="32"/>
          <w:szCs w:val="32"/>
          <w:lang w:val="en-GB"/>
        </w:rPr>
        <w:lastRenderedPageBreak/>
        <w:t>Shadi Harouni</w:t>
      </w:r>
      <w:r w:rsidR="0034778B" w:rsidRPr="0034778B">
        <w:rPr>
          <w:sz w:val="32"/>
          <w:szCs w:val="32"/>
          <w:lang w:val="en-GB"/>
        </w:rPr>
        <w:t xml:space="preserve"> (2026). </w:t>
      </w:r>
      <w:r w:rsidR="0034778B" w:rsidRPr="0034778B">
        <w:rPr>
          <w:i/>
          <w:iCs/>
          <w:sz w:val="32"/>
          <w:szCs w:val="32"/>
          <w:lang w:val="en-GB"/>
        </w:rPr>
        <w:t>Welcome To Zscaler Directory Authentication</w:t>
      </w:r>
      <w:r w:rsidR="0034778B" w:rsidRPr="0034778B">
        <w:rPr>
          <w:sz w:val="32"/>
          <w:szCs w:val="32"/>
          <w:lang w:val="en-GB"/>
        </w:rPr>
        <w:t xml:space="preserve">. [online] Available at: </w:t>
      </w:r>
      <w:hyperlink r:id="rId8" w:history="1">
        <w:r w:rsidRPr="0034778B">
          <w:rPr>
            <w:rStyle w:val="Hyperlink"/>
            <w:sz w:val="32"/>
            <w:szCs w:val="32"/>
            <w:lang w:val="en-GB"/>
          </w:rPr>
          <w:t>https://www.tizianadicaro.it/en/shadi-harouni</w:t>
        </w:r>
      </w:hyperlink>
      <w:r>
        <w:rPr>
          <w:sz w:val="32"/>
          <w:szCs w:val="32"/>
          <w:lang w:val="en-GB"/>
        </w:rPr>
        <w:t>.</w:t>
      </w:r>
    </w:p>
    <w:p w14:paraId="257E5D0D" w14:textId="77777777" w:rsidR="002B1929" w:rsidRDefault="002B1929" w:rsidP="0034778B">
      <w:pPr>
        <w:rPr>
          <w:sz w:val="32"/>
          <w:szCs w:val="32"/>
          <w:lang w:val="en-GB"/>
        </w:rPr>
      </w:pPr>
    </w:p>
    <w:p w14:paraId="18A44F5D" w14:textId="77777777" w:rsidR="002B1929" w:rsidRPr="0034778B" w:rsidRDefault="002B1929" w:rsidP="0034778B">
      <w:pPr>
        <w:rPr>
          <w:sz w:val="32"/>
          <w:szCs w:val="32"/>
          <w:lang w:val="en-GB"/>
        </w:rPr>
      </w:pPr>
    </w:p>
    <w:p w14:paraId="66862D1D" w14:textId="77777777" w:rsidR="0034778B" w:rsidRPr="0034778B" w:rsidRDefault="0034778B" w:rsidP="0034778B">
      <w:pPr>
        <w:rPr>
          <w:sz w:val="32"/>
          <w:szCs w:val="32"/>
          <w:lang w:val="en-GB"/>
        </w:rPr>
      </w:pPr>
      <w:r w:rsidRPr="0034778B">
        <w:rPr>
          <w:sz w:val="32"/>
          <w:szCs w:val="32"/>
          <w:lang w:val="en-GB"/>
        </w:rPr>
        <w:t xml:space="preserve">Vicuna, C. (n.d.). </w:t>
      </w:r>
      <w:r w:rsidRPr="0034778B">
        <w:rPr>
          <w:i/>
          <w:iCs/>
          <w:sz w:val="32"/>
          <w:szCs w:val="32"/>
          <w:lang w:val="en-GB"/>
        </w:rPr>
        <w:t>Brain Forest Quipu</w:t>
      </w:r>
      <w:r w:rsidRPr="0034778B">
        <w:rPr>
          <w:sz w:val="32"/>
          <w:szCs w:val="32"/>
          <w:lang w:val="en-GB"/>
        </w:rPr>
        <w:t>.</w:t>
      </w:r>
    </w:p>
    <w:p w14:paraId="1026663A" w14:textId="77777777" w:rsidR="00C77D38" w:rsidRPr="00C77D38" w:rsidRDefault="00C77D38" w:rsidP="00CD6CB7">
      <w:pPr>
        <w:rPr>
          <w:sz w:val="22"/>
          <w:szCs w:val="22"/>
        </w:rPr>
      </w:pPr>
    </w:p>
    <w:sectPr w:rsidR="00C77D38" w:rsidRPr="00C77D38">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28D"/>
    <w:rsid w:val="00246BE0"/>
    <w:rsid w:val="002A2FFF"/>
    <w:rsid w:val="002B1929"/>
    <w:rsid w:val="0034778B"/>
    <w:rsid w:val="0042268D"/>
    <w:rsid w:val="005556DB"/>
    <w:rsid w:val="00560773"/>
    <w:rsid w:val="005E38E6"/>
    <w:rsid w:val="006A72CC"/>
    <w:rsid w:val="0094016B"/>
    <w:rsid w:val="00A30D15"/>
    <w:rsid w:val="00B84785"/>
    <w:rsid w:val="00BD5D71"/>
    <w:rsid w:val="00C0428D"/>
    <w:rsid w:val="00C77D38"/>
    <w:rsid w:val="00CB1B79"/>
    <w:rsid w:val="00CD6CB7"/>
    <w:rsid w:val="00EC0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DC368"/>
  <w15:docId w15:val="{A7D67E40-F1AE-4368-A678-364CABC30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Hyperlink">
    <w:name w:val="Hyperlink"/>
    <w:basedOn w:val="DefaultParagraphFont"/>
    <w:uiPriority w:val="99"/>
    <w:unhideWhenUsed/>
    <w:rsid w:val="00B84785"/>
    <w:rPr>
      <w:color w:val="0000FF" w:themeColor="hyperlink"/>
      <w:u w:val="single"/>
    </w:rPr>
  </w:style>
  <w:style w:type="character" w:styleId="UnresolvedMention">
    <w:name w:val="Unresolved Mention"/>
    <w:basedOn w:val="DefaultParagraphFont"/>
    <w:uiPriority w:val="99"/>
    <w:semiHidden/>
    <w:unhideWhenUsed/>
    <w:rsid w:val="009401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tizianadicaro.it/en/shadi-harouni" TargetMode="External"/><Relationship Id="rId3" Type="http://schemas.openxmlformats.org/officeDocument/2006/relationships/webSettings" Target="webSettings.xml"/><Relationship Id="rId7" Type="http://schemas.openxmlformats.org/officeDocument/2006/relationships/hyperlink" Target="https://books.google.com.pa/books?id=3ZstCgAAQBAJ&amp;printsec=frontcover#v=onepage&amp;q&amp;f=fals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kameelahr.com/" TargetMode="External"/><Relationship Id="rId5" Type="http://schemas.openxmlformats.org/officeDocument/2006/relationships/hyperlink" Target="https://nmwa.org/art/artists/shirin-neshat/" TargetMode="External"/><Relationship Id="rId10" Type="http://schemas.openxmlformats.org/officeDocument/2006/relationships/theme" Target="theme/theme1.xml"/><Relationship Id="rId4" Type="http://schemas.openxmlformats.org/officeDocument/2006/relationships/hyperlink" Target="https://awarewomenartists.com/en/artiste/trinh-t-minh-ha/"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23</Pages>
  <Words>5379</Words>
  <Characters>30666</Characters>
  <Application>Microsoft Office Word</Application>
  <DocSecurity>0</DocSecurity>
  <Lines>255</Lines>
  <Paragraphs>71</Paragraphs>
  <ScaleCrop>false</ScaleCrop>
  <Company/>
  <LinksUpToDate>false</LinksUpToDate>
  <CharactersWithSpaces>35974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Coexistent Perspectives Essay</dc:title>
  <cp:lastModifiedBy>Beccy Burrows (2200741)</cp:lastModifiedBy>
  <cp:revision>15</cp:revision>
  <dcterms:created xsi:type="dcterms:W3CDTF">2026-01-15T17:11:00Z</dcterms:created>
  <dcterms:modified xsi:type="dcterms:W3CDTF">2026-01-18T17:31:00Z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7c21c9a9-4bae-4040-a148-7f63f584a9d1</vt:lpwstr>
  </property>
</Properties>
</file>