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DFF1C" w14:textId="77777777" w:rsidR="00C352FA" w:rsidRDefault="00C352FA" w:rsidP="00C352FA">
      <w:pPr>
        <w:jc w:val="center"/>
        <w:rPr>
          <w:sz w:val="40"/>
          <w:szCs w:val="40"/>
          <w:shd w:val="clear" w:color="auto" w:fill="FFFFFF"/>
        </w:rPr>
      </w:pPr>
    </w:p>
    <w:p w14:paraId="4CC0B65A" w14:textId="77777777" w:rsidR="00C352FA" w:rsidRDefault="00C352FA" w:rsidP="00C352FA">
      <w:pPr>
        <w:jc w:val="center"/>
        <w:rPr>
          <w:sz w:val="40"/>
          <w:szCs w:val="40"/>
          <w:shd w:val="clear" w:color="auto" w:fill="FFFFFF"/>
        </w:rPr>
      </w:pPr>
    </w:p>
    <w:p w14:paraId="18208B2A" w14:textId="77777777" w:rsidR="00C352FA" w:rsidRDefault="00C352FA" w:rsidP="00C352FA">
      <w:pPr>
        <w:jc w:val="center"/>
        <w:rPr>
          <w:sz w:val="40"/>
          <w:szCs w:val="40"/>
          <w:shd w:val="clear" w:color="auto" w:fill="FFFFFF"/>
        </w:rPr>
      </w:pPr>
    </w:p>
    <w:p w14:paraId="33879663" w14:textId="0D9CD018" w:rsidR="00C352FA" w:rsidRDefault="00DE5FE4" w:rsidP="00C352FA">
      <w:pPr>
        <w:jc w:val="center"/>
        <w:rPr>
          <w:sz w:val="40"/>
          <w:szCs w:val="40"/>
          <w:shd w:val="clear" w:color="auto" w:fill="FFFFFF"/>
        </w:rPr>
      </w:pPr>
      <w:r>
        <w:rPr>
          <w:sz w:val="40"/>
          <w:szCs w:val="40"/>
          <w:shd w:val="clear" w:color="auto" w:fill="FFFFFF"/>
        </w:rPr>
        <w:t>Student ID:</w:t>
      </w:r>
      <w:r w:rsidR="00FB3377">
        <w:rPr>
          <w:sz w:val="40"/>
          <w:szCs w:val="40"/>
          <w:shd w:val="clear" w:color="auto" w:fill="FFFFFF"/>
        </w:rPr>
        <w:t>2030517</w:t>
      </w:r>
    </w:p>
    <w:p w14:paraId="73A11C6B" w14:textId="075B83FE" w:rsidR="00C352FA" w:rsidRDefault="00FB3377" w:rsidP="00C352FA">
      <w:pPr>
        <w:jc w:val="center"/>
        <w:rPr>
          <w:sz w:val="40"/>
          <w:szCs w:val="40"/>
          <w:shd w:val="clear" w:color="auto" w:fill="FFFFFF"/>
        </w:rPr>
      </w:pPr>
      <w:r>
        <w:rPr>
          <w:sz w:val="40"/>
          <w:szCs w:val="40"/>
          <w:shd w:val="clear" w:color="auto" w:fill="FFFFFF"/>
        </w:rPr>
        <w:t>Claudia Georgiana Macarie</w:t>
      </w:r>
    </w:p>
    <w:p w14:paraId="06CC2784" w14:textId="2DE5CDDD" w:rsidR="00C352FA" w:rsidRDefault="005370BF" w:rsidP="00C352FA">
      <w:pPr>
        <w:jc w:val="center"/>
        <w:rPr>
          <w:sz w:val="40"/>
          <w:szCs w:val="40"/>
          <w:shd w:val="clear" w:color="auto" w:fill="FFFFFF"/>
        </w:rPr>
      </w:pPr>
      <w:r>
        <w:rPr>
          <w:sz w:val="40"/>
          <w:szCs w:val="40"/>
          <w:shd w:val="clear" w:color="auto" w:fill="FFFFFF"/>
        </w:rPr>
        <w:t>LCBB4002</w:t>
      </w:r>
    </w:p>
    <w:p w14:paraId="343C71A0" w14:textId="77777777" w:rsidR="00D27C8D" w:rsidRDefault="00C352FA" w:rsidP="00C352FA">
      <w:pPr>
        <w:jc w:val="center"/>
        <w:rPr>
          <w:sz w:val="40"/>
          <w:szCs w:val="40"/>
          <w:shd w:val="clear" w:color="auto" w:fill="FFFFFF"/>
        </w:rPr>
      </w:pPr>
      <w:r w:rsidRPr="00C352FA">
        <w:rPr>
          <w:sz w:val="40"/>
          <w:szCs w:val="40"/>
          <w:shd w:val="clear" w:color="auto" w:fill="FFFFFF"/>
        </w:rPr>
        <w:t>Community engagement</w:t>
      </w:r>
    </w:p>
    <w:p w14:paraId="616B7DF7" w14:textId="77777777" w:rsidR="00D27C8D" w:rsidRDefault="00D27C8D">
      <w:pPr>
        <w:spacing w:line="259" w:lineRule="auto"/>
        <w:jc w:val="left"/>
        <w:rPr>
          <w:sz w:val="40"/>
          <w:szCs w:val="40"/>
          <w:shd w:val="clear" w:color="auto" w:fill="FFFFFF"/>
        </w:rPr>
      </w:pPr>
      <w:r>
        <w:rPr>
          <w:sz w:val="40"/>
          <w:szCs w:val="40"/>
          <w:shd w:val="clear" w:color="auto" w:fill="FFFFFF"/>
        </w:rPr>
        <w:br w:type="page"/>
      </w:r>
    </w:p>
    <w:sdt>
      <w:sdtPr>
        <w:rPr>
          <w:rFonts w:ascii="Times New Roman" w:eastAsiaTheme="minorHAnsi" w:hAnsi="Times New Roman" w:cstheme="minorBidi"/>
          <w:color w:val="auto"/>
          <w:sz w:val="24"/>
          <w:szCs w:val="22"/>
          <w:lang w:val="en-GB"/>
        </w:rPr>
        <w:id w:val="-369847515"/>
        <w:docPartObj>
          <w:docPartGallery w:val="Table of Contents"/>
          <w:docPartUnique/>
        </w:docPartObj>
      </w:sdtPr>
      <w:sdtEndPr>
        <w:rPr>
          <w:b/>
          <w:bCs/>
          <w:noProof/>
        </w:rPr>
      </w:sdtEndPr>
      <w:sdtContent>
        <w:p w14:paraId="0F15741C" w14:textId="094346A9" w:rsidR="006C124D" w:rsidRDefault="006C124D">
          <w:pPr>
            <w:pStyle w:val="TOCHeading"/>
          </w:pPr>
          <w:r>
            <w:t>Table of Contents</w:t>
          </w:r>
        </w:p>
        <w:p w14:paraId="128E757E" w14:textId="2F2C6DA3" w:rsidR="006C124D" w:rsidRDefault="006C124D">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01294836" w:history="1">
            <w:r w:rsidRPr="00F04817">
              <w:rPr>
                <w:rStyle w:val="Hyperlink"/>
                <w:noProof/>
              </w:rPr>
              <w:t>Introduction</w:t>
            </w:r>
            <w:r>
              <w:rPr>
                <w:noProof/>
                <w:webHidden/>
              </w:rPr>
              <w:tab/>
            </w:r>
            <w:r>
              <w:rPr>
                <w:noProof/>
                <w:webHidden/>
              </w:rPr>
              <w:fldChar w:fldCharType="begin"/>
            </w:r>
            <w:r>
              <w:rPr>
                <w:noProof/>
                <w:webHidden/>
              </w:rPr>
              <w:instrText xml:space="preserve"> PAGEREF _Toc101294836 \h </w:instrText>
            </w:r>
            <w:r>
              <w:rPr>
                <w:noProof/>
                <w:webHidden/>
              </w:rPr>
            </w:r>
            <w:r>
              <w:rPr>
                <w:noProof/>
                <w:webHidden/>
              </w:rPr>
              <w:fldChar w:fldCharType="separate"/>
            </w:r>
            <w:r>
              <w:rPr>
                <w:noProof/>
                <w:webHidden/>
              </w:rPr>
              <w:t>3</w:t>
            </w:r>
            <w:r>
              <w:rPr>
                <w:noProof/>
                <w:webHidden/>
              </w:rPr>
              <w:fldChar w:fldCharType="end"/>
            </w:r>
          </w:hyperlink>
        </w:p>
        <w:p w14:paraId="7E3E1ABE" w14:textId="2B6CEF95" w:rsidR="006C124D" w:rsidRDefault="005370BF">
          <w:pPr>
            <w:pStyle w:val="TOC1"/>
            <w:tabs>
              <w:tab w:val="right" w:leader="dot" w:pos="9016"/>
            </w:tabs>
            <w:rPr>
              <w:rFonts w:asciiTheme="minorHAnsi" w:eastAsiaTheme="minorEastAsia" w:hAnsiTheme="minorHAnsi"/>
              <w:noProof/>
              <w:sz w:val="22"/>
              <w:lang w:val="en-IN" w:eastAsia="en-IN"/>
            </w:rPr>
          </w:pPr>
          <w:hyperlink w:anchor="_Toc101294837" w:history="1">
            <w:r w:rsidR="006C124D" w:rsidRPr="00F04817">
              <w:rPr>
                <w:rStyle w:val="Hyperlink"/>
                <w:noProof/>
              </w:rPr>
              <w:t>Reflective account</w:t>
            </w:r>
            <w:r w:rsidR="006C124D">
              <w:rPr>
                <w:noProof/>
                <w:webHidden/>
              </w:rPr>
              <w:tab/>
            </w:r>
            <w:r w:rsidR="006C124D">
              <w:rPr>
                <w:noProof/>
                <w:webHidden/>
              </w:rPr>
              <w:fldChar w:fldCharType="begin"/>
            </w:r>
            <w:r w:rsidR="006C124D">
              <w:rPr>
                <w:noProof/>
                <w:webHidden/>
              </w:rPr>
              <w:instrText xml:space="preserve"> PAGEREF _Toc101294837 \h </w:instrText>
            </w:r>
            <w:r w:rsidR="006C124D">
              <w:rPr>
                <w:noProof/>
                <w:webHidden/>
              </w:rPr>
            </w:r>
            <w:r w:rsidR="006C124D">
              <w:rPr>
                <w:noProof/>
                <w:webHidden/>
              </w:rPr>
              <w:fldChar w:fldCharType="separate"/>
            </w:r>
            <w:r w:rsidR="006C124D">
              <w:rPr>
                <w:noProof/>
                <w:webHidden/>
              </w:rPr>
              <w:t>4</w:t>
            </w:r>
            <w:r w:rsidR="006C124D">
              <w:rPr>
                <w:noProof/>
                <w:webHidden/>
              </w:rPr>
              <w:fldChar w:fldCharType="end"/>
            </w:r>
          </w:hyperlink>
        </w:p>
        <w:p w14:paraId="2F94DF2A" w14:textId="4F8C9D73" w:rsidR="006C124D" w:rsidRDefault="005370BF">
          <w:pPr>
            <w:pStyle w:val="TOC1"/>
            <w:tabs>
              <w:tab w:val="right" w:leader="dot" w:pos="9016"/>
            </w:tabs>
            <w:rPr>
              <w:rFonts w:asciiTheme="minorHAnsi" w:eastAsiaTheme="minorEastAsia" w:hAnsiTheme="minorHAnsi"/>
              <w:noProof/>
              <w:sz w:val="22"/>
              <w:lang w:val="en-IN" w:eastAsia="en-IN"/>
            </w:rPr>
          </w:pPr>
          <w:hyperlink w:anchor="_Toc101294838" w:history="1">
            <w:r w:rsidR="006C124D" w:rsidRPr="00F04817">
              <w:rPr>
                <w:rStyle w:val="Hyperlink"/>
                <w:noProof/>
              </w:rPr>
              <w:t>Conclusion</w:t>
            </w:r>
            <w:r w:rsidR="006C124D">
              <w:rPr>
                <w:noProof/>
                <w:webHidden/>
              </w:rPr>
              <w:tab/>
            </w:r>
            <w:r w:rsidR="006C124D">
              <w:rPr>
                <w:noProof/>
                <w:webHidden/>
              </w:rPr>
              <w:fldChar w:fldCharType="begin"/>
            </w:r>
            <w:r w:rsidR="006C124D">
              <w:rPr>
                <w:noProof/>
                <w:webHidden/>
              </w:rPr>
              <w:instrText xml:space="preserve"> PAGEREF _Toc101294838 \h </w:instrText>
            </w:r>
            <w:r w:rsidR="006C124D">
              <w:rPr>
                <w:noProof/>
                <w:webHidden/>
              </w:rPr>
            </w:r>
            <w:r w:rsidR="006C124D">
              <w:rPr>
                <w:noProof/>
                <w:webHidden/>
              </w:rPr>
              <w:fldChar w:fldCharType="separate"/>
            </w:r>
            <w:r w:rsidR="006C124D">
              <w:rPr>
                <w:noProof/>
                <w:webHidden/>
              </w:rPr>
              <w:t>11</w:t>
            </w:r>
            <w:r w:rsidR="006C124D">
              <w:rPr>
                <w:noProof/>
                <w:webHidden/>
              </w:rPr>
              <w:fldChar w:fldCharType="end"/>
            </w:r>
          </w:hyperlink>
        </w:p>
        <w:p w14:paraId="7D4216B6" w14:textId="1638515C" w:rsidR="006C124D" w:rsidRDefault="005370BF">
          <w:pPr>
            <w:pStyle w:val="TOC1"/>
            <w:tabs>
              <w:tab w:val="right" w:leader="dot" w:pos="9016"/>
            </w:tabs>
            <w:rPr>
              <w:rFonts w:asciiTheme="minorHAnsi" w:eastAsiaTheme="minorEastAsia" w:hAnsiTheme="minorHAnsi"/>
              <w:noProof/>
              <w:sz w:val="22"/>
              <w:lang w:val="en-IN" w:eastAsia="en-IN"/>
            </w:rPr>
          </w:pPr>
          <w:hyperlink w:anchor="_Toc101294839" w:history="1">
            <w:r w:rsidR="006C124D" w:rsidRPr="00F04817">
              <w:rPr>
                <w:rStyle w:val="Hyperlink"/>
                <w:noProof/>
              </w:rPr>
              <w:t>References</w:t>
            </w:r>
            <w:r w:rsidR="006C124D">
              <w:rPr>
                <w:noProof/>
                <w:webHidden/>
              </w:rPr>
              <w:tab/>
            </w:r>
            <w:r w:rsidR="006C124D">
              <w:rPr>
                <w:noProof/>
                <w:webHidden/>
              </w:rPr>
              <w:fldChar w:fldCharType="begin"/>
            </w:r>
            <w:r w:rsidR="006C124D">
              <w:rPr>
                <w:noProof/>
                <w:webHidden/>
              </w:rPr>
              <w:instrText xml:space="preserve"> PAGEREF _Toc101294839 \h </w:instrText>
            </w:r>
            <w:r w:rsidR="006C124D">
              <w:rPr>
                <w:noProof/>
                <w:webHidden/>
              </w:rPr>
            </w:r>
            <w:r w:rsidR="006C124D">
              <w:rPr>
                <w:noProof/>
                <w:webHidden/>
              </w:rPr>
              <w:fldChar w:fldCharType="separate"/>
            </w:r>
            <w:r w:rsidR="006C124D">
              <w:rPr>
                <w:noProof/>
                <w:webHidden/>
              </w:rPr>
              <w:t>12</w:t>
            </w:r>
            <w:r w:rsidR="006C124D">
              <w:rPr>
                <w:noProof/>
                <w:webHidden/>
              </w:rPr>
              <w:fldChar w:fldCharType="end"/>
            </w:r>
          </w:hyperlink>
        </w:p>
        <w:p w14:paraId="6B6E36C1" w14:textId="0097BA84" w:rsidR="006C124D" w:rsidRDefault="005370BF">
          <w:pPr>
            <w:pStyle w:val="TOC2"/>
            <w:tabs>
              <w:tab w:val="right" w:leader="dot" w:pos="9016"/>
            </w:tabs>
            <w:rPr>
              <w:rFonts w:asciiTheme="minorHAnsi" w:eastAsiaTheme="minorEastAsia" w:hAnsiTheme="minorHAnsi"/>
              <w:noProof/>
              <w:sz w:val="22"/>
              <w:lang w:val="en-IN" w:eastAsia="en-IN"/>
            </w:rPr>
          </w:pPr>
          <w:hyperlink w:anchor="_Toc101294840" w:history="1">
            <w:r w:rsidR="006C124D" w:rsidRPr="00F04817">
              <w:rPr>
                <w:rStyle w:val="Hyperlink"/>
                <w:noProof/>
              </w:rPr>
              <w:t>Books and Journals</w:t>
            </w:r>
            <w:r w:rsidR="006C124D">
              <w:rPr>
                <w:noProof/>
                <w:webHidden/>
              </w:rPr>
              <w:tab/>
            </w:r>
            <w:r w:rsidR="006C124D">
              <w:rPr>
                <w:noProof/>
                <w:webHidden/>
              </w:rPr>
              <w:fldChar w:fldCharType="begin"/>
            </w:r>
            <w:r w:rsidR="006C124D">
              <w:rPr>
                <w:noProof/>
                <w:webHidden/>
              </w:rPr>
              <w:instrText xml:space="preserve"> PAGEREF _Toc101294840 \h </w:instrText>
            </w:r>
            <w:r w:rsidR="006C124D">
              <w:rPr>
                <w:noProof/>
                <w:webHidden/>
              </w:rPr>
            </w:r>
            <w:r w:rsidR="006C124D">
              <w:rPr>
                <w:noProof/>
                <w:webHidden/>
              </w:rPr>
              <w:fldChar w:fldCharType="separate"/>
            </w:r>
            <w:r w:rsidR="006C124D">
              <w:rPr>
                <w:noProof/>
                <w:webHidden/>
              </w:rPr>
              <w:t>12</w:t>
            </w:r>
            <w:r w:rsidR="006C124D">
              <w:rPr>
                <w:noProof/>
                <w:webHidden/>
              </w:rPr>
              <w:fldChar w:fldCharType="end"/>
            </w:r>
          </w:hyperlink>
        </w:p>
        <w:p w14:paraId="7E378704" w14:textId="11978C4C" w:rsidR="006C124D" w:rsidRDefault="005370BF">
          <w:pPr>
            <w:pStyle w:val="TOC2"/>
            <w:tabs>
              <w:tab w:val="right" w:leader="dot" w:pos="9016"/>
            </w:tabs>
            <w:rPr>
              <w:rFonts w:asciiTheme="minorHAnsi" w:eastAsiaTheme="minorEastAsia" w:hAnsiTheme="minorHAnsi"/>
              <w:noProof/>
              <w:sz w:val="22"/>
              <w:lang w:val="en-IN" w:eastAsia="en-IN"/>
            </w:rPr>
          </w:pPr>
          <w:hyperlink w:anchor="_Toc101294841" w:history="1">
            <w:r w:rsidR="006C124D" w:rsidRPr="00F04817">
              <w:rPr>
                <w:rStyle w:val="Hyperlink"/>
                <w:noProof/>
              </w:rPr>
              <w:t>Websites references</w:t>
            </w:r>
            <w:r w:rsidR="006C124D">
              <w:rPr>
                <w:noProof/>
                <w:webHidden/>
              </w:rPr>
              <w:tab/>
            </w:r>
            <w:r w:rsidR="006C124D">
              <w:rPr>
                <w:noProof/>
                <w:webHidden/>
              </w:rPr>
              <w:fldChar w:fldCharType="begin"/>
            </w:r>
            <w:r w:rsidR="006C124D">
              <w:rPr>
                <w:noProof/>
                <w:webHidden/>
              </w:rPr>
              <w:instrText xml:space="preserve"> PAGEREF _Toc101294841 \h </w:instrText>
            </w:r>
            <w:r w:rsidR="006C124D">
              <w:rPr>
                <w:noProof/>
                <w:webHidden/>
              </w:rPr>
            </w:r>
            <w:r w:rsidR="006C124D">
              <w:rPr>
                <w:noProof/>
                <w:webHidden/>
              </w:rPr>
              <w:fldChar w:fldCharType="separate"/>
            </w:r>
            <w:r w:rsidR="006C124D">
              <w:rPr>
                <w:noProof/>
                <w:webHidden/>
              </w:rPr>
              <w:t>12</w:t>
            </w:r>
            <w:r w:rsidR="006C124D">
              <w:rPr>
                <w:noProof/>
                <w:webHidden/>
              </w:rPr>
              <w:fldChar w:fldCharType="end"/>
            </w:r>
          </w:hyperlink>
        </w:p>
        <w:p w14:paraId="451410FE" w14:textId="33439CDD" w:rsidR="006C124D" w:rsidRDefault="006C124D">
          <w:r>
            <w:rPr>
              <w:b/>
              <w:bCs/>
              <w:noProof/>
            </w:rPr>
            <w:fldChar w:fldCharType="end"/>
          </w:r>
        </w:p>
      </w:sdtContent>
    </w:sdt>
    <w:p w14:paraId="767EC79C" w14:textId="5BCD8E4D" w:rsidR="00D27C8D" w:rsidRDefault="00D27C8D" w:rsidP="00021E65">
      <w:pPr>
        <w:pStyle w:val="TOCHeading"/>
      </w:pPr>
    </w:p>
    <w:p w14:paraId="6114A321" w14:textId="0DDFE547" w:rsidR="00C352FA" w:rsidRPr="00C352FA" w:rsidRDefault="00C352FA" w:rsidP="00C352FA">
      <w:pPr>
        <w:jc w:val="center"/>
        <w:rPr>
          <w:sz w:val="40"/>
          <w:szCs w:val="40"/>
        </w:rPr>
      </w:pPr>
      <w:r w:rsidRPr="00C352FA">
        <w:rPr>
          <w:sz w:val="40"/>
          <w:szCs w:val="40"/>
        </w:rPr>
        <w:br w:type="page"/>
      </w:r>
    </w:p>
    <w:p w14:paraId="6FC32152" w14:textId="77777777" w:rsidR="00FC75CD" w:rsidRDefault="00FC75CD" w:rsidP="00FC75CD">
      <w:pPr>
        <w:pStyle w:val="Heading1"/>
      </w:pPr>
      <w:bookmarkStart w:id="0" w:name="_Toc101294700"/>
      <w:bookmarkStart w:id="1" w:name="_Toc101294836"/>
      <w:r>
        <w:lastRenderedPageBreak/>
        <w:t>Introduction</w:t>
      </w:r>
      <w:bookmarkEnd w:id="0"/>
      <w:bookmarkEnd w:id="1"/>
    </w:p>
    <w:p w14:paraId="2BE23C0E" w14:textId="77777777" w:rsidR="00FC75CD" w:rsidRDefault="00FC75CD" w:rsidP="00FC75CD">
      <w:r>
        <w:t>Collaborative work performed by a group of people sharing either common geography or situation is often referred to as Community engagement. Initiated by the UK government, the England Trees Action plan is a community engagement plan developed to set out a long-term vision for tree plantations in England. The following report will demonstrate the understanding of the community engagement concept by the student through a thorough study of the England Trees Action Plan Initiative. Further, the report will give a reflexive account of the student in analysing the best community engagement practices and identifying the relationship between engagement strategies and the stakeholders. Additionally, the report will also focus on the reflection of the student in understanding the importance of media as an Effective Marketing Channel and the avenues through which community engagement can be promoted effectively. Furthermore, the report will also elaborate on students' reflection on understanding the reason behind choosing a forward looking approach to understand its overall impact on the development of the community.</w:t>
      </w:r>
    </w:p>
    <w:p w14:paraId="2126A2E7" w14:textId="77777777" w:rsidR="00FC75CD" w:rsidRDefault="00FC75CD" w:rsidP="00FC75CD">
      <w:pPr>
        <w:spacing w:line="259" w:lineRule="auto"/>
        <w:jc w:val="left"/>
      </w:pPr>
      <w:r>
        <w:br w:type="page"/>
      </w:r>
    </w:p>
    <w:p w14:paraId="62444C23" w14:textId="77777777" w:rsidR="00FC75CD" w:rsidRDefault="00FC75CD" w:rsidP="00FC75CD">
      <w:pPr>
        <w:pStyle w:val="Heading1"/>
      </w:pPr>
      <w:bookmarkStart w:id="2" w:name="_Toc101294701"/>
      <w:bookmarkStart w:id="3" w:name="_Toc101294837"/>
      <w:r>
        <w:lastRenderedPageBreak/>
        <w:t>Reflective account</w:t>
      </w:r>
      <w:bookmarkEnd w:id="2"/>
      <w:bookmarkEnd w:id="3"/>
    </w:p>
    <w:p w14:paraId="7129BAD8" w14:textId="77777777" w:rsidR="00FC75CD" w:rsidRPr="0071352C" w:rsidRDefault="00FC75CD" w:rsidP="00FC75CD">
      <w:r>
        <w:t xml:space="preserve">Through a thorough study of the England Trees Action Plan, the student was able to learn the importance of tree plantation while understanding the importance of community engagement in the process of community development. The student was able to understand that the involvement of the community at large can help in creating awareness of and importance of tree plantations in daily life. Moreover, such initiatives can also help in building up self-esteem among the community and can be a source of motivation for the community. Through the analysis of the implications of the community engagement programme, the student was able to learn the importance of community engagement in motivating people for implementing such social wellbeing programmes </w:t>
      </w:r>
      <w:sdt>
        <w:sdtPr>
          <w:id w:val="1440030154"/>
          <w:citation/>
        </w:sdtPr>
        <w:sdtEndPr/>
        <w:sdtContent>
          <w:r w:rsidR="005B66FB">
            <w:fldChar w:fldCharType="begin"/>
          </w:r>
          <w:r w:rsidR="005B66FB">
            <w:instrText xml:space="preserve"> CITATION gov21 \l 2057 </w:instrText>
          </w:r>
          <w:r w:rsidR="005B66FB">
            <w:fldChar w:fldCharType="separate"/>
          </w:r>
          <w:r w:rsidRPr="00EF2C2A">
            <w:rPr>
              <w:noProof/>
            </w:rPr>
            <w:t>(gov.UK, 2021)</w:t>
          </w:r>
          <w:r w:rsidR="005B66FB">
            <w:rPr>
              <w:noProof/>
            </w:rPr>
            <w:fldChar w:fldCharType="end"/>
          </w:r>
        </w:sdtContent>
      </w:sdt>
      <w:r>
        <w:t>. Furthermore, the overall analysis of the England Trees Action Plan Initiative has helped the student to understand the relevance of community engagement for uplifting the community as a whole.</w:t>
      </w:r>
    </w:p>
    <w:p w14:paraId="68F1F264" w14:textId="77777777" w:rsidR="00FC75CD" w:rsidRDefault="00FC75CD" w:rsidP="00FC75CD">
      <w:pPr>
        <w:jc w:val="center"/>
        <w:rPr>
          <w:b/>
          <w:sz w:val="40"/>
          <w:szCs w:val="40"/>
        </w:rPr>
      </w:pPr>
    </w:p>
    <w:p w14:paraId="24ECE555" w14:textId="77777777" w:rsidR="00FC75CD" w:rsidRDefault="00FC75CD" w:rsidP="00FC75CD">
      <w:pPr>
        <w:spacing w:line="259" w:lineRule="auto"/>
        <w:jc w:val="left"/>
        <w:rPr>
          <w:b/>
          <w:sz w:val="40"/>
          <w:szCs w:val="40"/>
        </w:rPr>
      </w:pPr>
      <w:r>
        <w:rPr>
          <w:b/>
          <w:sz w:val="40"/>
          <w:szCs w:val="40"/>
        </w:rPr>
        <w:br w:type="page"/>
      </w:r>
    </w:p>
    <w:p w14:paraId="2F26C326" w14:textId="77777777" w:rsidR="00FC75CD" w:rsidRPr="00FC75CD" w:rsidRDefault="00FC75CD" w:rsidP="00FC75CD">
      <w:pPr>
        <w:rPr>
          <w:b/>
        </w:rPr>
      </w:pPr>
      <w:r w:rsidRPr="00FC75CD">
        <w:rPr>
          <w:b/>
        </w:rPr>
        <w:lastRenderedPageBreak/>
        <w:t>Analysing the best community engagement practices and principles, standards and benefits of Stake hold’s participation</w:t>
      </w:r>
    </w:p>
    <w:p w14:paraId="7D195767" w14:textId="2B3B4E6B" w:rsidR="00FC75CD" w:rsidRPr="00FC75CD" w:rsidRDefault="00FC75CD" w:rsidP="00FC75CD">
      <w:pPr>
        <w:rPr>
          <w:shd w:val="clear" w:color="auto" w:fill="FFFFFF"/>
        </w:rPr>
      </w:pPr>
      <w:r>
        <w:t xml:space="preserve">Community Engagement is the process to address the issue with a special interest in a collaborative way </w:t>
      </w:r>
      <w:r>
        <w:rPr>
          <w:shd w:val="clear" w:color="auto" w:fill="FFFFFF"/>
        </w:rPr>
        <w:t>(David-Chavez et al., 2018)</w:t>
      </w:r>
      <w:r>
        <w:t xml:space="preserve">. It is a sequential program that focuses on collaborative working with a set of people to do work together. The student has understood that there're four most important pillars of community engagement, people, policy, practice and performance, which help to work in a collaborative way to identify the issue and solve it together in a team. Community analysis increases the precision of effective engagement practices. Community analysis mainly involves a community identifying the issue and collecting data about the community, analysing data and assessing community needs. The student has stated that decision making under proper planning consists of good community engagement in procedural terms </w:t>
      </w:r>
      <w:r>
        <w:rPr>
          <w:shd w:val="clear" w:color="auto" w:fill="FFFFFF"/>
        </w:rPr>
        <w:t>(David-Chavez et al., 2018)</w:t>
      </w:r>
      <w:r>
        <w:t xml:space="preserve">. Proper planning sets community goals that increase the reach of content. Planning attracts people to pay attention to the identification of influencers to work in a collaborative way. Community management has a backbone which is content, whether it's the long or short form. Contents are promoted via social media, which helps readers to learn. Proper planning help to optimise content for sharing with many initiatives, which helps the community to spread content easily. Interactions guidelines are created for users with the help of a community management plan. Planning is necessary to maintain consistency </w:t>
      </w:r>
      <w:r>
        <w:rPr>
          <w:shd w:val="clear" w:color="auto" w:fill="FFFFFF"/>
        </w:rPr>
        <w:t>(Elbanna et al., 2019)</w:t>
      </w:r>
      <w:r>
        <w:t xml:space="preserve">. The community management plan has a tactic to optimise monitoring plans which helps to grow community engagement. Decision-making ability helps to solve greater problems in community groups which consist of good community engagement. Good decision making enhance community capacity to do better community engagement. The student has understood that Stakeholder participation is important in community engagement practices. Stakeholder participation is important for programme sustainability as it refers to a group of individuals with competitiveness and legitimacy </w:t>
      </w:r>
      <w:r>
        <w:rPr>
          <w:shd w:val="clear" w:color="auto" w:fill="FFFFFF"/>
        </w:rPr>
        <w:lastRenderedPageBreak/>
        <w:t>(Stallings et al., 2019)</w:t>
      </w:r>
      <w:r>
        <w:t>. Stakeholders save money and time in community engagement. Transparency and trust are very important in community engagement as it refers to an honest and full accounting of all verify with an equitable decision-making process. Transparency helps citizens to address the activities of the UK government. Trust is important in community engagement as it engages stakeholders in meaningful ways. The student has not described the transparency and trust in community engagement, but these are important for community engagement</w:t>
      </w:r>
      <w:r w:rsidR="00391AA2">
        <w:t xml:space="preserve"> </w:t>
      </w:r>
      <w:sdt>
        <w:sdtPr>
          <w:id w:val="-77984417"/>
          <w:citation/>
        </w:sdtPr>
        <w:sdtEndPr/>
        <w:sdtContent>
          <w:r w:rsidR="00391AA2">
            <w:fldChar w:fldCharType="begin"/>
          </w:r>
          <w:r w:rsidR="00391AA2">
            <w:instrText xml:space="preserve"> CITATION Reb21 \l 2057 </w:instrText>
          </w:r>
          <w:r w:rsidR="00391AA2">
            <w:fldChar w:fldCharType="separate"/>
          </w:r>
          <w:r w:rsidR="00391AA2" w:rsidRPr="00391AA2">
            <w:rPr>
              <w:noProof/>
            </w:rPr>
            <w:t>(Dudensing, 2021)</w:t>
          </w:r>
          <w:r w:rsidR="00391AA2">
            <w:fldChar w:fldCharType="end"/>
          </w:r>
        </w:sdtContent>
      </w:sdt>
      <w:r>
        <w:t>.</w:t>
      </w:r>
      <w:r>
        <w:rPr>
          <w:b/>
          <w:sz w:val="40"/>
          <w:szCs w:val="40"/>
        </w:rPr>
        <w:br w:type="page"/>
      </w:r>
    </w:p>
    <w:p w14:paraId="503AF903" w14:textId="77777777" w:rsidR="00FC75CD" w:rsidRPr="00FC75CD" w:rsidRDefault="00FC75CD" w:rsidP="00FC75CD">
      <w:pPr>
        <w:rPr>
          <w:b/>
        </w:rPr>
      </w:pPr>
      <w:r w:rsidRPr="00FC75CD">
        <w:rPr>
          <w:b/>
        </w:rPr>
        <w:lastRenderedPageBreak/>
        <w:t>Identification and Establishment of the relationship between engagement strategies and stakeholders</w:t>
      </w:r>
    </w:p>
    <w:p w14:paraId="016FC5D4" w14:textId="600A7F0A" w:rsidR="00FC75CD" w:rsidRPr="00FC75CD" w:rsidRDefault="00FC75CD" w:rsidP="00FC75CD">
      <w:pPr>
        <w:rPr>
          <w:shd w:val="clear" w:color="auto" w:fill="FFFFFF"/>
        </w:rPr>
      </w:pPr>
      <w:r>
        <w:t xml:space="preserve">The student has stated that different social media platforms occupy all communities in a very simple way. Social media platforms are very powerful for public engagement to share news and demonstrate actual works which engage directly with residents </w:t>
      </w:r>
      <w:r>
        <w:rPr>
          <w:shd w:val="clear" w:color="auto" w:fill="FFFFFF"/>
        </w:rPr>
        <w:t>(</w:t>
      </w:r>
      <w:proofErr w:type="spellStart"/>
      <w:r>
        <w:rPr>
          <w:shd w:val="clear" w:color="auto" w:fill="FFFFFF"/>
        </w:rPr>
        <w:t>Florenthal</w:t>
      </w:r>
      <w:proofErr w:type="spellEnd"/>
      <w:r>
        <w:rPr>
          <w:shd w:val="clear" w:color="auto" w:fill="FFFFFF"/>
        </w:rPr>
        <w:t>, 2019)</w:t>
      </w:r>
      <w:r>
        <w:t xml:space="preserve">. Social media platforms reach specific audiences in demographic groups, which helps in community engagement. Different platforms like </w:t>
      </w:r>
      <w:r w:rsidR="00391AA2">
        <w:t>YouTube</w:t>
      </w:r>
      <w:r>
        <w:t>, Facebook, Twitter, Instagram and LinkedIn help to communicate with people worldwide</w:t>
      </w:r>
      <w:r w:rsidR="00391AA2">
        <w:t xml:space="preserve"> </w:t>
      </w:r>
      <w:sdt>
        <w:sdtPr>
          <w:id w:val="1551345734"/>
          <w:citation/>
        </w:sdtPr>
        <w:sdtEndPr/>
        <w:sdtContent>
          <w:r w:rsidR="00391AA2">
            <w:fldChar w:fldCharType="begin"/>
          </w:r>
          <w:r w:rsidR="00391AA2">
            <w:instrText xml:space="preserve"> CITATION Son19 \l 2057 </w:instrText>
          </w:r>
          <w:r w:rsidR="00391AA2">
            <w:fldChar w:fldCharType="separate"/>
          </w:r>
          <w:r w:rsidR="00391AA2" w:rsidRPr="00391AA2">
            <w:rPr>
              <w:noProof/>
            </w:rPr>
            <w:t>(Sherman, 2019)</w:t>
          </w:r>
          <w:r w:rsidR="00391AA2">
            <w:fldChar w:fldCharType="end"/>
          </w:r>
        </w:sdtContent>
      </w:sdt>
      <w:r>
        <w:t>. Live streaming capabilities through Facebook Live help to reach community engagement through the important announcements to the community. Broadcast of video content through YouTube to reach community engagement by the important announcement for the public. Twitter is also a powerful social media tool to make the brief announcement for community engagement</w:t>
      </w:r>
      <w:r w:rsidR="00391AA2">
        <w:t xml:space="preserve"> </w:t>
      </w:r>
      <w:sdt>
        <w:sdtPr>
          <w:id w:val="-1787580012"/>
          <w:citation/>
        </w:sdtPr>
        <w:sdtEndPr/>
        <w:sdtContent>
          <w:r w:rsidR="00391AA2">
            <w:fldChar w:fldCharType="begin"/>
          </w:r>
          <w:r w:rsidR="00391AA2">
            <w:instrText xml:space="preserve"> CITATION Ilo21 \l 2057 </w:instrText>
          </w:r>
          <w:r w:rsidR="00391AA2">
            <w:fldChar w:fldCharType="separate"/>
          </w:r>
          <w:r w:rsidR="00391AA2" w:rsidRPr="00391AA2">
            <w:rPr>
              <w:noProof/>
            </w:rPr>
            <w:t>(Lodewijckx, 2021)</w:t>
          </w:r>
          <w:r w:rsidR="00391AA2">
            <w:fldChar w:fldCharType="end"/>
          </w:r>
        </w:sdtContent>
      </w:sdt>
      <w:r>
        <w:t xml:space="preserve">. LinkedIn is a professional social media platform to attract all communities to post job opportunities. In different communities' people share their views, comment, and opinions with others for community development. All social media platforms create community engagement such as saves, re tweets, mentions, replies, likes, shares etc., of content through social media platforms. The student has stated that creating groups on social media helps to share positive and good interactions among communities </w:t>
      </w:r>
      <w:r>
        <w:rPr>
          <w:shd w:val="clear" w:color="auto" w:fill="FFFFFF"/>
        </w:rPr>
        <w:t>(</w:t>
      </w:r>
      <w:proofErr w:type="spellStart"/>
      <w:r>
        <w:rPr>
          <w:shd w:val="clear" w:color="auto" w:fill="FFFFFF"/>
        </w:rPr>
        <w:t>Florenthal</w:t>
      </w:r>
      <w:proofErr w:type="spellEnd"/>
      <w:r>
        <w:rPr>
          <w:shd w:val="clear" w:color="auto" w:fill="FFFFFF"/>
        </w:rPr>
        <w:t>, 2019)</w:t>
      </w:r>
      <w:r>
        <w:t xml:space="preserve">. </w:t>
      </w:r>
      <w:r>
        <w:rPr>
          <w:b/>
          <w:bCs/>
        </w:rPr>
        <w:br w:type="page"/>
      </w:r>
    </w:p>
    <w:p w14:paraId="38051269" w14:textId="77777777" w:rsidR="00EA20B6" w:rsidRPr="00EA20B6" w:rsidRDefault="00EA20B6">
      <w:pPr>
        <w:rPr>
          <w:b/>
          <w:bCs/>
        </w:rPr>
      </w:pPr>
      <w:r w:rsidRPr="00EA20B6">
        <w:rPr>
          <w:b/>
          <w:bCs/>
        </w:rPr>
        <w:lastRenderedPageBreak/>
        <w:t>Social engagement through social media platforms</w:t>
      </w:r>
    </w:p>
    <w:p w14:paraId="35A0090F" w14:textId="37FFF233" w:rsidR="00105527" w:rsidRDefault="00A532B3">
      <w:r>
        <w:t xml:space="preserve">The social media platform is the most significant aspect of a marketing channel. The student must need to understand the importance of the social media channel. It with also very helpful in gathering donations for any particular project. Along with this, the students can also build awareness and </w:t>
      </w:r>
      <w:r w:rsidR="0005105E">
        <w:t xml:space="preserve">manage funding by using various kinds of social media platforms like Facebook and YouTube. With the help of social media, the students can easily reach a large number of </w:t>
      </w:r>
      <w:r w:rsidR="0056144D">
        <w:t>populations</w:t>
      </w:r>
      <w:r w:rsidR="0005105E">
        <w:t xml:space="preserve"> in a suitable way</w:t>
      </w:r>
      <w:sdt>
        <w:sdtPr>
          <w:id w:val="-750110685"/>
          <w:citation/>
        </w:sdtPr>
        <w:sdtEndPr/>
        <w:sdtContent>
          <w:r w:rsidR="00670D70">
            <w:fldChar w:fldCharType="begin"/>
          </w:r>
          <w:r w:rsidR="00ED46CE">
            <w:instrText xml:space="preserve"> CITATION Kri22 \l 2057 </w:instrText>
          </w:r>
          <w:r w:rsidR="00670D70">
            <w:fldChar w:fldCharType="separate"/>
          </w:r>
          <w:r w:rsidR="00ED46CE" w:rsidRPr="00ED46CE">
            <w:rPr>
              <w:noProof/>
            </w:rPr>
            <w:t>(Baker, 2022)</w:t>
          </w:r>
          <w:r w:rsidR="00670D70">
            <w:fldChar w:fldCharType="end"/>
          </w:r>
        </w:sdtContent>
      </w:sdt>
      <w:r w:rsidR="0005105E">
        <w:t xml:space="preserve">. There are various kinds of ways through which the </w:t>
      </w:r>
      <w:r w:rsidR="0056144D">
        <w:t>organisation</w:t>
      </w:r>
      <w:r w:rsidR="0005105E">
        <w:t xml:space="preserve"> can </w:t>
      </w:r>
      <w:r w:rsidR="0056144D">
        <w:t xml:space="preserve">conduct effective marketing of the plan. Through this module, the students also get to know about various kinds of marketing approaches like influencer marketing, social media donation campaign and </w:t>
      </w:r>
      <w:r w:rsidR="0088500D">
        <w:t>merchandise</w:t>
      </w:r>
      <w:r w:rsidR="0056144D">
        <w:t xml:space="preserve"> marketing.</w:t>
      </w:r>
      <w:r w:rsidR="000720F8">
        <w:t xml:space="preserve"> With the help of influencer marketing, the organisation can easily grab the attention of global consumers in a very easy manner</w:t>
      </w:r>
      <w:r w:rsidR="00391AA2">
        <w:t xml:space="preserve"> </w:t>
      </w:r>
      <w:sdt>
        <w:sdtPr>
          <w:id w:val="2062053821"/>
          <w:citation/>
        </w:sdtPr>
        <w:sdtEndPr/>
        <w:sdtContent>
          <w:r w:rsidR="00391AA2">
            <w:fldChar w:fldCharType="begin"/>
          </w:r>
          <w:r w:rsidR="00391AA2">
            <w:instrText xml:space="preserve"> CITATION Kim20 \l 2057 </w:instrText>
          </w:r>
          <w:r w:rsidR="00391AA2">
            <w:fldChar w:fldCharType="separate"/>
          </w:r>
          <w:r w:rsidR="00391AA2" w:rsidRPr="00391AA2">
            <w:rPr>
              <w:noProof/>
            </w:rPr>
            <w:t>(D’Souza, 2020)</w:t>
          </w:r>
          <w:r w:rsidR="00391AA2">
            <w:fldChar w:fldCharType="end"/>
          </w:r>
        </w:sdtContent>
      </w:sdt>
      <w:r w:rsidR="000720F8">
        <w:t xml:space="preserve">. In this process, the organisation can also </w:t>
      </w:r>
      <w:r w:rsidR="0089130A">
        <w:t>use various kinds of hashtags and tagging for effective promotion. Along with this, with the proper social media campaign, the organisation can easily arrange donations for various kinds of purpose</w:t>
      </w:r>
      <w:r w:rsidR="00ED46CE">
        <w:t xml:space="preserve">s </w:t>
      </w:r>
      <w:sdt>
        <w:sdtPr>
          <w:id w:val="426767742"/>
          <w:citation/>
        </w:sdtPr>
        <w:sdtEndPr/>
        <w:sdtContent>
          <w:r w:rsidR="00670D70">
            <w:fldChar w:fldCharType="begin"/>
          </w:r>
          <w:r w:rsidR="00ED46CE">
            <w:instrText xml:space="preserve"> CITATION nei21 \l 2057 </w:instrText>
          </w:r>
          <w:r w:rsidR="00670D70">
            <w:fldChar w:fldCharType="separate"/>
          </w:r>
          <w:r w:rsidR="00ED46CE" w:rsidRPr="00ED46CE">
            <w:rPr>
              <w:noProof/>
            </w:rPr>
            <w:t>(neilpatel, 2021)</w:t>
          </w:r>
          <w:r w:rsidR="00670D70">
            <w:fldChar w:fldCharType="end"/>
          </w:r>
        </w:sdtContent>
      </w:sdt>
      <w:r w:rsidR="0089130A">
        <w:t xml:space="preserve">. </w:t>
      </w:r>
      <w:r w:rsidR="0060435D">
        <w:t xml:space="preserve">For that, throughout this module, the student can easily understand the importance of the use of social media channels. Further, with the help of merchandise marketing, the organisation can easily try to connect the consumers with the products. Further, it is also a most effective approach to attracting consumers. </w:t>
      </w:r>
    </w:p>
    <w:p w14:paraId="57884B41" w14:textId="77777777" w:rsidR="00EA20B6" w:rsidRPr="00EA20B6" w:rsidRDefault="00EA20B6">
      <w:pPr>
        <w:rPr>
          <w:b/>
          <w:bCs/>
        </w:rPr>
      </w:pPr>
      <w:r w:rsidRPr="00EA20B6">
        <w:rPr>
          <w:b/>
          <w:bCs/>
        </w:rPr>
        <w:t>Ways in which community engagement can be promoted</w:t>
      </w:r>
    </w:p>
    <w:p w14:paraId="22BBEF68" w14:textId="77777777" w:rsidR="00EA33E9" w:rsidRDefault="00A532B3" w:rsidP="00381962">
      <w:r>
        <w:t xml:space="preserve">With the help of </w:t>
      </w:r>
      <w:r w:rsidR="00381962">
        <w:t xml:space="preserve">assignment one, the student can also get to know </w:t>
      </w:r>
      <w:r>
        <w:t>e various ways, through which community engagement can be promoted</w:t>
      </w:r>
      <w:r w:rsidR="00381962">
        <w:t xml:space="preserve">. It will also assist the organisation to promote community engagement in a proper manner. According to assignment one, the build connection is the most effective way to promote community engagement. The students also get to know that through building a connection with the communities can get proper information regarding </w:t>
      </w:r>
      <w:r w:rsidR="00381962">
        <w:lastRenderedPageBreak/>
        <w:t>the program The England Trees Action Plan 2021-2024. In this process, the government has also played a significant role and made effective use of social media channels to pro</w:t>
      </w:r>
      <w:r w:rsidR="00C217FB">
        <w:t>mote the program</w:t>
      </w:r>
      <w:sdt>
        <w:sdtPr>
          <w:id w:val="-750813670"/>
          <w:citation/>
        </w:sdtPr>
        <w:sdtEndPr/>
        <w:sdtContent>
          <w:r w:rsidR="00670D70">
            <w:fldChar w:fldCharType="begin"/>
          </w:r>
          <w:r w:rsidR="00ED46CE">
            <w:instrText xml:space="preserve"> CITATION buf22 \l 2057 </w:instrText>
          </w:r>
          <w:r w:rsidR="00670D70">
            <w:fldChar w:fldCharType="separate"/>
          </w:r>
          <w:r w:rsidR="00ED46CE" w:rsidRPr="00ED46CE">
            <w:rPr>
              <w:noProof/>
            </w:rPr>
            <w:t>(buffer, 2022)</w:t>
          </w:r>
          <w:r w:rsidR="00670D70">
            <w:fldChar w:fldCharType="end"/>
          </w:r>
        </w:sdtContent>
      </w:sdt>
      <w:r w:rsidR="00C217FB">
        <w:t xml:space="preserve">. The students have also gotten to know the effective use of social media channels while promoting a program. Along with this, the students also get to know how the positive experiences of the community members can help the program to become successful. If the community members get adequate support from the UK government they can easily feel valued and more associated with the project. </w:t>
      </w:r>
      <w:r w:rsidR="00016CFE">
        <w:t>In this way, the students will get to know the best way to make engage the community members with the project.</w:t>
      </w:r>
      <w:sdt>
        <w:sdtPr>
          <w:id w:val="-1694756980"/>
          <w:citation/>
        </w:sdtPr>
        <w:sdtEndPr/>
        <w:sdtContent>
          <w:r w:rsidR="00670D70">
            <w:fldChar w:fldCharType="begin"/>
          </w:r>
          <w:r w:rsidR="00ED17EF">
            <w:instrText xml:space="preserve"> CITATION Bre21 \l 2057 </w:instrText>
          </w:r>
          <w:r w:rsidR="00670D70">
            <w:fldChar w:fldCharType="separate"/>
          </w:r>
          <w:r w:rsidR="00ED17EF" w:rsidRPr="00ED17EF">
            <w:rPr>
              <w:noProof/>
            </w:rPr>
            <w:t>(Barnhart, 2021)</w:t>
          </w:r>
          <w:r w:rsidR="00670D70">
            <w:fldChar w:fldCharType="end"/>
          </w:r>
        </w:sdtContent>
      </w:sdt>
      <w:r w:rsidR="00016CFE">
        <w:t xml:space="preserve"> The program also needs to solve some social or environmental issues for the community. The students have also learned with the help of proper aim, the organisation can easily grab the attention of the community members. For that reason, it is highly essential for the </w:t>
      </w:r>
      <w:r w:rsidR="00512EC5">
        <w:t xml:space="preserve">government to take suitable steps to engage the members with the program. Throughout this process, the student can easily get to know the way, by which the government can easily leave </w:t>
      </w:r>
      <w:r w:rsidR="006F1443">
        <w:t>a</w:t>
      </w:r>
      <w:r w:rsidR="00512EC5">
        <w:t xml:space="preserve"> positive impact on the community member. Moreover, the student</w:t>
      </w:r>
      <w:r w:rsidR="006F1443">
        <w:t xml:space="preserve">s also get to know the importance of collaborative working in a proper manner. With a proper team working ability, the community members can work in a proper manner and easily make a successful project. </w:t>
      </w:r>
      <w:r>
        <w:t xml:space="preserve">In this module, the students have an adequate idea and understanding of which way the community engagement can be promoted in an effective manner.  </w:t>
      </w:r>
    </w:p>
    <w:p w14:paraId="1EDC26C0" w14:textId="77777777" w:rsidR="00EA20B6" w:rsidRPr="00EA20B6" w:rsidRDefault="00EA20B6" w:rsidP="00381962">
      <w:pPr>
        <w:rPr>
          <w:b/>
          <w:bCs/>
        </w:rPr>
      </w:pPr>
      <w:r w:rsidRPr="00EA20B6">
        <w:rPr>
          <w:b/>
          <w:bCs/>
        </w:rPr>
        <w:t>Forward-looking approach</w:t>
      </w:r>
    </w:p>
    <w:p w14:paraId="7EC74F8A" w14:textId="77777777" w:rsidR="0062715F" w:rsidRPr="00B4208C" w:rsidRDefault="00A532B3" w:rsidP="00381962">
      <w:r>
        <w:t xml:space="preserve">Throughout the module, the student can easily have an idea of the forward-looking approach. Along with this, it will also help to provide a clear understanding of the influence of the internal and external factors that highly affect community development. </w:t>
      </w:r>
      <w:r w:rsidR="003C69F1">
        <w:t>The students can also have understood the importance of planning which helps them to take various kinds of smart decisions to accomplish their goals</w:t>
      </w:r>
      <w:r w:rsidR="00B4208C">
        <w:rPr>
          <w:shd w:val="clear" w:color="auto" w:fill="FFFFFF"/>
        </w:rPr>
        <w:t>(Berry, 2019,pp.164-183)</w:t>
      </w:r>
      <w:r w:rsidR="003C69F1">
        <w:t xml:space="preserve">. In order to support education and training forward-thinking is always an essential aspect. The student will also learn in which </w:t>
      </w:r>
      <w:r w:rsidR="003C69F1">
        <w:lastRenderedPageBreak/>
        <w:t xml:space="preserve">way, the </w:t>
      </w:r>
      <w:r w:rsidR="003C69F1" w:rsidRPr="003C69F1">
        <w:t>community engagement practitioners</w:t>
      </w:r>
      <w:r w:rsidR="003C69F1">
        <w:t xml:space="preserve"> can use forward-thinking and educate the community on various kinds of internal factors. With the help of a forward-thinking approach, the students can easily understand the attitude of the community members </w:t>
      </w:r>
      <w:r w:rsidR="00BD39E9">
        <w:t xml:space="preserve">toward the </w:t>
      </w:r>
      <w:r w:rsidR="00BD39E9" w:rsidRPr="00BD39E9">
        <w:t>Trees Action plan for the 2021 to 2024</w:t>
      </w:r>
      <w:r w:rsidR="00BD39E9">
        <w:t xml:space="preserve"> program. Further, it will also help the student to recognise the potential impact on the community members for the development process. The </w:t>
      </w:r>
      <w:r w:rsidR="00BD39E9" w:rsidRPr="00BD39E9">
        <w:t>community engagement practitioners</w:t>
      </w:r>
      <w:r w:rsidR="00BD39E9">
        <w:t xml:space="preserve"> have also used the forward-thinking approach to analyse the external factors for </w:t>
      </w:r>
      <w:r w:rsidR="00BD39E9" w:rsidRPr="00BD39E9">
        <w:t xml:space="preserve">community </w:t>
      </w:r>
      <w:r w:rsidR="00BD39E9">
        <w:t>development. This section also provides an adequate idea of various kinds of external factors like legal restrictions, environmental conditions and government involvement</w:t>
      </w:r>
      <w:r w:rsidR="00B4208C">
        <w:rPr>
          <w:shd w:val="clear" w:color="auto" w:fill="FFFFFF"/>
        </w:rPr>
        <w:t>(Gaudry and Lorenz, 2018, pp.218-227)</w:t>
      </w:r>
      <w:r w:rsidR="00BD39E9">
        <w:t xml:space="preserve">. Various kinds of legislation have also impacted the </w:t>
      </w:r>
      <w:r w:rsidR="0079798A">
        <w:t xml:space="preserve">community development activities in a proper manner. Moreover, the students also have an adequate idea of various kinds of government involvement and legal restriction that can influence the </w:t>
      </w:r>
      <w:r w:rsidR="0079798A" w:rsidRPr="0079798A">
        <w:t>community engagement program.</w:t>
      </w:r>
      <w:r w:rsidR="00276D1E">
        <w:t xml:space="preserve"> Throughout this module, the student can also have an adequate idea of various kinds of factors that </w:t>
      </w:r>
      <w:r w:rsidR="00052792">
        <w:t xml:space="preserve">impacted the community development </w:t>
      </w:r>
      <w:r w:rsidR="00052792" w:rsidRPr="0079798A">
        <w:t>program</w:t>
      </w:r>
      <w:r w:rsidR="00052792">
        <w:t xml:space="preserve">. </w:t>
      </w:r>
    </w:p>
    <w:p w14:paraId="3F435F63" w14:textId="77777777" w:rsidR="0062715F" w:rsidRDefault="00A532B3">
      <w:pPr>
        <w:spacing w:line="259" w:lineRule="auto"/>
        <w:jc w:val="left"/>
      </w:pPr>
      <w:r>
        <w:br w:type="page"/>
      </w:r>
    </w:p>
    <w:p w14:paraId="16AF355B" w14:textId="77777777" w:rsidR="00EA33E9" w:rsidRDefault="00A532B3" w:rsidP="00092326">
      <w:pPr>
        <w:pStyle w:val="Heading1"/>
      </w:pPr>
      <w:bookmarkStart w:id="4" w:name="_Toc101294702"/>
      <w:bookmarkStart w:id="5" w:name="_Toc101294838"/>
      <w:r>
        <w:lastRenderedPageBreak/>
        <w:t>Conclusion</w:t>
      </w:r>
      <w:bookmarkEnd w:id="4"/>
      <w:bookmarkEnd w:id="5"/>
    </w:p>
    <w:p w14:paraId="5A9E961C" w14:textId="77777777" w:rsidR="004037E8" w:rsidRDefault="00A532B3" w:rsidP="00381962">
      <w:r>
        <w:t xml:space="preserve">This particular assessment has showcased a reflection based on </w:t>
      </w:r>
      <w:r w:rsidRPr="00BD39E9">
        <w:t>the Trees Action plan for the 2021 to 2024</w:t>
      </w:r>
      <w:r>
        <w:t xml:space="preserve"> program. Along with this, various kinds of social media uses and ways to implement them in the program promotion have also been highlighted here. </w:t>
      </w:r>
      <w:r w:rsidR="00276D1E">
        <w:t xml:space="preserve">An in-depth analysis of the stakeholder involvement in the project has also been described here. Moreover, the assessment has also showcased the importance of government involvement and the way in which community programs can be promoted. Further, the implementation of the forward-thinking approach that effectively influences the internal and external factors for the development process has also been described here. </w:t>
      </w:r>
    </w:p>
    <w:p w14:paraId="10F196E7" w14:textId="77777777" w:rsidR="004037E8" w:rsidRDefault="00A532B3">
      <w:pPr>
        <w:spacing w:line="259" w:lineRule="auto"/>
        <w:jc w:val="left"/>
      </w:pPr>
      <w:r>
        <w:br w:type="page"/>
      </w:r>
    </w:p>
    <w:p w14:paraId="1F36D085" w14:textId="77777777" w:rsidR="0062715F" w:rsidRDefault="00A532B3" w:rsidP="00FC75CD">
      <w:pPr>
        <w:pStyle w:val="Heading1"/>
      </w:pPr>
      <w:bookmarkStart w:id="6" w:name="_Toc101294703"/>
      <w:bookmarkStart w:id="7" w:name="_Toc101294839"/>
      <w:r>
        <w:lastRenderedPageBreak/>
        <w:t>References</w:t>
      </w:r>
      <w:bookmarkEnd w:id="6"/>
      <w:bookmarkEnd w:id="7"/>
    </w:p>
    <w:p w14:paraId="14EA456D" w14:textId="77777777" w:rsidR="004037E8" w:rsidRPr="00FC75CD" w:rsidRDefault="00A532B3" w:rsidP="006C124D">
      <w:pPr>
        <w:pStyle w:val="Heading2"/>
      </w:pPr>
      <w:bookmarkStart w:id="8" w:name="_Toc101294840"/>
      <w:r w:rsidRPr="00FC75CD">
        <w:t>Books and Journals</w:t>
      </w:r>
      <w:bookmarkEnd w:id="8"/>
    </w:p>
    <w:p w14:paraId="1794C855" w14:textId="77777777" w:rsidR="008F4371" w:rsidRDefault="008F4371" w:rsidP="00ED17EF">
      <w:pPr>
        <w:rPr>
          <w:shd w:val="clear" w:color="auto" w:fill="FFFFFF"/>
        </w:rPr>
      </w:pPr>
      <w:r>
        <w:rPr>
          <w:shd w:val="clear" w:color="auto" w:fill="FFFFFF"/>
        </w:rPr>
        <w:t>Berry, S.,(2019). Teaching to connect: Community-building strategies for the virtual classroom. </w:t>
      </w:r>
      <w:r>
        <w:rPr>
          <w:i/>
          <w:iCs/>
          <w:shd w:val="clear" w:color="auto" w:fill="FFFFFF"/>
        </w:rPr>
        <w:t>Online Learning</w:t>
      </w:r>
      <w:r>
        <w:rPr>
          <w:shd w:val="clear" w:color="auto" w:fill="FFFFFF"/>
        </w:rPr>
        <w:t>, </w:t>
      </w:r>
      <w:r>
        <w:rPr>
          <w:i/>
          <w:iCs/>
          <w:shd w:val="clear" w:color="auto" w:fill="FFFFFF"/>
        </w:rPr>
        <w:t>23</w:t>
      </w:r>
      <w:r>
        <w:rPr>
          <w:shd w:val="clear" w:color="auto" w:fill="FFFFFF"/>
        </w:rPr>
        <w:t>(1), pp.164-183.</w:t>
      </w:r>
    </w:p>
    <w:p w14:paraId="41D619B4" w14:textId="77777777" w:rsidR="008F4371" w:rsidRDefault="008F4371" w:rsidP="00FC75CD">
      <w:pPr>
        <w:rPr>
          <w:shd w:val="clear" w:color="auto" w:fill="FFFFFF"/>
        </w:rPr>
      </w:pPr>
      <w:r>
        <w:rPr>
          <w:shd w:val="clear" w:color="auto" w:fill="FFFFFF"/>
        </w:rPr>
        <w:t>David-Chavez, D.M. and Gavin, M.C., (2018). A global assessment of Indigenous community engagement in climate research. </w:t>
      </w:r>
      <w:r>
        <w:rPr>
          <w:i/>
          <w:iCs/>
          <w:shd w:val="clear" w:color="auto" w:fill="FFFFFF"/>
        </w:rPr>
        <w:t>Environmental Research Letters</w:t>
      </w:r>
      <w:r>
        <w:rPr>
          <w:shd w:val="clear" w:color="auto" w:fill="FFFFFF"/>
        </w:rPr>
        <w:t>, </w:t>
      </w:r>
      <w:r>
        <w:rPr>
          <w:i/>
          <w:iCs/>
          <w:shd w:val="clear" w:color="auto" w:fill="FFFFFF"/>
        </w:rPr>
        <w:t>13</w:t>
      </w:r>
      <w:r>
        <w:rPr>
          <w:shd w:val="clear" w:color="auto" w:fill="FFFFFF"/>
        </w:rPr>
        <w:t>(12), p.123005.</w:t>
      </w:r>
    </w:p>
    <w:p w14:paraId="4DA4EA67" w14:textId="77777777" w:rsidR="008F4371" w:rsidRDefault="008F4371" w:rsidP="00FC75CD">
      <w:pPr>
        <w:rPr>
          <w:shd w:val="clear" w:color="auto" w:fill="FFFFFF"/>
        </w:rPr>
      </w:pPr>
      <w:r>
        <w:rPr>
          <w:shd w:val="clear" w:color="auto" w:fill="FFFFFF"/>
        </w:rPr>
        <w:t>Elbanna, A., Bunker, D., Levine, L. and Sleigh, A., (2019). Emergency management in the changing world of social media: Framing the research agenda with the stakeholders through engaged scholarship. </w:t>
      </w:r>
      <w:r>
        <w:rPr>
          <w:i/>
          <w:iCs/>
          <w:shd w:val="clear" w:color="auto" w:fill="FFFFFF"/>
        </w:rPr>
        <w:t>International Journal of Information Management</w:t>
      </w:r>
      <w:r>
        <w:rPr>
          <w:shd w:val="clear" w:color="auto" w:fill="FFFFFF"/>
        </w:rPr>
        <w:t>, </w:t>
      </w:r>
      <w:r>
        <w:rPr>
          <w:i/>
          <w:iCs/>
          <w:shd w:val="clear" w:color="auto" w:fill="FFFFFF"/>
        </w:rPr>
        <w:t>47</w:t>
      </w:r>
      <w:r>
        <w:rPr>
          <w:shd w:val="clear" w:color="auto" w:fill="FFFFFF"/>
        </w:rPr>
        <w:t>, pp.112-120.</w:t>
      </w:r>
    </w:p>
    <w:p w14:paraId="4AC14D5B" w14:textId="77777777" w:rsidR="008F4371" w:rsidRDefault="008F4371" w:rsidP="00FC75CD">
      <w:pPr>
        <w:rPr>
          <w:shd w:val="clear" w:color="auto" w:fill="FFFFFF"/>
        </w:rPr>
      </w:pPr>
      <w:proofErr w:type="spellStart"/>
      <w:r>
        <w:rPr>
          <w:shd w:val="clear" w:color="auto" w:fill="FFFFFF"/>
        </w:rPr>
        <w:t>Florenthal</w:t>
      </w:r>
      <w:proofErr w:type="spellEnd"/>
      <w:r>
        <w:rPr>
          <w:shd w:val="clear" w:color="auto" w:fill="FFFFFF"/>
        </w:rPr>
        <w:t xml:space="preserve">, B., (2019). Young consumers' motivational drivers of brand engagement behaviour on social media sites: A synthesised U&amp;G and TAM framework. </w:t>
      </w:r>
      <w:r>
        <w:rPr>
          <w:i/>
          <w:iCs/>
          <w:shd w:val="clear" w:color="auto" w:fill="FFFFFF"/>
        </w:rPr>
        <w:t>Journal of Research in Interactive Marketing</w:t>
      </w:r>
      <w:r>
        <w:rPr>
          <w:shd w:val="clear" w:color="auto" w:fill="FFFFFF"/>
        </w:rPr>
        <w:t>.</w:t>
      </w:r>
    </w:p>
    <w:p w14:paraId="74C17106" w14:textId="77777777" w:rsidR="008F4371" w:rsidRDefault="008F4371" w:rsidP="00ED17EF">
      <w:pPr>
        <w:rPr>
          <w:shd w:val="clear" w:color="auto" w:fill="FFFFFF"/>
        </w:rPr>
      </w:pPr>
      <w:r>
        <w:rPr>
          <w:shd w:val="clear" w:color="auto" w:fill="FFFFFF"/>
        </w:rPr>
        <w:t>Gaudry, A. and Lorenz, D., (2018). Indigenization as inclusion, reconciliation, and decolonization: Navigating the different visions for indigenizing the Canadian Academy. </w:t>
      </w:r>
      <w:r>
        <w:rPr>
          <w:i/>
          <w:iCs/>
          <w:shd w:val="clear" w:color="auto" w:fill="FFFFFF"/>
        </w:rPr>
        <w:t>AlterNative: An International Journal of Indigenous Peoples</w:t>
      </w:r>
      <w:r>
        <w:rPr>
          <w:shd w:val="clear" w:color="auto" w:fill="FFFFFF"/>
        </w:rPr>
        <w:t>, </w:t>
      </w:r>
      <w:r>
        <w:rPr>
          <w:i/>
          <w:iCs/>
          <w:shd w:val="clear" w:color="auto" w:fill="FFFFFF"/>
        </w:rPr>
        <w:t>14</w:t>
      </w:r>
      <w:r>
        <w:rPr>
          <w:shd w:val="clear" w:color="auto" w:fill="FFFFFF"/>
        </w:rPr>
        <w:t>(3), pp.218-227.</w:t>
      </w:r>
    </w:p>
    <w:p w14:paraId="3C19F2A2" w14:textId="77777777" w:rsidR="008F4371" w:rsidRDefault="008F4371" w:rsidP="00FC75CD">
      <w:pPr>
        <w:rPr>
          <w:shd w:val="clear" w:color="auto" w:fill="FFFFFF"/>
        </w:rPr>
      </w:pPr>
      <w:r>
        <w:rPr>
          <w:shd w:val="clear" w:color="auto" w:fill="FFFFFF"/>
        </w:rPr>
        <w:t>Stallings, S.C., Boyer, A.P., Joosten, Y.A., Novak, L.L., Richmond, A., Vaughn, Y.C. and Wilkins, C.H., (2019). A taxonomy of impacts on clinical and translational research from community stakeholder engagement. </w:t>
      </w:r>
      <w:r>
        <w:rPr>
          <w:i/>
          <w:iCs/>
          <w:shd w:val="clear" w:color="auto" w:fill="FFFFFF"/>
        </w:rPr>
        <w:t>Health Expectations</w:t>
      </w:r>
      <w:r>
        <w:rPr>
          <w:shd w:val="clear" w:color="auto" w:fill="FFFFFF"/>
        </w:rPr>
        <w:t>, </w:t>
      </w:r>
      <w:r>
        <w:rPr>
          <w:i/>
          <w:iCs/>
          <w:shd w:val="clear" w:color="auto" w:fill="FFFFFF"/>
        </w:rPr>
        <w:t>22</w:t>
      </w:r>
      <w:r>
        <w:rPr>
          <w:shd w:val="clear" w:color="auto" w:fill="FFFFFF"/>
        </w:rPr>
        <w:t>(4), pp.731-742.</w:t>
      </w:r>
    </w:p>
    <w:p w14:paraId="17AFB948" w14:textId="6C8D8615" w:rsidR="00ED46CE" w:rsidRDefault="00FC75CD" w:rsidP="00391AA2">
      <w:pPr>
        <w:pStyle w:val="Heading2"/>
      </w:pPr>
      <w:bookmarkStart w:id="9" w:name="_Toc101294704"/>
      <w:bookmarkStart w:id="10" w:name="_Toc101294841"/>
      <w:r w:rsidRPr="00FC75CD">
        <w:t>Websites</w:t>
      </w:r>
      <w:r w:rsidR="00391AA2">
        <w:t xml:space="preserve"> references</w:t>
      </w:r>
      <w:bookmarkEnd w:id="9"/>
      <w:bookmarkEnd w:id="10"/>
    </w:p>
    <w:p w14:paraId="4C86CB26" w14:textId="6CD7A619" w:rsidR="0067081F" w:rsidRDefault="0067081F" w:rsidP="0067081F">
      <w:pPr>
        <w:pStyle w:val="Bibliography"/>
        <w:rPr>
          <w:noProof/>
          <w:szCs w:val="24"/>
          <w:lang w:val="en-US"/>
        </w:rPr>
      </w:pPr>
      <w:r>
        <w:rPr>
          <w:noProof/>
          <w:lang w:val="en-US"/>
        </w:rPr>
        <w:t xml:space="preserve">Baker, K., (2022). </w:t>
      </w:r>
      <w:r>
        <w:rPr>
          <w:i/>
          <w:iCs/>
          <w:noProof/>
          <w:lang w:val="en-US"/>
        </w:rPr>
        <w:t xml:space="preserve">Social Media Marketing: The Ultimate Guide. </w:t>
      </w:r>
      <w:r>
        <w:rPr>
          <w:noProof/>
          <w:lang w:val="en-US"/>
        </w:rPr>
        <w:t xml:space="preserve">[Online] </w:t>
      </w:r>
      <w:r>
        <w:rPr>
          <w:noProof/>
          <w:lang w:val="en-US"/>
        </w:rPr>
        <w:br/>
        <w:t xml:space="preserve">Available at: </w:t>
      </w:r>
      <w:r>
        <w:rPr>
          <w:noProof/>
          <w:u w:val="single"/>
          <w:lang w:val="en-US"/>
        </w:rPr>
        <w:t>https://blog.hubspot.com/marketing/social-media-marketing</w:t>
      </w:r>
    </w:p>
    <w:p w14:paraId="6A2C42ED" w14:textId="19C6919F" w:rsidR="0067081F" w:rsidRDefault="0067081F" w:rsidP="0067081F">
      <w:pPr>
        <w:pStyle w:val="Bibliography"/>
        <w:rPr>
          <w:noProof/>
          <w:lang w:val="en-US"/>
        </w:rPr>
      </w:pPr>
      <w:r>
        <w:rPr>
          <w:noProof/>
          <w:lang w:val="en-US"/>
        </w:rPr>
        <w:t xml:space="preserve">Barnhart, B., (2021). </w:t>
      </w:r>
      <w:r>
        <w:rPr>
          <w:i/>
          <w:iCs/>
          <w:noProof/>
          <w:lang w:val="en-US"/>
        </w:rPr>
        <w:t xml:space="preserve">Building your social media marketing strategy for 2022. </w:t>
      </w:r>
      <w:r>
        <w:rPr>
          <w:noProof/>
          <w:lang w:val="en-US"/>
        </w:rPr>
        <w:t xml:space="preserve">[Online] </w:t>
      </w:r>
      <w:r>
        <w:rPr>
          <w:noProof/>
          <w:lang w:val="en-US"/>
        </w:rPr>
        <w:br/>
        <w:t xml:space="preserve">Available at: </w:t>
      </w:r>
      <w:r>
        <w:rPr>
          <w:noProof/>
          <w:u w:val="single"/>
          <w:lang w:val="en-US"/>
        </w:rPr>
        <w:t>https://sproutsocial.com/insights/social-media-marketing-strategy/</w:t>
      </w:r>
    </w:p>
    <w:p w14:paraId="3F105AEF" w14:textId="46E31523" w:rsidR="0067081F" w:rsidRDefault="0067081F" w:rsidP="0067081F">
      <w:pPr>
        <w:pStyle w:val="Bibliography"/>
        <w:rPr>
          <w:noProof/>
          <w:lang w:val="en-US"/>
        </w:rPr>
      </w:pPr>
      <w:r>
        <w:rPr>
          <w:noProof/>
          <w:lang w:val="en-US"/>
        </w:rPr>
        <w:lastRenderedPageBreak/>
        <w:t xml:space="preserve">buffer, (2022). </w:t>
      </w:r>
      <w:r>
        <w:rPr>
          <w:i/>
          <w:iCs/>
          <w:noProof/>
          <w:lang w:val="en-US"/>
        </w:rPr>
        <w:t xml:space="preserve">What is Social Media Marketing?. </w:t>
      </w:r>
      <w:r>
        <w:rPr>
          <w:noProof/>
          <w:lang w:val="en-US"/>
        </w:rPr>
        <w:t xml:space="preserve">[Online] </w:t>
      </w:r>
      <w:r>
        <w:rPr>
          <w:noProof/>
          <w:lang w:val="en-US"/>
        </w:rPr>
        <w:br/>
        <w:t xml:space="preserve">Available at: </w:t>
      </w:r>
      <w:r>
        <w:rPr>
          <w:noProof/>
          <w:u w:val="single"/>
          <w:lang w:val="en-US"/>
        </w:rPr>
        <w:t>https://buffer.com/social-media-marketing</w:t>
      </w:r>
    </w:p>
    <w:p w14:paraId="717D5EAF" w14:textId="0B747440" w:rsidR="0067081F" w:rsidRDefault="0067081F" w:rsidP="0067081F">
      <w:pPr>
        <w:pStyle w:val="Bibliography"/>
        <w:rPr>
          <w:noProof/>
          <w:lang w:val="en-US"/>
        </w:rPr>
      </w:pPr>
      <w:r>
        <w:rPr>
          <w:noProof/>
          <w:lang w:val="en-US"/>
        </w:rPr>
        <w:t xml:space="preserve">D’Souza, K., (2020). </w:t>
      </w:r>
      <w:r>
        <w:rPr>
          <w:i/>
          <w:iCs/>
          <w:noProof/>
          <w:lang w:val="en-US"/>
        </w:rPr>
        <w:t xml:space="preserve">Transparent Communication &amp; Community Engagement During a Public Health Emergency (PHE). </w:t>
      </w:r>
      <w:r>
        <w:rPr>
          <w:noProof/>
          <w:lang w:val="en-US"/>
        </w:rPr>
        <w:t xml:space="preserve">[Online] </w:t>
      </w:r>
      <w:r>
        <w:rPr>
          <w:noProof/>
          <w:lang w:val="en-US"/>
        </w:rPr>
        <w:br/>
        <w:t xml:space="preserve">Available at: </w:t>
      </w:r>
      <w:r>
        <w:rPr>
          <w:noProof/>
          <w:u w:val="single"/>
          <w:lang w:val="en-US"/>
        </w:rPr>
        <w:t>https://vidhilegalpolicy.in/blog/transparent-communication-community-engagement-during-a-public-health-emergency-phe/</w:t>
      </w:r>
    </w:p>
    <w:p w14:paraId="71A653EF" w14:textId="353DF327" w:rsidR="0067081F" w:rsidRDefault="0067081F" w:rsidP="0067081F">
      <w:pPr>
        <w:pStyle w:val="Bibliography"/>
        <w:rPr>
          <w:noProof/>
          <w:lang w:val="en-US"/>
        </w:rPr>
      </w:pPr>
      <w:r>
        <w:rPr>
          <w:noProof/>
          <w:lang w:val="en-US"/>
        </w:rPr>
        <w:t xml:space="preserve">Dudensing, R., (2021). </w:t>
      </w:r>
      <w:r>
        <w:rPr>
          <w:i/>
          <w:iCs/>
          <w:noProof/>
          <w:lang w:val="en-US"/>
        </w:rPr>
        <w:t xml:space="preserve">Rural Communities Blog. </w:t>
      </w:r>
      <w:r>
        <w:rPr>
          <w:noProof/>
          <w:lang w:val="en-US"/>
        </w:rPr>
        <w:t xml:space="preserve">[Online] </w:t>
      </w:r>
      <w:r>
        <w:rPr>
          <w:noProof/>
          <w:lang w:val="en-US"/>
        </w:rPr>
        <w:br/>
        <w:t xml:space="preserve">Available at: </w:t>
      </w:r>
      <w:r>
        <w:rPr>
          <w:noProof/>
          <w:u w:val="single"/>
          <w:lang w:val="en-US"/>
        </w:rPr>
        <w:t>https://agrilife.org/ruralcommunitiesblog/2021/01/25/what-is-community-development/</w:t>
      </w:r>
    </w:p>
    <w:p w14:paraId="14EEFB7A" w14:textId="68D116D5" w:rsidR="0067081F" w:rsidRDefault="0067081F" w:rsidP="0067081F">
      <w:pPr>
        <w:pStyle w:val="Bibliography"/>
        <w:rPr>
          <w:noProof/>
          <w:lang w:val="en-US"/>
        </w:rPr>
      </w:pPr>
      <w:r>
        <w:rPr>
          <w:noProof/>
          <w:lang w:val="en-US"/>
        </w:rPr>
        <w:t xml:space="preserve">gov.uk, (2021). </w:t>
      </w:r>
      <w:r>
        <w:rPr>
          <w:i/>
          <w:iCs/>
          <w:noProof/>
          <w:lang w:val="en-US"/>
        </w:rPr>
        <w:t xml:space="preserve">England Trees Action Plan 2021 to 2024. </w:t>
      </w:r>
      <w:r>
        <w:rPr>
          <w:noProof/>
          <w:lang w:val="en-US"/>
        </w:rPr>
        <w:t xml:space="preserve">[Online] </w:t>
      </w:r>
      <w:r>
        <w:rPr>
          <w:noProof/>
          <w:lang w:val="en-US"/>
        </w:rPr>
        <w:br/>
        <w:t xml:space="preserve">Available at: </w:t>
      </w:r>
      <w:r>
        <w:rPr>
          <w:noProof/>
          <w:u w:val="single"/>
          <w:lang w:val="en-US"/>
        </w:rPr>
        <w:t>https://www.gov.uk/government/publications/england-trees-action-plan-2021-to-2024</w:t>
      </w:r>
    </w:p>
    <w:p w14:paraId="2F323058" w14:textId="107A3BC4" w:rsidR="0067081F" w:rsidRDefault="0067081F" w:rsidP="0067081F">
      <w:pPr>
        <w:pStyle w:val="Bibliography"/>
        <w:rPr>
          <w:noProof/>
          <w:lang w:val="en-US"/>
        </w:rPr>
      </w:pPr>
      <w:r>
        <w:rPr>
          <w:noProof/>
          <w:lang w:val="en-US"/>
        </w:rPr>
        <w:t xml:space="preserve">Lodewijckx, I., (2021). </w:t>
      </w:r>
      <w:r>
        <w:rPr>
          <w:i/>
          <w:iCs/>
          <w:noProof/>
          <w:lang w:val="en-US"/>
        </w:rPr>
        <w:t xml:space="preserve">Community engagement strategy: 6 elements for action plans. </w:t>
      </w:r>
      <w:r>
        <w:rPr>
          <w:noProof/>
          <w:lang w:val="en-US"/>
        </w:rPr>
        <w:t xml:space="preserve">[Online] </w:t>
      </w:r>
      <w:r>
        <w:rPr>
          <w:noProof/>
          <w:lang w:val="en-US"/>
        </w:rPr>
        <w:br/>
        <w:t xml:space="preserve">Available at: </w:t>
      </w:r>
      <w:r>
        <w:rPr>
          <w:noProof/>
          <w:u w:val="single"/>
          <w:lang w:val="en-US"/>
        </w:rPr>
        <w:t>https://www.citizenlab.co/blog/strategy-budgeting/6-elements-community-engagement-strategy/</w:t>
      </w:r>
    </w:p>
    <w:p w14:paraId="33755C36" w14:textId="6A7A8198" w:rsidR="0067081F" w:rsidRDefault="0067081F" w:rsidP="0067081F">
      <w:pPr>
        <w:pStyle w:val="Bibliography"/>
        <w:rPr>
          <w:noProof/>
          <w:lang w:val="en-US"/>
        </w:rPr>
      </w:pPr>
      <w:r>
        <w:rPr>
          <w:noProof/>
          <w:lang w:val="en-US"/>
        </w:rPr>
        <w:t xml:space="preserve">neilpatel, (2021). </w:t>
      </w:r>
      <w:r>
        <w:rPr>
          <w:i/>
          <w:iCs/>
          <w:noProof/>
          <w:lang w:val="en-US"/>
        </w:rPr>
        <w:t xml:space="preserve">Social Media Marketing: How to do it, Types, Tools &amp; Tips. </w:t>
      </w:r>
      <w:r>
        <w:rPr>
          <w:noProof/>
          <w:lang w:val="en-US"/>
        </w:rPr>
        <w:t xml:space="preserve">[Online] </w:t>
      </w:r>
      <w:r>
        <w:rPr>
          <w:noProof/>
          <w:lang w:val="en-US"/>
        </w:rPr>
        <w:br/>
        <w:t xml:space="preserve">Available at: </w:t>
      </w:r>
      <w:r>
        <w:rPr>
          <w:noProof/>
          <w:u w:val="single"/>
          <w:lang w:val="en-US"/>
        </w:rPr>
        <w:t>https://neilpatel.com/what-is-social-media-marketing/</w:t>
      </w:r>
    </w:p>
    <w:p w14:paraId="41AA953F" w14:textId="71D0D124" w:rsidR="00391AA2" w:rsidRPr="001C2D3C" w:rsidRDefault="0067081F" w:rsidP="001C2D3C">
      <w:pPr>
        <w:pStyle w:val="Bibliography"/>
        <w:rPr>
          <w:noProof/>
          <w:lang w:val="en-US"/>
        </w:rPr>
      </w:pPr>
      <w:r>
        <w:rPr>
          <w:noProof/>
          <w:lang w:val="en-US"/>
        </w:rPr>
        <w:t xml:space="preserve">Sherman, S., (2019). </w:t>
      </w:r>
      <w:r>
        <w:rPr>
          <w:i/>
          <w:iCs/>
          <w:noProof/>
          <w:lang w:val="en-US"/>
        </w:rPr>
        <w:t xml:space="preserve">Trust and transparency, in search of a catalyst for openness. </w:t>
      </w:r>
      <w:r>
        <w:rPr>
          <w:noProof/>
          <w:lang w:val="en-US"/>
        </w:rPr>
        <w:t xml:space="preserve">[Online] </w:t>
      </w:r>
      <w:r>
        <w:rPr>
          <w:noProof/>
          <w:lang w:val="en-US"/>
        </w:rPr>
        <w:br/>
        <w:t xml:space="preserve">Available at: </w:t>
      </w:r>
      <w:r>
        <w:rPr>
          <w:noProof/>
          <w:u w:val="single"/>
          <w:lang w:val="en-US"/>
        </w:rPr>
        <w:t>https://www.themandarin.com.au/116353-trust-transparency-openness/</w:t>
      </w:r>
    </w:p>
    <w:p w14:paraId="6EF72BCD" w14:textId="77777777" w:rsidR="00FC75CD" w:rsidRDefault="00FC75CD" w:rsidP="00381962"/>
    <w:sectPr w:rsidR="00FC75CD" w:rsidSect="00C352FA">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80133" w14:textId="77777777" w:rsidR="005B66FB" w:rsidRDefault="005B66FB" w:rsidP="00C352FA">
      <w:pPr>
        <w:spacing w:after="0" w:line="240" w:lineRule="auto"/>
      </w:pPr>
      <w:r>
        <w:separator/>
      </w:r>
    </w:p>
  </w:endnote>
  <w:endnote w:type="continuationSeparator" w:id="0">
    <w:p w14:paraId="3FCDEDEA" w14:textId="77777777" w:rsidR="005B66FB" w:rsidRDefault="005B66FB" w:rsidP="00C3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2165776"/>
      <w:docPartObj>
        <w:docPartGallery w:val="Page Numbers (Bottom of Page)"/>
        <w:docPartUnique/>
      </w:docPartObj>
    </w:sdtPr>
    <w:sdtEndPr/>
    <w:sdtContent>
      <w:sdt>
        <w:sdtPr>
          <w:id w:val="-1769616900"/>
          <w:docPartObj>
            <w:docPartGallery w:val="Page Numbers (Top of Page)"/>
            <w:docPartUnique/>
          </w:docPartObj>
        </w:sdtPr>
        <w:sdtEndPr/>
        <w:sdtContent>
          <w:p w14:paraId="12CFA8C1" w14:textId="77777777" w:rsidR="00C352FA" w:rsidRDefault="00C352FA">
            <w:pPr>
              <w:pStyle w:val="Footer"/>
              <w:jc w:val="right"/>
            </w:pPr>
            <w:r>
              <w:t xml:space="preserve">Page </w:t>
            </w:r>
            <w:r w:rsidR="00670D70">
              <w:rPr>
                <w:b/>
                <w:bCs/>
                <w:szCs w:val="24"/>
              </w:rPr>
              <w:fldChar w:fldCharType="begin"/>
            </w:r>
            <w:r>
              <w:rPr>
                <w:b/>
                <w:bCs/>
              </w:rPr>
              <w:instrText xml:space="preserve"> PAGE </w:instrText>
            </w:r>
            <w:r w:rsidR="00670D70">
              <w:rPr>
                <w:b/>
                <w:bCs/>
                <w:szCs w:val="24"/>
              </w:rPr>
              <w:fldChar w:fldCharType="separate"/>
            </w:r>
            <w:r w:rsidR="00685AE7">
              <w:rPr>
                <w:b/>
                <w:bCs/>
                <w:noProof/>
              </w:rPr>
              <w:t>12</w:t>
            </w:r>
            <w:r w:rsidR="00670D70">
              <w:rPr>
                <w:b/>
                <w:bCs/>
                <w:szCs w:val="24"/>
              </w:rPr>
              <w:fldChar w:fldCharType="end"/>
            </w:r>
            <w:r>
              <w:t xml:space="preserve"> of </w:t>
            </w:r>
            <w:r w:rsidR="00670D70">
              <w:rPr>
                <w:b/>
                <w:bCs/>
                <w:szCs w:val="24"/>
              </w:rPr>
              <w:fldChar w:fldCharType="begin"/>
            </w:r>
            <w:r>
              <w:rPr>
                <w:b/>
                <w:bCs/>
              </w:rPr>
              <w:instrText xml:space="preserve"> NUMPAGES  </w:instrText>
            </w:r>
            <w:r w:rsidR="00670D70">
              <w:rPr>
                <w:b/>
                <w:bCs/>
                <w:szCs w:val="24"/>
              </w:rPr>
              <w:fldChar w:fldCharType="separate"/>
            </w:r>
            <w:r w:rsidR="00685AE7">
              <w:rPr>
                <w:b/>
                <w:bCs/>
                <w:noProof/>
              </w:rPr>
              <w:t>12</w:t>
            </w:r>
            <w:r w:rsidR="00670D70">
              <w:rPr>
                <w:b/>
                <w:bCs/>
                <w:szCs w:val="24"/>
              </w:rPr>
              <w:fldChar w:fldCharType="end"/>
            </w:r>
          </w:p>
        </w:sdtContent>
      </w:sdt>
    </w:sdtContent>
  </w:sdt>
  <w:p w14:paraId="4389B7B3" w14:textId="77777777" w:rsidR="00C352FA" w:rsidRDefault="00C35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20D51" w14:textId="77777777" w:rsidR="005B66FB" w:rsidRDefault="005B66FB" w:rsidP="00C352FA">
      <w:pPr>
        <w:spacing w:after="0" w:line="240" w:lineRule="auto"/>
      </w:pPr>
      <w:r>
        <w:separator/>
      </w:r>
    </w:p>
  </w:footnote>
  <w:footnote w:type="continuationSeparator" w:id="0">
    <w:p w14:paraId="3EE9BF11" w14:textId="77777777" w:rsidR="005B66FB" w:rsidRDefault="005B66FB" w:rsidP="00C35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521C4" w14:textId="77777777" w:rsidR="00C352FA" w:rsidRDefault="00C352FA" w:rsidP="00C352FA">
    <w:pPr>
      <w:pStyle w:val="Header"/>
      <w:jc w:val="right"/>
    </w:pPr>
    <w:r>
      <w:rPr>
        <w:shd w:val="clear" w:color="auto" w:fill="FFFFFF"/>
      </w:rPr>
      <w:t>Community engagement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F6A"/>
    <w:rsid w:val="0000772C"/>
    <w:rsid w:val="00016CFE"/>
    <w:rsid w:val="00021E65"/>
    <w:rsid w:val="0005105E"/>
    <w:rsid w:val="00052792"/>
    <w:rsid w:val="000720F8"/>
    <w:rsid w:val="00092326"/>
    <w:rsid w:val="00102978"/>
    <w:rsid w:val="00105527"/>
    <w:rsid w:val="001C2D3C"/>
    <w:rsid w:val="00276D1E"/>
    <w:rsid w:val="00381962"/>
    <w:rsid w:val="00391AA2"/>
    <w:rsid w:val="003C69F1"/>
    <w:rsid w:val="004037E8"/>
    <w:rsid w:val="00512EC5"/>
    <w:rsid w:val="005370BF"/>
    <w:rsid w:val="0056144D"/>
    <w:rsid w:val="005B66FB"/>
    <w:rsid w:val="0060435D"/>
    <w:rsid w:val="0062570F"/>
    <w:rsid w:val="0062715F"/>
    <w:rsid w:val="0067081F"/>
    <w:rsid w:val="00670D70"/>
    <w:rsid w:val="00685AE7"/>
    <w:rsid w:val="006B7C01"/>
    <w:rsid w:val="006C124D"/>
    <w:rsid w:val="006F1443"/>
    <w:rsid w:val="0070321D"/>
    <w:rsid w:val="00712F6A"/>
    <w:rsid w:val="00763D4F"/>
    <w:rsid w:val="0079798A"/>
    <w:rsid w:val="007F7A7D"/>
    <w:rsid w:val="0088500D"/>
    <w:rsid w:val="00890018"/>
    <w:rsid w:val="0089130A"/>
    <w:rsid w:val="008F4371"/>
    <w:rsid w:val="009D71B9"/>
    <w:rsid w:val="00A532B3"/>
    <w:rsid w:val="00A76C0D"/>
    <w:rsid w:val="00B4208C"/>
    <w:rsid w:val="00BD39E9"/>
    <w:rsid w:val="00BF43B6"/>
    <w:rsid w:val="00C217FB"/>
    <w:rsid w:val="00C352FA"/>
    <w:rsid w:val="00D27C8D"/>
    <w:rsid w:val="00DE5FE4"/>
    <w:rsid w:val="00EA20B6"/>
    <w:rsid w:val="00EA33E9"/>
    <w:rsid w:val="00EC06F8"/>
    <w:rsid w:val="00EC3231"/>
    <w:rsid w:val="00ED17EF"/>
    <w:rsid w:val="00ED46CE"/>
    <w:rsid w:val="00EE1E09"/>
    <w:rsid w:val="00EF5B29"/>
    <w:rsid w:val="00FB3377"/>
    <w:rsid w:val="00FC75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C250"/>
  <w15:docId w15:val="{E5A330B8-D6CC-468C-8FAE-2CAD22EA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3B6"/>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63D4F"/>
    <w:pPr>
      <w:keepNext/>
      <w:keepLines/>
      <w:spacing w:before="240" w:after="0"/>
      <w:outlineLvl w:val="0"/>
    </w:pPr>
    <w:rPr>
      <w:rFonts w:eastAsiaTheme="majorEastAsia" w:cstheme="majorBidi"/>
      <w:b/>
      <w:color w:val="000000" w:themeColor="text1"/>
      <w:sz w:val="28"/>
      <w:szCs w:val="32"/>
      <w:lang w:val="en-US"/>
    </w:rPr>
  </w:style>
  <w:style w:type="paragraph" w:styleId="Heading2">
    <w:name w:val="heading 2"/>
    <w:basedOn w:val="Normal"/>
    <w:next w:val="Normal"/>
    <w:link w:val="Heading2Char"/>
    <w:uiPriority w:val="9"/>
    <w:unhideWhenUsed/>
    <w:qFormat/>
    <w:rsid w:val="00763D4F"/>
    <w:pPr>
      <w:keepNext/>
      <w:keepLines/>
      <w:spacing w:before="40" w:after="0"/>
      <w:outlineLvl w:val="1"/>
    </w:pPr>
    <w:rPr>
      <w:rFonts w:eastAsiaTheme="majorEastAsia" w:cstheme="majorBidi"/>
      <w:b/>
      <w:color w:val="000000" w:themeColor="text1"/>
      <w:sz w:val="26"/>
      <w:szCs w:val="26"/>
      <w:lang w:val="en-US"/>
    </w:rPr>
  </w:style>
  <w:style w:type="paragraph" w:styleId="Heading3">
    <w:name w:val="heading 3"/>
    <w:basedOn w:val="Normal"/>
    <w:next w:val="Normal"/>
    <w:link w:val="Heading3Char"/>
    <w:uiPriority w:val="9"/>
    <w:unhideWhenUsed/>
    <w:qFormat/>
    <w:rsid w:val="00EE1E09"/>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3D4F"/>
    <w:rPr>
      <w:rFonts w:ascii="Times New Roman" w:eastAsiaTheme="majorEastAsia" w:hAnsi="Times New Roman" w:cstheme="majorBidi"/>
      <w:b/>
      <w:color w:val="000000" w:themeColor="text1"/>
      <w:sz w:val="26"/>
      <w:szCs w:val="26"/>
      <w:lang w:val="en-US"/>
    </w:rPr>
  </w:style>
  <w:style w:type="character" w:customStyle="1" w:styleId="Heading1Char">
    <w:name w:val="Heading 1 Char"/>
    <w:basedOn w:val="DefaultParagraphFont"/>
    <w:link w:val="Heading1"/>
    <w:uiPriority w:val="9"/>
    <w:rsid w:val="00763D4F"/>
    <w:rPr>
      <w:rFonts w:ascii="Times New Roman" w:eastAsiaTheme="majorEastAsia" w:hAnsi="Times New Roman" w:cstheme="majorBidi"/>
      <w:b/>
      <w:color w:val="000000" w:themeColor="text1"/>
      <w:sz w:val="28"/>
      <w:szCs w:val="32"/>
      <w:lang w:val="en-US"/>
    </w:rPr>
  </w:style>
  <w:style w:type="character" w:customStyle="1" w:styleId="Heading3Char">
    <w:name w:val="Heading 3 Char"/>
    <w:basedOn w:val="DefaultParagraphFont"/>
    <w:link w:val="Heading3"/>
    <w:uiPriority w:val="9"/>
    <w:rsid w:val="00EE1E09"/>
    <w:rPr>
      <w:rFonts w:ascii="Times New Roman" w:eastAsiaTheme="majorEastAsia" w:hAnsi="Times New Roman" w:cstheme="majorBidi"/>
      <w:i/>
      <w:sz w:val="24"/>
      <w:szCs w:val="24"/>
      <w:u w:val="single"/>
      <w:lang w:val="en-GB"/>
    </w:rPr>
  </w:style>
  <w:style w:type="paragraph" w:styleId="NoSpacing">
    <w:name w:val="No Spacing"/>
    <w:uiPriority w:val="1"/>
    <w:qFormat/>
    <w:rsid w:val="00A76C0D"/>
    <w:pPr>
      <w:spacing w:after="0" w:line="480" w:lineRule="auto"/>
      <w:jc w:val="both"/>
    </w:pPr>
    <w:rPr>
      <w:rFonts w:ascii="Times New Roman" w:eastAsia="Arial" w:hAnsi="Times New Roman" w:cs="Arial"/>
      <w:sz w:val="24"/>
      <w:lang w:val="en-US"/>
    </w:rPr>
  </w:style>
  <w:style w:type="character" w:styleId="SubtleEmphasis">
    <w:name w:val="Subtle Emphasis"/>
    <w:aliases w:val="heading1"/>
    <w:uiPriority w:val="19"/>
    <w:qFormat/>
    <w:rsid w:val="00A76C0D"/>
    <w:rPr>
      <w:rFonts w:ascii="Times New Roman" w:eastAsia="Times New Roman" w:hAnsi="Times New Roman" w:cs="Times New Roman"/>
      <w:b/>
      <w:sz w:val="28"/>
      <w:szCs w:val="24"/>
    </w:rPr>
  </w:style>
  <w:style w:type="paragraph" w:styleId="Header">
    <w:name w:val="header"/>
    <w:basedOn w:val="Normal"/>
    <w:link w:val="HeaderChar"/>
    <w:uiPriority w:val="99"/>
    <w:unhideWhenUsed/>
    <w:rsid w:val="00C35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2FA"/>
    <w:rPr>
      <w:rFonts w:ascii="Times New Roman" w:hAnsi="Times New Roman"/>
      <w:sz w:val="24"/>
      <w:lang w:val="en-GB"/>
    </w:rPr>
  </w:style>
  <w:style w:type="paragraph" w:styleId="Footer">
    <w:name w:val="footer"/>
    <w:basedOn w:val="Normal"/>
    <w:link w:val="FooterChar"/>
    <w:uiPriority w:val="99"/>
    <w:unhideWhenUsed/>
    <w:rsid w:val="00C35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2FA"/>
    <w:rPr>
      <w:rFonts w:ascii="Times New Roman" w:hAnsi="Times New Roman"/>
      <w:sz w:val="24"/>
      <w:lang w:val="en-GB"/>
    </w:rPr>
  </w:style>
  <w:style w:type="paragraph" w:styleId="BalloonText">
    <w:name w:val="Balloon Text"/>
    <w:basedOn w:val="Normal"/>
    <w:link w:val="BalloonTextChar"/>
    <w:uiPriority w:val="99"/>
    <w:semiHidden/>
    <w:unhideWhenUsed/>
    <w:rsid w:val="00FC75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5CD"/>
    <w:rPr>
      <w:rFonts w:ascii="Tahoma" w:hAnsi="Tahoma" w:cs="Tahoma"/>
      <w:sz w:val="16"/>
      <w:szCs w:val="16"/>
      <w:lang w:val="en-GB"/>
    </w:rPr>
  </w:style>
  <w:style w:type="character" w:styleId="Hyperlink">
    <w:name w:val="Hyperlink"/>
    <w:basedOn w:val="DefaultParagraphFont"/>
    <w:uiPriority w:val="99"/>
    <w:unhideWhenUsed/>
    <w:rsid w:val="00685AE7"/>
    <w:rPr>
      <w:color w:val="0563C1" w:themeColor="hyperlink"/>
      <w:u w:val="single"/>
    </w:rPr>
  </w:style>
  <w:style w:type="paragraph" w:styleId="Bibliography">
    <w:name w:val="Bibliography"/>
    <w:basedOn w:val="Normal"/>
    <w:next w:val="Normal"/>
    <w:uiPriority w:val="37"/>
    <w:unhideWhenUsed/>
    <w:rsid w:val="0067081F"/>
  </w:style>
  <w:style w:type="paragraph" w:styleId="TOCHeading">
    <w:name w:val="TOC Heading"/>
    <w:basedOn w:val="Heading1"/>
    <w:next w:val="Normal"/>
    <w:uiPriority w:val="39"/>
    <w:unhideWhenUsed/>
    <w:qFormat/>
    <w:rsid w:val="00D27C8D"/>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27C8D"/>
    <w:pPr>
      <w:spacing w:after="100"/>
    </w:pPr>
  </w:style>
  <w:style w:type="paragraph" w:styleId="TOC2">
    <w:name w:val="toc 2"/>
    <w:basedOn w:val="Normal"/>
    <w:next w:val="Normal"/>
    <w:autoRedefine/>
    <w:uiPriority w:val="39"/>
    <w:unhideWhenUsed/>
    <w:rsid w:val="00D27C8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374933">
      <w:bodyDiv w:val="1"/>
      <w:marLeft w:val="0"/>
      <w:marRight w:val="0"/>
      <w:marTop w:val="0"/>
      <w:marBottom w:val="0"/>
      <w:divBdr>
        <w:top w:val="none" w:sz="0" w:space="0" w:color="auto"/>
        <w:left w:val="none" w:sz="0" w:space="0" w:color="auto"/>
        <w:bottom w:val="none" w:sz="0" w:space="0" w:color="auto"/>
        <w:right w:val="none" w:sz="0" w:space="0" w:color="auto"/>
      </w:divBdr>
    </w:div>
    <w:div w:id="1068041154">
      <w:bodyDiv w:val="1"/>
      <w:marLeft w:val="0"/>
      <w:marRight w:val="0"/>
      <w:marTop w:val="0"/>
      <w:marBottom w:val="0"/>
      <w:divBdr>
        <w:top w:val="none" w:sz="0" w:space="0" w:color="auto"/>
        <w:left w:val="none" w:sz="0" w:space="0" w:color="auto"/>
        <w:bottom w:val="none" w:sz="0" w:space="0" w:color="auto"/>
        <w:right w:val="none" w:sz="0" w:space="0" w:color="auto"/>
      </w:divBdr>
    </w:div>
    <w:div w:id="1488594660">
      <w:bodyDiv w:val="1"/>
      <w:marLeft w:val="0"/>
      <w:marRight w:val="0"/>
      <w:marTop w:val="0"/>
      <w:marBottom w:val="0"/>
      <w:divBdr>
        <w:top w:val="none" w:sz="0" w:space="0" w:color="auto"/>
        <w:left w:val="none" w:sz="0" w:space="0" w:color="auto"/>
        <w:bottom w:val="none" w:sz="0" w:space="0" w:color="auto"/>
        <w:right w:val="none" w:sz="0" w:space="0" w:color="auto"/>
      </w:divBdr>
    </w:div>
    <w:div w:id="1865290024">
      <w:bodyDiv w:val="1"/>
      <w:marLeft w:val="0"/>
      <w:marRight w:val="0"/>
      <w:marTop w:val="0"/>
      <w:marBottom w:val="0"/>
      <w:divBdr>
        <w:top w:val="none" w:sz="0" w:space="0" w:color="auto"/>
        <w:left w:val="none" w:sz="0" w:space="0" w:color="auto"/>
        <w:bottom w:val="none" w:sz="0" w:space="0" w:color="auto"/>
        <w:right w:val="none" w:sz="0" w:space="0" w:color="auto"/>
      </w:divBdr>
    </w:div>
    <w:div w:id="206466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Kri22</b:Tag>
    <b:SourceType>InternetSite</b:SourceType>
    <b:Guid>{DA62EEE2-B023-475C-992F-92DE7855C22F}</b:Guid>
    <b:Author>
      <b:Author>
        <b:NameList>
          <b:Person>
            <b:Last>Baker</b:Last>
            <b:First>Kristen</b:First>
          </b:Person>
        </b:NameList>
      </b:Author>
    </b:Author>
    <b:Title>Social Media Marketing: The Ultimate Guide</b:Title>
    <b:Year>2022</b:Year>
    <b:URL>https://blog.hubspot.com/marketing/social-media-marketing</b:URL>
    <b:RefOrder>5</b:RefOrder>
  </b:Source>
  <b:Source>
    <b:Tag>nei21</b:Tag>
    <b:SourceType>InternetSite</b:SourceType>
    <b:Guid>{05E78613-7CF2-440A-9839-76DF30B94835}</b:Guid>
    <b:Author>
      <b:Author>
        <b:Corporate>neilpatel</b:Corporate>
      </b:Author>
    </b:Author>
    <b:Title>Social Media Marketing: How to do it, Types, Tools &amp; Tips</b:Title>
    <b:Year>2021</b:Year>
    <b:URL>https://neilpatel.com/what-is-social-media-marketing/</b:URL>
    <b:RefOrder>7</b:RefOrder>
  </b:Source>
  <b:Source>
    <b:Tag>buf22</b:Tag>
    <b:SourceType>InternetSite</b:SourceType>
    <b:Guid>{F5AE1A21-A4D4-4B4B-BBC7-F9625C4E4AF0}</b:Guid>
    <b:Author>
      <b:Author>
        <b:Corporate>buffer</b:Corporate>
      </b:Author>
    </b:Author>
    <b:Title>What is Social Media Marketing?</b:Title>
    <b:Year>2022</b:Year>
    <b:URL>https://buffer.com/social-media-marketing</b:URL>
    <b:RefOrder>8</b:RefOrder>
  </b:Source>
  <b:Source>
    <b:Tag>Bre21</b:Tag>
    <b:SourceType>InternetSite</b:SourceType>
    <b:Guid>{AE7A38DD-AF80-4C55-BBD5-B70FE3F29DCB}</b:Guid>
    <b:Author>
      <b:Author>
        <b:NameList>
          <b:Person>
            <b:Last>Barnhart</b:Last>
            <b:First>Brent</b:First>
          </b:Person>
        </b:NameList>
      </b:Author>
    </b:Author>
    <b:Title>Building your social media marketing strategy for 2022</b:Title>
    <b:Year>2021</b:Year>
    <b:URL>https://sproutsocial.com/insights/social-media-marketing-strategy/</b:URL>
    <b:RefOrder>9</b:RefOrder>
  </b:Source>
  <b:Source>
    <b:Tag>gov21</b:Tag>
    <b:SourceType>InternetSite</b:SourceType>
    <b:Guid>{F51F7FB8-A908-421A-8030-DA9ECB8CE3D0}</b:Guid>
    <b:Author>
      <b:Author>
        <b:Corporate>gov.uk</b:Corporate>
      </b:Author>
    </b:Author>
    <b:Title>England Trees Action Plan 2021 to 2024</b:Title>
    <b:Year>2021</b:Year>
    <b:URL>https://www.gov.uk/government/publications/england-trees-action-plan-2021-to-2024</b:URL>
    <b:RefOrder>1</b:RefOrder>
  </b:Source>
  <b:Source>
    <b:Tag>Son19</b:Tag>
    <b:SourceType>InternetSite</b:SourceType>
    <b:Guid>{525100EE-B7DF-494B-BC0C-B2EBDB1B2124}</b:Guid>
    <b:Author>
      <b:Author>
        <b:NameList>
          <b:Person>
            <b:Last>Sherman</b:Last>
            <b:First>Sonya</b:First>
          </b:Person>
        </b:NameList>
      </b:Author>
    </b:Author>
    <b:Title>Trust and transparency, in search of a catalyst for openness</b:Title>
    <b:Year>2019</b:Year>
    <b:URL>https://www.themandarin.com.au/116353-trust-transparency-openness/</b:URL>
    <b:RefOrder>3</b:RefOrder>
  </b:Source>
  <b:Source>
    <b:Tag>Reb21</b:Tag>
    <b:SourceType>InternetSite</b:SourceType>
    <b:Guid>{D6C7444F-EA54-48C9-A7E8-DF609EFAF2A8}</b:Guid>
    <b:Author>
      <b:Author>
        <b:NameList>
          <b:Person>
            <b:Last>Dudensing</b:Last>
            <b:First>Rebekka</b:First>
          </b:Person>
        </b:NameList>
      </b:Author>
    </b:Author>
    <b:Title>Rural Communities Blog</b:Title>
    <b:Year>2021</b:Year>
    <b:URL>https://agrilife.org/ruralcommunitiesblog/2021/01/25/what-is-community-development/</b:URL>
    <b:RefOrder>2</b:RefOrder>
  </b:Source>
  <b:Source>
    <b:Tag>Ilo21</b:Tag>
    <b:SourceType>InternetSite</b:SourceType>
    <b:Guid>{E80D7C3E-1B7F-43D2-8862-22451A68DC89}</b:Guid>
    <b:Author>
      <b:Author>
        <b:NameList>
          <b:Person>
            <b:Last>Lodewijckx</b:Last>
            <b:First>Ilona</b:First>
          </b:Person>
        </b:NameList>
      </b:Author>
    </b:Author>
    <b:Title>Community engagement strategy: 6 elements for action plans</b:Title>
    <b:Year>2021</b:Year>
    <b:URL>https://www.citizenlab.co/blog/strategy-budgeting/6-elements-community-engagement-strategy/</b:URL>
    <b:RefOrder>4</b:RefOrder>
  </b:Source>
  <b:Source>
    <b:Tag>Kim20</b:Tag>
    <b:SourceType>InternetSite</b:SourceType>
    <b:Guid>{10E56AF0-BAF0-47B3-93AD-50C36623A917}</b:Guid>
    <b:Author>
      <b:Author>
        <b:NameList>
          <b:Person>
            <b:Last>D’Souza</b:Last>
            <b:First>Kim</b:First>
          </b:Person>
        </b:NameList>
      </b:Author>
    </b:Author>
    <b:Title>Transparent Communication &amp; Community Engagement During a Public Health Emergency (PHE)</b:Title>
    <b:Year>2020</b:Year>
    <b:URL>https://vidhilegalpolicy.in/blog/transparent-communication-community-engagement-during-a-public-health-emergency-phe/</b:URL>
    <b:RefOrder>6</b:RefOrder>
  </b:Source>
</b:Sources>
</file>

<file path=customXml/itemProps1.xml><?xml version="1.0" encoding="utf-8"?>
<ds:datastoreItem xmlns:ds="http://schemas.openxmlformats.org/officeDocument/2006/customXml" ds:itemID="{FA3AF3E8-A9EA-40FF-BC9F-95F742D675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2424</Words>
  <Characters>13819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claudia macarie</cp:lastModifiedBy>
  <cp:revision>5</cp:revision>
  <dcterms:created xsi:type="dcterms:W3CDTF">2022-04-19T15:38:00Z</dcterms:created>
  <dcterms:modified xsi:type="dcterms:W3CDTF">2022-05-06T15:24:00Z</dcterms:modified>
</cp:coreProperties>
</file>