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5A99B1" w14:textId="77777777" w:rsidR="00745687" w:rsidRPr="00483642" w:rsidRDefault="00745687" w:rsidP="00745687">
      <w:pPr>
        <w:tabs>
          <w:tab w:val="left" w:pos="6540"/>
        </w:tabs>
        <w:spacing w:line="360" w:lineRule="auto"/>
        <w:rPr>
          <w:rFonts w:asciiTheme="minorBidi" w:hAnsiTheme="minorBidi"/>
          <w:sz w:val="22"/>
        </w:rPr>
      </w:pPr>
    </w:p>
    <w:p w14:paraId="34C6E269" w14:textId="7EA1545E" w:rsidR="00745687" w:rsidRDefault="00745687" w:rsidP="00745687">
      <w:pPr>
        <w:tabs>
          <w:tab w:val="left" w:pos="6540"/>
        </w:tabs>
        <w:spacing w:line="360" w:lineRule="auto"/>
        <w:rPr>
          <w:rFonts w:ascii="Arial" w:hAnsi="Arial" w:cs="Arial"/>
          <w:sz w:val="22"/>
          <w:lang w:val="nl-NL"/>
        </w:rPr>
      </w:pPr>
      <w:r w:rsidRPr="00483642">
        <w:rPr>
          <w:rFonts w:ascii="Arial" w:hAnsi="Arial" w:cs="Arial"/>
          <w:b/>
          <w:bCs/>
          <w:sz w:val="22"/>
          <w:lang w:val="nl-NL"/>
        </w:rPr>
        <w:t>Module name</w:t>
      </w:r>
      <w:r w:rsidRPr="00483642">
        <w:rPr>
          <w:rFonts w:ascii="Arial" w:hAnsi="Arial" w:cs="Arial"/>
          <w:sz w:val="22"/>
          <w:lang w:val="nl-NL"/>
        </w:rPr>
        <w:t xml:space="preserve">: </w:t>
      </w:r>
      <w:proofErr w:type="spellStart"/>
      <w:r w:rsidRPr="00483642">
        <w:rPr>
          <w:rFonts w:ascii="Arial" w:hAnsi="Arial" w:cs="Arial"/>
          <w:sz w:val="22"/>
          <w:lang w:val="nl-NL"/>
        </w:rPr>
        <w:t>Introduction</w:t>
      </w:r>
      <w:proofErr w:type="spellEnd"/>
      <w:r w:rsidRPr="00483642">
        <w:rPr>
          <w:rFonts w:ascii="Arial" w:hAnsi="Arial" w:cs="Arial"/>
          <w:sz w:val="22"/>
          <w:lang w:val="nl-NL"/>
        </w:rPr>
        <w:t xml:space="preserve"> </w:t>
      </w:r>
      <w:proofErr w:type="spellStart"/>
      <w:r w:rsidRPr="00483642">
        <w:rPr>
          <w:rFonts w:ascii="Arial" w:hAnsi="Arial" w:cs="Arial"/>
          <w:sz w:val="22"/>
          <w:lang w:val="nl-NL"/>
        </w:rPr>
        <w:t>to</w:t>
      </w:r>
      <w:proofErr w:type="spellEnd"/>
      <w:r w:rsidRPr="00483642">
        <w:rPr>
          <w:rFonts w:ascii="Arial" w:hAnsi="Arial" w:cs="Arial"/>
          <w:sz w:val="22"/>
          <w:lang w:val="nl-NL"/>
        </w:rPr>
        <w:t xml:space="preserve"> Independent Research Skills</w:t>
      </w:r>
    </w:p>
    <w:p w14:paraId="4B4AE4CB" w14:textId="5CDFDAEE" w:rsidR="00A9560C" w:rsidRPr="00483642" w:rsidRDefault="00A9560C" w:rsidP="00745687">
      <w:pPr>
        <w:tabs>
          <w:tab w:val="left" w:pos="6540"/>
        </w:tabs>
        <w:spacing w:line="360" w:lineRule="auto"/>
        <w:rPr>
          <w:rFonts w:ascii="Arial" w:hAnsi="Arial" w:cs="Arial"/>
          <w:sz w:val="22"/>
          <w:lang w:val="nl-NL"/>
        </w:rPr>
      </w:pPr>
      <w:proofErr w:type="spellStart"/>
      <w:r>
        <w:rPr>
          <w:rFonts w:ascii="Arial" w:hAnsi="Arial" w:cs="Arial"/>
          <w:sz w:val="22"/>
          <w:lang w:val="nl-NL"/>
        </w:rPr>
        <w:t>Lecturer</w:t>
      </w:r>
      <w:proofErr w:type="spellEnd"/>
      <w:r>
        <w:rPr>
          <w:rFonts w:ascii="Arial" w:hAnsi="Arial" w:cs="Arial"/>
          <w:sz w:val="22"/>
          <w:lang w:val="nl-NL"/>
        </w:rPr>
        <w:t xml:space="preserve">: Bianca </w:t>
      </w:r>
      <w:proofErr w:type="spellStart"/>
      <w:r>
        <w:rPr>
          <w:rFonts w:ascii="Arial" w:hAnsi="Arial" w:cs="Arial"/>
          <w:sz w:val="22"/>
          <w:lang w:val="nl-NL"/>
        </w:rPr>
        <w:t>Sanfilipo</w:t>
      </w:r>
      <w:proofErr w:type="spellEnd"/>
    </w:p>
    <w:p w14:paraId="4CE89815" w14:textId="454F2B0A" w:rsidR="00745687" w:rsidRPr="00483642" w:rsidRDefault="00745687" w:rsidP="00745687">
      <w:pPr>
        <w:tabs>
          <w:tab w:val="left" w:pos="6540"/>
        </w:tabs>
        <w:spacing w:line="360" w:lineRule="auto"/>
        <w:rPr>
          <w:rFonts w:ascii="Arial" w:hAnsi="Arial" w:cs="Arial"/>
          <w:sz w:val="22"/>
        </w:rPr>
      </w:pPr>
      <w:r w:rsidRPr="00483642">
        <w:rPr>
          <w:rFonts w:ascii="Arial" w:hAnsi="Arial" w:cs="Arial"/>
          <w:b/>
          <w:bCs/>
          <w:sz w:val="22"/>
        </w:rPr>
        <w:t>Module code</w:t>
      </w:r>
      <w:r w:rsidRPr="00483642">
        <w:rPr>
          <w:rFonts w:ascii="Arial" w:hAnsi="Arial" w:cs="Arial"/>
          <w:sz w:val="22"/>
        </w:rPr>
        <w:t>: BMHP5019</w:t>
      </w:r>
    </w:p>
    <w:p w14:paraId="51B9D29C" w14:textId="76CD0AD3" w:rsidR="00745687" w:rsidRPr="00483642" w:rsidRDefault="00745687" w:rsidP="00745687">
      <w:pPr>
        <w:tabs>
          <w:tab w:val="left" w:pos="6540"/>
        </w:tabs>
        <w:spacing w:line="360" w:lineRule="auto"/>
        <w:rPr>
          <w:rFonts w:ascii="Arial" w:hAnsi="Arial" w:cs="Arial"/>
          <w:sz w:val="22"/>
          <w:lang w:val="nl-NL"/>
        </w:rPr>
      </w:pPr>
      <w:r w:rsidRPr="00483642">
        <w:rPr>
          <w:rFonts w:ascii="Arial" w:hAnsi="Arial" w:cs="Arial"/>
          <w:b/>
          <w:bCs/>
          <w:sz w:val="22"/>
          <w:lang w:val="nl-NL"/>
        </w:rPr>
        <w:t>Student name</w:t>
      </w:r>
      <w:r w:rsidRPr="00483642">
        <w:rPr>
          <w:rFonts w:ascii="Arial" w:hAnsi="Arial" w:cs="Arial"/>
          <w:sz w:val="22"/>
          <w:lang w:val="nl-NL"/>
        </w:rPr>
        <w:t>: Kimia Mansoory Kinevarsi</w:t>
      </w:r>
    </w:p>
    <w:p w14:paraId="6E147F1F" w14:textId="44C64F0D" w:rsidR="005D1AA8" w:rsidRPr="00483642" w:rsidRDefault="00745687" w:rsidP="00745687">
      <w:pPr>
        <w:tabs>
          <w:tab w:val="left" w:pos="6540"/>
        </w:tabs>
        <w:spacing w:line="360" w:lineRule="auto"/>
        <w:rPr>
          <w:rFonts w:ascii="Arial" w:hAnsi="Arial" w:cs="Arial"/>
          <w:sz w:val="22"/>
          <w:lang w:val="nl-NL"/>
        </w:rPr>
      </w:pPr>
      <w:r w:rsidRPr="00483642">
        <w:rPr>
          <w:rFonts w:ascii="Arial" w:hAnsi="Arial" w:cs="Arial"/>
          <w:b/>
          <w:bCs/>
          <w:sz w:val="22"/>
          <w:lang w:val="nl-NL"/>
        </w:rPr>
        <w:t>Student ID</w:t>
      </w:r>
      <w:r w:rsidRPr="00483642">
        <w:rPr>
          <w:rFonts w:ascii="Arial" w:hAnsi="Arial" w:cs="Arial"/>
          <w:sz w:val="22"/>
          <w:lang w:val="nl-NL"/>
        </w:rPr>
        <w:t>: 2242261</w:t>
      </w:r>
    </w:p>
    <w:p w14:paraId="53DE9225" w14:textId="2D9DF922" w:rsidR="00745687" w:rsidRDefault="00745687" w:rsidP="00745687">
      <w:pPr>
        <w:tabs>
          <w:tab w:val="left" w:pos="6540"/>
        </w:tabs>
        <w:spacing w:line="360" w:lineRule="auto"/>
        <w:rPr>
          <w:rFonts w:ascii="Arial" w:hAnsi="Arial" w:cs="Arial"/>
          <w:sz w:val="22"/>
        </w:rPr>
      </w:pPr>
      <w:r w:rsidRPr="00483642">
        <w:rPr>
          <w:rFonts w:ascii="Arial" w:hAnsi="Arial" w:cs="Arial"/>
          <w:b/>
          <w:bCs/>
          <w:sz w:val="22"/>
        </w:rPr>
        <w:t>Word count</w:t>
      </w:r>
      <w:r w:rsidRPr="00483642">
        <w:rPr>
          <w:rFonts w:ascii="Arial" w:hAnsi="Arial" w:cs="Arial"/>
          <w:sz w:val="22"/>
        </w:rPr>
        <w:t>:</w:t>
      </w:r>
      <w:r w:rsidR="007A52FC">
        <w:rPr>
          <w:rFonts w:ascii="Arial" w:hAnsi="Arial" w:cs="Arial"/>
          <w:sz w:val="22"/>
        </w:rPr>
        <w:t xml:space="preserve"> 3600</w:t>
      </w:r>
    </w:p>
    <w:p w14:paraId="7861C50C" w14:textId="1D039172" w:rsidR="005D1AA8" w:rsidRPr="005D1AA8" w:rsidRDefault="005D1AA8" w:rsidP="00745687">
      <w:pPr>
        <w:tabs>
          <w:tab w:val="left" w:pos="6540"/>
        </w:tabs>
        <w:spacing w:line="360" w:lineRule="auto"/>
        <w:rPr>
          <w:rFonts w:ascii="Arial" w:hAnsi="Arial" w:cs="Arial"/>
          <w:b/>
          <w:bCs/>
          <w:sz w:val="22"/>
        </w:rPr>
      </w:pPr>
      <w:r w:rsidRPr="005D1AA8">
        <w:rPr>
          <w:rFonts w:ascii="Arial" w:hAnsi="Arial" w:cs="Arial"/>
          <w:b/>
          <w:bCs/>
          <w:sz w:val="22"/>
        </w:rPr>
        <w:t>Submission date:</w:t>
      </w:r>
      <w:r>
        <w:rPr>
          <w:rFonts w:ascii="Arial" w:hAnsi="Arial" w:cs="Arial"/>
          <w:b/>
          <w:bCs/>
          <w:sz w:val="22"/>
        </w:rPr>
        <w:t xml:space="preserve"> </w:t>
      </w:r>
      <w:r w:rsidRPr="005D1AA8">
        <w:rPr>
          <w:rFonts w:ascii="Arial" w:hAnsi="Arial" w:cs="Arial"/>
          <w:sz w:val="22"/>
        </w:rPr>
        <w:t>12/12/2025</w:t>
      </w:r>
    </w:p>
    <w:p w14:paraId="1C998696" w14:textId="77777777" w:rsidR="00745687" w:rsidRPr="00CD33A8" w:rsidRDefault="00745687" w:rsidP="00745687">
      <w:pPr>
        <w:tabs>
          <w:tab w:val="left" w:pos="6540"/>
        </w:tabs>
        <w:spacing w:line="360" w:lineRule="auto"/>
        <w:rPr>
          <w:rFonts w:asciiTheme="minorBidi" w:hAnsiTheme="minorBidi"/>
          <w:sz w:val="22"/>
        </w:rPr>
      </w:pPr>
    </w:p>
    <w:p w14:paraId="48CCE69C" w14:textId="77777777" w:rsidR="00745687" w:rsidRPr="00CD33A8" w:rsidRDefault="00745687" w:rsidP="00745687">
      <w:pPr>
        <w:tabs>
          <w:tab w:val="left" w:pos="6540"/>
        </w:tabs>
        <w:spacing w:line="360" w:lineRule="auto"/>
        <w:rPr>
          <w:rFonts w:asciiTheme="minorBidi" w:hAnsiTheme="minorBidi"/>
          <w:sz w:val="22"/>
        </w:rPr>
      </w:pPr>
    </w:p>
    <w:p w14:paraId="680C41A2" w14:textId="77777777" w:rsidR="00D91DA1" w:rsidRDefault="00D91DA1"/>
    <w:p w14:paraId="427D65BF" w14:textId="77777777" w:rsidR="00745687" w:rsidRDefault="00745687"/>
    <w:p w14:paraId="426438CA" w14:textId="77777777" w:rsidR="00745687" w:rsidRDefault="00745687"/>
    <w:p w14:paraId="444DCF4E" w14:textId="77777777" w:rsidR="00745687" w:rsidRDefault="00745687"/>
    <w:p w14:paraId="1A982234" w14:textId="77777777" w:rsidR="00745687" w:rsidRDefault="00745687"/>
    <w:p w14:paraId="1059B6F5" w14:textId="77777777" w:rsidR="00745687" w:rsidRDefault="00745687"/>
    <w:p w14:paraId="2DDBE583" w14:textId="77777777" w:rsidR="00745687" w:rsidRDefault="00745687"/>
    <w:p w14:paraId="7ABBE276" w14:textId="77777777" w:rsidR="00745687" w:rsidRDefault="00745687"/>
    <w:p w14:paraId="325462E5" w14:textId="77777777" w:rsidR="00745687" w:rsidRDefault="00745687"/>
    <w:p w14:paraId="66F49AB1" w14:textId="77777777" w:rsidR="00745687" w:rsidRDefault="00745687"/>
    <w:p w14:paraId="27136A90" w14:textId="77777777" w:rsidR="00745687" w:rsidRDefault="00745687"/>
    <w:p w14:paraId="2C493B44" w14:textId="77777777" w:rsidR="00745687" w:rsidRDefault="00745687"/>
    <w:p w14:paraId="3444F222" w14:textId="77777777" w:rsidR="00745687" w:rsidRDefault="00745687"/>
    <w:p w14:paraId="17430D24" w14:textId="77777777" w:rsidR="00745687" w:rsidRDefault="00745687"/>
    <w:p w14:paraId="1B3A7B74" w14:textId="77777777" w:rsidR="00745687" w:rsidRDefault="00745687"/>
    <w:p w14:paraId="41650D7E" w14:textId="77777777" w:rsidR="00745687" w:rsidRDefault="00745687"/>
    <w:p w14:paraId="516EBBEE" w14:textId="77777777" w:rsidR="00745687" w:rsidRDefault="00745687"/>
    <w:p w14:paraId="664A0BE2" w14:textId="77777777" w:rsidR="00745687" w:rsidRDefault="00745687"/>
    <w:p w14:paraId="2E092C3D" w14:textId="77777777" w:rsidR="00BE7A0F" w:rsidRDefault="00BE7A0F"/>
    <w:p w14:paraId="119C8D59" w14:textId="77777777" w:rsidR="003B0417" w:rsidRDefault="003B0417"/>
    <w:p w14:paraId="1A0DC7CB" w14:textId="2DA254C5" w:rsidR="00745687" w:rsidRDefault="00745687"/>
    <w:p w14:paraId="0ADF7D93" w14:textId="77777777" w:rsidR="00EA0961" w:rsidRDefault="00EA0961"/>
    <w:p w14:paraId="6B359461" w14:textId="77777777" w:rsidR="00EA0961" w:rsidRDefault="00EA0961"/>
    <w:p w14:paraId="31C6D9DA" w14:textId="77777777" w:rsidR="00EA0961" w:rsidRDefault="00EA0961"/>
    <w:p w14:paraId="0737C21C" w14:textId="77777777" w:rsidR="00EA0961" w:rsidRDefault="00EA0961"/>
    <w:p w14:paraId="05E4DDEF" w14:textId="77777777" w:rsidR="00EA0961" w:rsidRDefault="00EA0961"/>
    <w:p w14:paraId="2D514D54" w14:textId="77777777" w:rsidR="00A9560C" w:rsidRDefault="00A9560C"/>
    <w:p w14:paraId="781C597E" w14:textId="77777777" w:rsidR="00A9560C" w:rsidRDefault="00A9560C"/>
    <w:p w14:paraId="529FD7F3" w14:textId="77777777" w:rsidR="00A9560C" w:rsidRDefault="00A9560C"/>
    <w:p w14:paraId="191E32FC" w14:textId="77777777" w:rsidR="00A9560C" w:rsidRDefault="00A9560C"/>
    <w:p w14:paraId="4B337A48" w14:textId="77777777" w:rsidR="00A9560C" w:rsidRDefault="00A9560C"/>
    <w:p w14:paraId="0A57E834" w14:textId="77777777" w:rsidR="00A9560C" w:rsidRDefault="00A9560C"/>
    <w:p w14:paraId="1C5C757E" w14:textId="77777777" w:rsidR="00A9560C" w:rsidRDefault="00A9560C"/>
    <w:p w14:paraId="7869DE20" w14:textId="77777777" w:rsidR="00A9560C" w:rsidRDefault="00A9560C"/>
    <w:p w14:paraId="68F8F8B6" w14:textId="77777777" w:rsidR="00A9560C" w:rsidRDefault="00A9560C"/>
    <w:p w14:paraId="280FE865" w14:textId="77777777" w:rsidR="00EA0961" w:rsidRDefault="00EA0961"/>
    <w:p w14:paraId="668A264D" w14:textId="77777777" w:rsidR="00EA0961" w:rsidRDefault="00EA0961"/>
    <w:p w14:paraId="6E39B378" w14:textId="77777777" w:rsidR="00EA0961" w:rsidRPr="00EA0961" w:rsidRDefault="00EA0961">
      <w:pPr>
        <w:rPr>
          <w:sz w:val="28"/>
          <w:szCs w:val="28"/>
        </w:rPr>
      </w:pPr>
    </w:p>
    <w:p w14:paraId="2F258CE2" w14:textId="77777777" w:rsidR="000E717D" w:rsidRDefault="000E717D" w:rsidP="00EA0961">
      <w:pPr>
        <w:jc w:val="center"/>
        <w:rPr>
          <w:rFonts w:ascii="Arial" w:hAnsi="Arial" w:cs="Arial"/>
          <w:b/>
          <w:bCs/>
          <w:color w:val="000000"/>
          <w:sz w:val="28"/>
          <w:szCs w:val="28"/>
        </w:rPr>
      </w:pPr>
    </w:p>
    <w:p w14:paraId="196CCA45" w14:textId="77777777" w:rsidR="000E717D" w:rsidRPr="00861103" w:rsidRDefault="000E717D" w:rsidP="00EA0961">
      <w:pPr>
        <w:jc w:val="center"/>
        <w:rPr>
          <w:rFonts w:ascii="Arial" w:hAnsi="Arial" w:cs="Arial"/>
          <w:b/>
          <w:bCs/>
          <w:color w:val="000000"/>
        </w:rPr>
      </w:pPr>
    </w:p>
    <w:p w14:paraId="7F00B667" w14:textId="4E9A8853" w:rsidR="00EA0961" w:rsidRPr="00861103" w:rsidRDefault="00EA0961" w:rsidP="00EA0961">
      <w:pPr>
        <w:jc w:val="center"/>
        <w:rPr>
          <w:rFonts w:ascii="Arial" w:hAnsi="Arial" w:cs="Arial"/>
          <w:b/>
          <w:bCs/>
        </w:rPr>
      </w:pPr>
      <w:r w:rsidRPr="00861103">
        <w:rPr>
          <w:rFonts w:ascii="Arial" w:hAnsi="Arial" w:cs="Arial"/>
          <w:b/>
          <w:bCs/>
          <w:color w:val="000000"/>
        </w:rPr>
        <w:t>The Effectiveness of Digital Mental Health Interventions for Improving the Well-Being of Young People in the UK</w:t>
      </w:r>
    </w:p>
    <w:p w14:paraId="409BD86D" w14:textId="77777777" w:rsidR="00EA0961" w:rsidRDefault="00EA0961"/>
    <w:p w14:paraId="388F3BFE" w14:textId="77777777" w:rsidR="00EA0961" w:rsidRDefault="00EA0961"/>
    <w:p w14:paraId="36172D4E" w14:textId="77777777" w:rsidR="00EA0961" w:rsidRDefault="00EA0961"/>
    <w:p w14:paraId="7C979FED" w14:textId="77777777" w:rsidR="00AA5386" w:rsidRDefault="00AA5386"/>
    <w:p w14:paraId="1077CC7C" w14:textId="77777777" w:rsidR="00AA5386" w:rsidRDefault="00AA5386"/>
    <w:p w14:paraId="30EFB6CA" w14:textId="77777777" w:rsidR="00AA5386" w:rsidRDefault="00AA5386"/>
    <w:p w14:paraId="0CC009FB" w14:textId="77777777" w:rsidR="00AA5386" w:rsidRDefault="00AA5386"/>
    <w:p w14:paraId="76F82C33" w14:textId="77777777" w:rsidR="00AA5386" w:rsidRDefault="00AA5386"/>
    <w:p w14:paraId="747CD887" w14:textId="77777777" w:rsidR="00AA5386" w:rsidRDefault="00AA5386"/>
    <w:p w14:paraId="2B464DA4" w14:textId="77777777" w:rsidR="00AA5386" w:rsidRDefault="00AA5386"/>
    <w:p w14:paraId="59B56B21" w14:textId="77777777" w:rsidR="00AA5386" w:rsidRDefault="00AA5386"/>
    <w:p w14:paraId="49FE8FA2" w14:textId="77777777" w:rsidR="00AA5386" w:rsidRDefault="00AA5386"/>
    <w:p w14:paraId="36871FEF" w14:textId="77777777" w:rsidR="00AA5386" w:rsidRDefault="00AA5386"/>
    <w:p w14:paraId="693B16B8" w14:textId="77777777" w:rsidR="00AA5386" w:rsidRDefault="00AA5386"/>
    <w:p w14:paraId="24F5E56A" w14:textId="77777777" w:rsidR="00AA5386" w:rsidRDefault="00AA5386"/>
    <w:p w14:paraId="22048779" w14:textId="77777777" w:rsidR="00AA5386" w:rsidRDefault="00AA5386"/>
    <w:p w14:paraId="5138BC33" w14:textId="77777777" w:rsidR="00AA5386" w:rsidRDefault="00AA5386"/>
    <w:p w14:paraId="69DFFB13" w14:textId="77777777" w:rsidR="00AA5386" w:rsidRDefault="00AA5386"/>
    <w:p w14:paraId="0AB8568E" w14:textId="77777777" w:rsidR="00AA5386" w:rsidRDefault="00AA5386"/>
    <w:p w14:paraId="3D277B11" w14:textId="77777777" w:rsidR="00EA0961" w:rsidRDefault="00EA0961"/>
    <w:p w14:paraId="2584440D" w14:textId="77777777" w:rsidR="00EA0961" w:rsidRDefault="00EA0961"/>
    <w:p w14:paraId="5217CB73" w14:textId="77777777" w:rsidR="00AA5386" w:rsidRDefault="00AA5386"/>
    <w:p w14:paraId="692A6722" w14:textId="77777777" w:rsidR="00AA5386" w:rsidRDefault="00AA5386"/>
    <w:p w14:paraId="585E7E7C" w14:textId="77777777" w:rsidR="00AA5386" w:rsidRDefault="00AA5386"/>
    <w:p w14:paraId="333BBDC9" w14:textId="77777777" w:rsidR="00A9560C" w:rsidRDefault="00A9560C"/>
    <w:p w14:paraId="2F3E86CC" w14:textId="77777777" w:rsidR="00A9560C" w:rsidRDefault="00A9560C"/>
    <w:p w14:paraId="255A4269" w14:textId="77777777" w:rsidR="00A9560C" w:rsidRDefault="00A9560C"/>
    <w:p w14:paraId="645C49F9" w14:textId="77777777" w:rsidR="00A9560C" w:rsidRDefault="00A9560C"/>
    <w:p w14:paraId="540D2699" w14:textId="77777777" w:rsidR="00A9560C" w:rsidRDefault="00A9560C"/>
    <w:p w14:paraId="576E1AB8" w14:textId="77777777" w:rsidR="00A9560C" w:rsidRDefault="00A9560C"/>
    <w:p w14:paraId="50097426" w14:textId="77777777" w:rsidR="00A9560C" w:rsidRDefault="00A9560C"/>
    <w:p w14:paraId="0E88CAA5" w14:textId="77777777" w:rsidR="00A9560C" w:rsidRDefault="00A9560C"/>
    <w:p w14:paraId="224C6EF8" w14:textId="77777777" w:rsidR="00A9560C" w:rsidRDefault="00A9560C"/>
    <w:p w14:paraId="51406E75" w14:textId="77777777" w:rsidR="00A9560C" w:rsidRDefault="00A9560C"/>
    <w:p w14:paraId="6A2DAF17" w14:textId="77777777" w:rsidR="00A9560C" w:rsidRDefault="00A9560C"/>
    <w:p w14:paraId="0810C808" w14:textId="77777777" w:rsidR="00A9560C" w:rsidRDefault="00A9560C"/>
    <w:p w14:paraId="729F3A8F" w14:textId="77777777" w:rsidR="00A9560C" w:rsidRDefault="00A9560C"/>
    <w:p w14:paraId="668E209A" w14:textId="77777777" w:rsidR="00A9560C" w:rsidRDefault="00A9560C"/>
    <w:p w14:paraId="221E2CDB" w14:textId="77777777" w:rsidR="00A9560C" w:rsidRDefault="00A9560C"/>
    <w:p w14:paraId="20B5C59E" w14:textId="77777777" w:rsidR="00A9560C" w:rsidRDefault="00A9560C"/>
    <w:p w14:paraId="3A1E6C6D" w14:textId="77777777" w:rsidR="00A9560C" w:rsidRDefault="00A9560C"/>
    <w:p w14:paraId="7533BAA6" w14:textId="77777777" w:rsidR="00A9560C" w:rsidRDefault="00A9560C"/>
    <w:p w14:paraId="136DB2D7" w14:textId="77777777" w:rsidR="00A9560C" w:rsidRDefault="00A9560C"/>
    <w:p w14:paraId="2F577885" w14:textId="77777777" w:rsidR="00A9560C" w:rsidRDefault="00A9560C"/>
    <w:p w14:paraId="46054712" w14:textId="77777777" w:rsidR="00AA5386" w:rsidRDefault="00AA5386"/>
    <w:sdt>
      <w:sdtPr>
        <w:rPr>
          <w:rFonts w:ascii="Times New Roman" w:eastAsiaTheme="minorHAnsi" w:hAnsi="Times New Roman" w:cstheme="minorBidi"/>
          <w:b w:val="0"/>
          <w:bCs w:val="0"/>
          <w:color w:val="auto"/>
          <w:sz w:val="22"/>
          <w:szCs w:val="22"/>
          <w:lang w:val="en-GB" w:eastAsia="en-GB"/>
        </w:rPr>
        <w:id w:val="2097199172"/>
        <w:docPartObj>
          <w:docPartGallery w:val="Table of Contents"/>
          <w:docPartUnique/>
        </w:docPartObj>
      </w:sdtPr>
      <w:sdtEndPr>
        <w:rPr>
          <w:rFonts w:ascii="Arial" w:eastAsia="Times New Roman" w:hAnsi="Arial" w:cs="Arial"/>
          <w:noProof/>
          <w:color w:val="000000" w:themeColor="text1"/>
          <w:szCs w:val="24"/>
        </w:rPr>
      </w:sdtEndPr>
      <w:sdtContent>
        <w:p w14:paraId="2B86A37F" w14:textId="264EF7AC" w:rsidR="00AA5386" w:rsidRPr="00D941E8" w:rsidRDefault="00AA5386">
          <w:pPr>
            <w:pStyle w:val="TOCHeading"/>
            <w:rPr>
              <w:color w:val="000000" w:themeColor="text1"/>
              <w:sz w:val="22"/>
              <w:szCs w:val="22"/>
            </w:rPr>
          </w:pPr>
          <w:r w:rsidRPr="00D941E8">
            <w:rPr>
              <w:color w:val="000000" w:themeColor="text1"/>
              <w:sz w:val="22"/>
              <w:szCs w:val="22"/>
            </w:rPr>
            <w:t>Table of Contents</w:t>
          </w:r>
        </w:p>
        <w:p w14:paraId="346F5D26" w14:textId="0B0C319B" w:rsidR="00861103" w:rsidRDefault="00AA5386">
          <w:pPr>
            <w:pStyle w:val="TOC2"/>
            <w:tabs>
              <w:tab w:val="right" w:leader="dot" w:pos="9016"/>
            </w:tabs>
            <w:rPr>
              <w:rFonts w:eastAsiaTheme="minorEastAsia"/>
              <w:b w:val="0"/>
              <w:bCs w:val="0"/>
              <w:noProof/>
              <w:kern w:val="2"/>
              <w:sz w:val="24"/>
              <w:szCs w:val="24"/>
              <w:lang w:eastAsia="en-GB"/>
              <w14:ligatures w14:val="standardContextual"/>
            </w:rPr>
          </w:pPr>
          <w:r w:rsidRPr="00D941E8">
            <w:rPr>
              <w:rFonts w:ascii="Arial" w:hAnsi="Arial" w:cs="Arial"/>
              <w:color w:val="000000" w:themeColor="text1"/>
            </w:rPr>
            <w:fldChar w:fldCharType="begin"/>
          </w:r>
          <w:r w:rsidRPr="00D941E8">
            <w:rPr>
              <w:rFonts w:ascii="Arial" w:hAnsi="Arial" w:cs="Arial"/>
              <w:color w:val="000000" w:themeColor="text1"/>
            </w:rPr>
            <w:instrText xml:space="preserve"> TOC \o "1-3" \h \z \u </w:instrText>
          </w:r>
          <w:r w:rsidRPr="00D941E8">
            <w:rPr>
              <w:rFonts w:ascii="Arial" w:hAnsi="Arial" w:cs="Arial"/>
              <w:color w:val="000000" w:themeColor="text1"/>
            </w:rPr>
            <w:fldChar w:fldCharType="separate"/>
          </w:r>
          <w:hyperlink w:anchor="_Toc216427205" w:history="1">
            <w:r w:rsidR="00861103" w:rsidRPr="00F24640">
              <w:rPr>
                <w:rStyle w:val="Hyperlink"/>
                <w:rFonts w:ascii="Arial" w:hAnsi="Arial" w:cs="Arial"/>
                <w:noProof/>
              </w:rPr>
              <w:t>Abstract</w:t>
            </w:r>
            <w:r w:rsidR="00861103">
              <w:rPr>
                <w:noProof/>
                <w:webHidden/>
              </w:rPr>
              <w:tab/>
            </w:r>
            <w:r w:rsidR="00861103">
              <w:rPr>
                <w:noProof/>
                <w:webHidden/>
              </w:rPr>
              <w:fldChar w:fldCharType="begin"/>
            </w:r>
            <w:r w:rsidR="00861103">
              <w:rPr>
                <w:noProof/>
                <w:webHidden/>
              </w:rPr>
              <w:instrText xml:space="preserve"> PAGEREF _Toc216427205 \h </w:instrText>
            </w:r>
            <w:r w:rsidR="00861103">
              <w:rPr>
                <w:noProof/>
                <w:webHidden/>
              </w:rPr>
            </w:r>
            <w:r w:rsidR="00861103">
              <w:rPr>
                <w:noProof/>
                <w:webHidden/>
              </w:rPr>
              <w:fldChar w:fldCharType="separate"/>
            </w:r>
            <w:r w:rsidR="00861103">
              <w:rPr>
                <w:noProof/>
                <w:webHidden/>
              </w:rPr>
              <w:t>3</w:t>
            </w:r>
            <w:r w:rsidR="00861103">
              <w:rPr>
                <w:noProof/>
                <w:webHidden/>
              </w:rPr>
              <w:fldChar w:fldCharType="end"/>
            </w:r>
          </w:hyperlink>
        </w:p>
        <w:p w14:paraId="2F555253" w14:textId="0A9546A2" w:rsidR="00861103" w:rsidRDefault="00861103">
          <w:pPr>
            <w:pStyle w:val="TOC2"/>
            <w:tabs>
              <w:tab w:val="right" w:leader="dot" w:pos="9016"/>
            </w:tabs>
            <w:rPr>
              <w:rFonts w:eastAsiaTheme="minorEastAsia"/>
              <w:b w:val="0"/>
              <w:bCs w:val="0"/>
              <w:noProof/>
              <w:kern w:val="2"/>
              <w:sz w:val="24"/>
              <w:szCs w:val="24"/>
              <w:lang w:eastAsia="en-GB"/>
              <w14:ligatures w14:val="standardContextual"/>
            </w:rPr>
          </w:pPr>
          <w:hyperlink w:anchor="_Toc216427206" w:history="1">
            <w:r w:rsidRPr="00F24640">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_Toc216427206 \h </w:instrText>
            </w:r>
            <w:r>
              <w:rPr>
                <w:noProof/>
                <w:webHidden/>
              </w:rPr>
            </w:r>
            <w:r>
              <w:rPr>
                <w:noProof/>
                <w:webHidden/>
              </w:rPr>
              <w:fldChar w:fldCharType="separate"/>
            </w:r>
            <w:r>
              <w:rPr>
                <w:noProof/>
                <w:webHidden/>
              </w:rPr>
              <w:t>4</w:t>
            </w:r>
            <w:r>
              <w:rPr>
                <w:noProof/>
                <w:webHidden/>
              </w:rPr>
              <w:fldChar w:fldCharType="end"/>
            </w:r>
          </w:hyperlink>
        </w:p>
        <w:p w14:paraId="7743F39F" w14:textId="30AEC566" w:rsidR="00861103" w:rsidRDefault="00861103">
          <w:pPr>
            <w:pStyle w:val="TOC2"/>
            <w:tabs>
              <w:tab w:val="right" w:leader="dot" w:pos="9016"/>
            </w:tabs>
            <w:rPr>
              <w:rFonts w:eastAsiaTheme="minorEastAsia"/>
              <w:b w:val="0"/>
              <w:bCs w:val="0"/>
              <w:noProof/>
              <w:kern w:val="2"/>
              <w:sz w:val="24"/>
              <w:szCs w:val="24"/>
              <w:lang w:eastAsia="en-GB"/>
              <w14:ligatures w14:val="standardContextual"/>
            </w:rPr>
          </w:pPr>
          <w:hyperlink w:anchor="_Toc216427207" w:history="1">
            <w:r w:rsidRPr="00F24640">
              <w:rPr>
                <w:rStyle w:val="Hyperlink"/>
                <w:rFonts w:ascii="Arial" w:hAnsi="Arial" w:cs="Arial"/>
                <w:noProof/>
              </w:rPr>
              <w:t>2. Picture / Figure</w:t>
            </w:r>
            <w:r>
              <w:rPr>
                <w:noProof/>
                <w:webHidden/>
              </w:rPr>
              <w:tab/>
            </w:r>
            <w:r>
              <w:rPr>
                <w:noProof/>
                <w:webHidden/>
              </w:rPr>
              <w:fldChar w:fldCharType="begin"/>
            </w:r>
            <w:r>
              <w:rPr>
                <w:noProof/>
                <w:webHidden/>
              </w:rPr>
              <w:instrText xml:space="preserve"> PAGEREF _Toc216427207 \h </w:instrText>
            </w:r>
            <w:r>
              <w:rPr>
                <w:noProof/>
                <w:webHidden/>
              </w:rPr>
            </w:r>
            <w:r>
              <w:rPr>
                <w:noProof/>
                <w:webHidden/>
              </w:rPr>
              <w:fldChar w:fldCharType="separate"/>
            </w:r>
            <w:r>
              <w:rPr>
                <w:noProof/>
                <w:webHidden/>
              </w:rPr>
              <w:t>5</w:t>
            </w:r>
            <w:r>
              <w:rPr>
                <w:noProof/>
                <w:webHidden/>
              </w:rPr>
              <w:fldChar w:fldCharType="end"/>
            </w:r>
          </w:hyperlink>
        </w:p>
        <w:p w14:paraId="04E600D1" w14:textId="5AD883FC" w:rsidR="00861103" w:rsidRDefault="00861103">
          <w:pPr>
            <w:pStyle w:val="TOC2"/>
            <w:tabs>
              <w:tab w:val="right" w:leader="dot" w:pos="9016"/>
            </w:tabs>
            <w:rPr>
              <w:rFonts w:eastAsiaTheme="minorEastAsia"/>
              <w:b w:val="0"/>
              <w:bCs w:val="0"/>
              <w:noProof/>
              <w:kern w:val="2"/>
              <w:sz w:val="24"/>
              <w:szCs w:val="24"/>
              <w:lang w:eastAsia="en-GB"/>
              <w14:ligatures w14:val="standardContextual"/>
            </w:rPr>
          </w:pPr>
          <w:hyperlink w:anchor="_Toc216427208" w:history="1">
            <w:r w:rsidRPr="00F24640">
              <w:rPr>
                <w:rStyle w:val="Hyperlink"/>
                <w:rFonts w:ascii="Arial" w:hAnsi="Arial" w:cs="Arial"/>
                <w:noProof/>
              </w:rPr>
              <w:t>3. Rationale, Research Question, Objectives</w:t>
            </w:r>
            <w:r>
              <w:rPr>
                <w:noProof/>
                <w:webHidden/>
              </w:rPr>
              <w:tab/>
            </w:r>
            <w:r>
              <w:rPr>
                <w:noProof/>
                <w:webHidden/>
              </w:rPr>
              <w:fldChar w:fldCharType="begin"/>
            </w:r>
            <w:r>
              <w:rPr>
                <w:noProof/>
                <w:webHidden/>
              </w:rPr>
              <w:instrText xml:space="preserve"> PAGEREF _Toc216427208 \h </w:instrText>
            </w:r>
            <w:r>
              <w:rPr>
                <w:noProof/>
                <w:webHidden/>
              </w:rPr>
            </w:r>
            <w:r>
              <w:rPr>
                <w:noProof/>
                <w:webHidden/>
              </w:rPr>
              <w:fldChar w:fldCharType="separate"/>
            </w:r>
            <w:r>
              <w:rPr>
                <w:noProof/>
                <w:webHidden/>
              </w:rPr>
              <w:t>6</w:t>
            </w:r>
            <w:r>
              <w:rPr>
                <w:noProof/>
                <w:webHidden/>
              </w:rPr>
              <w:fldChar w:fldCharType="end"/>
            </w:r>
          </w:hyperlink>
        </w:p>
        <w:p w14:paraId="06BA148A" w14:textId="6D765E1D" w:rsidR="00861103" w:rsidRDefault="00861103">
          <w:pPr>
            <w:pStyle w:val="TOC2"/>
            <w:tabs>
              <w:tab w:val="right" w:leader="dot" w:pos="9016"/>
            </w:tabs>
            <w:rPr>
              <w:rFonts w:eastAsiaTheme="minorEastAsia"/>
              <w:b w:val="0"/>
              <w:bCs w:val="0"/>
              <w:noProof/>
              <w:kern w:val="2"/>
              <w:sz w:val="24"/>
              <w:szCs w:val="24"/>
              <w:lang w:eastAsia="en-GB"/>
              <w14:ligatures w14:val="standardContextual"/>
            </w:rPr>
          </w:pPr>
          <w:hyperlink w:anchor="_Toc216427209" w:history="1">
            <w:r w:rsidRPr="00F24640">
              <w:rPr>
                <w:rStyle w:val="Hyperlink"/>
                <w:rFonts w:ascii="Arial" w:hAnsi="Arial" w:cs="Arial"/>
                <w:noProof/>
              </w:rPr>
              <w:t>4. Background / Literature Review</w:t>
            </w:r>
            <w:r>
              <w:rPr>
                <w:noProof/>
                <w:webHidden/>
              </w:rPr>
              <w:tab/>
            </w:r>
            <w:r>
              <w:rPr>
                <w:noProof/>
                <w:webHidden/>
              </w:rPr>
              <w:fldChar w:fldCharType="begin"/>
            </w:r>
            <w:r>
              <w:rPr>
                <w:noProof/>
                <w:webHidden/>
              </w:rPr>
              <w:instrText xml:space="preserve"> PAGEREF _Toc216427209 \h </w:instrText>
            </w:r>
            <w:r>
              <w:rPr>
                <w:noProof/>
                <w:webHidden/>
              </w:rPr>
            </w:r>
            <w:r>
              <w:rPr>
                <w:noProof/>
                <w:webHidden/>
              </w:rPr>
              <w:fldChar w:fldCharType="separate"/>
            </w:r>
            <w:r>
              <w:rPr>
                <w:noProof/>
                <w:webHidden/>
              </w:rPr>
              <w:t>6</w:t>
            </w:r>
            <w:r>
              <w:rPr>
                <w:noProof/>
                <w:webHidden/>
              </w:rPr>
              <w:fldChar w:fldCharType="end"/>
            </w:r>
          </w:hyperlink>
        </w:p>
        <w:p w14:paraId="2BB2B7F8" w14:textId="761EE0FB" w:rsidR="00861103" w:rsidRDefault="00861103">
          <w:pPr>
            <w:pStyle w:val="TOC2"/>
            <w:tabs>
              <w:tab w:val="right" w:leader="dot" w:pos="9016"/>
            </w:tabs>
            <w:rPr>
              <w:rFonts w:eastAsiaTheme="minorEastAsia"/>
              <w:b w:val="0"/>
              <w:bCs w:val="0"/>
              <w:noProof/>
              <w:kern w:val="2"/>
              <w:sz w:val="24"/>
              <w:szCs w:val="24"/>
              <w:lang w:eastAsia="en-GB"/>
              <w14:ligatures w14:val="standardContextual"/>
            </w:rPr>
          </w:pPr>
          <w:hyperlink w:anchor="_Toc216427210" w:history="1">
            <w:r w:rsidRPr="00F24640">
              <w:rPr>
                <w:rStyle w:val="Hyperlink"/>
                <w:rFonts w:ascii="Arial" w:hAnsi="Arial" w:cs="Arial"/>
                <w:noProof/>
              </w:rPr>
              <w:t>5. Methods</w:t>
            </w:r>
            <w:r>
              <w:rPr>
                <w:noProof/>
                <w:webHidden/>
              </w:rPr>
              <w:tab/>
            </w:r>
            <w:r>
              <w:rPr>
                <w:noProof/>
                <w:webHidden/>
              </w:rPr>
              <w:fldChar w:fldCharType="begin"/>
            </w:r>
            <w:r>
              <w:rPr>
                <w:noProof/>
                <w:webHidden/>
              </w:rPr>
              <w:instrText xml:space="preserve"> PAGEREF _Toc216427210 \h </w:instrText>
            </w:r>
            <w:r>
              <w:rPr>
                <w:noProof/>
                <w:webHidden/>
              </w:rPr>
            </w:r>
            <w:r>
              <w:rPr>
                <w:noProof/>
                <w:webHidden/>
              </w:rPr>
              <w:fldChar w:fldCharType="separate"/>
            </w:r>
            <w:r>
              <w:rPr>
                <w:noProof/>
                <w:webHidden/>
              </w:rPr>
              <w:t>7</w:t>
            </w:r>
            <w:r>
              <w:rPr>
                <w:noProof/>
                <w:webHidden/>
              </w:rPr>
              <w:fldChar w:fldCharType="end"/>
            </w:r>
          </w:hyperlink>
        </w:p>
        <w:p w14:paraId="024863AA" w14:textId="26907190" w:rsidR="00861103" w:rsidRDefault="00861103">
          <w:pPr>
            <w:pStyle w:val="TOC2"/>
            <w:tabs>
              <w:tab w:val="right" w:leader="dot" w:pos="9016"/>
            </w:tabs>
            <w:rPr>
              <w:rFonts w:eastAsiaTheme="minorEastAsia"/>
              <w:b w:val="0"/>
              <w:bCs w:val="0"/>
              <w:noProof/>
              <w:kern w:val="2"/>
              <w:sz w:val="24"/>
              <w:szCs w:val="24"/>
              <w:lang w:eastAsia="en-GB"/>
              <w14:ligatures w14:val="standardContextual"/>
            </w:rPr>
          </w:pPr>
          <w:hyperlink w:anchor="_Toc216427211" w:history="1">
            <w:r w:rsidRPr="00F24640">
              <w:rPr>
                <w:rStyle w:val="Hyperlink"/>
                <w:rFonts w:ascii="Arial" w:hAnsi="Arial" w:cs="Arial"/>
                <w:noProof/>
              </w:rPr>
              <w:t>6. Results</w:t>
            </w:r>
            <w:r>
              <w:rPr>
                <w:noProof/>
                <w:webHidden/>
              </w:rPr>
              <w:tab/>
            </w:r>
            <w:r>
              <w:rPr>
                <w:noProof/>
                <w:webHidden/>
              </w:rPr>
              <w:fldChar w:fldCharType="begin"/>
            </w:r>
            <w:r>
              <w:rPr>
                <w:noProof/>
                <w:webHidden/>
              </w:rPr>
              <w:instrText xml:space="preserve"> PAGEREF _Toc216427211 \h </w:instrText>
            </w:r>
            <w:r>
              <w:rPr>
                <w:noProof/>
                <w:webHidden/>
              </w:rPr>
            </w:r>
            <w:r>
              <w:rPr>
                <w:noProof/>
                <w:webHidden/>
              </w:rPr>
              <w:fldChar w:fldCharType="separate"/>
            </w:r>
            <w:r>
              <w:rPr>
                <w:noProof/>
                <w:webHidden/>
              </w:rPr>
              <w:t>9</w:t>
            </w:r>
            <w:r>
              <w:rPr>
                <w:noProof/>
                <w:webHidden/>
              </w:rPr>
              <w:fldChar w:fldCharType="end"/>
            </w:r>
          </w:hyperlink>
        </w:p>
        <w:p w14:paraId="2E241792" w14:textId="499C5CEC" w:rsidR="00861103" w:rsidRDefault="00861103">
          <w:pPr>
            <w:pStyle w:val="TOC2"/>
            <w:tabs>
              <w:tab w:val="right" w:leader="dot" w:pos="9016"/>
            </w:tabs>
            <w:rPr>
              <w:rFonts w:eastAsiaTheme="minorEastAsia"/>
              <w:b w:val="0"/>
              <w:bCs w:val="0"/>
              <w:noProof/>
              <w:kern w:val="2"/>
              <w:sz w:val="24"/>
              <w:szCs w:val="24"/>
              <w:lang w:eastAsia="en-GB"/>
              <w14:ligatures w14:val="standardContextual"/>
            </w:rPr>
          </w:pPr>
          <w:hyperlink w:anchor="_Toc216427212" w:history="1">
            <w:r w:rsidRPr="00F24640">
              <w:rPr>
                <w:rStyle w:val="Hyperlink"/>
                <w:rFonts w:ascii="Arial" w:hAnsi="Arial" w:cs="Arial"/>
                <w:noProof/>
              </w:rPr>
              <w:t>7. Themes Analysis</w:t>
            </w:r>
            <w:r>
              <w:rPr>
                <w:noProof/>
                <w:webHidden/>
              </w:rPr>
              <w:tab/>
            </w:r>
            <w:r>
              <w:rPr>
                <w:noProof/>
                <w:webHidden/>
              </w:rPr>
              <w:fldChar w:fldCharType="begin"/>
            </w:r>
            <w:r>
              <w:rPr>
                <w:noProof/>
                <w:webHidden/>
              </w:rPr>
              <w:instrText xml:space="preserve"> PAGEREF _Toc216427212 \h </w:instrText>
            </w:r>
            <w:r>
              <w:rPr>
                <w:noProof/>
                <w:webHidden/>
              </w:rPr>
            </w:r>
            <w:r>
              <w:rPr>
                <w:noProof/>
                <w:webHidden/>
              </w:rPr>
              <w:fldChar w:fldCharType="separate"/>
            </w:r>
            <w:r>
              <w:rPr>
                <w:noProof/>
                <w:webHidden/>
              </w:rPr>
              <w:t>10</w:t>
            </w:r>
            <w:r>
              <w:rPr>
                <w:noProof/>
                <w:webHidden/>
              </w:rPr>
              <w:fldChar w:fldCharType="end"/>
            </w:r>
          </w:hyperlink>
        </w:p>
        <w:p w14:paraId="39A91954" w14:textId="0344B2CB" w:rsidR="00861103" w:rsidRDefault="00861103">
          <w:pPr>
            <w:pStyle w:val="TOC2"/>
            <w:tabs>
              <w:tab w:val="right" w:leader="dot" w:pos="9016"/>
            </w:tabs>
            <w:rPr>
              <w:rFonts w:eastAsiaTheme="minorEastAsia"/>
              <w:b w:val="0"/>
              <w:bCs w:val="0"/>
              <w:noProof/>
              <w:kern w:val="2"/>
              <w:sz w:val="24"/>
              <w:szCs w:val="24"/>
              <w:lang w:eastAsia="en-GB"/>
              <w14:ligatures w14:val="standardContextual"/>
            </w:rPr>
          </w:pPr>
          <w:hyperlink w:anchor="_Toc216427213" w:history="1">
            <w:r w:rsidRPr="00F24640">
              <w:rPr>
                <w:rStyle w:val="Hyperlink"/>
                <w:rFonts w:ascii="Arial" w:hAnsi="Arial" w:cs="Arial"/>
                <w:noProof/>
              </w:rPr>
              <w:t>8. Discussion</w:t>
            </w:r>
            <w:r>
              <w:rPr>
                <w:noProof/>
                <w:webHidden/>
              </w:rPr>
              <w:tab/>
            </w:r>
            <w:r>
              <w:rPr>
                <w:noProof/>
                <w:webHidden/>
              </w:rPr>
              <w:fldChar w:fldCharType="begin"/>
            </w:r>
            <w:r>
              <w:rPr>
                <w:noProof/>
                <w:webHidden/>
              </w:rPr>
              <w:instrText xml:space="preserve"> PAGEREF _Toc216427213 \h </w:instrText>
            </w:r>
            <w:r>
              <w:rPr>
                <w:noProof/>
                <w:webHidden/>
              </w:rPr>
            </w:r>
            <w:r>
              <w:rPr>
                <w:noProof/>
                <w:webHidden/>
              </w:rPr>
              <w:fldChar w:fldCharType="separate"/>
            </w:r>
            <w:r>
              <w:rPr>
                <w:noProof/>
                <w:webHidden/>
              </w:rPr>
              <w:t>12</w:t>
            </w:r>
            <w:r>
              <w:rPr>
                <w:noProof/>
                <w:webHidden/>
              </w:rPr>
              <w:fldChar w:fldCharType="end"/>
            </w:r>
          </w:hyperlink>
        </w:p>
        <w:p w14:paraId="273D7B77" w14:textId="781AB136" w:rsidR="00861103" w:rsidRDefault="00861103">
          <w:pPr>
            <w:pStyle w:val="TOC2"/>
            <w:tabs>
              <w:tab w:val="right" w:leader="dot" w:pos="9016"/>
            </w:tabs>
            <w:rPr>
              <w:rFonts w:eastAsiaTheme="minorEastAsia"/>
              <w:b w:val="0"/>
              <w:bCs w:val="0"/>
              <w:noProof/>
              <w:kern w:val="2"/>
              <w:sz w:val="24"/>
              <w:szCs w:val="24"/>
              <w:lang w:eastAsia="en-GB"/>
              <w14:ligatures w14:val="standardContextual"/>
            </w:rPr>
          </w:pPr>
          <w:hyperlink w:anchor="_Toc216427214" w:history="1">
            <w:r w:rsidRPr="00F24640">
              <w:rPr>
                <w:rStyle w:val="Hyperlink"/>
                <w:rFonts w:ascii="Arial" w:hAnsi="Arial" w:cs="Arial"/>
                <w:noProof/>
              </w:rPr>
              <w:t>9. Limitations of the Research</w:t>
            </w:r>
            <w:r>
              <w:rPr>
                <w:noProof/>
                <w:webHidden/>
              </w:rPr>
              <w:tab/>
            </w:r>
            <w:r>
              <w:rPr>
                <w:noProof/>
                <w:webHidden/>
              </w:rPr>
              <w:fldChar w:fldCharType="begin"/>
            </w:r>
            <w:r>
              <w:rPr>
                <w:noProof/>
                <w:webHidden/>
              </w:rPr>
              <w:instrText xml:space="preserve"> PAGEREF _Toc216427214 \h </w:instrText>
            </w:r>
            <w:r>
              <w:rPr>
                <w:noProof/>
                <w:webHidden/>
              </w:rPr>
            </w:r>
            <w:r>
              <w:rPr>
                <w:noProof/>
                <w:webHidden/>
              </w:rPr>
              <w:fldChar w:fldCharType="separate"/>
            </w:r>
            <w:r>
              <w:rPr>
                <w:noProof/>
                <w:webHidden/>
              </w:rPr>
              <w:t>15</w:t>
            </w:r>
            <w:r>
              <w:rPr>
                <w:noProof/>
                <w:webHidden/>
              </w:rPr>
              <w:fldChar w:fldCharType="end"/>
            </w:r>
          </w:hyperlink>
        </w:p>
        <w:p w14:paraId="7CB656CC" w14:textId="24CD536F" w:rsidR="00861103" w:rsidRDefault="00861103">
          <w:pPr>
            <w:pStyle w:val="TOC2"/>
            <w:tabs>
              <w:tab w:val="right" w:leader="dot" w:pos="9016"/>
            </w:tabs>
            <w:rPr>
              <w:rFonts w:eastAsiaTheme="minorEastAsia"/>
              <w:b w:val="0"/>
              <w:bCs w:val="0"/>
              <w:noProof/>
              <w:kern w:val="2"/>
              <w:sz w:val="24"/>
              <w:szCs w:val="24"/>
              <w:lang w:eastAsia="en-GB"/>
              <w14:ligatures w14:val="standardContextual"/>
            </w:rPr>
          </w:pPr>
          <w:hyperlink w:anchor="_Toc216427215" w:history="1">
            <w:r w:rsidRPr="00F24640">
              <w:rPr>
                <w:rStyle w:val="Hyperlink"/>
                <w:rFonts w:ascii="Arial" w:hAnsi="Arial" w:cs="Arial"/>
                <w:noProof/>
              </w:rPr>
              <w:t>10. Recommendations</w:t>
            </w:r>
            <w:r>
              <w:rPr>
                <w:noProof/>
                <w:webHidden/>
              </w:rPr>
              <w:tab/>
            </w:r>
            <w:r>
              <w:rPr>
                <w:noProof/>
                <w:webHidden/>
              </w:rPr>
              <w:fldChar w:fldCharType="begin"/>
            </w:r>
            <w:r>
              <w:rPr>
                <w:noProof/>
                <w:webHidden/>
              </w:rPr>
              <w:instrText xml:space="preserve"> PAGEREF _Toc216427215 \h </w:instrText>
            </w:r>
            <w:r>
              <w:rPr>
                <w:noProof/>
                <w:webHidden/>
              </w:rPr>
            </w:r>
            <w:r>
              <w:rPr>
                <w:noProof/>
                <w:webHidden/>
              </w:rPr>
              <w:fldChar w:fldCharType="separate"/>
            </w:r>
            <w:r>
              <w:rPr>
                <w:noProof/>
                <w:webHidden/>
              </w:rPr>
              <w:t>16</w:t>
            </w:r>
            <w:r>
              <w:rPr>
                <w:noProof/>
                <w:webHidden/>
              </w:rPr>
              <w:fldChar w:fldCharType="end"/>
            </w:r>
          </w:hyperlink>
        </w:p>
        <w:p w14:paraId="7A2CD6C1" w14:textId="3A025E38" w:rsidR="00861103" w:rsidRDefault="00861103">
          <w:pPr>
            <w:pStyle w:val="TOC2"/>
            <w:tabs>
              <w:tab w:val="right" w:leader="dot" w:pos="9016"/>
            </w:tabs>
            <w:rPr>
              <w:rFonts w:eastAsiaTheme="minorEastAsia"/>
              <w:b w:val="0"/>
              <w:bCs w:val="0"/>
              <w:noProof/>
              <w:kern w:val="2"/>
              <w:sz w:val="24"/>
              <w:szCs w:val="24"/>
              <w:lang w:eastAsia="en-GB"/>
              <w14:ligatures w14:val="standardContextual"/>
            </w:rPr>
          </w:pPr>
          <w:hyperlink w:anchor="_Toc216427216" w:history="1">
            <w:r w:rsidRPr="00F24640">
              <w:rPr>
                <w:rStyle w:val="Hyperlink"/>
                <w:rFonts w:ascii="Arial" w:hAnsi="Arial" w:cs="Arial"/>
                <w:noProof/>
              </w:rPr>
              <w:t>11. Conclusion</w:t>
            </w:r>
            <w:r>
              <w:rPr>
                <w:noProof/>
                <w:webHidden/>
              </w:rPr>
              <w:tab/>
            </w:r>
            <w:r>
              <w:rPr>
                <w:noProof/>
                <w:webHidden/>
              </w:rPr>
              <w:fldChar w:fldCharType="begin"/>
            </w:r>
            <w:r>
              <w:rPr>
                <w:noProof/>
                <w:webHidden/>
              </w:rPr>
              <w:instrText xml:space="preserve"> PAGEREF _Toc216427216 \h </w:instrText>
            </w:r>
            <w:r>
              <w:rPr>
                <w:noProof/>
                <w:webHidden/>
              </w:rPr>
            </w:r>
            <w:r>
              <w:rPr>
                <w:noProof/>
                <w:webHidden/>
              </w:rPr>
              <w:fldChar w:fldCharType="separate"/>
            </w:r>
            <w:r>
              <w:rPr>
                <w:noProof/>
                <w:webHidden/>
              </w:rPr>
              <w:t>16</w:t>
            </w:r>
            <w:r>
              <w:rPr>
                <w:noProof/>
                <w:webHidden/>
              </w:rPr>
              <w:fldChar w:fldCharType="end"/>
            </w:r>
          </w:hyperlink>
        </w:p>
        <w:p w14:paraId="253793B0" w14:textId="06EDA8FE" w:rsidR="00861103" w:rsidRDefault="00861103">
          <w:pPr>
            <w:pStyle w:val="TOC1"/>
            <w:tabs>
              <w:tab w:val="right" w:leader="dot" w:pos="9016"/>
            </w:tabs>
            <w:rPr>
              <w:rFonts w:eastAsiaTheme="minorEastAsia"/>
              <w:b w:val="0"/>
              <w:bCs w:val="0"/>
              <w:i w:val="0"/>
              <w:iCs w:val="0"/>
              <w:noProof/>
              <w:kern w:val="2"/>
              <w:lang w:eastAsia="en-GB"/>
              <w14:ligatures w14:val="standardContextual"/>
            </w:rPr>
          </w:pPr>
          <w:hyperlink w:anchor="_Toc216427217" w:history="1">
            <w:r w:rsidRPr="00F24640">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_Toc216427217 \h </w:instrText>
            </w:r>
            <w:r>
              <w:rPr>
                <w:noProof/>
                <w:webHidden/>
              </w:rPr>
            </w:r>
            <w:r>
              <w:rPr>
                <w:noProof/>
                <w:webHidden/>
              </w:rPr>
              <w:fldChar w:fldCharType="separate"/>
            </w:r>
            <w:r>
              <w:rPr>
                <w:noProof/>
                <w:webHidden/>
              </w:rPr>
              <w:t>17</w:t>
            </w:r>
            <w:r>
              <w:rPr>
                <w:noProof/>
                <w:webHidden/>
              </w:rPr>
              <w:fldChar w:fldCharType="end"/>
            </w:r>
          </w:hyperlink>
        </w:p>
        <w:p w14:paraId="673AF9E1" w14:textId="60299E3A" w:rsidR="00AA5386" w:rsidRPr="00D941E8" w:rsidRDefault="00AA5386" w:rsidP="006E18D9">
          <w:pPr>
            <w:spacing w:line="360" w:lineRule="auto"/>
            <w:rPr>
              <w:rFonts w:ascii="Arial" w:hAnsi="Arial" w:cs="Arial"/>
              <w:color w:val="000000" w:themeColor="text1"/>
              <w:sz w:val="22"/>
            </w:rPr>
          </w:pPr>
          <w:r w:rsidRPr="00D941E8">
            <w:rPr>
              <w:rFonts w:ascii="Arial" w:hAnsi="Arial" w:cs="Arial"/>
              <w:b/>
              <w:bCs/>
              <w:noProof/>
              <w:color w:val="000000" w:themeColor="text1"/>
              <w:sz w:val="22"/>
            </w:rPr>
            <w:fldChar w:fldCharType="end"/>
          </w:r>
        </w:p>
      </w:sdtContent>
    </w:sdt>
    <w:p w14:paraId="02C983E3" w14:textId="77777777" w:rsidR="00EA0961" w:rsidRPr="006E18D9" w:rsidRDefault="00EA0961" w:rsidP="006E18D9">
      <w:pPr>
        <w:spacing w:line="360" w:lineRule="auto"/>
        <w:rPr>
          <w:rFonts w:ascii="Arial" w:hAnsi="Arial" w:cs="Arial"/>
          <w:color w:val="000000" w:themeColor="text1"/>
          <w:sz w:val="22"/>
        </w:rPr>
      </w:pPr>
    </w:p>
    <w:p w14:paraId="1A3A2825" w14:textId="77777777" w:rsidR="00EA0961" w:rsidRDefault="00EA0961" w:rsidP="006E18D9">
      <w:pPr>
        <w:spacing w:line="360" w:lineRule="auto"/>
        <w:rPr>
          <w:rFonts w:ascii="Arial" w:hAnsi="Arial" w:cs="Arial"/>
          <w:color w:val="000000" w:themeColor="text1"/>
          <w:sz w:val="22"/>
        </w:rPr>
      </w:pPr>
    </w:p>
    <w:p w14:paraId="23C4D7C8" w14:textId="77777777" w:rsidR="00A9560C" w:rsidRDefault="00A9560C" w:rsidP="006E18D9">
      <w:pPr>
        <w:spacing w:line="360" w:lineRule="auto"/>
        <w:rPr>
          <w:rFonts w:ascii="Arial" w:hAnsi="Arial" w:cs="Arial"/>
          <w:color w:val="000000" w:themeColor="text1"/>
          <w:sz w:val="22"/>
        </w:rPr>
      </w:pPr>
    </w:p>
    <w:p w14:paraId="21032DC9" w14:textId="77777777" w:rsidR="00A9560C" w:rsidRDefault="00A9560C" w:rsidP="006E18D9">
      <w:pPr>
        <w:spacing w:line="360" w:lineRule="auto"/>
        <w:rPr>
          <w:rFonts w:ascii="Arial" w:hAnsi="Arial" w:cs="Arial"/>
          <w:color w:val="000000" w:themeColor="text1"/>
          <w:sz w:val="22"/>
        </w:rPr>
      </w:pPr>
    </w:p>
    <w:p w14:paraId="2B693A9F" w14:textId="77777777" w:rsidR="00A9560C" w:rsidRDefault="00A9560C" w:rsidP="006E18D9">
      <w:pPr>
        <w:spacing w:line="360" w:lineRule="auto"/>
        <w:rPr>
          <w:rFonts w:ascii="Arial" w:hAnsi="Arial" w:cs="Arial"/>
          <w:color w:val="000000" w:themeColor="text1"/>
          <w:sz w:val="22"/>
        </w:rPr>
      </w:pPr>
    </w:p>
    <w:p w14:paraId="3A1C539B" w14:textId="77777777" w:rsidR="00683D3A" w:rsidRDefault="00683D3A" w:rsidP="006E18D9">
      <w:pPr>
        <w:spacing w:line="360" w:lineRule="auto"/>
        <w:rPr>
          <w:rFonts w:ascii="Arial" w:hAnsi="Arial" w:cs="Arial"/>
          <w:color w:val="000000" w:themeColor="text1"/>
          <w:sz w:val="22"/>
        </w:rPr>
      </w:pPr>
    </w:p>
    <w:p w14:paraId="687B7781" w14:textId="77777777" w:rsidR="00683D3A" w:rsidRDefault="00683D3A" w:rsidP="006E18D9">
      <w:pPr>
        <w:spacing w:line="360" w:lineRule="auto"/>
        <w:rPr>
          <w:rFonts w:ascii="Arial" w:hAnsi="Arial" w:cs="Arial"/>
          <w:color w:val="000000" w:themeColor="text1"/>
          <w:sz w:val="22"/>
        </w:rPr>
      </w:pPr>
    </w:p>
    <w:p w14:paraId="3B152F66" w14:textId="77777777" w:rsidR="00683D3A" w:rsidRDefault="00683D3A" w:rsidP="006E18D9">
      <w:pPr>
        <w:spacing w:line="360" w:lineRule="auto"/>
        <w:rPr>
          <w:rFonts w:ascii="Arial" w:hAnsi="Arial" w:cs="Arial"/>
          <w:color w:val="000000" w:themeColor="text1"/>
          <w:sz w:val="22"/>
        </w:rPr>
      </w:pPr>
    </w:p>
    <w:p w14:paraId="3B609180" w14:textId="77777777" w:rsidR="00683D3A" w:rsidRDefault="00683D3A" w:rsidP="006E18D9">
      <w:pPr>
        <w:spacing w:line="360" w:lineRule="auto"/>
        <w:rPr>
          <w:rFonts w:ascii="Arial" w:hAnsi="Arial" w:cs="Arial"/>
          <w:color w:val="000000" w:themeColor="text1"/>
          <w:sz w:val="22"/>
        </w:rPr>
      </w:pPr>
    </w:p>
    <w:p w14:paraId="4E44ADDD" w14:textId="77777777" w:rsidR="00683D3A" w:rsidRDefault="00683D3A" w:rsidP="006E18D9">
      <w:pPr>
        <w:spacing w:line="360" w:lineRule="auto"/>
        <w:rPr>
          <w:rFonts w:ascii="Arial" w:hAnsi="Arial" w:cs="Arial"/>
          <w:color w:val="000000" w:themeColor="text1"/>
          <w:sz w:val="22"/>
        </w:rPr>
      </w:pPr>
    </w:p>
    <w:p w14:paraId="0BA939BB" w14:textId="77777777" w:rsidR="00683D3A" w:rsidRDefault="00683D3A" w:rsidP="006E18D9">
      <w:pPr>
        <w:spacing w:line="360" w:lineRule="auto"/>
        <w:rPr>
          <w:rFonts w:ascii="Arial" w:hAnsi="Arial" w:cs="Arial"/>
          <w:color w:val="000000" w:themeColor="text1"/>
          <w:sz w:val="22"/>
        </w:rPr>
      </w:pPr>
    </w:p>
    <w:p w14:paraId="21A12BB5" w14:textId="77777777" w:rsidR="00683D3A" w:rsidRDefault="00683D3A" w:rsidP="006E18D9">
      <w:pPr>
        <w:spacing w:line="360" w:lineRule="auto"/>
        <w:rPr>
          <w:rFonts w:ascii="Arial" w:hAnsi="Arial" w:cs="Arial"/>
          <w:color w:val="000000" w:themeColor="text1"/>
          <w:sz w:val="22"/>
        </w:rPr>
      </w:pPr>
    </w:p>
    <w:p w14:paraId="5E482F27" w14:textId="77777777" w:rsidR="00683D3A" w:rsidRDefault="00683D3A" w:rsidP="006E18D9">
      <w:pPr>
        <w:spacing w:line="360" w:lineRule="auto"/>
        <w:rPr>
          <w:rFonts w:ascii="Arial" w:hAnsi="Arial" w:cs="Arial"/>
          <w:color w:val="000000" w:themeColor="text1"/>
          <w:sz w:val="22"/>
        </w:rPr>
      </w:pPr>
    </w:p>
    <w:p w14:paraId="1A5BA720" w14:textId="77777777" w:rsidR="00683D3A" w:rsidRDefault="00683D3A" w:rsidP="006E18D9">
      <w:pPr>
        <w:spacing w:line="360" w:lineRule="auto"/>
        <w:rPr>
          <w:rFonts w:ascii="Arial" w:hAnsi="Arial" w:cs="Arial"/>
          <w:color w:val="000000" w:themeColor="text1"/>
          <w:sz w:val="22"/>
        </w:rPr>
      </w:pPr>
    </w:p>
    <w:p w14:paraId="7F2DB19D" w14:textId="77777777" w:rsidR="00683D3A" w:rsidRDefault="00683D3A" w:rsidP="006E18D9">
      <w:pPr>
        <w:spacing w:line="360" w:lineRule="auto"/>
        <w:rPr>
          <w:rFonts w:ascii="Arial" w:hAnsi="Arial" w:cs="Arial"/>
          <w:color w:val="000000" w:themeColor="text1"/>
          <w:sz w:val="22"/>
        </w:rPr>
      </w:pPr>
    </w:p>
    <w:p w14:paraId="078D89F2" w14:textId="77777777" w:rsidR="00683D3A" w:rsidRDefault="00683D3A" w:rsidP="006E18D9">
      <w:pPr>
        <w:spacing w:line="360" w:lineRule="auto"/>
        <w:rPr>
          <w:rFonts w:ascii="Arial" w:hAnsi="Arial" w:cs="Arial"/>
          <w:color w:val="000000" w:themeColor="text1"/>
          <w:sz w:val="22"/>
        </w:rPr>
      </w:pPr>
    </w:p>
    <w:p w14:paraId="66A6998A" w14:textId="77777777" w:rsidR="00683D3A" w:rsidRDefault="00683D3A" w:rsidP="006E18D9">
      <w:pPr>
        <w:spacing w:line="360" w:lineRule="auto"/>
        <w:rPr>
          <w:rFonts w:ascii="Arial" w:hAnsi="Arial" w:cs="Arial"/>
          <w:color w:val="000000" w:themeColor="text1"/>
          <w:sz w:val="22"/>
        </w:rPr>
      </w:pPr>
    </w:p>
    <w:p w14:paraId="2F52AC73" w14:textId="77777777" w:rsidR="00683D3A" w:rsidRDefault="00683D3A" w:rsidP="006E18D9">
      <w:pPr>
        <w:spacing w:line="360" w:lineRule="auto"/>
        <w:rPr>
          <w:rFonts w:ascii="Arial" w:hAnsi="Arial" w:cs="Arial"/>
          <w:color w:val="000000" w:themeColor="text1"/>
          <w:sz w:val="22"/>
        </w:rPr>
      </w:pPr>
    </w:p>
    <w:p w14:paraId="6EBC6719" w14:textId="77777777" w:rsidR="00683D3A" w:rsidRDefault="00683D3A" w:rsidP="006E18D9">
      <w:pPr>
        <w:spacing w:line="360" w:lineRule="auto"/>
        <w:rPr>
          <w:rFonts w:ascii="Arial" w:hAnsi="Arial" w:cs="Arial"/>
          <w:color w:val="000000" w:themeColor="text1"/>
          <w:sz w:val="22"/>
        </w:rPr>
      </w:pPr>
    </w:p>
    <w:p w14:paraId="4C46094F" w14:textId="77777777" w:rsidR="00683D3A" w:rsidRDefault="00683D3A" w:rsidP="006E18D9">
      <w:pPr>
        <w:spacing w:line="360" w:lineRule="auto"/>
        <w:rPr>
          <w:rFonts w:ascii="Arial" w:hAnsi="Arial" w:cs="Arial"/>
          <w:color w:val="000000" w:themeColor="text1"/>
          <w:sz w:val="22"/>
        </w:rPr>
      </w:pPr>
    </w:p>
    <w:p w14:paraId="6AD02CD4" w14:textId="77777777" w:rsidR="00683D3A" w:rsidRDefault="00683D3A" w:rsidP="006E18D9">
      <w:pPr>
        <w:spacing w:line="360" w:lineRule="auto"/>
        <w:rPr>
          <w:rFonts w:ascii="Arial" w:hAnsi="Arial" w:cs="Arial"/>
          <w:color w:val="000000" w:themeColor="text1"/>
          <w:sz w:val="22"/>
        </w:rPr>
      </w:pPr>
    </w:p>
    <w:p w14:paraId="71A9EA3D" w14:textId="77777777" w:rsidR="00A9560C" w:rsidRDefault="00A9560C" w:rsidP="006E18D9">
      <w:pPr>
        <w:spacing w:line="360" w:lineRule="auto"/>
        <w:rPr>
          <w:rFonts w:ascii="Arial" w:hAnsi="Arial" w:cs="Arial"/>
          <w:color w:val="000000" w:themeColor="text1"/>
          <w:sz w:val="22"/>
        </w:rPr>
      </w:pPr>
    </w:p>
    <w:p w14:paraId="012FD4F8" w14:textId="77777777" w:rsidR="00A9560C" w:rsidRPr="006E18D9" w:rsidRDefault="00A9560C" w:rsidP="006E18D9">
      <w:pPr>
        <w:spacing w:line="360" w:lineRule="auto"/>
        <w:rPr>
          <w:rFonts w:ascii="Arial" w:hAnsi="Arial" w:cs="Arial"/>
          <w:color w:val="000000" w:themeColor="text1"/>
          <w:sz w:val="22"/>
        </w:rPr>
      </w:pPr>
    </w:p>
    <w:p w14:paraId="04B4DD23" w14:textId="67A93A5A" w:rsidR="00EA0961" w:rsidRPr="00B21815" w:rsidRDefault="00407E1C" w:rsidP="005E2060">
      <w:pPr>
        <w:jc w:val="center"/>
        <w:rPr>
          <w:rFonts w:ascii="Arial" w:hAnsi="Arial" w:cs="Arial"/>
          <w:b/>
          <w:bCs/>
          <w:sz w:val="22"/>
          <w:szCs w:val="22"/>
        </w:rPr>
      </w:pPr>
      <w:r w:rsidRPr="00B21815">
        <w:rPr>
          <w:rFonts w:ascii="Arial" w:hAnsi="Arial" w:cs="Arial"/>
          <w:b/>
          <w:bCs/>
          <w:color w:val="000000"/>
          <w:sz w:val="22"/>
          <w:szCs w:val="22"/>
        </w:rPr>
        <w:t>The Effectiveness of Digital Mental Health Interventions for Improving the Well-Being of Young People in the UK</w:t>
      </w:r>
    </w:p>
    <w:p w14:paraId="77A0CDE0" w14:textId="77777777" w:rsidR="00EA0961" w:rsidRPr="00B21815" w:rsidRDefault="00EA0961" w:rsidP="006E18D9">
      <w:pPr>
        <w:spacing w:line="360" w:lineRule="auto"/>
        <w:rPr>
          <w:rFonts w:ascii="Arial" w:hAnsi="Arial" w:cs="Arial"/>
          <w:color w:val="000000" w:themeColor="text1"/>
          <w:sz w:val="22"/>
          <w:szCs w:val="22"/>
        </w:rPr>
      </w:pPr>
    </w:p>
    <w:p w14:paraId="3D97A4CE" w14:textId="77777777" w:rsidR="000878AE" w:rsidRPr="00B21815" w:rsidRDefault="000878AE" w:rsidP="006E18D9">
      <w:pPr>
        <w:pStyle w:val="Heading2"/>
        <w:spacing w:line="360" w:lineRule="auto"/>
        <w:rPr>
          <w:rStyle w:val="Strong"/>
          <w:rFonts w:ascii="Arial" w:hAnsi="Arial" w:cs="Arial"/>
          <w:color w:val="000000" w:themeColor="text1"/>
          <w:sz w:val="22"/>
          <w:szCs w:val="22"/>
        </w:rPr>
      </w:pPr>
      <w:bookmarkStart w:id="0" w:name="_Toc216427205"/>
      <w:r w:rsidRPr="00B21815">
        <w:rPr>
          <w:rStyle w:val="Strong"/>
          <w:rFonts w:ascii="Arial" w:hAnsi="Arial" w:cs="Arial"/>
          <w:color w:val="000000" w:themeColor="text1"/>
          <w:sz w:val="22"/>
          <w:szCs w:val="22"/>
        </w:rPr>
        <w:t>Abstract</w:t>
      </w:r>
      <w:bookmarkEnd w:id="0"/>
    </w:p>
    <w:p w14:paraId="786A1D44" w14:textId="77777777" w:rsidR="00091801" w:rsidRPr="00B21815" w:rsidRDefault="00091801" w:rsidP="00091801">
      <w:pPr>
        <w:rPr>
          <w:sz w:val="22"/>
          <w:szCs w:val="22"/>
          <w:lang w:eastAsia="en-US"/>
        </w:rPr>
      </w:pPr>
    </w:p>
    <w:p w14:paraId="1E8EF84C" w14:textId="77777777" w:rsidR="003A1E8C" w:rsidRPr="00B21815" w:rsidRDefault="003A1E8C" w:rsidP="003A1E8C">
      <w:pPr>
        <w:spacing w:line="360" w:lineRule="auto"/>
        <w:rPr>
          <w:rFonts w:ascii="Arial" w:hAnsi="Arial" w:cs="Arial"/>
          <w:b/>
          <w:bCs/>
          <w:color w:val="000000" w:themeColor="text1"/>
          <w:sz w:val="22"/>
          <w:szCs w:val="22"/>
        </w:rPr>
      </w:pPr>
      <w:r w:rsidRPr="00B21815">
        <w:rPr>
          <w:rFonts w:ascii="Arial" w:hAnsi="Arial" w:cs="Arial"/>
          <w:b/>
          <w:bCs/>
          <w:color w:val="000000" w:themeColor="text1"/>
          <w:sz w:val="22"/>
          <w:szCs w:val="22"/>
        </w:rPr>
        <w:t>Purpose:</w:t>
      </w:r>
    </w:p>
    <w:p w14:paraId="6DD84556" w14:textId="77777777" w:rsidR="003A1E8C" w:rsidRPr="00B21815" w:rsidRDefault="003A1E8C" w:rsidP="003A1E8C">
      <w:pPr>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This study examines current evidence on the effectiveness, accessibility, and implementation of digital mental health interventions (DMHIs) for improving the emotional wellbeing of young people in the United Kingdom. As symptoms of anxiety, depression, and psychological distress continue to rise among adolescents and young adults, understanding the role of digital interventions has become increasingly important for expanding access to timely and flexible mental health support.</w:t>
      </w:r>
    </w:p>
    <w:p w14:paraId="67FA5C19" w14:textId="77777777" w:rsidR="00091801" w:rsidRPr="00B21815" w:rsidRDefault="00091801" w:rsidP="003A1E8C">
      <w:pPr>
        <w:spacing w:line="360" w:lineRule="auto"/>
        <w:rPr>
          <w:rFonts w:ascii="Arial" w:hAnsi="Arial" w:cs="Arial"/>
          <w:color w:val="000000" w:themeColor="text1"/>
          <w:sz w:val="22"/>
          <w:szCs w:val="22"/>
        </w:rPr>
      </w:pPr>
    </w:p>
    <w:p w14:paraId="1CE8EA42" w14:textId="77777777" w:rsidR="003A1E8C" w:rsidRPr="00B21815" w:rsidRDefault="003A1E8C" w:rsidP="003A1E8C">
      <w:pPr>
        <w:spacing w:line="360" w:lineRule="auto"/>
        <w:rPr>
          <w:rFonts w:ascii="Arial" w:hAnsi="Arial" w:cs="Arial"/>
          <w:b/>
          <w:bCs/>
          <w:color w:val="000000" w:themeColor="text1"/>
          <w:sz w:val="22"/>
          <w:szCs w:val="22"/>
        </w:rPr>
      </w:pPr>
      <w:r w:rsidRPr="00B21815">
        <w:rPr>
          <w:rFonts w:ascii="Arial" w:hAnsi="Arial" w:cs="Arial"/>
          <w:b/>
          <w:bCs/>
          <w:color w:val="000000" w:themeColor="text1"/>
          <w:sz w:val="22"/>
          <w:szCs w:val="22"/>
        </w:rPr>
        <w:t>Methodology:</w:t>
      </w:r>
    </w:p>
    <w:p w14:paraId="2E6F9CC0" w14:textId="77777777" w:rsidR="003A1E8C" w:rsidRPr="00B21815" w:rsidRDefault="003A1E8C" w:rsidP="003A1E8C">
      <w:pPr>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A scoping review methodology was adopted to synthesise findings from three peer-reviewed studies that met predefined inclusion criteria. Searches were conducted across academic databases including PubMed, ProQuest, Google Scholar, and the UWTSD library using keywords such as “digital mental health”, “e-mental health”, “online therapy”, “young people”, and “wellbeing”. Studies published between 2015 and 2025 focusing on mental health outcomes for individuals aged 12–25 were eligible. Thematic analysis, guided by Braun and Clarke (2021), was used to identify and interpret key patterns across the evidence base.</w:t>
      </w:r>
    </w:p>
    <w:p w14:paraId="06482C43" w14:textId="77777777" w:rsidR="00091801" w:rsidRPr="00B21815" w:rsidRDefault="00091801" w:rsidP="003A1E8C">
      <w:pPr>
        <w:spacing w:line="360" w:lineRule="auto"/>
        <w:rPr>
          <w:rFonts w:ascii="Arial" w:hAnsi="Arial" w:cs="Arial"/>
          <w:color w:val="000000" w:themeColor="text1"/>
          <w:sz w:val="22"/>
          <w:szCs w:val="22"/>
        </w:rPr>
      </w:pPr>
    </w:p>
    <w:p w14:paraId="0ADD4320" w14:textId="77777777" w:rsidR="003A1E8C" w:rsidRPr="00B21815" w:rsidRDefault="003A1E8C" w:rsidP="003A1E8C">
      <w:pPr>
        <w:spacing w:line="360" w:lineRule="auto"/>
        <w:rPr>
          <w:rFonts w:ascii="Arial" w:hAnsi="Arial" w:cs="Arial"/>
          <w:b/>
          <w:bCs/>
          <w:color w:val="000000" w:themeColor="text1"/>
          <w:sz w:val="22"/>
          <w:szCs w:val="22"/>
        </w:rPr>
      </w:pPr>
      <w:r w:rsidRPr="00B21815">
        <w:rPr>
          <w:rFonts w:ascii="Arial" w:hAnsi="Arial" w:cs="Arial"/>
          <w:b/>
          <w:bCs/>
          <w:color w:val="000000" w:themeColor="text1"/>
          <w:sz w:val="22"/>
          <w:szCs w:val="22"/>
        </w:rPr>
        <w:t>Findings/Results:</w:t>
      </w:r>
    </w:p>
    <w:p w14:paraId="6564E024" w14:textId="77777777" w:rsidR="003A1E8C" w:rsidRDefault="003A1E8C" w:rsidP="003A1E8C">
      <w:pPr>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The reviewed studies consistently reported short-term improvements in emotional wellbeing, with online cognitive-behavioural therapy and structured digital programmes demonstrating the most robust effectiveness. Young people valued the accessibility, anonymity, and flexibility offered by digital tools, though engagement varied widely, with high dropout rates frequently reported. The evidence also highlighted significant barriers for socioeconomically marginalised young people, including limited device access, unstable internet connectivity, and reduced digital literacy, which impacted engagement and feasibility. Concerns regarding privacy, safeguarding, and variability in clinical oversight were common across the studies. International evidence similarly supports the potential of DMHIs, reinforcing the importance of stable digital infrastructure and guided support for sustained impact.</w:t>
      </w:r>
    </w:p>
    <w:p w14:paraId="0165B471" w14:textId="77777777" w:rsidR="00683D3A" w:rsidRPr="00B21815" w:rsidRDefault="00683D3A" w:rsidP="003A1E8C">
      <w:pPr>
        <w:spacing w:line="360" w:lineRule="auto"/>
        <w:rPr>
          <w:rFonts w:ascii="Arial" w:hAnsi="Arial" w:cs="Arial"/>
          <w:color w:val="000000" w:themeColor="text1"/>
          <w:sz w:val="22"/>
          <w:szCs w:val="22"/>
        </w:rPr>
      </w:pPr>
    </w:p>
    <w:p w14:paraId="5C41C881" w14:textId="77777777" w:rsidR="00091801" w:rsidRPr="00B21815" w:rsidRDefault="00091801" w:rsidP="003A1E8C">
      <w:pPr>
        <w:spacing w:line="360" w:lineRule="auto"/>
        <w:rPr>
          <w:rFonts w:ascii="Arial" w:hAnsi="Arial" w:cs="Arial"/>
          <w:color w:val="000000" w:themeColor="text1"/>
          <w:sz w:val="22"/>
          <w:szCs w:val="22"/>
        </w:rPr>
      </w:pPr>
    </w:p>
    <w:p w14:paraId="69F7A3C9" w14:textId="77777777" w:rsidR="003A1E8C" w:rsidRPr="00B21815" w:rsidRDefault="003A1E8C" w:rsidP="003A1E8C">
      <w:pPr>
        <w:spacing w:line="360" w:lineRule="auto"/>
        <w:rPr>
          <w:rFonts w:ascii="Arial" w:hAnsi="Arial" w:cs="Arial"/>
          <w:b/>
          <w:bCs/>
          <w:color w:val="000000" w:themeColor="text1"/>
          <w:sz w:val="22"/>
          <w:szCs w:val="22"/>
        </w:rPr>
      </w:pPr>
      <w:r w:rsidRPr="00B21815">
        <w:rPr>
          <w:rFonts w:ascii="Arial" w:hAnsi="Arial" w:cs="Arial"/>
          <w:b/>
          <w:bCs/>
          <w:color w:val="000000" w:themeColor="text1"/>
          <w:sz w:val="22"/>
          <w:szCs w:val="22"/>
        </w:rPr>
        <w:t>Conclusion:</w:t>
      </w:r>
    </w:p>
    <w:p w14:paraId="0D52E859" w14:textId="5C5346A3" w:rsidR="000878AE" w:rsidRDefault="003A1E8C" w:rsidP="003A1E8C">
      <w:pPr>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Digital mental health interventions show considerable promise as accessible and scalable tools for supporting the emotional wellbeing of young people. However, their effectiveness is contingent on addressing engagement challenges, reducing digital inequality, strengthening regulation and clinical governance, and integrating digital tools within broader mental health pathways. Further high-quality research is required to understand long-term outcomes and ensure equitable implementation across diverse youth populations.</w:t>
      </w:r>
    </w:p>
    <w:p w14:paraId="018FF653" w14:textId="77777777" w:rsidR="00BE7BDD" w:rsidRDefault="00BE7BDD" w:rsidP="003A1E8C">
      <w:pPr>
        <w:spacing w:line="360" w:lineRule="auto"/>
        <w:rPr>
          <w:rFonts w:ascii="Arial" w:hAnsi="Arial" w:cs="Arial"/>
          <w:color w:val="000000" w:themeColor="text1"/>
          <w:sz w:val="22"/>
          <w:szCs w:val="22"/>
        </w:rPr>
      </w:pPr>
    </w:p>
    <w:p w14:paraId="384D4F9F" w14:textId="77777777" w:rsidR="00BE7BDD" w:rsidRDefault="00BE7BDD" w:rsidP="003A1E8C">
      <w:pPr>
        <w:spacing w:line="360" w:lineRule="auto"/>
        <w:rPr>
          <w:rFonts w:ascii="Arial" w:hAnsi="Arial" w:cs="Arial"/>
          <w:color w:val="000000" w:themeColor="text1"/>
          <w:sz w:val="22"/>
          <w:szCs w:val="22"/>
        </w:rPr>
      </w:pPr>
    </w:p>
    <w:p w14:paraId="239C250A" w14:textId="77777777" w:rsidR="00BE7BDD" w:rsidRDefault="00BE7BDD" w:rsidP="003A1E8C">
      <w:pPr>
        <w:spacing w:line="360" w:lineRule="auto"/>
        <w:rPr>
          <w:rFonts w:ascii="Arial" w:hAnsi="Arial" w:cs="Arial"/>
          <w:color w:val="000000" w:themeColor="text1"/>
          <w:sz w:val="22"/>
          <w:szCs w:val="22"/>
        </w:rPr>
      </w:pPr>
    </w:p>
    <w:p w14:paraId="644AE59B" w14:textId="77777777" w:rsidR="00BE7BDD" w:rsidRDefault="00BE7BDD" w:rsidP="003A1E8C">
      <w:pPr>
        <w:spacing w:line="360" w:lineRule="auto"/>
        <w:rPr>
          <w:rFonts w:ascii="Arial" w:hAnsi="Arial" w:cs="Arial"/>
          <w:color w:val="000000" w:themeColor="text1"/>
          <w:sz w:val="22"/>
          <w:szCs w:val="22"/>
        </w:rPr>
      </w:pPr>
    </w:p>
    <w:p w14:paraId="3BDB7CBD" w14:textId="77777777" w:rsidR="00BE7BDD" w:rsidRDefault="00BE7BDD" w:rsidP="003A1E8C">
      <w:pPr>
        <w:spacing w:line="360" w:lineRule="auto"/>
        <w:rPr>
          <w:rFonts w:ascii="Arial" w:hAnsi="Arial" w:cs="Arial"/>
          <w:color w:val="000000" w:themeColor="text1"/>
          <w:sz w:val="22"/>
          <w:szCs w:val="22"/>
        </w:rPr>
      </w:pPr>
    </w:p>
    <w:p w14:paraId="21B44CBD" w14:textId="77777777" w:rsidR="00BE7BDD" w:rsidRDefault="00BE7BDD" w:rsidP="003A1E8C">
      <w:pPr>
        <w:spacing w:line="360" w:lineRule="auto"/>
        <w:rPr>
          <w:rFonts w:ascii="Arial" w:hAnsi="Arial" w:cs="Arial"/>
          <w:color w:val="000000" w:themeColor="text1"/>
          <w:sz w:val="22"/>
          <w:szCs w:val="22"/>
        </w:rPr>
      </w:pPr>
    </w:p>
    <w:p w14:paraId="56F065BB" w14:textId="77777777" w:rsidR="00BE7BDD" w:rsidRDefault="00BE7BDD" w:rsidP="003A1E8C">
      <w:pPr>
        <w:spacing w:line="360" w:lineRule="auto"/>
        <w:rPr>
          <w:rFonts w:ascii="Arial" w:hAnsi="Arial" w:cs="Arial"/>
          <w:color w:val="000000" w:themeColor="text1"/>
          <w:sz w:val="22"/>
          <w:szCs w:val="22"/>
        </w:rPr>
      </w:pPr>
    </w:p>
    <w:p w14:paraId="23200596" w14:textId="77777777" w:rsidR="00BE7BDD" w:rsidRDefault="00BE7BDD" w:rsidP="003A1E8C">
      <w:pPr>
        <w:spacing w:line="360" w:lineRule="auto"/>
        <w:rPr>
          <w:rFonts w:ascii="Arial" w:hAnsi="Arial" w:cs="Arial"/>
          <w:color w:val="000000" w:themeColor="text1"/>
          <w:sz w:val="22"/>
          <w:szCs w:val="22"/>
        </w:rPr>
      </w:pPr>
    </w:p>
    <w:p w14:paraId="245F2C0A" w14:textId="77777777" w:rsidR="00BE7BDD" w:rsidRDefault="00BE7BDD" w:rsidP="003A1E8C">
      <w:pPr>
        <w:spacing w:line="360" w:lineRule="auto"/>
        <w:rPr>
          <w:rFonts w:ascii="Arial" w:hAnsi="Arial" w:cs="Arial"/>
          <w:color w:val="000000" w:themeColor="text1"/>
          <w:sz w:val="22"/>
          <w:szCs w:val="22"/>
        </w:rPr>
      </w:pPr>
    </w:p>
    <w:p w14:paraId="366A9882" w14:textId="77777777" w:rsidR="00BE7BDD" w:rsidRDefault="00BE7BDD" w:rsidP="003A1E8C">
      <w:pPr>
        <w:spacing w:line="360" w:lineRule="auto"/>
        <w:rPr>
          <w:rFonts w:ascii="Arial" w:hAnsi="Arial" w:cs="Arial"/>
          <w:color w:val="000000" w:themeColor="text1"/>
          <w:sz w:val="22"/>
          <w:szCs w:val="22"/>
        </w:rPr>
      </w:pPr>
    </w:p>
    <w:p w14:paraId="178C08E2" w14:textId="77777777" w:rsidR="00BE7BDD" w:rsidRDefault="00BE7BDD" w:rsidP="003A1E8C">
      <w:pPr>
        <w:spacing w:line="360" w:lineRule="auto"/>
        <w:rPr>
          <w:rFonts w:ascii="Arial" w:hAnsi="Arial" w:cs="Arial"/>
          <w:color w:val="000000" w:themeColor="text1"/>
          <w:sz w:val="22"/>
          <w:szCs w:val="22"/>
        </w:rPr>
      </w:pPr>
    </w:p>
    <w:p w14:paraId="3DA71AD5" w14:textId="77777777" w:rsidR="00BE7BDD" w:rsidRDefault="00BE7BDD" w:rsidP="003A1E8C">
      <w:pPr>
        <w:spacing w:line="360" w:lineRule="auto"/>
        <w:rPr>
          <w:rFonts w:ascii="Arial" w:hAnsi="Arial" w:cs="Arial"/>
          <w:color w:val="000000" w:themeColor="text1"/>
          <w:sz w:val="22"/>
          <w:szCs w:val="22"/>
        </w:rPr>
      </w:pPr>
    </w:p>
    <w:p w14:paraId="4A5E43A3" w14:textId="77777777" w:rsidR="00BE7BDD" w:rsidRDefault="00BE7BDD" w:rsidP="003A1E8C">
      <w:pPr>
        <w:spacing w:line="360" w:lineRule="auto"/>
        <w:rPr>
          <w:rFonts w:ascii="Arial" w:hAnsi="Arial" w:cs="Arial"/>
          <w:color w:val="000000" w:themeColor="text1"/>
          <w:sz w:val="22"/>
          <w:szCs w:val="22"/>
        </w:rPr>
      </w:pPr>
    </w:p>
    <w:p w14:paraId="7B3DF27E" w14:textId="77777777" w:rsidR="00BE7BDD" w:rsidRDefault="00BE7BDD" w:rsidP="003A1E8C">
      <w:pPr>
        <w:spacing w:line="360" w:lineRule="auto"/>
        <w:rPr>
          <w:rFonts w:ascii="Arial" w:hAnsi="Arial" w:cs="Arial"/>
          <w:color w:val="000000" w:themeColor="text1"/>
          <w:sz w:val="22"/>
          <w:szCs w:val="22"/>
        </w:rPr>
      </w:pPr>
    </w:p>
    <w:p w14:paraId="3D9F9165" w14:textId="77777777" w:rsidR="00BE7BDD" w:rsidRDefault="00BE7BDD" w:rsidP="003A1E8C">
      <w:pPr>
        <w:spacing w:line="360" w:lineRule="auto"/>
        <w:rPr>
          <w:rFonts w:ascii="Arial" w:hAnsi="Arial" w:cs="Arial"/>
          <w:color w:val="000000" w:themeColor="text1"/>
          <w:sz w:val="22"/>
          <w:szCs w:val="22"/>
        </w:rPr>
      </w:pPr>
    </w:p>
    <w:p w14:paraId="7CF521F6" w14:textId="77777777" w:rsidR="00BE7BDD" w:rsidRDefault="00BE7BDD" w:rsidP="003A1E8C">
      <w:pPr>
        <w:spacing w:line="360" w:lineRule="auto"/>
        <w:rPr>
          <w:rFonts w:ascii="Arial" w:hAnsi="Arial" w:cs="Arial"/>
          <w:color w:val="000000" w:themeColor="text1"/>
          <w:sz w:val="22"/>
          <w:szCs w:val="22"/>
        </w:rPr>
      </w:pPr>
    </w:p>
    <w:p w14:paraId="15B15DEF" w14:textId="77777777" w:rsidR="00BE7BDD" w:rsidRDefault="00BE7BDD" w:rsidP="003A1E8C">
      <w:pPr>
        <w:spacing w:line="360" w:lineRule="auto"/>
        <w:rPr>
          <w:rFonts w:ascii="Arial" w:hAnsi="Arial" w:cs="Arial"/>
          <w:color w:val="000000" w:themeColor="text1"/>
          <w:sz w:val="22"/>
          <w:szCs w:val="22"/>
        </w:rPr>
      </w:pPr>
    </w:p>
    <w:p w14:paraId="0BDC78EA" w14:textId="77777777" w:rsidR="00BE7BDD" w:rsidRDefault="00BE7BDD" w:rsidP="003A1E8C">
      <w:pPr>
        <w:spacing w:line="360" w:lineRule="auto"/>
        <w:rPr>
          <w:rFonts w:ascii="Arial" w:hAnsi="Arial" w:cs="Arial"/>
          <w:color w:val="000000" w:themeColor="text1"/>
          <w:sz w:val="22"/>
          <w:szCs w:val="22"/>
        </w:rPr>
      </w:pPr>
    </w:p>
    <w:p w14:paraId="32548F6A" w14:textId="77777777" w:rsidR="00BE7BDD" w:rsidRDefault="00BE7BDD" w:rsidP="003A1E8C">
      <w:pPr>
        <w:spacing w:line="360" w:lineRule="auto"/>
        <w:rPr>
          <w:rFonts w:ascii="Arial" w:hAnsi="Arial" w:cs="Arial"/>
          <w:color w:val="000000" w:themeColor="text1"/>
          <w:sz w:val="22"/>
          <w:szCs w:val="22"/>
        </w:rPr>
      </w:pPr>
    </w:p>
    <w:p w14:paraId="59787160" w14:textId="77777777" w:rsidR="00BE7BDD" w:rsidRDefault="00BE7BDD" w:rsidP="003A1E8C">
      <w:pPr>
        <w:spacing w:line="360" w:lineRule="auto"/>
        <w:rPr>
          <w:rFonts w:ascii="Arial" w:hAnsi="Arial" w:cs="Arial"/>
          <w:color w:val="000000" w:themeColor="text1"/>
          <w:sz w:val="22"/>
          <w:szCs w:val="22"/>
        </w:rPr>
      </w:pPr>
    </w:p>
    <w:p w14:paraId="7C3FDD21" w14:textId="77777777" w:rsidR="00BE7BDD" w:rsidRDefault="00BE7BDD" w:rsidP="003A1E8C">
      <w:pPr>
        <w:spacing w:line="360" w:lineRule="auto"/>
        <w:rPr>
          <w:rFonts w:ascii="Arial" w:hAnsi="Arial" w:cs="Arial"/>
          <w:color w:val="000000" w:themeColor="text1"/>
          <w:sz w:val="22"/>
          <w:szCs w:val="22"/>
        </w:rPr>
      </w:pPr>
    </w:p>
    <w:p w14:paraId="2E68BFDD" w14:textId="77777777" w:rsidR="00BE7BDD" w:rsidRDefault="00BE7BDD" w:rsidP="003A1E8C">
      <w:pPr>
        <w:spacing w:line="360" w:lineRule="auto"/>
        <w:rPr>
          <w:rFonts w:ascii="Arial" w:hAnsi="Arial" w:cs="Arial"/>
          <w:color w:val="000000" w:themeColor="text1"/>
          <w:sz w:val="22"/>
          <w:szCs w:val="22"/>
        </w:rPr>
      </w:pPr>
    </w:p>
    <w:p w14:paraId="12D5D7CF" w14:textId="77777777" w:rsidR="00BE7BDD" w:rsidRDefault="00BE7BDD" w:rsidP="003A1E8C">
      <w:pPr>
        <w:spacing w:line="360" w:lineRule="auto"/>
        <w:rPr>
          <w:rFonts w:ascii="Arial" w:hAnsi="Arial" w:cs="Arial"/>
          <w:color w:val="000000" w:themeColor="text1"/>
          <w:sz w:val="22"/>
          <w:szCs w:val="22"/>
        </w:rPr>
      </w:pPr>
    </w:p>
    <w:p w14:paraId="0D21212F" w14:textId="77777777" w:rsidR="00BE7BDD" w:rsidRDefault="00BE7BDD" w:rsidP="003A1E8C">
      <w:pPr>
        <w:spacing w:line="360" w:lineRule="auto"/>
        <w:rPr>
          <w:rFonts w:ascii="Arial" w:hAnsi="Arial" w:cs="Arial"/>
          <w:color w:val="000000" w:themeColor="text1"/>
          <w:sz w:val="22"/>
          <w:szCs w:val="22"/>
        </w:rPr>
      </w:pPr>
    </w:p>
    <w:p w14:paraId="41BF8EF5" w14:textId="77777777" w:rsidR="00BE7BDD" w:rsidRDefault="00BE7BDD" w:rsidP="003A1E8C">
      <w:pPr>
        <w:spacing w:line="360" w:lineRule="auto"/>
        <w:rPr>
          <w:rFonts w:ascii="Arial" w:hAnsi="Arial" w:cs="Arial"/>
          <w:color w:val="000000" w:themeColor="text1"/>
          <w:sz w:val="22"/>
          <w:szCs w:val="22"/>
        </w:rPr>
      </w:pPr>
    </w:p>
    <w:p w14:paraId="53DC68E0" w14:textId="77777777" w:rsidR="00BE7BDD" w:rsidRPr="00B21815" w:rsidRDefault="00BE7BDD" w:rsidP="003A1E8C">
      <w:pPr>
        <w:spacing w:line="360" w:lineRule="auto"/>
        <w:rPr>
          <w:rFonts w:ascii="Arial" w:hAnsi="Arial" w:cs="Arial"/>
          <w:color w:val="000000" w:themeColor="text1"/>
          <w:sz w:val="22"/>
          <w:szCs w:val="22"/>
        </w:rPr>
      </w:pPr>
    </w:p>
    <w:p w14:paraId="76229BBD" w14:textId="77777777" w:rsidR="00091801" w:rsidRPr="00B21815" w:rsidRDefault="00091801" w:rsidP="003A1E8C">
      <w:pPr>
        <w:spacing w:line="360" w:lineRule="auto"/>
        <w:rPr>
          <w:rFonts w:ascii="Arial" w:hAnsi="Arial" w:cs="Arial"/>
          <w:color w:val="000000" w:themeColor="text1"/>
          <w:sz w:val="22"/>
          <w:szCs w:val="22"/>
        </w:rPr>
      </w:pPr>
    </w:p>
    <w:p w14:paraId="40A85661" w14:textId="77777777" w:rsidR="000878AE" w:rsidRPr="00B21815" w:rsidRDefault="000878AE" w:rsidP="006E18D9">
      <w:pPr>
        <w:pStyle w:val="Heading2"/>
        <w:spacing w:line="360" w:lineRule="auto"/>
        <w:rPr>
          <w:rFonts w:ascii="Arial" w:hAnsi="Arial" w:cs="Arial"/>
          <w:color w:val="000000" w:themeColor="text1"/>
          <w:sz w:val="22"/>
          <w:szCs w:val="22"/>
        </w:rPr>
      </w:pPr>
      <w:bookmarkStart w:id="1" w:name="_Toc216427206"/>
      <w:r w:rsidRPr="00B21815">
        <w:rPr>
          <w:rStyle w:val="Strong"/>
          <w:rFonts w:ascii="Arial" w:hAnsi="Arial" w:cs="Arial"/>
          <w:color w:val="000000" w:themeColor="text1"/>
          <w:sz w:val="22"/>
          <w:szCs w:val="22"/>
        </w:rPr>
        <w:lastRenderedPageBreak/>
        <w:t>1. Introduction</w:t>
      </w:r>
      <w:bookmarkEnd w:id="1"/>
    </w:p>
    <w:p w14:paraId="15069BFC" w14:textId="77777777" w:rsidR="000878AE" w:rsidRPr="00B21815" w:rsidRDefault="000878AE" w:rsidP="006E18D9">
      <w:pPr>
        <w:pStyle w:val="NormalWeb"/>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Mental health challenges among young people in the United Kingdom have become a major public health concern. Anxiety, depression, and stress are increasingly reported, particularly in adolescents and young adults aged 12–25 (Mind, 2025). Approximately one in four individuals in this age group experience a mental health problem each year, with prevalence steadily increasing over the past decade (Sivertsen et al., 2021). The rising demand for support has put significant pressure on existing services, particularly Child and Adolescent Mental Health Services (CAMHS), which often face long waiting times and limited resources (March et al., 2022).</w:t>
      </w:r>
    </w:p>
    <w:p w14:paraId="399AD6BB" w14:textId="77777777" w:rsidR="000878AE" w:rsidRPr="00B21815" w:rsidRDefault="000878AE" w:rsidP="006E18D9">
      <w:pPr>
        <w:pStyle w:val="NormalWeb"/>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Young people encounter multiple stressors, including academic pressure, social media influence, family instability, and financial uncertainty, all of which negatively impact emotional wellbeing (Keles et al., 2020; WHO, 2021). These factors highlight the urgent need for innovative, accessible, and flexible interventions that support mental health outside traditional clinical settings.</w:t>
      </w:r>
    </w:p>
    <w:p w14:paraId="042CA904" w14:textId="77777777" w:rsidR="000878AE" w:rsidRPr="00B21815" w:rsidRDefault="000878AE" w:rsidP="006E18D9">
      <w:pPr>
        <w:pStyle w:val="NormalWeb"/>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Digital mental health interventions (DMHIs) have emerged as a potential solution. DMHIs encompass a wide range of technologies, including mobile applications, web-based CBT programmes, online counselling platforms, moderated peer-support communities, and psychoeducational tools (Journal of Medical Internet Research, 2025). Young people, as digital natives, are increasingly using these interventions due to the perceived anonymity, flexibility, and immediacy they offer (Sivertsen et al., 2021). DMHIs have the potential to reduce stigma, increase engagement, and provide timely support for individuals reluctant to seek face-to-face assistance (Hollis et al., 2017).</w:t>
      </w:r>
    </w:p>
    <w:p w14:paraId="405CB334" w14:textId="77777777" w:rsidR="000878AE" w:rsidRPr="00B21815" w:rsidRDefault="000878AE" w:rsidP="006E18D9">
      <w:pPr>
        <w:pStyle w:val="NormalWeb"/>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Despite these advantages, questions remain regarding the long-term effectiveness, engagement, and inclusivity of DMHIs. Some studies report significant improvements in wellbeing, while others highlight low retention rates, digital exclusion, and variability in clinical quality (March et al., 2022; JMIR, 2025). This study aims to systematically review current evidence on the impact of digital interventions on young people’s mental health in the UK, identify gaps, and provide recommendations for improving accessibility, engagement, and outcomes.</w:t>
      </w:r>
    </w:p>
    <w:p w14:paraId="3F53A6EF" w14:textId="0E664D8A" w:rsidR="000878AE" w:rsidRPr="00B21815" w:rsidRDefault="000878AE" w:rsidP="006E18D9">
      <w:pPr>
        <w:spacing w:line="360" w:lineRule="auto"/>
        <w:rPr>
          <w:rFonts w:ascii="Arial" w:hAnsi="Arial" w:cs="Arial"/>
          <w:color w:val="000000" w:themeColor="text1"/>
          <w:sz w:val="22"/>
          <w:szCs w:val="22"/>
        </w:rPr>
      </w:pPr>
    </w:p>
    <w:p w14:paraId="0737FEE3" w14:textId="77777777" w:rsidR="000878AE" w:rsidRPr="00B21815" w:rsidRDefault="000878AE" w:rsidP="006E18D9">
      <w:pPr>
        <w:pStyle w:val="Heading2"/>
        <w:spacing w:line="360" w:lineRule="auto"/>
        <w:rPr>
          <w:rFonts w:ascii="Arial" w:hAnsi="Arial" w:cs="Arial"/>
          <w:color w:val="000000" w:themeColor="text1"/>
          <w:sz w:val="22"/>
          <w:szCs w:val="22"/>
        </w:rPr>
      </w:pPr>
      <w:bookmarkStart w:id="2" w:name="_Toc216427207"/>
      <w:r w:rsidRPr="00B21815">
        <w:rPr>
          <w:rStyle w:val="Strong"/>
          <w:rFonts w:ascii="Arial" w:hAnsi="Arial" w:cs="Arial"/>
          <w:color w:val="000000" w:themeColor="text1"/>
          <w:sz w:val="22"/>
          <w:szCs w:val="22"/>
        </w:rPr>
        <w:lastRenderedPageBreak/>
        <w:t>2. Picture / Figure</w:t>
      </w:r>
      <w:bookmarkEnd w:id="2"/>
    </w:p>
    <w:p w14:paraId="0A39F8B3" w14:textId="77777777" w:rsidR="000878AE" w:rsidRPr="00B21815" w:rsidRDefault="000878AE" w:rsidP="006E18D9">
      <w:pPr>
        <w:pStyle w:val="NormalWeb"/>
        <w:spacing w:line="360" w:lineRule="auto"/>
        <w:rPr>
          <w:rFonts w:ascii="Arial" w:hAnsi="Arial" w:cs="Arial"/>
          <w:color w:val="000000" w:themeColor="text1"/>
          <w:sz w:val="22"/>
          <w:szCs w:val="22"/>
        </w:rPr>
      </w:pPr>
      <w:r w:rsidRPr="00B21815">
        <w:rPr>
          <w:rStyle w:val="Strong"/>
          <w:rFonts w:ascii="Arial" w:eastAsiaTheme="majorEastAsia" w:hAnsi="Arial" w:cs="Arial"/>
          <w:color w:val="000000" w:themeColor="text1"/>
          <w:sz w:val="22"/>
          <w:szCs w:val="22"/>
        </w:rPr>
        <w:t>Figure 1: Prevalence of Mental Health Problems Among Young People in the UK</w:t>
      </w:r>
      <w:r w:rsidRPr="00B21815">
        <w:rPr>
          <w:rStyle w:val="apple-converted-space"/>
          <w:rFonts w:ascii="Arial" w:eastAsiaTheme="majorEastAsia" w:hAnsi="Arial" w:cs="Arial"/>
          <w:color w:val="000000" w:themeColor="text1"/>
          <w:sz w:val="22"/>
          <w:szCs w:val="22"/>
        </w:rPr>
        <w:t> </w:t>
      </w:r>
      <w:r w:rsidRPr="00B21815">
        <w:rPr>
          <w:rFonts w:ascii="Arial" w:hAnsi="Arial" w:cs="Arial"/>
          <w:color w:val="000000" w:themeColor="text1"/>
          <w:sz w:val="22"/>
          <w:szCs w:val="22"/>
        </w:rPr>
        <w:t>(Statista, 2021)</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32"/>
        <w:gridCol w:w="4289"/>
      </w:tblGrid>
      <w:tr w:rsidR="006E18D9" w:rsidRPr="00B21815" w14:paraId="0A788B31" w14:textId="77777777" w:rsidTr="00A53D3F">
        <w:trPr>
          <w:tblHeader/>
          <w:tblCellSpacing w:w="15" w:type="dxa"/>
        </w:trPr>
        <w:tc>
          <w:tcPr>
            <w:tcW w:w="0" w:type="auto"/>
            <w:vAlign w:val="center"/>
            <w:hideMark/>
          </w:tcPr>
          <w:p w14:paraId="6D06A146" w14:textId="77777777" w:rsidR="000878AE" w:rsidRPr="00B21815" w:rsidRDefault="000878AE" w:rsidP="006E18D9">
            <w:pPr>
              <w:spacing w:line="360" w:lineRule="auto"/>
              <w:jc w:val="center"/>
              <w:rPr>
                <w:rFonts w:ascii="Arial" w:hAnsi="Arial" w:cs="Arial"/>
                <w:b/>
                <w:bCs/>
                <w:color w:val="000000" w:themeColor="text1"/>
                <w:sz w:val="22"/>
                <w:szCs w:val="22"/>
              </w:rPr>
            </w:pPr>
            <w:r w:rsidRPr="00B21815">
              <w:rPr>
                <w:rFonts w:ascii="Arial" w:hAnsi="Arial" w:cs="Arial"/>
                <w:b/>
                <w:bCs/>
                <w:color w:val="000000" w:themeColor="text1"/>
                <w:sz w:val="22"/>
                <w:szCs w:val="22"/>
              </w:rPr>
              <w:t>Age Group</w:t>
            </w:r>
          </w:p>
        </w:tc>
        <w:tc>
          <w:tcPr>
            <w:tcW w:w="0" w:type="auto"/>
            <w:vAlign w:val="center"/>
            <w:hideMark/>
          </w:tcPr>
          <w:p w14:paraId="3265E7C0" w14:textId="77777777" w:rsidR="000878AE" w:rsidRPr="00B21815" w:rsidRDefault="000878AE" w:rsidP="006E18D9">
            <w:pPr>
              <w:spacing w:line="360" w:lineRule="auto"/>
              <w:jc w:val="center"/>
              <w:rPr>
                <w:rFonts w:ascii="Arial" w:hAnsi="Arial" w:cs="Arial"/>
                <w:b/>
                <w:bCs/>
                <w:color w:val="000000" w:themeColor="text1"/>
                <w:sz w:val="22"/>
                <w:szCs w:val="22"/>
              </w:rPr>
            </w:pPr>
            <w:r w:rsidRPr="00B21815">
              <w:rPr>
                <w:rFonts w:ascii="Arial" w:hAnsi="Arial" w:cs="Arial"/>
                <w:b/>
                <w:bCs/>
                <w:color w:val="000000" w:themeColor="text1"/>
                <w:sz w:val="22"/>
                <w:szCs w:val="22"/>
              </w:rPr>
              <w:t>% Experiencing Mental Health Problems</w:t>
            </w:r>
          </w:p>
        </w:tc>
      </w:tr>
      <w:tr w:rsidR="006E18D9" w:rsidRPr="00B21815" w14:paraId="1FA56A2C" w14:textId="77777777" w:rsidTr="00A53D3F">
        <w:trPr>
          <w:tblCellSpacing w:w="15" w:type="dxa"/>
        </w:trPr>
        <w:tc>
          <w:tcPr>
            <w:tcW w:w="0" w:type="auto"/>
            <w:vAlign w:val="center"/>
            <w:hideMark/>
          </w:tcPr>
          <w:p w14:paraId="4D80937E" w14:textId="77777777" w:rsidR="000878AE" w:rsidRPr="00B21815" w:rsidRDefault="000878AE" w:rsidP="006E18D9">
            <w:pPr>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12–15</w:t>
            </w:r>
          </w:p>
        </w:tc>
        <w:tc>
          <w:tcPr>
            <w:tcW w:w="0" w:type="auto"/>
            <w:vAlign w:val="center"/>
            <w:hideMark/>
          </w:tcPr>
          <w:p w14:paraId="58A7278E" w14:textId="77777777" w:rsidR="000878AE" w:rsidRPr="00B21815" w:rsidRDefault="000878AE" w:rsidP="006E18D9">
            <w:pPr>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19%</w:t>
            </w:r>
          </w:p>
        </w:tc>
      </w:tr>
      <w:tr w:rsidR="006E18D9" w:rsidRPr="00B21815" w14:paraId="4F4C423A" w14:textId="77777777" w:rsidTr="00A53D3F">
        <w:trPr>
          <w:tblCellSpacing w:w="15" w:type="dxa"/>
        </w:trPr>
        <w:tc>
          <w:tcPr>
            <w:tcW w:w="0" w:type="auto"/>
            <w:vAlign w:val="center"/>
            <w:hideMark/>
          </w:tcPr>
          <w:p w14:paraId="27E6EFEE" w14:textId="77777777" w:rsidR="000878AE" w:rsidRPr="00B21815" w:rsidRDefault="000878AE" w:rsidP="006E18D9">
            <w:pPr>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16–18</w:t>
            </w:r>
          </w:p>
        </w:tc>
        <w:tc>
          <w:tcPr>
            <w:tcW w:w="0" w:type="auto"/>
            <w:vAlign w:val="center"/>
            <w:hideMark/>
          </w:tcPr>
          <w:p w14:paraId="618F3E0C" w14:textId="77777777" w:rsidR="000878AE" w:rsidRPr="00B21815" w:rsidRDefault="000878AE" w:rsidP="006E18D9">
            <w:pPr>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28%</w:t>
            </w:r>
          </w:p>
        </w:tc>
      </w:tr>
      <w:tr w:rsidR="006E18D9" w:rsidRPr="00B21815" w14:paraId="00DF0C37" w14:textId="77777777" w:rsidTr="00A53D3F">
        <w:trPr>
          <w:tblCellSpacing w:w="15" w:type="dxa"/>
        </w:trPr>
        <w:tc>
          <w:tcPr>
            <w:tcW w:w="0" w:type="auto"/>
            <w:vAlign w:val="center"/>
            <w:hideMark/>
          </w:tcPr>
          <w:p w14:paraId="3B958C2E" w14:textId="77777777" w:rsidR="000878AE" w:rsidRPr="00B21815" w:rsidRDefault="000878AE" w:rsidP="006E18D9">
            <w:pPr>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19–25</w:t>
            </w:r>
          </w:p>
        </w:tc>
        <w:tc>
          <w:tcPr>
            <w:tcW w:w="0" w:type="auto"/>
            <w:vAlign w:val="center"/>
            <w:hideMark/>
          </w:tcPr>
          <w:p w14:paraId="732F83C5" w14:textId="77777777" w:rsidR="000878AE" w:rsidRPr="00B21815" w:rsidRDefault="000878AE" w:rsidP="006E18D9">
            <w:pPr>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25%</w:t>
            </w:r>
          </w:p>
        </w:tc>
      </w:tr>
    </w:tbl>
    <w:p w14:paraId="07E43FD3" w14:textId="77777777" w:rsidR="000878AE" w:rsidRPr="00B21815" w:rsidRDefault="000878AE" w:rsidP="006E18D9">
      <w:pPr>
        <w:pStyle w:val="NormalWeb"/>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This figure demonstrates the high prevalence of mental health problems among young people in the UK, emphasising the need for effective interventions.</w:t>
      </w:r>
    </w:p>
    <w:p w14:paraId="5A712AB7" w14:textId="047D5AF9" w:rsidR="000878AE" w:rsidRPr="00B21815" w:rsidRDefault="000878AE" w:rsidP="006E18D9">
      <w:pPr>
        <w:spacing w:line="360" w:lineRule="auto"/>
        <w:rPr>
          <w:rFonts w:ascii="Arial" w:hAnsi="Arial" w:cs="Arial"/>
          <w:color w:val="000000" w:themeColor="text1"/>
          <w:sz w:val="22"/>
          <w:szCs w:val="22"/>
        </w:rPr>
      </w:pPr>
    </w:p>
    <w:p w14:paraId="42808223" w14:textId="77777777" w:rsidR="000878AE" w:rsidRPr="00B21815" w:rsidRDefault="000878AE" w:rsidP="006E18D9">
      <w:pPr>
        <w:pStyle w:val="Heading2"/>
        <w:spacing w:line="360" w:lineRule="auto"/>
        <w:rPr>
          <w:rFonts w:ascii="Arial" w:hAnsi="Arial" w:cs="Arial"/>
          <w:color w:val="000000" w:themeColor="text1"/>
          <w:sz w:val="22"/>
          <w:szCs w:val="22"/>
        </w:rPr>
      </w:pPr>
      <w:bookmarkStart w:id="3" w:name="_Toc216427208"/>
      <w:r w:rsidRPr="00B21815">
        <w:rPr>
          <w:rStyle w:val="Strong"/>
          <w:rFonts w:ascii="Arial" w:hAnsi="Arial" w:cs="Arial"/>
          <w:color w:val="000000" w:themeColor="text1"/>
          <w:sz w:val="22"/>
          <w:szCs w:val="22"/>
        </w:rPr>
        <w:t>3. Rationale, Research Question, Objectives</w:t>
      </w:r>
      <w:bookmarkEnd w:id="3"/>
    </w:p>
    <w:p w14:paraId="570D5E2B" w14:textId="77777777" w:rsidR="000878AE" w:rsidRPr="00B21815" w:rsidRDefault="000878AE" w:rsidP="006E18D9">
      <w:pPr>
        <w:pStyle w:val="NormalWeb"/>
        <w:spacing w:line="360" w:lineRule="auto"/>
        <w:rPr>
          <w:rFonts w:ascii="Arial" w:hAnsi="Arial" w:cs="Arial"/>
          <w:color w:val="000000" w:themeColor="text1"/>
          <w:sz w:val="22"/>
          <w:szCs w:val="22"/>
        </w:rPr>
      </w:pPr>
      <w:r w:rsidRPr="00B21815">
        <w:rPr>
          <w:rStyle w:val="Strong"/>
          <w:rFonts w:ascii="Arial" w:eastAsiaTheme="majorEastAsia" w:hAnsi="Arial" w:cs="Arial"/>
          <w:color w:val="000000" w:themeColor="text1"/>
          <w:sz w:val="22"/>
          <w:szCs w:val="22"/>
        </w:rPr>
        <w:t>Rationale:</w:t>
      </w:r>
      <w:r w:rsidRPr="00B21815">
        <w:rPr>
          <w:rFonts w:ascii="Arial" w:hAnsi="Arial" w:cs="Arial"/>
          <w:color w:val="000000" w:themeColor="text1"/>
          <w:sz w:val="22"/>
          <w:szCs w:val="22"/>
        </w:rPr>
        <w:br/>
        <w:t>Mental health issues among young people are rising, with anxiety, depression, and stress being prevalent. Traditional services often fail to meet the needs of all young people due to accessibility barriers, stigma, and long waiting times (Mind, 2025). Digital mental health interventions offer a promising alternative, providing flexible, anonymous, and immediate support. However, evidence regarding their effectiveness, engagement, and inclusivity remains varied (March et al., 2022). This study seeks to synthesise current evidence to inform health and social care practice and policy.</w:t>
      </w:r>
    </w:p>
    <w:p w14:paraId="36E26F37" w14:textId="77777777" w:rsidR="000878AE" w:rsidRPr="00B21815" w:rsidRDefault="000878AE" w:rsidP="006E18D9">
      <w:pPr>
        <w:pStyle w:val="NormalWeb"/>
        <w:spacing w:line="360" w:lineRule="auto"/>
        <w:rPr>
          <w:rFonts w:ascii="Arial" w:hAnsi="Arial" w:cs="Arial"/>
          <w:color w:val="000000" w:themeColor="text1"/>
          <w:sz w:val="22"/>
          <w:szCs w:val="22"/>
        </w:rPr>
      </w:pPr>
      <w:r w:rsidRPr="00B21815">
        <w:rPr>
          <w:rStyle w:val="Strong"/>
          <w:rFonts w:ascii="Arial" w:eastAsiaTheme="majorEastAsia" w:hAnsi="Arial" w:cs="Arial"/>
          <w:color w:val="000000" w:themeColor="text1"/>
          <w:sz w:val="22"/>
          <w:szCs w:val="22"/>
        </w:rPr>
        <w:t>Research Question:</w:t>
      </w:r>
      <w:r w:rsidRPr="00B21815">
        <w:rPr>
          <w:rFonts w:ascii="Arial" w:hAnsi="Arial" w:cs="Arial"/>
          <w:color w:val="000000" w:themeColor="text1"/>
          <w:sz w:val="22"/>
          <w:szCs w:val="22"/>
        </w:rPr>
        <w:br/>
        <w:t>What is the current evidence on the effectiveness of digital mental health interventions in improving the wellbeing of young people in the UK?</w:t>
      </w:r>
    </w:p>
    <w:p w14:paraId="27D1516C" w14:textId="77777777" w:rsidR="000878AE" w:rsidRPr="00B21815" w:rsidRDefault="000878AE" w:rsidP="006E18D9">
      <w:pPr>
        <w:pStyle w:val="NormalWeb"/>
        <w:spacing w:line="360" w:lineRule="auto"/>
        <w:rPr>
          <w:rFonts w:ascii="Arial" w:hAnsi="Arial" w:cs="Arial"/>
          <w:color w:val="000000" w:themeColor="text1"/>
          <w:sz w:val="22"/>
          <w:szCs w:val="22"/>
        </w:rPr>
      </w:pPr>
      <w:r w:rsidRPr="00B21815">
        <w:rPr>
          <w:rStyle w:val="Strong"/>
          <w:rFonts w:ascii="Arial" w:eastAsiaTheme="majorEastAsia" w:hAnsi="Arial" w:cs="Arial"/>
          <w:color w:val="000000" w:themeColor="text1"/>
          <w:sz w:val="22"/>
          <w:szCs w:val="22"/>
        </w:rPr>
        <w:t>Objectives:</w:t>
      </w:r>
    </w:p>
    <w:p w14:paraId="242D57CE" w14:textId="77777777" w:rsidR="000878AE" w:rsidRPr="00B21815" w:rsidRDefault="000878AE" w:rsidP="006E18D9">
      <w:pPr>
        <w:pStyle w:val="NormalWeb"/>
        <w:numPr>
          <w:ilvl w:val="0"/>
          <w:numId w:val="8"/>
        </w:numPr>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To describe the different types of digital mental health interventions available to young people in the UK.</w:t>
      </w:r>
    </w:p>
    <w:p w14:paraId="7A8E3CD2" w14:textId="77777777" w:rsidR="000878AE" w:rsidRPr="00B21815" w:rsidRDefault="000878AE" w:rsidP="006E18D9">
      <w:pPr>
        <w:pStyle w:val="NormalWeb"/>
        <w:numPr>
          <w:ilvl w:val="0"/>
          <w:numId w:val="8"/>
        </w:numPr>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To analyse the relationship between digital interventions and improvements in mental wellbeing.</w:t>
      </w:r>
    </w:p>
    <w:p w14:paraId="3DC02CF7" w14:textId="77777777" w:rsidR="000878AE" w:rsidRPr="00B21815" w:rsidRDefault="000878AE" w:rsidP="006E18D9">
      <w:pPr>
        <w:pStyle w:val="NormalWeb"/>
        <w:numPr>
          <w:ilvl w:val="0"/>
          <w:numId w:val="8"/>
        </w:numPr>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To provide recommendations for enhancing the effectiveness and accessibility of digital mental health tools for young people.</w:t>
      </w:r>
    </w:p>
    <w:p w14:paraId="1089D022" w14:textId="5817C4F4" w:rsidR="000878AE" w:rsidRPr="00B21815" w:rsidRDefault="000878AE" w:rsidP="006E18D9">
      <w:pPr>
        <w:spacing w:line="360" w:lineRule="auto"/>
        <w:rPr>
          <w:rFonts w:ascii="Arial" w:hAnsi="Arial" w:cs="Arial"/>
          <w:color w:val="000000" w:themeColor="text1"/>
          <w:sz w:val="22"/>
          <w:szCs w:val="22"/>
        </w:rPr>
      </w:pPr>
    </w:p>
    <w:p w14:paraId="12025802" w14:textId="77777777" w:rsidR="000878AE" w:rsidRPr="00870585" w:rsidRDefault="000878AE" w:rsidP="006E18D9">
      <w:pPr>
        <w:pStyle w:val="Heading2"/>
        <w:spacing w:line="360" w:lineRule="auto"/>
        <w:rPr>
          <w:rFonts w:ascii="Arial" w:hAnsi="Arial" w:cs="Arial"/>
          <w:color w:val="000000" w:themeColor="text1"/>
          <w:sz w:val="22"/>
          <w:szCs w:val="22"/>
        </w:rPr>
      </w:pPr>
      <w:bookmarkStart w:id="4" w:name="_Toc216427209"/>
      <w:r w:rsidRPr="00870585">
        <w:rPr>
          <w:rStyle w:val="Strong"/>
          <w:rFonts w:ascii="Arial" w:hAnsi="Arial" w:cs="Arial"/>
          <w:color w:val="000000" w:themeColor="text1"/>
          <w:sz w:val="22"/>
          <w:szCs w:val="22"/>
        </w:rPr>
        <w:t>4. Background / Literature Review</w:t>
      </w:r>
      <w:bookmarkEnd w:id="4"/>
    </w:p>
    <w:p w14:paraId="7EF70C48" w14:textId="77777777" w:rsidR="000878AE" w:rsidRPr="00B21815" w:rsidRDefault="000878AE" w:rsidP="00976170">
      <w:pPr>
        <w:rPr>
          <w:sz w:val="22"/>
          <w:szCs w:val="22"/>
        </w:rPr>
      </w:pPr>
      <w:r w:rsidRPr="00B21815">
        <w:rPr>
          <w:rStyle w:val="Strong"/>
          <w:rFonts w:ascii="Arial" w:hAnsi="Arial" w:cs="Arial"/>
          <w:b w:val="0"/>
          <w:bCs w:val="0"/>
          <w:color w:val="000000" w:themeColor="text1"/>
          <w:sz w:val="22"/>
          <w:szCs w:val="22"/>
        </w:rPr>
        <w:t>2.1 Types of Digital Mental Health Interventions</w:t>
      </w:r>
    </w:p>
    <w:p w14:paraId="669F11E7" w14:textId="77777777" w:rsidR="000878AE" w:rsidRPr="00B21815" w:rsidRDefault="000878AE" w:rsidP="006E18D9">
      <w:pPr>
        <w:pStyle w:val="NormalWeb"/>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 xml:space="preserve">Digital mental health interventions encompass a variety of approaches. Mobile applications, web-based CBT, online counselling platforms, moderated peer-support communities, and psychoeducational programmes are among the most widely used (Sivertsen et al., 2021). In the UK, popular interventions include </w:t>
      </w:r>
      <w:proofErr w:type="spellStart"/>
      <w:r w:rsidRPr="00B21815">
        <w:rPr>
          <w:rFonts w:ascii="Arial" w:hAnsi="Arial" w:cs="Arial"/>
          <w:color w:val="000000" w:themeColor="text1"/>
          <w:sz w:val="22"/>
          <w:szCs w:val="22"/>
        </w:rPr>
        <w:t>Kooth</w:t>
      </w:r>
      <w:proofErr w:type="spellEnd"/>
      <w:r w:rsidRPr="00B21815">
        <w:rPr>
          <w:rFonts w:ascii="Arial" w:hAnsi="Arial" w:cs="Arial"/>
          <w:color w:val="000000" w:themeColor="text1"/>
          <w:sz w:val="22"/>
          <w:szCs w:val="22"/>
        </w:rPr>
        <w:t xml:space="preserve">, </w:t>
      </w:r>
      <w:proofErr w:type="spellStart"/>
      <w:r w:rsidRPr="00B21815">
        <w:rPr>
          <w:rFonts w:ascii="Arial" w:hAnsi="Arial" w:cs="Arial"/>
          <w:color w:val="000000" w:themeColor="text1"/>
          <w:sz w:val="22"/>
          <w:szCs w:val="22"/>
        </w:rPr>
        <w:t>Togetherall</w:t>
      </w:r>
      <w:proofErr w:type="spellEnd"/>
      <w:r w:rsidRPr="00B21815">
        <w:rPr>
          <w:rFonts w:ascii="Arial" w:hAnsi="Arial" w:cs="Arial"/>
          <w:color w:val="000000" w:themeColor="text1"/>
          <w:sz w:val="22"/>
          <w:szCs w:val="22"/>
        </w:rPr>
        <w:t>, Headspace, Calm, and NHS-endorsed digital CBT tools. These interventions aim to reduce symptoms of anxiety and depression, improve emotional regulation, and teach coping strategies through structured digital content (March et al., 2022).</w:t>
      </w:r>
    </w:p>
    <w:p w14:paraId="7F7EAC65" w14:textId="77777777" w:rsidR="000878AE" w:rsidRPr="00B21815" w:rsidRDefault="000878AE" w:rsidP="00976170">
      <w:pPr>
        <w:rPr>
          <w:sz w:val="22"/>
          <w:szCs w:val="22"/>
        </w:rPr>
      </w:pPr>
      <w:r w:rsidRPr="00B21815">
        <w:rPr>
          <w:rStyle w:val="Strong"/>
          <w:rFonts w:ascii="Arial" w:hAnsi="Arial" w:cs="Arial"/>
          <w:b w:val="0"/>
          <w:bCs w:val="0"/>
          <w:color w:val="000000" w:themeColor="text1"/>
          <w:sz w:val="22"/>
          <w:szCs w:val="22"/>
        </w:rPr>
        <w:t>2.2 Evidence of Effectiveness</w:t>
      </w:r>
    </w:p>
    <w:p w14:paraId="39A8AAF5" w14:textId="77777777" w:rsidR="000878AE" w:rsidRPr="00B21815" w:rsidRDefault="000878AE" w:rsidP="006E18D9">
      <w:pPr>
        <w:pStyle w:val="NormalWeb"/>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Several studies report positive outcomes. For example, Sivertsen et al. (2021) observed significant reductions in anxiety and depression among adolescents using web-based CBT, alongside improved emotional regulation. The Journal of Medical Internet Research (2025) highlighted improvements in mood, resilience, and daily functioning among 16–25-year-olds using various digital tools.</w:t>
      </w:r>
    </w:p>
    <w:p w14:paraId="16B3540B" w14:textId="24A9571E" w:rsidR="000878AE" w:rsidRPr="00B21815" w:rsidRDefault="000878AE" w:rsidP="006E18D9">
      <w:pPr>
        <w:pStyle w:val="NormalWeb"/>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 xml:space="preserve">Peer-support platforms such as </w:t>
      </w:r>
      <w:proofErr w:type="spellStart"/>
      <w:r w:rsidRPr="00B21815">
        <w:rPr>
          <w:rFonts w:ascii="Arial" w:hAnsi="Arial" w:cs="Arial"/>
          <w:color w:val="000000" w:themeColor="text1"/>
          <w:sz w:val="22"/>
          <w:szCs w:val="22"/>
        </w:rPr>
        <w:t>Kooth</w:t>
      </w:r>
      <w:proofErr w:type="spellEnd"/>
      <w:r w:rsidRPr="00B21815">
        <w:rPr>
          <w:rFonts w:ascii="Arial" w:hAnsi="Arial" w:cs="Arial"/>
          <w:color w:val="000000" w:themeColor="text1"/>
          <w:sz w:val="22"/>
          <w:szCs w:val="22"/>
        </w:rPr>
        <w:t xml:space="preserve"> and Together</w:t>
      </w:r>
      <w:r w:rsidR="000E717D" w:rsidRPr="00B21815">
        <w:rPr>
          <w:rFonts w:ascii="Arial" w:hAnsi="Arial" w:cs="Arial"/>
          <w:color w:val="000000" w:themeColor="text1"/>
          <w:sz w:val="22"/>
          <w:szCs w:val="22"/>
        </w:rPr>
        <w:t xml:space="preserve"> </w:t>
      </w:r>
      <w:r w:rsidRPr="00B21815">
        <w:rPr>
          <w:rFonts w:ascii="Arial" w:hAnsi="Arial" w:cs="Arial"/>
          <w:color w:val="000000" w:themeColor="text1"/>
          <w:sz w:val="22"/>
          <w:szCs w:val="22"/>
        </w:rPr>
        <w:t>all were found to reduce emotional distress and promote feelings of belonging, with anonymity playing a key role in engagement (March et al., 2022). The flexibility and accessibility of these tools were particularly valued by young people hesitant to access face-to-face services (Mind, 2025).</w:t>
      </w:r>
    </w:p>
    <w:p w14:paraId="78ABF811" w14:textId="77777777" w:rsidR="000878AE" w:rsidRPr="00B21815" w:rsidRDefault="000878AE" w:rsidP="00976170">
      <w:pPr>
        <w:rPr>
          <w:sz w:val="22"/>
          <w:szCs w:val="22"/>
        </w:rPr>
      </w:pPr>
      <w:r w:rsidRPr="00B21815">
        <w:rPr>
          <w:rStyle w:val="Strong"/>
          <w:rFonts w:ascii="Arial" w:hAnsi="Arial" w:cs="Arial"/>
          <w:b w:val="0"/>
          <w:bCs w:val="0"/>
          <w:color w:val="000000" w:themeColor="text1"/>
          <w:sz w:val="22"/>
          <w:szCs w:val="22"/>
        </w:rPr>
        <w:t>2.3 Limitations of Digital Interventions</w:t>
      </w:r>
    </w:p>
    <w:p w14:paraId="7858AEB7" w14:textId="77777777" w:rsidR="000878AE" w:rsidRPr="00B21815" w:rsidRDefault="000878AE" w:rsidP="006E18D9">
      <w:pPr>
        <w:pStyle w:val="NormalWeb"/>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Despite promising results, DMHIs face notable challenges. Engagement is often limited, with many young people discontinuing use within weeks (Sivertsen et al., 2021). Digital inequality is a concern, particularly for those from lower socioeconomic backgrounds who may lack devices or internet access (Mind, 2025). Quality and regulation vary across apps, with some lacking clinical evidence or robust data protection (JMIR, 2025). Additionally, digital tools may not be suitable for young people with severe or complex mental health needs, who require specialist services such as CAMHS (March et al., 2022).</w:t>
      </w:r>
    </w:p>
    <w:p w14:paraId="7D339D22" w14:textId="77777777" w:rsidR="000878AE" w:rsidRPr="00B21815" w:rsidRDefault="000878AE" w:rsidP="00965730">
      <w:pPr>
        <w:rPr>
          <w:sz w:val="22"/>
          <w:szCs w:val="22"/>
        </w:rPr>
      </w:pPr>
      <w:r w:rsidRPr="00B21815">
        <w:rPr>
          <w:rStyle w:val="Strong"/>
          <w:rFonts w:ascii="Arial" w:hAnsi="Arial" w:cs="Arial"/>
          <w:b w:val="0"/>
          <w:bCs w:val="0"/>
          <w:color w:val="000000" w:themeColor="text1"/>
          <w:sz w:val="22"/>
          <w:szCs w:val="22"/>
        </w:rPr>
        <w:t>2.4 Gaps in the Literature</w:t>
      </w:r>
    </w:p>
    <w:p w14:paraId="40202EE4" w14:textId="77777777" w:rsidR="000878AE" w:rsidRPr="00B21815" w:rsidRDefault="000878AE" w:rsidP="006E18D9">
      <w:pPr>
        <w:pStyle w:val="NormalWeb"/>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 xml:space="preserve">Current research primarily examines short-term outcomes, with limited longitudinal evidence (Sivertsen et al., 2021). There is also a lack of UK-specific studies exploring diverse </w:t>
      </w:r>
      <w:r w:rsidRPr="00B21815">
        <w:rPr>
          <w:rFonts w:ascii="Arial" w:hAnsi="Arial" w:cs="Arial"/>
          <w:color w:val="000000" w:themeColor="text1"/>
          <w:sz w:val="22"/>
          <w:szCs w:val="22"/>
        </w:rPr>
        <w:lastRenderedPageBreak/>
        <w:t>populations, including ethnic minorities and care-experienced youth. Qualitative research on how young people use and experience digital tools in daily life is also limited, leaving gaps in understanding engagement patterns and contextual factors influencing effectiveness.</w:t>
      </w:r>
    </w:p>
    <w:p w14:paraId="2DB3BF50" w14:textId="69DAE038" w:rsidR="000878AE" w:rsidRPr="00B21815" w:rsidRDefault="000878AE" w:rsidP="006E18D9">
      <w:pPr>
        <w:spacing w:line="360" w:lineRule="auto"/>
        <w:rPr>
          <w:rFonts w:ascii="Arial" w:hAnsi="Arial" w:cs="Arial"/>
          <w:color w:val="000000" w:themeColor="text1"/>
          <w:sz w:val="22"/>
          <w:szCs w:val="22"/>
        </w:rPr>
      </w:pPr>
    </w:p>
    <w:p w14:paraId="63BF3BC6" w14:textId="77777777" w:rsidR="000878AE" w:rsidRPr="00B21815" w:rsidRDefault="000878AE" w:rsidP="006E18D9">
      <w:pPr>
        <w:pStyle w:val="Heading2"/>
        <w:spacing w:line="360" w:lineRule="auto"/>
        <w:rPr>
          <w:rFonts w:ascii="Arial" w:hAnsi="Arial" w:cs="Arial"/>
          <w:color w:val="000000" w:themeColor="text1"/>
          <w:sz w:val="22"/>
          <w:szCs w:val="22"/>
        </w:rPr>
      </w:pPr>
      <w:bookmarkStart w:id="5" w:name="_Toc216427210"/>
      <w:r w:rsidRPr="00B21815">
        <w:rPr>
          <w:rStyle w:val="Strong"/>
          <w:rFonts w:ascii="Arial" w:hAnsi="Arial" w:cs="Arial"/>
          <w:color w:val="000000" w:themeColor="text1"/>
          <w:sz w:val="22"/>
          <w:szCs w:val="22"/>
        </w:rPr>
        <w:t>5. Methods</w:t>
      </w:r>
      <w:bookmarkEnd w:id="5"/>
    </w:p>
    <w:p w14:paraId="3A65015B" w14:textId="77777777" w:rsidR="000878AE" w:rsidRPr="00B21815" w:rsidRDefault="000878AE" w:rsidP="00965730">
      <w:pPr>
        <w:rPr>
          <w:sz w:val="22"/>
          <w:szCs w:val="22"/>
        </w:rPr>
      </w:pPr>
      <w:r w:rsidRPr="00B21815">
        <w:rPr>
          <w:rStyle w:val="Strong"/>
          <w:rFonts w:ascii="Arial" w:hAnsi="Arial" w:cs="Arial"/>
          <w:b w:val="0"/>
          <w:bCs w:val="0"/>
          <w:color w:val="000000" w:themeColor="text1"/>
          <w:sz w:val="22"/>
          <w:szCs w:val="22"/>
        </w:rPr>
        <w:t>3.1 Research Design</w:t>
      </w:r>
    </w:p>
    <w:p w14:paraId="4FF1E583" w14:textId="77777777" w:rsidR="000878AE" w:rsidRPr="00B21815" w:rsidRDefault="000878AE" w:rsidP="006E18D9">
      <w:pPr>
        <w:pStyle w:val="NormalWeb"/>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This study adopted a scoping review approach, synthesising existing literature on DMHIs for young people in the UK. Scoping reviews are suitable for emerging topics where evidence is heterogeneous and aim to map key concepts, evidence types, and research gaps (Emick, 2024).</w:t>
      </w:r>
    </w:p>
    <w:p w14:paraId="0DFEAA2F" w14:textId="77777777" w:rsidR="000878AE" w:rsidRPr="00B21815" w:rsidRDefault="000878AE" w:rsidP="00965730">
      <w:pPr>
        <w:rPr>
          <w:sz w:val="22"/>
          <w:szCs w:val="22"/>
        </w:rPr>
      </w:pPr>
      <w:r w:rsidRPr="00B21815">
        <w:rPr>
          <w:rStyle w:val="Strong"/>
          <w:rFonts w:ascii="Arial" w:hAnsi="Arial" w:cs="Arial"/>
          <w:b w:val="0"/>
          <w:bCs w:val="0"/>
          <w:color w:val="000000" w:themeColor="text1"/>
          <w:sz w:val="22"/>
          <w:szCs w:val="22"/>
        </w:rPr>
        <w:t>3.2 Data Collection</w:t>
      </w:r>
    </w:p>
    <w:p w14:paraId="7DD38D82" w14:textId="77777777" w:rsidR="000878AE" w:rsidRPr="00B21815" w:rsidRDefault="000878AE" w:rsidP="006E18D9">
      <w:pPr>
        <w:pStyle w:val="NormalWeb"/>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Databases searched included PubMed, ProQuest, Google Scholar, and the UWTSD Library. Keywords were: “digital mental health”, “e-mental health”, “mobile apps”, “online therapy”, “young people”, “wellbeing”, and “United Kingdom”.</w:t>
      </w:r>
    </w:p>
    <w:p w14:paraId="37E8BC86" w14:textId="77777777" w:rsidR="000878AE" w:rsidRPr="00B21815" w:rsidRDefault="000878AE" w:rsidP="006E18D9">
      <w:pPr>
        <w:pStyle w:val="NormalWeb"/>
        <w:spacing w:line="360" w:lineRule="auto"/>
        <w:rPr>
          <w:rFonts w:ascii="Arial" w:hAnsi="Arial" w:cs="Arial"/>
          <w:color w:val="000000" w:themeColor="text1"/>
          <w:sz w:val="22"/>
          <w:szCs w:val="22"/>
        </w:rPr>
      </w:pPr>
      <w:r w:rsidRPr="00B21815">
        <w:rPr>
          <w:rStyle w:val="Strong"/>
          <w:rFonts w:ascii="Arial" w:eastAsiaTheme="majorEastAsia" w:hAnsi="Arial" w:cs="Arial"/>
          <w:color w:val="000000" w:themeColor="text1"/>
          <w:sz w:val="22"/>
          <w:szCs w:val="22"/>
        </w:rPr>
        <w:t>Inclusion Criteria:</w:t>
      </w:r>
    </w:p>
    <w:p w14:paraId="769523BD" w14:textId="77777777" w:rsidR="000878AE" w:rsidRPr="00B21815" w:rsidRDefault="000878AE" w:rsidP="006E18D9">
      <w:pPr>
        <w:pStyle w:val="NormalWeb"/>
        <w:numPr>
          <w:ilvl w:val="0"/>
          <w:numId w:val="9"/>
        </w:numPr>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Studies published in English between 2015–2025</w:t>
      </w:r>
    </w:p>
    <w:p w14:paraId="5288F94D" w14:textId="77777777" w:rsidR="000878AE" w:rsidRPr="00B21815" w:rsidRDefault="000878AE" w:rsidP="006E18D9">
      <w:pPr>
        <w:pStyle w:val="NormalWeb"/>
        <w:numPr>
          <w:ilvl w:val="0"/>
          <w:numId w:val="9"/>
        </w:numPr>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Primary or secondary research focusing on young people aged 12–25 in the UK</w:t>
      </w:r>
    </w:p>
    <w:p w14:paraId="6BD0F189" w14:textId="77777777" w:rsidR="000878AE" w:rsidRPr="00B21815" w:rsidRDefault="000878AE" w:rsidP="006E18D9">
      <w:pPr>
        <w:pStyle w:val="NormalWeb"/>
        <w:numPr>
          <w:ilvl w:val="0"/>
          <w:numId w:val="9"/>
        </w:numPr>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Evaluation of mental health outcomes of digital interventions</w:t>
      </w:r>
    </w:p>
    <w:p w14:paraId="49CF0A8E" w14:textId="77777777" w:rsidR="000878AE" w:rsidRPr="00B21815" w:rsidRDefault="000878AE" w:rsidP="006E18D9">
      <w:pPr>
        <w:pStyle w:val="NormalWeb"/>
        <w:spacing w:line="360" w:lineRule="auto"/>
        <w:rPr>
          <w:rFonts w:ascii="Arial" w:hAnsi="Arial" w:cs="Arial"/>
          <w:color w:val="000000" w:themeColor="text1"/>
          <w:sz w:val="22"/>
          <w:szCs w:val="22"/>
        </w:rPr>
      </w:pPr>
      <w:r w:rsidRPr="00B21815">
        <w:rPr>
          <w:rStyle w:val="Strong"/>
          <w:rFonts w:ascii="Arial" w:eastAsiaTheme="majorEastAsia" w:hAnsi="Arial" w:cs="Arial"/>
          <w:color w:val="000000" w:themeColor="text1"/>
          <w:sz w:val="22"/>
          <w:szCs w:val="22"/>
        </w:rPr>
        <w:t>Exclusion Criteria:</w:t>
      </w:r>
    </w:p>
    <w:p w14:paraId="26D4D81B" w14:textId="77777777" w:rsidR="000878AE" w:rsidRPr="00B21815" w:rsidRDefault="000878AE" w:rsidP="006E18D9">
      <w:pPr>
        <w:pStyle w:val="NormalWeb"/>
        <w:numPr>
          <w:ilvl w:val="0"/>
          <w:numId w:val="10"/>
        </w:numPr>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Non-peer-reviewed sources such as reports, books, or websites</w:t>
      </w:r>
    </w:p>
    <w:p w14:paraId="4E735A93" w14:textId="77777777" w:rsidR="000878AE" w:rsidRPr="00B21815" w:rsidRDefault="000878AE" w:rsidP="006E18D9">
      <w:pPr>
        <w:pStyle w:val="NormalWeb"/>
        <w:numPr>
          <w:ilvl w:val="0"/>
          <w:numId w:val="10"/>
        </w:numPr>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Studies conducted outside the UK or with adult-only populations</w:t>
      </w:r>
    </w:p>
    <w:p w14:paraId="3A66A048" w14:textId="77777777" w:rsidR="000878AE" w:rsidRPr="00B21815" w:rsidRDefault="000878AE" w:rsidP="006E18D9">
      <w:pPr>
        <w:pStyle w:val="NormalWeb"/>
        <w:numPr>
          <w:ilvl w:val="0"/>
          <w:numId w:val="10"/>
        </w:numPr>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Non-English publications or studies prior to 2015</w:t>
      </w:r>
    </w:p>
    <w:p w14:paraId="0E1FACB2" w14:textId="1BAE2C5E" w:rsidR="000878AE" w:rsidRPr="00B21815" w:rsidRDefault="000878AE" w:rsidP="00965730">
      <w:pPr>
        <w:rPr>
          <w:sz w:val="22"/>
          <w:szCs w:val="22"/>
        </w:rPr>
      </w:pPr>
      <w:r w:rsidRPr="00B21815">
        <w:rPr>
          <w:rStyle w:val="Strong"/>
          <w:rFonts w:ascii="Arial" w:hAnsi="Arial" w:cs="Arial"/>
          <w:b w:val="0"/>
          <w:bCs w:val="0"/>
          <w:color w:val="000000" w:themeColor="text1"/>
          <w:sz w:val="22"/>
          <w:szCs w:val="22"/>
        </w:rPr>
        <w:t>3.3 Data Analysis</w:t>
      </w:r>
    </w:p>
    <w:p w14:paraId="7030E787" w14:textId="77777777" w:rsidR="000878AE" w:rsidRDefault="000878AE" w:rsidP="006E18D9">
      <w:pPr>
        <w:pStyle w:val="NormalWeb"/>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Thematic analysis (Braun &amp; Clarke, 2021) was used to identify key themes across the selected studies. Initial coding generated patterns relating to wellbeing improvements, engagement, accessibility, peer support, and limitations including privacy and digital inequality.</w:t>
      </w:r>
    </w:p>
    <w:p w14:paraId="6823E21B" w14:textId="77777777" w:rsidR="001332EE" w:rsidRPr="00B21815" w:rsidRDefault="001332EE" w:rsidP="006E18D9">
      <w:pPr>
        <w:pStyle w:val="NormalWeb"/>
        <w:spacing w:line="360" w:lineRule="auto"/>
        <w:rPr>
          <w:rFonts w:ascii="Arial" w:hAnsi="Arial" w:cs="Arial"/>
          <w:color w:val="000000" w:themeColor="text1"/>
          <w:sz w:val="22"/>
          <w:szCs w:val="22"/>
        </w:rPr>
      </w:pPr>
    </w:p>
    <w:p w14:paraId="1F2F0F18" w14:textId="77777777" w:rsidR="000878AE" w:rsidRPr="00B21815" w:rsidRDefault="000878AE" w:rsidP="00922C95">
      <w:pPr>
        <w:rPr>
          <w:sz w:val="22"/>
          <w:szCs w:val="22"/>
        </w:rPr>
      </w:pPr>
      <w:r w:rsidRPr="00B21815">
        <w:rPr>
          <w:rStyle w:val="Strong"/>
          <w:rFonts w:ascii="Arial" w:hAnsi="Arial" w:cs="Arial"/>
          <w:b w:val="0"/>
          <w:bCs w:val="0"/>
          <w:color w:val="000000" w:themeColor="text1"/>
          <w:sz w:val="22"/>
          <w:szCs w:val="22"/>
        </w:rPr>
        <w:lastRenderedPageBreak/>
        <w:t>3.4 Ethical Considerations</w:t>
      </w:r>
    </w:p>
    <w:p w14:paraId="6B62D885" w14:textId="77777777" w:rsidR="000878AE" w:rsidRDefault="000878AE" w:rsidP="006E18D9">
      <w:pPr>
        <w:pStyle w:val="NormalWeb"/>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As secondary research, no new data collection occurred. Ethical standards were maintained through accurate referencing, transparency, and use of publicly available peer-reviewed studies (BHBIA, 2020).</w:t>
      </w:r>
    </w:p>
    <w:p w14:paraId="5364286E" w14:textId="77777777" w:rsidR="001332EE" w:rsidRDefault="001332EE" w:rsidP="006E18D9">
      <w:pPr>
        <w:pStyle w:val="NormalWeb"/>
        <w:spacing w:line="360" w:lineRule="auto"/>
        <w:rPr>
          <w:rFonts w:ascii="Arial" w:hAnsi="Arial" w:cs="Arial"/>
          <w:color w:val="000000" w:themeColor="text1"/>
          <w:sz w:val="22"/>
          <w:szCs w:val="22"/>
        </w:rPr>
      </w:pPr>
    </w:p>
    <w:p w14:paraId="15E14D83" w14:textId="77777777" w:rsidR="001332EE" w:rsidRDefault="001332EE" w:rsidP="006E18D9">
      <w:pPr>
        <w:pStyle w:val="NormalWeb"/>
        <w:spacing w:line="360" w:lineRule="auto"/>
        <w:rPr>
          <w:rFonts w:ascii="Arial" w:hAnsi="Arial" w:cs="Arial"/>
          <w:color w:val="000000" w:themeColor="text1"/>
          <w:sz w:val="22"/>
          <w:szCs w:val="22"/>
        </w:rPr>
      </w:pPr>
    </w:p>
    <w:p w14:paraId="048474EB" w14:textId="77777777" w:rsidR="001332EE" w:rsidRDefault="001332EE" w:rsidP="006E18D9">
      <w:pPr>
        <w:pStyle w:val="NormalWeb"/>
        <w:spacing w:line="360" w:lineRule="auto"/>
        <w:rPr>
          <w:rFonts w:ascii="Arial" w:hAnsi="Arial" w:cs="Arial"/>
          <w:color w:val="000000" w:themeColor="text1"/>
          <w:sz w:val="22"/>
          <w:szCs w:val="22"/>
        </w:rPr>
      </w:pPr>
    </w:p>
    <w:p w14:paraId="04CB3FFC" w14:textId="77777777" w:rsidR="001332EE" w:rsidRDefault="001332EE" w:rsidP="006E18D9">
      <w:pPr>
        <w:pStyle w:val="NormalWeb"/>
        <w:spacing w:line="360" w:lineRule="auto"/>
        <w:rPr>
          <w:rFonts w:ascii="Arial" w:hAnsi="Arial" w:cs="Arial"/>
          <w:color w:val="000000" w:themeColor="text1"/>
          <w:sz w:val="22"/>
          <w:szCs w:val="22"/>
        </w:rPr>
      </w:pPr>
    </w:p>
    <w:p w14:paraId="0F8C7E79" w14:textId="77777777" w:rsidR="001332EE" w:rsidRDefault="001332EE" w:rsidP="006E18D9">
      <w:pPr>
        <w:pStyle w:val="NormalWeb"/>
        <w:spacing w:line="360" w:lineRule="auto"/>
        <w:rPr>
          <w:rFonts w:ascii="Arial" w:hAnsi="Arial" w:cs="Arial"/>
          <w:color w:val="000000" w:themeColor="text1"/>
          <w:sz w:val="22"/>
          <w:szCs w:val="22"/>
        </w:rPr>
      </w:pPr>
    </w:p>
    <w:p w14:paraId="06D9240E" w14:textId="77777777" w:rsidR="001332EE" w:rsidRDefault="001332EE" w:rsidP="006E18D9">
      <w:pPr>
        <w:pStyle w:val="NormalWeb"/>
        <w:spacing w:line="360" w:lineRule="auto"/>
        <w:rPr>
          <w:rFonts w:ascii="Arial" w:hAnsi="Arial" w:cs="Arial"/>
          <w:color w:val="000000" w:themeColor="text1"/>
          <w:sz w:val="22"/>
          <w:szCs w:val="22"/>
        </w:rPr>
      </w:pPr>
    </w:p>
    <w:p w14:paraId="5B12B09B" w14:textId="77777777" w:rsidR="001332EE" w:rsidRDefault="001332EE" w:rsidP="006E18D9">
      <w:pPr>
        <w:pStyle w:val="NormalWeb"/>
        <w:spacing w:line="360" w:lineRule="auto"/>
        <w:rPr>
          <w:rFonts w:ascii="Arial" w:hAnsi="Arial" w:cs="Arial"/>
          <w:color w:val="000000" w:themeColor="text1"/>
          <w:sz w:val="22"/>
          <w:szCs w:val="22"/>
        </w:rPr>
      </w:pPr>
    </w:p>
    <w:p w14:paraId="0C6CE997" w14:textId="77777777" w:rsidR="001332EE" w:rsidRDefault="001332EE" w:rsidP="006E18D9">
      <w:pPr>
        <w:pStyle w:val="NormalWeb"/>
        <w:spacing w:line="360" w:lineRule="auto"/>
        <w:rPr>
          <w:rFonts w:ascii="Arial" w:hAnsi="Arial" w:cs="Arial"/>
          <w:color w:val="000000" w:themeColor="text1"/>
          <w:sz w:val="22"/>
          <w:szCs w:val="22"/>
        </w:rPr>
      </w:pPr>
    </w:p>
    <w:p w14:paraId="6995570A" w14:textId="77777777" w:rsidR="001332EE" w:rsidRDefault="001332EE" w:rsidP="006E18D9">
      <w:pPr>
        <w:pStyle w:val="NormalWeb"/>
        <w:spacing w:line="360" w:lineRule="auto"/>
        <w:rPr>
          <w:rFonts w:ascii="Arial" w:hAnsi="Arial" w:cs="Arial"/>
          <w:color w:val="000000" w:themeColor="text1"/>
          <w:sz w:val="22"/>
          <w:szCs w:val="22"/>
        </w:rPr>
      </w:pPr>
    </w:p>
    <w:p w14:paraId="00649FE3" w14:textId="77777777" w:rsidR="001332EE" w:rsidRDefault="001332EE" w:rsidP="006E18D9">
      <w:pPr>
        <w:pStyle w:val="NormalWeb"/>
        <w:spacing w:line="360" w:lineRule="auto"/>
        <w:rPr>
          <w:rFonts w:ascii="Arial" w:hAnsi="Arial" w:cs="Arial"/>
          <w:color w:val="000000" w:themeColor="text1"/>
          <w:sz w:val="22"/>
          <w:szCs w:val="22"/>
        </w:rPr>
      </w:pPr>
    </w:p>
    <w:p w14:paraId="374EF65C" w14:textId="77777777" w:rsidR="001332EE" w:rsidRDefault="001332EE" w:rsidP="006E18D9">
      <w:pPr>
        <w:pStyle w:val="NormalWeb"/>
        <w:spacing w:line="360" w:lineRule="auto"/>
        <w:rPr>
          <w:rFonts w:ascii="Arial" w:hAnsi="Arial" w:cs="Arial"/>
          <w:color w:val="000000" w:themeColor="text1"/>
          <w:sz w:val="22"/>
          <w:szCs w:val="22"/>
        </w:rPr>
      </w:pPr>
    </w:p>
    <w:p w14:paraId="2F73A9D4" w14:textId="77777777" w:rsidR="001332EE" w:rsidRDefault="001332EE" w:rsidP="006E18D9">
      <w:pPr>
        <w:pStyle w:val="NormalWeb"/>
        <w:spacing w:line="360" w:lineRule="auto"/>
        <w:rPr>
          <w:rFonts w:ascii="Arial" w:hAnsi="Arial" w:cs="Arial"/>
          <w:color w:val="000000" w:themeColor="text1"/>
          <w:sz w:val="22"/>
          <w:szCs w:val="22"/>
        </w:rPr>
      </w:pPr>
    </w:p>
    <w:p w14:paraId="6636FFCE" w14:textId="77777777" w:rsidR="001332EE" w:rsidRDefault="001332EE" w:rsidP="006E18D9">
      <w:pPr>
        <w:pStyle w:val="NormalWeb"/>
        <w:spacing w:line="360" w:lineRule="auto"/>
        <w:rPr>
          <w:rFonts w:ascii="Arial" w:hAnsi="Arial" w:cs="Arial"/>
          <w:color w:val="000000" w:themeColor="text1"/>
          <w:sz w:val="22"/>
          <w:szCs w:val="22"/>
        </w:rPr>
      </w:pPr>
    </w:p>
    <w:p w14:paraId="5F54C010" w14:textId="77777777" w:rsidR="001332EE" w:rsidRDefault="001332EE" w:rsidP="006E18D9">
      <w:pPr>
        <w:pStyle w:val="NormalWeb"/>
        <w:spacing w:line="360" w:lineRule="auto"/>
        <w:rPr>
          <w:rFonts w:ascii="Arial" w:hAnsi="Arial" w:cs="Arial"/>
          <w:color w:val="000000" w:themeColor="text1"/>
          <w:sz w:val="22"/>
          <w:szCs w:val="22"/>
        </w:rPr>
      </w:pPr>
    </w:p>
    <w:p w14:paraId="7408739E" w14:textId="77777777" w:rsidR="001332EE" w:rsidRDefault="001332EE" w:rsidP="006E18D9">
      <w:pPr>
        <w:pStyle w:val="NormalWeb"/>
        <w:spacing w:line="360" w:lineRule="auto"/>
        <w:rPr>
          <w:rFonts w:ascii="Arial" w:hAnsi="Arial" w:cs="Arial"/>
          <w:color w:val="000000" w:themeColor="text1"/>
          <w:sz w:val="22"/>
          <w:szCs w:val="22"/>
        </w:rPr>
      </w:pPr>
    </w:p>
    <w:p w14:paraId="4F7E4C13" w14:textId="77777777" w:rsidR="001332EE" w:rsidRDefault="001332EE" w:rsidP="006E18D9">
      <w:pPr>
        <w:pStyle w:val="NormalWeb"/>
        <w:spacing w:line="360" w:lineRule="auto"/>
        <w:rPr>
          <w:rFonts w:ascii="Arial" w:hAnsi="Arial" w:cs="Arial"/>
          <w:color w:val="000000" w:themeColor="text1"/>
          <w:sz w:val="22"/>
          <w:szCs w:val="22"/>
        </w:rPr>
      </w:pPr>
    </w:p>
    <w:p w14:paraId="0CD60326" w14:textId="77777777" w:rsidR="001332EE" w:rsidRPr="00B21815" w:rsidRDefault="001332EE" w:rsidP="006E18D9">
      <w:pPr>
        <w:pStyle w:val="NormalWeb"/>
        <w:spacing w:line="360" w:lineRule="auto"/>
        <w:rPr>
          <w:rFonts w:ascii="Arial" w:hAnsi="Arial" w:cs="Arial"/>
          <w:color w:val="000000" w:themeColor="text1"/>
          <w:sz w:val="22"/>
          <w:szCs w:val="22"/>
        </w:rPr>
      </w:pPr>
    </w:p>
    <w:p w14:paraId="46CA642D" w14:textId="11BDEF36" w:rsidR="000878AE" w:rsidRPr="00B21815" w:rsidRDefault="000878AE" w:rsidP="006E18D9">
      <w:pPr>
        <w:pStyle w:val="Heading2"/>
        <w:spacing w:line="360" w:lineRule="auto"/>
        <w:rPr>
          <w:rFonts w:ascii="Arial" w:hAnsi="Arial" w:cs="Arial"/>
          <w:color w:val="000000" w:themeColor="text1"/>
          <w:sz w:val="22"/>
          <w:szCs w:val="22"/>
        </w:rPr>
      </w:pPr>
      <w:bookmarkStart w:id="6" w:name="_Toc216427211"/>
      <w:r w:rsidRPr="00B21815">
        <w:rPr>
          <w:rStyle w:val="Strong"/>
          <w:rFonts w:ascii="Arial" w:hAnsi="Arial" w:cs="Arial"/>
          <w:color w:val="000000" w:themeColor="text1"/>
          <w:sz w:val="22"/>
          <w:szCs w:val="22"/>
        </w:rPr>
        <w:lastRenderedPageBreak/>
        <w:t>6. Results</w:t>
      </w:r>
      <w:bookmarkEnd w:id="6"/>
    </w:p>
    <w:p w14:paraId="021B7453" w14:textId="77777777" w:rsidR="007C02FD" w:rsidRPr="00B21815" w:rsidRDefault="000878AE" w:rsidP="00A9560C">
      <w:pPr>
        <w:pStyle w:val="NormalWeb"/>
        <w:spacing w:line="360" w:lineRule="auto"/>
        <w:rPr>
          <w:rStyle w:val="Strong"/>
          <w:rFonts w:ascii="Arial" w:eastAsiaTheme="majorEastAsia" w:hAnsi="Arial" w:cs="Arial"/>
          <w:color w:val="000000" w:themeColor="text1"/>
          <w:sz w:val="22"/>
          <w:szCs w:val="22"/>
        </w:rPr>
      </w:pPr>
      <w:r w:rsidRPr="00B21815">
        <w:rPr>
          <w:rStyle w:val="Strong"/>
          <w:rFonts w:ascii="Arial" w:eastAsiaTheme="majorEastAsia" w:hAnsi="Arial" w:cs="Arial"/>
          <w:color w:val="000000" w:themeColor="text1"/>
          <w:sz w:val="22"/>
          <w:szCs w:val="22"/>
        </w:rPr>
        <w:t>Table 1: Summary of Reviewed Studies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33"/>
        <w:gridCol w:w="525"/>
        <w:gridCol w:w="2065"/>
        <w:gridCol w:w="1394"/>
        <w:gridCol w:w="1565"/>
        <w:gridCol w:w="2434"/>
      </w:tblGrid>
      <w:tr w:rsidR="00B21815" w:rsidRPr="009E6C5D" w14:paraId="56150EE0" w14:textId="77777777" w:rsidTr="00A9560C">
        <w:trPr>
          <w:tblHeader/>
          <w:tblCellSpacing w:w="15" w:type="dxa"/>
        </w:trPr>
        <w:tc>
          <w:tcPr>
            <w:tcW w:w="0" w:type="auto"/>
            <w:vAlign w:val="center"/>
            <w:hideMark/>
          </w:tcPr>
          <w:p w14:paraId="0E2448C3" w14:textId="77777777" w:rsidR="00A9560C" w:rsidRPr="009E6C5D" w:rsidRDefault="00A9560C" w:rsidP="00A9560C">
            <w:pPr>
              <w:spacing w:line="360" w:lineRule="auto"/>
              <w:jc w:val="center"/>
              <w:rPr>
                <w:rFonts w:ascii="Arial" w:hAnsi="Arial" w:cs="Arial"/>
                <w:b/>
                <w:bCs/>
                <w:color w:val="000000"/>
                <w:sz w:val="20"/>
                <w:szCs w:val="20"/>
              </w:rPr>
            </w:pPr>
            <w:r w:rsidRPr="009E6C5D">
              <w:rPr>
                <w:rFonts w:ascii="Arial" w:hAnsi="Arial" w:cs="Arial"/>
                <w:b/>
                <w:bCs/>
                <w:color w:val="000000"/>
                <w:sz w:val="20"/>
                <w:szCs w:val="20"/>
              </w:rPr>
              <w:t>Author(s)</w:t>
            </w:r>
          </w:p>
        </w:tc>
        <w:tc>
          <w:tcPr>
            <w:tcW w:w="0" w:type="auto"/>
            <w:vAlign w:val="center"/>
            <w:hideMark/>
          </w:tcPr>
          <w:p w14:paraId="21080ACD" w14:textId="77777777" w:rsidR="00A9560C" w:rsidRPr="009E6C5D" w:rsidRDefault="00A9560C" w:rsidP="00A9560C">
            <w:pPr>
              <w:spacing w:line="360" w:lineRule="auto"/>
              <w:jc w:val="center"/>
              <w:rPr>
                <w:rFonts w:ascii="Arial" w:hAnsi="Arial" w:cs="Arial"/>
                <w:b/>
                <w:bCs/>
                <w:color w:val="000000"/>
                <w:sz w:val="20"/>
                <w:szCs w:val="20"/>
              </w:rPr>
            </w:pPr>
            <w:r w:rsidRPr="009E6C5D">
              <w:rPr>
                <w:rFonts w:ascii="Arial" w:hAnsi="Arial" w:cs="Arial"/>
                <w:b/>
                <w:bCs/>
                <w:color w:val="000000"/>
                <w:sz w:val="20"/>
                <w:szCs w:val="20"/>
              </w:rPr>
              <w:t>Year</w:t>
            </w:r>
          </w:p>
        </w:tc>
        <w:tc>
          <w:tcPr>
            <w:tcW w:w="0" w:type="auto"/>
            <w:vAlign w:val="center"/>
            <w:hideMark/>
          </w:tcPr>
          <w:p w14:paraId="4C932986" w14:textId="77777777" w:rsidR="00A9560C" w:rsidRPr="009E6C5D" w:rsidRDefault="00A9560C" w:rsidP="00A9560C">
            <w:pPr>
              <w:spacing w:line="360" w:lineRule="auto"/>
              <w:jc w:val="center"/>
              <w:rPr>
                <w:rFonts w:ascii="Arial" w:hAnsi="Arial" w:cs="Arial"/>
                <w:b/>
                <w:bCs/>
                <w:color w:val="000000"/>
                <w:sz w:val="20"/>
                <w:szCs w:val="20"/>
              </w:rPr>
            </w:pPr>
            <w:r w:rsidRPr="009E6C5D">
              <w:rPr>
                <w:rFonts w:ascii="Arial" w:hAnsi="Arial" w:cs="Arial"/>
                <w:b/>
                <w:bCs/>
                <w:color w:val="000000"/>
                <w:sz w:val="20"/>
                <w:szCs w:val="20"/>
              </w:rPr>
              <w:t>Aim</w:t>
            </w:r>
          </w:p>
        </w:tc>
        <w:tc>
          <w:tcPr>
            <w:tcW w:w="0" w:type="auto"/>
            <w:vAlign w:val="center"/>
            <w:hideMark/>
          </w:tcPr>
          <w:p w14:paraId="44ACC55B" w14:textId="77777777" w:rsidR="00A9560C" w:rsidRPr="009E6C5D" w:rsidRDefault="00A9560C" w:rsidP="00A9560C">
            <w:pPr>
              <w:spacing w:line="360" w:lineRule="auto"/>
              <w:jc w:val="center"/>
              <w:rPr>
                <w:rFonts w:ascii="Arial" w:hAnsi="Arial" w:cs="Arial"/>
                <w:b/>
                <w:bCs/>
                <w:color w:val="000000"/>
                <w:sz w:val="20"/>
                <w:szCs w:val="20"/>
              </w:rPr>
            </w:pPr>
            <w:r w:rsidRPr="009E6C5D">
              <w:rPr>
                <w:rFonts w:ascii="Arial" w:hAnsi="Arial" w:cs="Arial"/>
                <w:b/>
                <w:bCs/>
                <w:color w:val="000000"/>
                <w:sz w:val="20"/>
                <w:szCs w:val="20"/>
              </w:rPr>
              <w:t>Methods</w:t>
            </w:r>
          </w:p>
        </w:tc>
        <w:tc>
          <w:tcPr>
            <w:tcW w:w="0" w:type="auto"/>
            <w:vAlign w:val="center"/>
            <w:hideMark/>
          </w:tcPr>
          <w:p w14:paraId="331C1F6F" w14:textId="77777777" w:rsidR="00A9560C" w:rsidRPr="009E6C5D" w:rsidRDefault="00A9560C" w:rsidP="00A9560C">
            <w:pPr>
              <w:spacing w:line="360" w:lineRule="auto"/>
              <w:jc w:val="center"/>
              <w:rPr>
                <w:rFonts w:ascii="Arial" w:hAnsi="Arial" w:cs="Arial"/>
                <w:b/>
                <w:bCs/>
                <w:color w:val="000000"/>
                <w:sz w:val="20"/>
                <w:szCs w:val="20"/>
              </w:rPr>
            </w:pPr>
            <w:r w:rsidRPr="009E6C5D">
              <w:rPr>
                <w:rFonts w:ascii="Arial" w:hAnsi="Arial" w:cs="Arial"/>
                <w:b/>
                <w:bCs/>
                <w:color w:val="000000"/>
                <w:sz w:val="20"/>
                <w:szCs w:val="20"/>
              </w:rPr>
              <w:t>Sample Size / Scope</w:t>
            </w:r>
          </w:p>
        </w:tc>
        <w:tc>
          <w:tcPr>
            <w:tcW w:w="0" w:type="auto"/>
            <w:vAlign w:val="center"/>
            <w:hideMark/>
          </w:tcPr>
          <w:p w14:paraId="58EEA3F7" w14:textId="77777777" w:rsidR="00A9560C" w:rsidRPr="009E6C5D" w:rsidRDefault="00A9560C" w:rsidP="00A9560C">
            <w:pPr>
              <w:spacing w:line="360" w:lineRule="auto"/>
              <w:jc w:val="center"/>
              <w:rPr>
                <w:rFonts w:ascii="Arial" w:hAnsi="Arial" w:cs="Arial"/>
                <w:b/>
                <w:bCs/>
                <w:color w:val="000000"/>
                <w:sz w:val="20"/>
                <w:szCs w:val="20"/>
              </w:rPr>
            </w:pPr>
            <w:r w:rsidRPr="009E6C5D">
              <w:rPr>
                <w:rFonts w:ascii="Arial" w:hAnsi="Arial" w:cs="Arial"/>
                <w:b/>
                <w:bCs/>
                <w:color w:val="000000"/>
                <w:sz w:val="20"/>
                <w:szCs w:val="20"/>
              </w:rPr>
              <w:t>Key Findings</w:t>
            </w:r>
          </w:p>
        </w:tc>
      </w:tr>
      <w:tr w:rsidR="00B21815" w:rsidRPr="009E6C5D" w14:paraId="4944D474" w14:textId="77777777" w:rsidTr="00A9560C">
        <w:trPr>
          <w:tblCellSpacing w:w="15" w:type="dxa"/>
        </w:trPr>
        <w:tc>
          <w:tcPr>
            <w:tcW w:w="0" w:type="auto"/>
            <w:vAlign w:val="center"/>
            <w:hideMark/>
          </w:tcPr>
          <w:p w14:paraId="00E8808B" w14:textId="77777777" w:rsidR="00A9560C" w:rsidRPr="009E6C5D" w:rsidRDefault="00A9560C" w:rsidP="00A9560C">
            <w:pPr>
              <w:spacing w:line="360" w:lineRule="auto"/>
              <w:rPr>
                <w:rFonts w:ascii="Arial" w:hAnsi="Arial" w:cs="Arial"/>
                <w:color w:val="000000"/>
                <w:sz w:val="20"/>
                <w:szCs w:val="20"/>
              </w:rPr>
            </w:pPr>
            <w:r w:rsidRPr="009E6C5D">
              <w:rPr>
                <w:rFonts w:ascii="Arial" w:hAnsi="Arial" w:cs="Arial"/>
                <w:color w:val="000000"/>
                <w:sz w:val="20"/>
                <w:szCs w:val="20"/>
              </w:rPr>
              <w:t>Piers, Williams &amp; Sharpe</w:t>
            </w:r>
          </w:p>
        </w:tc>
        <w:tc>
          <w:tcPr>
            <w:tcW w:w="0" w:type="auto"/>
            <w:vAlign w:val="center"/>
            <w:hideMark/>
          </w:tcPr>
          <w:p w14:paraId="72980DD0" w14:textId="77777777" w:rsidR="00A9560C" w:rsidRPr="009E6C5D" w:rsidRDefault="00A9560C" w:rsidP="00A9560C">
            <w:pPr>
              <w:spacing w:line="360" w:lineRule="auto"/>
              <w:rPr>
                <w:rFonts w:ascii="Arial" w:hAnsi="Arial" w:cs="Arial"/>
                <w:color w:val="000000"/>
                <w:sz w:val="20"/>
                <w:szCs w:val="20"/>
              </w:rPr>
            </w:pPr>
            <w:r w:rsidRPr="009E6C5D">
              <w:rPr>
                <w:rFonts w:ascii="Arial" w:hAnsi="Arial" w:cs="Arial"/>
                <w:color w:val="000000"/>
                <w:sz w:val="20"/>
                <w:szCs w:val="20"/>
              </w:rPr>
              <w:t>2023</w:t>
            </w:r>
          </w:p>
        </w:tc>
        <w:tc>
          <w:tcPr>
            <w:tcW w:w="0" w:type="auto"/>
            <w:vAlign w:val="center"/>
            <w:hideMark/>
          </w:tcPr>
          <w:p w14:paraId="4E56E30B" w14:textId="77777777" w:rsidR="00A9560C" w:rsidRPr="009E6C5D" w:rsidRDefault="00A9560C" w:rsidP="00A9560C">
            <w:pPr>
              <w:spacing w:line="360" w:lineRule="auto"/>
              <w:rPr>
                <w:rFonts w:ascii="Arial" w:hAnsi="Arial" w:cs="Arial"/>
                <w:color w:val="000000"/>
                <w:sz w:val="20"/>
                <w:szCs w:val="20"/>
              </w:rPr>
            </w:pPr>
            <w:r w:rsidRPr="009E6C5D">
              <w:rPr>
                <w:rFonts w:ascii="Arial" w:hAnsi="Arial" w:cs="Arial"/>
                <w:color w:val="000000"/>
                <w:sz w:val="20"/>
                <w:szCs w:val="20"/>
              </w:rPr>
              <w:t>To evaluate the effectiveness, acceptability, and feasibility of DMHIs for socioeconomically and digitally marginalised young people.</w:t>
            </w:r>
          </w:p>
        </w:tc>
        <w:tc>
          <w:tcPr>
            <w:tcW w:w="0" w:type="auto"/>
            <w:vAlign w:val="center"/>
            <w:hideMark/>
          </w:tcPr>
          <w:p w14:paraId="7650F363" w14:textId="77777777" w:rsidR="00A9560C" w:rsidRPr="009E6C5D" w:rsidRDefault="00A9560C" w:rsidP="00A9560C">
            <w:pPr>
              <w:spacing w:line="360" w:lineRule="auto"/>
              <w:rPr>
                <w:rFonts w:ascii="Arial" w:hAnsi="Arial" w:cs="Arial"/>
                <w:color w:val="000000"/>
                <w:sz w:val="20"/>
                <w:szCs w:val="20"/>
              </w:rPr>
            </w:pPr>
            <w:r w:rsidRPr="009E6C5D">
              <w:rPr>
                <w:rFonts w:ascii="Arial" w:hAnsi="Arial" w:cs="Arial"/>
                <w:color w:val="000000"/>
                <w:sz w:val="20"/>
                <w:szCs w:val="20"/>
              </w:rPr>
              <w:t>Systematic review using mixed-method synthesis; PRISMA-guided.</w:t>
            </w:r>
          </w:p>
        </w:tc>
        <w:tc>
          <w:tcPr>
            <w:tcW w:w="0" w:type="auto"/>
            <w:vAlign w:val="center"/>
            <w:hideMark/>
          </w:tcPr>
          <w:p w14:paraId="1A96075E" w14:textId="77777777" w:rsidR="00A9560C" w:rsidRPr="009E6C5D" w:rsidRDefault="00A9560C" w:rsidP="00A9560C">
            <w:pPr>
              <w:spacing w:line="360" w:lineRule="auto"/>
              <w:rPr>
                <w:rFonts w:ascii="Arial" w:hAnsi="Arial" w:cs="Arial"/>
                <w:color w:val="000000"/>
                <w:sz w:val="20"/>
                <w:szCs w:val="20"/>
              </w:rPr>
            </w:pPr>
            <w:r w:rsidRPr="009E6C5D">
              <w:rPr>
                <w:rFonts w:ascii="Arial" w:hAnsi="Arial" w:cs="Arial"/>
                <w:color w:val="000000"/>
                <w:sz w:val="20"/>
                <w:szCs w:val="20"/>
              </w:rPr>
              <w:t>10 primary studies of children and young people (≤25) from marginalised backgrounds.</w:t>
            </w:r>
          </w:p>
        </w:tc>
        <w:tc>
          <w:tcPr>
            <w:tcW w:w="0" w:type="auto"/>
            <w:vAlign w:val="center"/>
            <w:hideMark/>
          </w:tcPr>
          <w:p w14:paraId="08A551EE" w14:textId="77777777" w:rsidR="00A9560C" w:rsidRPr="009E6C5D" w:rsidRDefault="00A9560C" w:rsidP="00A9560C">
            <w:pPr>
              <w:spacing w:line="360" w:lineRule="auto"/>
              <w:rPr>
                <w:rFonts w:ascii="Arial" w:hAnsi="Arial" w:cs="Arial"/>
                <w:color w:val="000000"/>
                <w:sz w:val="20"/>
                <w:szCs w:val="20"/>
              </w:rPr>
            </w:pPr>
            <w:r w:rsidRPr="009E6C5D">
              <w:rPr>
                <w:rFonts w:ascii="Arial" w:hAnsi="Arial" w:cs="Arial"/>
                <w:color w:val="000000"/>
                <w:sz w:val="20"/>
                <w:szCs w:val="20"/>
              </w:rPr>
              <w:t>Moderate evidence of symptom improvement (anxiety, low mood); feasibility and acceptability influenced by digital inequality; device access, connectivity, and usability barriers limit reach.</w:t>
            </w:r>
          </w:p>
        </w:tc>
      </w:tr>
      <w:tr w:rsidR="00B21815" w:rsidRPr="009E6C5D" w14:paraId="3F47FC88" w14:textId="77777777" w:rsidTr="00A9560C">
        <w:trPr>
          <w:tblCellSpacing w:w="15" w:type="dxa"/>
        </w:trPr>
        <w:tc>
          <w:tcPr>
            <w:tcW w:w="0" w:type="auto"/>
            <w:vAlign w:val="center"/>
            <w:hideMark/>
          </w:tcPr>
          <w:p w14:paraId="70973A6F" w14:textId="77777777" w:rsidR="00A9560C" w:rsidRPr="009E6C5D" w:rsidRDefault="00A9560C" w:rsidP="00A9560C">
            <w:pPr>
              <w:spacing w:line="360" w:lineRule="auto"/>
              <w:rPr>
                <w:rFonts w:ascii="Arial" w:hAnsi="Arial" w:cs="Arial"/>
                <w:color w:val="000000"/>
                <w:sz w:val="20"/>
                <w:szCs w:val="20"/>
              </w:rPr>
            </w:pPr>
            <w:r w:rsidRPr="009E6C5D">
              <w:rPr>
                <w:rFonts w:ascii="Arial" w:hAnsi="Arial" w:cs="Arial"/>
                <w:color w:val="000000"/>
                <w:sz w:val="20"/>
                <w:szCs w:val="20"/>
              </w:rPr>
              <w:t>Liverpool et al.</w:t>
            </w:r>
          </w:p>
        </w:tc>
        <w:tc>
          <w:tcPr>
            <w:tcW w:w="0" w:type="auto"/>
            <w:vAlign w:val="center"/>
            <w:hideMark/>
          </w:tcPr>
          <w:p w14:paraId="74A99B6C" w14:textId="77777777" w:rsidR="00A9560C" w:rsidRPr="009E6C5D" w:rsidRDefault="00A9560C" w:rsidP="00A9560C">
            <w:pPr>
              <w:spacing w:line="360" w:lineRule="auto"/>
              <w:rPr>
                <w:rFonts w:ascii="Arial" w:hAnsi="Arial" w:cs="Arial"/>
                <w:color w:val="000000"/>
                <w:sz w:val="20"/>
                <w:szCs w:val="20"/>
              </w:rPr>
            </w:pPr>
            <w:r w:rsidRPr="009E6C5D">
              <w:rPr>
                <w:rFonts w:ascii="Arial" w:hAnsi="Arial" w:cs="Arial"/>
                <w:color w:val="000000"/>
                <w:sz w:val="20"/>
                <w:szCs w:val="20"/>
              </w:rPr>
              <w:t>2025</w:t>
            </w:r>
          </w:p>
        </w:tc>
        <w:tc>
          <w:tcPr>
            <w:tcW w:w="0" w:type="auto"/>
            <w:vAlign w:val="center"/>
            <w:hideMark/>
          </w:tcPr>
          <w:p w14:paraId="29BC7C0A" w14:textId="77777777" w:rsidR="00A9560C" w:rsidRPr="009E6C5D" w:rsidRDefault="00A9560C" w:rsidP="00A9560C">
            <w:pPr>
              <w:spacing w:line="360" w:lineRule="auto"/>
              <w:rPr>
                <w:rFonts w:ascii="Arial" w:hAnsi="Arial" w:cs="Arial"/>
                <w:color w:val="000000"/>
                <w:sz w:val="20"/>
                <w:szCs w:val="20"/>
              </w:rPr>
            </w:pPr>
            <w:r w:rsidRPr="009E6C5D">
              <w:rPr>
                <w:rFonts w:ascii="Arial" w:hAnsi="Arial" w:cs="Arial"/>
                <w:color w:val="000000"/>
                <w:sz w:val="20"/>
                <w:szCs w:val="20"/>
              </w:rPr>
              <w:t>To synthesise all systematic reviews on DMHIs for children and young people (0–25) and identify factors influencing uptake, implementation, and sustainability.</w:t>
            </w:r>
          </w:p>
        </w:tc>
        <w:tc>
          <w:tcPr>
            <w:tcW w:w="0" w:type="auto"/>
            <w:vAlign w:val="center"/>
            <w:hideMark/>
          </w:tcPr>
          <w:p w14:paraId="3EEF6493" w14:textId="77777777" w:rsidR="00A9560C" w:rsidRPr="009E6C5D" w:rsidRDefault="00A9560C" w:rsidP="00A9560C">
            <w:pPr>
              <w:spacing w:line="360" w:lineRule="auto"/>
              <w:rPr>
                <w:rFonts w:ascii="Arial" w:hAnsi="Arial" w:cs="Arial"/>
                <w:color w:val="000000"/>
                <w:sz w:val="20"/>
                <w:szCs w:val="20"/>
              </w:rPr>
            </w:pPr>
            <w:r w:rsidRPr="009E6C5D">
              <w:rPr>
                <w:rFonts w:ascii="Arial" w:hAnsi="Arial" w:cs="Arial"/>
                <w:color w:val="000000"/>
                <w:sz w:val="20"/>
                <w:szCs w:val="20"/>
              </w:rPr>
              <w:t>Umbrella review of 51 systematic reviews; quality appraisal using AMSTAR-2 and JBI tools; thematic narrative synthesis.</w:t>
            </w:r>
          </w:p>
        </w:tc>
        <w:tc>
          <w:tcPr>
            <w:tcW w:w="0" w:type="auto"/>
            <w:vAlign w:val="center"/>
            <w:hideMark/>
          </w:tcPr>
          <w:p w14:paraId="00F2262F" w14:textId="77777777" w:rsidR="00A9560C" w:rsidRPr="009E6C5D" w:rsidRDefault="00A9560C" w:rsidP="00A9560C">
            <w:pPr>
              <w:spacing w:line="360" w:lineRule="auto"/>
              <w:rPr>
                <w:rFonts w:ascii="Arial" w:hAnsi="Arial" w:cs="Arial"/>
                <w:color w:val="000000"/>
                <w:sz w:val="20"/>
                <w:szCs w:val="20"/>
              </w:rPr>
            </w:pPr>
            <w:r w:rsidRPr="009E6C5D">
              <w:rPr>
                <w:rFonts w:ascii="Arial" w:hAnsi="Arial" w:cs="Arial"/>
                <w:color w:val="000000"/>
                <w:sz w:val="20"/>
                <w:szCs w:val="20"/>
              </w:rPr>
              <w:t>51 reviews (published 2000–2023), covering &gt;200,000 children and young people globally.</w:t>
            </w:r>
          </w:p>
        </w:tc>
        <w:tc>
          <w:tcPr>
            <w:tcW w:w="0" w:type="auto"/>
            <w:vAlign w:val="center"/>
            <w:hideMark/>
          </w:tcPr>
          <w:p w14:paraId="64AF9730" w14:textId="77777777" w:rsidR="00A9560C" w:rsidRPr="009E6C5D" w:rsidRDefault="00A9560C" w:rsidP="00A9560C">
            <w:pPr>
              <w:spacing w:line="360" w:lineRule="auto"/>
              <w:rPr>
                <w:rFonts w:ascii="Arial" w:hAnsi="Arial" w:cs="Arial"/>
                <w:color w:val="000000"/>
                <w:sz w:val="20"/>
                <w:szCs w:val="20"/>
              </w:rPr>
            </w:pPr>
            <w:r w:rsidRPr="009E6C5D">
              <w:rPr>
                <w:rFonts w:ascii="Arial" w:hAnsi="Arial" w:cs="Arial"/>
                <w:color w:val="000000"/>
                <w:sz w:val="20"/>
                <w:szCs w:val="20"/>
              </w:rPr>
              <w:t>DMHIs generally effective for anxiety/depression; strong evidence for CBT-based tools; long-term outcomes are unclear; acceptability shaped by anonymity and convenience; concerns include digital divide, practitioner training, safety, ethics, and sustainability.</w:t>
            </w:r>
          </w:p>
        </w:tc>
      </w:tr>
      <w:tr w:rsidR="00B21815" w:rsidRPr="009E6C5D" w14:paraId="61FC7006" w14:textId="77777777" w:rsidTr="00A9560C">
        <w:trPr>
          <w:tblCellSpacing w:w="15" w:type="dxa"/>
        </w:trPr>
        <w:tc>
          <w:tcPr>
            <w:tcW w:w="0" w:type="auto"/>
            <w:vAlign w:val="center"/>
            <w:hideMark/>
          </w:tcPr>
          <w:p w14:paraId="47AFC885" w14:textId="77777777" w:rsidR="00A9560C" w:rsidRPr="009E6C5D" w:rsidRDefault="00A9560C" w:rsidP="00A9560C">
            <w:pPr>
              <w:spacing w:line="360" w:lineRule="auto"/>
              <w:rPr>
                <w:rFonts w:ascii="Arial" w:hAnsi="Arial" w:cs="Arial"/>
                <w:color w:val="000000"/>
                <w:sz w:val="20"/>
                <w:szCs w:val="20"/>
              </w:rPr>
            </w:pPr>
            <w:r w:rsidRPr="009E6C5D">
              <w:rPr>
                <w:rFonts w:ascii="Arial" w:hAnsi="Arial" w:cs="Arial"/>
                <w:color w:val="000000"/>
                <w:sz w:val="20"/>
                <w:szCs w:val="20"/>
              </w:rPr>
              <w:t>Potts et al.</w:t>
            </w:r>
          </w:p>
        </w:tc>
        <w:tc>
          <w:tcPr>
            <w:tcW w:w="0" w:type="auto"/>
            <w:vAlign w:val="center"/>
            <w:hideMark/>
          </w:tcPr>
          <w:p w14:paraId="3DAC6B5C" w14:textId="77777777" w:rsidR="00A9560C" w:rsidRPr="009E6C5D" w:rsidRDefault="00A9560C" w:rsidP="00A9560C">
            <w:pPr>
              <w:spacing w:line="360" w:lineRule="auto"/>
              <w:rPr>
                <w:rFonts w:ascii="Arial" w:hAnsi="Arial" w:cs="Arial"/>
                <w:color w:val="000000"/>
                <w:sz w:val="20"/>
                <w:szCs w:val="20"/>
              </w:rPr>
            </w:pPr>
            <w:r w:rsidRPr="009E6C5D">
              <w:rPr>
                <w:rFonts w:ascii="Arial" w:hAnsi="Arial" w:cs="Arial"/>
                <w:color w:val="000000"/>
                <w:sz w:val="20"/>
                <w:szCs w:val="20"/>
              </w:rPr>
              <w:t>2025</w:t>
            </w:r>
          </w:p>
        </w:tc>
        <w:tc>
          <w:tcPr>
            <w:tcW w:w="0" w:type="auto"/>
            <w:vAlign w:val="center"/>
            <w:hideMark/>
          </w:tcPr>
          <w:p w14:paraId="1A9F887C" w14:textId="77777777" w:rsidR="00A9560C" w:rsidRPr="009E6C5D" w:rsidRDefault="00A9560C" w:rsidP="00A9560C">
            <w:pPr>
              <w:spacing w:line="360" w:lineRule="auto"/>
              <w:rPr>
                <w:rFonts w:ascii="Arial" w:hAnsi="Arial" w:cs="Arial"/>
                <w:color w:val="000000"/>
                <w:sz w:val="20"/>
                <w:szCs w:val="20"/>
              </w:rPr>
            </w:pPr>
            <w:r w:rsidRPr="009E6C5D">
              <w:rPr>
                <w:rFonts w:ascii="Arial" w:hAnsi="Arial" w:cs="Arial"/>
                <w:color w:val="000000"/>
                <w:sz w:val="20"/>
                <w:szCs w:val="20"/>
              </w:rPr>
              <w:t>To map the landscape of DMHIs for young people aged 16–25, identify intervention types, therapeutic approaches, and gaps.</w:t>
            </w:r>
          </w:p>
        </w:tc>
        <w:tc>
          <w:tcPr>
            <w:tcW w:w="0" w:type="auto"/>
            <w:vAlign w:val="center"/>
            <w:hideMark/>
          </w:tcPr>
          <w:p w14:paraId="7543AB46" w14:textId="77777777" w:rsidR="00A9560C" w:rsidRPr="009E6C5D" w:rsidRDefault="00A9560C" w:rsidP="00A9560C">
            <w:pPr>
              <w:spacing w:line="360" w:lineRule="auto"/>
              <w:rPr>
                <w:rFonts w:ascii="Arial" w:hAnsi="Arial" w:cs="Arial"/>
                <w:color w:val="000000"/>
                <w:sz w:val="20"/>
                <w:szCs w:val="20"/>
              </w:rPr>
            </w:pPr>
            <w:r w:rsidRPr="009E6C5D">
              <w:rPr>
                <w:rFonts w:ascii="Arial" w:hAnsi="Arial" w:cs="Arial"/>
                <w:color w:val="000000"/>
                <w:sz w:val="20"/>
                <w:szCs w:val="20"/>
              </w:rPr>
              <w:t>Scoping review of 145 studies; systematic mapping of intervention types and outcomes.</w:t>
            </w:r>
          </w:p>
        </w:tc>
        <w:tc>
          <w:tcPr>
            <w:tcW w:w="0" w:type="auto"/>
            <w:vAlign w:val="center"/>
            <w:hideMark/>
          </w:tcPr>
          <w:p w14:paraId="400E9F68" w14:textId="77777777" w:rsidR="00A9560C" w:rsidRPr="009E6C5D" w:rsidRDefault="00A9560C" w:rsidP="00A9560C">
            <w:pPr>
              <w:spacing w:line="360" w:lineRule="auto"/>
              <w:rPr>
                <w:rFonts w:ascii="Arial" w:hAnsi="Arial" w:cs="Arial"/>
                <w:color w:val="000000"/>
                <w:sz w:val="20"/>
                <w:szCs w:val="20"/>
              </w:rPr>
            </w:pPr>
            <w:r w:rsidRPr="009E6C5D">
              <w:rPr>
                <w:rFonts w:ascii="Arial" w:hAnsi="Arial" w:cs="Arial"/>
                <w:color w:val="000000"/>
                <w:sz w:val="20"/>
                <w:szCs w:val="20"/>
              </w:rPr>
              <w:t>145 studies of DMHIs for young people 16–25 internationally.</w:t>
            </w:r>
          </w:p>
        </w:tc>
        <w:tc>
          <w:tcPr>
            <w:tcW w:w="0" w:type="auto"/>
            <w:vAlign w:val="center"/>
            <w:hideMark/>
          </w:tcPr>
          <w:p w14:paraId="0C061FBE" w14:textId="77777777" w:rsidR="00A9560C" w:rsidRPr="009E6C5D" w:rsidRDefault="00A9560C" w:rsidP="00A9560C">
            <w:pPr>
              <w:spacing w:line="360" w:lineRule="auto"/>
              <w:rPr>
                <w:rFonts w:ascii="Arial" w:hAnsi="Arial" w:cs="Arial"/>
                <w:color w:val="000000"/>
                <w:sz w:val="20"/>
                <w:szCs w:val="20"/>
              </w:rPr>
            </w:pPr>
            <w:r w:rsidRPr="009E6C5D">
              <w:rPr>
                <w:rFonts w:ascii="Arial" w:hAnsi="Arial" w:cs="Arial"/>
                <w:color w:val="000000"/>
                <w:sz w:val="20"/>
                <w:szCs w:val="20"/>
              </w:rPr>
              <w:t>CBT is dominant; retention highly variable (16–100%); little representation of marginalised groups; evidence mostly short-term; strong early effectiveness but weak follow-up data.</w:t>
            </w:r>
          </w:p>
        </w:tc>
      </w:tr>
    </w:tbl>
    <w:p w14:paraId="0CF3C6DD" w14:textId="77777777" w:rsidR="00F538AA" w:rsidRPr="00B21815" w:rsidRDefault="00F538AA" w:rsidP="006E18D9">
      <w:pPr>
        <w:pStyle w:val="Heading2"/>
        <w:spacing w:line="360" w:lineRule="auto"/>
        <w:rPr>
          <w:rStyle w:val="Strong"/>
          <w:rFonts w:ascii="Arial" w:hAnsi="Arial" w:cs="Arial"/>
          <w:color w:val="000000" w:themeColor="text1"/>
          <w:sz w:val="22"/>
          <w:szCs w:val="22"/>
        </w:rPr>
      </w:pPr>
    </w:p>
    <w:p w14:paraId="429594ED" w14:textId="3A91F86A" w:rsidR="000878AE" w:rsidRPr="00B21815" w:rsidRDefault="000878AE" w:rsidP="006E18D9">
      <w:pPr>
        <w:pStyle w:val="Heading2"/>
        <w:spacing w:line="360" w:lineRule="auto"/>
        <w:rPr>
          <w:rStyle w:val="Strong"/>
          <w:rFonts w:ascii="Arial" w:hAnsi="Arial" w:cs="Arial"/>
          <w:color w:val="000000" w:themeColor="text1"/>
          <w:sz w:val="22"/>
          <w:szCs w:val="22"/>
        </w:rPr>
      </w:pPr>
      <w:bookmarkStart w:id="7" w:name="_Toc216427212"/>
      <w:r w:rsidRPr="00B21815">
        <w:rPr>
          <w:rStyle w:val="Strong"/>
          <w:rFonts w:ascii="Arial" w:hAnsi="Arial" w:cs="Arial"/>
          <w:color w:val="000000" w:themeColor="text1"/>
          <w:sz w:val="22"/>
          <w:szCs w:val="22"/>
        </w:rPr>
        <w:t>7. Themes Analysis</w:t>
      </w:r>
      <w:bookmarkEnd w:id="7"/>
    </w:p>
    <w:p w14:paraId="0F68AA54" w14:textId="77777777" w:rsidR="00295B3F" w:rsidRPr="00B21815" w:rsidRDefault="00295B3F" w:rsidP="00295B3F">
      <w:pPr>
        <w:rPr>
          <w:sz w:val="22"/>
          <w:szCs w:val="22"/>
          <w:lang w:eastAsia="en-US"/>
        </w:rPr>
      </w:pPr>
    </w:p>
    <w:p w14:paraId="4B722D50" w14:textId="77777777" w:rsidR="007C02FD" w:rsidRPr="00B21815" w:rsidRDefault="007C02FD" w:rsidP="003826A7">
      <w:pPr>
        <w:spacing w:line="360" w:lineRule="auto"/>
        <w:rPr>
          <w:rStyle w:val="Strong"/>
          <w:rFonts w:ascii="Arial" w:hAnsi="Arial" w:cs="Arial"/>
          <w:color w:val="000000" w:themeColor="text1"/>
          <w:sz w:val="22"/>
          <w:szCs w:val="22"/>
        </w:rPr>
      </w:pPr>
      <w:r w:rsidRPr="00B21815">
        <w:rPr>
          <w:rStyle w:val="Strong"/>
          <w:rFonts w:ascii="Arial" w:hAnsi="Arial" w:cs="Arial"/>
          <w:color w:val="000000" w:themeColor="text1"/>
          <w:sz w:val="22"/>
          <w:szCs w:val="22"/>
        </w:rPr>
        <w:t>Theme 1: Effectiveness, Engagement, and User Experience Across Populations</w:t>
      </w:r>
    </w:p>
    <w:p w14:paraId="764143AE" w14:textId="77777777" w:rsidR="007C02FD" w:rsidRPr="00B21815" w:rsidRDefault="007C02FD" w:rsidP="003826A7">
      <w:pPr>
        <w:spacing w:line="360" w:lineRule="auto"/>
        <w:rPr>
          <w:rStyle w:val="Strong"/>
          <w:rFonts w:ascii="Arial" w:hAnsi="Arial" w:cs="Arial"/>
          <w:b w:val="0"/>
          <w:bCs w:val="0"/>
          <w:color w:val="000000" w:themeColor="text1"/>
          <w:sz w:val="22"/>
          <w:szCs w:val="22"/>
        </w:rPr>
      </w:pPr>
      <w:r w:rsidRPr="00B21815">
        <w:rPr>
          <w:rStyle w:val="Strong"/>
          <w:rFonts w:ascii="Arial" w:hAnsi="Arial" w:cs="Arial"/>
          <w:b w:val="0"/>
          <w:bCs w:val="0"/>
          <w:color w:val="000000" w:themeColor="text1"/>
          <w:sz w:val="22"/>
          <w:szCs w:val="22"/>
        </w:rPr>
        <w:t>Across all three studies, digital mental health interventions (DMHIs) show generally positive effects on young people’s mental health, but the strength and reliability of these outcomes vary according to population and context. Liverpool et al. (2025) demonstrate the strongest overall evidence, reporting that CBT-based and structured digital programmes consistently reduce anxiety and depressive symptoms across a broad range of systematic reviews. Potts et al. (2025) similarly identify short-term improvements in wellbeing for young people aged 16–25, though they highlight substantial variability in retention rates and limited evidence of long-term effectiveness. In contrast, Piers et al. (2023) find that while improvements are also observed among socioeconomically and digitally marginalised youth, these effects are more vulnerable to disruption because young people in this group often face erratic digital access, inconsistent device availability and lower digital literacy. Engagement patterns differ across the studies as well: Liverpool et al. (2025) report that acceptability is generally high due to anonymity and flexibility, yet dropout is common when interventions lack personalisation or adequate practitioner support. Potts et al. (2025) reinforce this by showing that adherence ranges widely (16–100%), suggesting that design quality and user fit heavily influence engagement. Piers et al. (2023) extend this by demonstrating that structural disadvantages, such as unstable internet or shared devices, can significantly reduce engagement even when interventions are clinically sound. Together, the studies show that DMHI effectiveness is closely linked to engagement, and engagement is shaped not only by individual preferences but also by broader social and digital conditions.</w:t>
      </w:r>
    </w:p>
    <w:p w14:paraId="6C42FCA0" w14:textId="77777777" w:rsidR="00D363D6" w:rsidRPr="00B21815" w:rsidRDefault="00D363D6" w:rsidP="00165E62">
      <w:pPr>
        <w:rPr>
          <w:sz w:val="22"/>
          <w:szCs w:val="22"/>
          <w:lang w:eastAsia="en-US"/>
        </w:rPr>
      </w:pPr>
    </w:p>
    <w:p w14:paraId="68C48A40" w14:textId="77777777" w:rsidR="00D363D6" w:rsidRPr="00B21815" w:rsidRDefault="00D363D6" w:rsidP="00165E62">
      <w:pPr>
        <w:rPr>
          <w:sz w:val="22"/>
          <w:szCs w:val="22"/>
          <w:lang w:eastAsia="en-US"/>
        </w:rPr>
      </w:pPr>
    </w:p>
    <w:p w14:paraId="1B37F39F" w14:textId="77777777" w:rsidR="00D363D6" w:rsidRPr="00B21815" w:rsidRDefault="00D363D6" w:rsidP="00165E62">
      <w:pPr>
        <w:rPr>
          <w:sz w:val="22"/>
          <w:szCs w:val="22"/>
          <w:lang w:eastAsia="en-US"/>
        </w:rPr>
      </w:pPr>
    </w:p>
    <w:p w14:paraId="60DBC7C0" w14:textId="77777777" w:rsidR="00D363D6" w:rsidRPr="00B21815" w:rsidRDefault="00D363D6" w:rsidP="00165E62">
      <w:pPr>
        <w:rPr>
          <w:sz w:val="22"/>
          <w:szCs w:val="22"/>
          <w:lang w:eastAsia="en-US"/>
        </w:rPr>
      </w:pPr>
    </w:p>
    <w:p w14:paraId="6E70535C" w14:textId="77777777" w:rsidR="00D363D6" w:rsidRPr="00B21815" w:rsidRDefault="00D363D6" w:rsidP="00165E62">
      <w:pPr>
        <w:rPr>
          <w:sz w:val="22"/>
          <w:szCs w:val="22"/>
          <w:lang w:eastAsia="en-US"/>
        </w:rPr>
      </w:pPr>
    </w:p>
    <w:p w14:paraId="7E4D9A5F" w14:textId="77777777" w:rsidR="00D363D6" w:rsidRPr="00B21815" w:rsidRDefault="00D363D6" w:rsidP="00165E62">
      <w:pPr>
        <w:rPr>
          <w:sz w:val="22"/>
          <w:szCs w:val="22"/>
          <w:lang w:eastAsia="en-US"/>
        </w:rPr>
      </w:pPr>
    </w:p>
    <w:p w14:paraId="597860F4" w14:textId="77777777" w:rsidR="00D363D6" w:rsidRPr="00B21815" w:rsidRDefault="00D363D6" w:rsidP="00165E62">
      <w:pPr>
        <w:rPr>
          <w:sz w:val="22"/>
          <w:szCs w:val="22"/>
          <w:lang w:eastAsia="en-US"/>
        </w:rPr>
      </w:pPr>
    </w:p>
    <w:p w14:paraId="13C7301B" w14:textId="77777777" w:rsidR="00D363D6" w:rsidRPr="00B21815" w:rsidRDefault="00D363D6" w:rsidP="00165E62">
      <w:pPr>
        <w:rPr>
          <w:sz w:val="22"/>
          <w:szCs w:val="22"/>
          <w:lang w:eastAsia="en-US"/>
        </w:rPr>
      </w:pPr>
    </w:p>
    <w:p w14:paraId="5524B51E" w14:textId="77777777" w:rsidR="00D363D6" w:rsidRPr="00B21815" w:rsidRDefault="00D363D6" w:rsidP="00165E62">
      <w:pPr>
        <w:rPr>
          <w:sz w:val="22"/>
          <w:szCs w:val="22"/>
          <w:lang w:eastAsia="en-US"/>
        </w:rPr>
      </w:pPr>
    </w:p>
    <w:p w14:paraId="03F8E251" w14:textId="77777777" w:rsidR="00D363D6" w:rsidRPr="00B21815" w:rsidRDefault="00D363D6" w:rsidP="00165E62">
      <w:pPr>
        <w:rPr>
          <w:sz w:val="22"/>
          <w:szCs w:val="22"/>
          <w:lang w:eastAsia="en-US"/>
        </w:rPr>
      </w:pPr>
    </w:p>
    <w:p w14:paraId="1D792863" w14:textId="77777777" w:rsidR="00D363D6" w:rsidRPr="00B21815" w:rsidRDefault="00D363D6" w:rsidP="00165E62">
      <w:pPr>
        <w:rPr>
          <w:sz w:val="22"/>
          <w:szCs w:val="22"/>
          <w:lang w:eastAsia="en-US"/>
        </w:rPr>
      </w:pPr>
    </w:p>
    <w:p w14:paraId="7ACC1A52" w14:textId="77777777" w:rsidR="00D363D6" w:rsidRPr="00B21815" w:rsidRDefault="00D363D6" w:rsidP="00165E62">
      <w:pPr>
        <w:rPr>
          <w:sz w:val="22"/>
          <w:szCs w:val="22"/>
          <w:lang w:eastAsia="en-US"/>
        </w:rPr>
      </w:pPr>
    </w:p>
    <w:p w14:paraId="32F2D94C" w14:textId="77777777" w:rsidR="00D363D6" w:rsidRPr="00B21815" w:rsidRDefault="00D363D6" w:rsidP="00165E62">
      <w:pPr>
        <w:rPr>
          <w:sz w:val="22"/>
          <w:szCs w:val="22"/>
          <w:lang w:eastAsia="en-US"/>
        </w:rPr>
      </w:pPr>
    </w:p>
    <w:p w14:paraId="3E1DCB7A" w14:textId="77777777" w:rsidR="00D363D6" w:rsidRPr="00B21815" w:rsidRDefault="00D363D6" w:rsidP="00165E62">
      <w:pPr>
        <w:rPr>
          <w:sz w:val="22"/>
          <w:szCs w:val="22"/>
          <w:lang w:eastAsia="en-US"/>
        </w:rPr>
      </w:pPr>
    </w:p>
    <w:p w14:paraId="4F4FA0F1" w14:textId="77777777" w:rsidR="00D363D6" w:rsidRPr="00B21815" w:rsidRDefault="00D363D6" w:rsidP="00165E62">
      <w:pPr>
        <w:rPr>
          <w:sz w:val="22"/>
          <w:szCs w:val="22"/>
          <w:lang w:eastAsia="en-US"/>
        </w:rPr>
      </w:pPr>
    </w:p>
    <w:p w14:paraId="3230C69A" w14:textId="77777777" w:rsidR="00D363D6" w:rsidRPr="00B21815" w:rsidRDefault="00D363D6" w:rsidP="00165E62">
      <w:pPr>
        <w:rPr>
          <w:sz w:val="22"/>
          <w:szCs w:val="22"/>
          <w:lang w:eastAsia="en-US"/>
        </w:rPr>
      </w:pPr>
    </w:p>
    <w:p w14:paraId="7C2B1024" w14:textId="77777777" w:rsidR="00295B3F" w:rsidRPr="00B21815" w:rsidRDefault="00295B3F" w:rsidP="00165E62">
      <w:pPr>
        <w:rPr>
          <w:sz w:val="22"/>
          <w:szCs w:val="22"/>
          <w:lang w:eastAsia="en-US"/>
        </w:rPr>
      </w:pPr>
    </w:p>
    <w:p w14:paraId="38432DC4" w14:textId="77777777" w:rsidR="00286A35" w:rsidRPr="00B21815" w:rsidRDefault="00286A35" w:rsidP="00165E62">
      <w:pPr>
        <w:rPr>
          <w:rStyle w:val="Strong"/>
          <w:rFonts w:ascii="Arial" w:hAnsi="Arial" w:cs="Arial"/>
          <w:color w:val="000000" w:themeColor="text1"/>
          <w:sz w:val="22"/>
          <w:szCs w:val="22"/>
        </w:rPr>
      </w:pPr>
    </w:p>
    <w:p w14:paraId="12D30433" w14:textId="77777777" w:rsidR="00286A35" w:rsidRPr="00B21815" w:rsidRDefault="00286A35" w:rsidP="00165E62">
      <w:pPr>
        <w:rPr>
          <w:rStyle w:val="Strong"/>
          <w:rFonts w:ascii="Arial" w:hAnsi="Arial" w:cs="Arial"/>
          <w:color w:val="000000" w:themeColor="text1"/>
          <w:sz w:val="22"/>
          <w:szCs w:val="22"/>
        </w:rPr>
      </w:pPr>
    </w:p>
    <w:p w14:paraId="07FD07AE" w14:textId="77777777" w:rsidR="00286A35" w:rsidRPr="00B21815" w:rsidRDefault="00286A35" w:rsidP="00165E62">
      <w:pPr>
        <w:rPr>
          <w:rStyle w:val="Strong"/>
          <w:rFonts w:ascii="Arial" w:hAnsi="Arial" w:cs="Arial"/>
          <w:color w:val="000000" w:themeColor="text1"/>
          <w:sz w:val="22"/>
          <w:szCs w:val="22"/>
        </w:rPr>
      </w:pPr>
    </w:p>
    <w:p w14:paraId="0748752C" w14:textId="77777777" w:rsidR="00286A35" w:rsidRPr="00B21815" w:rsidRDefault="00286A35" w:rsidP="00165E62">
      <w:pPr>
        <w:rPr>
          <w:rStyle w:val="Strong"/>
          <w:rFonts w:ascii="Arial" w:hAnsi="Arial" w:cs="Arial"/>
          <w:color w:val="000000" w:themeColor="text1"/>
          <w:sz w:val="22"/>
          <w:szCs w:val="22"/>
        </w:rPr>
      </w:pPr>
    </w:p>
    <w:p w14:paraId="505F32D7" w14:textId="77777777" w:rsidR="00286A35" w:rsidRPr="00B21815" w:rsidRDefault="00286A35" w:rsidP="00165E62">
      <w:pPr>
        <w:rPr>
          <w:rStyle w:val="Strong"/>
          <w:rFonts w:ascii="Arial" w:hAnsi="Arial" w:cs="Arial"/>
          <w:color w:val="000000" w:themeColor="text1"/>
          <w:sz w:val="22"/>
          <w:szCs w:val="22"/>
        </w:rPr>
      </w:pPr>
    </w:p>
    <w:p w14:paraId="5B5A001D" w14:textId="77777777" w:rsidR="00286A35" w:rsidRPr="00B21815" w:rsidRDefault="00286A35" w:rsidP="00165E62">
      <w:pPr>
        <w:rPr>
          <w:rStyle w:val="Strong"/>
          <w:rFonts w:ascii="Arial" w:hAnsi="Arial" w:cs="Arial"/>
          <w:color w:val="000000" w:themeColor="text1"/>
          <w:sz w:val="22"/>
          <w:szCs w:val="22"/>
        </w:rPr>
      </w:pPr>
    </w:p>
    <w:p w14:paraId="2C617CAA" w14:textId="77777777" w:rsidR="00286A35" w:rsidRPr="00B21815" w:rsidRDefault="00286A35" w:rsidP="00165E62">
      <w:pPr>
        <w:rPr>
          <w:rStyle w:val="Strong"/>
          <w:rFonts w:ascii="Arial" w:hAnsi="Arial" w:cs="Arial"/>
          <w:color w:val="000000" w:themeColor="text1"/>
          <w:sz w:val="22"/>
          <w:szCs w:val="22"/>
        </w:rPr>
      </w:pPr>
    </w:p>
    <w:p w14:paraId="7C924C99" w14:textId="77777777" w:rsidR="00286A35" w:rsidRPr="00B21815" w:rsidRDefault="00286A35" w:rsidP="00165E62">
      <w:pPr>
        <w:rPr>
          <w:rStyle w:val="Strong"/>
          <w:rFonts w:ascii="Arial" w:hAnsi="Arial" w:cs="Arial"/>
          <w:color w:val="000000" w:themeColor="text1"/>
          <w:sz w:val="22"/>
          <w:szCs w:val="22"/>
        </w:rPr>
      </w:pPr>
    </w:p>
    <w:p w14:paraId="4EF89171" w14:textId="77777777" w:rsidR="00286A35" w:rsidRPr="00B21815" w:rsidRDefault="00286A35" w:rsidP="00165E62">
      <w:pPr>
        <w:rPr>
          <w:rStyle w:val="Strong"/>
          <w:rFonts w:ascii="Arial" w:hAnsi="Arial" w:cs="Arial"/>
          <w:color w:val="000000" w:themeColor="text1"/>
          <w:sz w:val="22"/>
          <w:szCs w:val="22"/>
        </w:rPr>
      </w:pPr>
    </w:p>
    <w:p w14:paraId="70B631B2" w14:textId="139179C1" w:rsidR="004A195E" w:rsidRPr="00B21815" w:rsidRDefault="007C02FD" w:rsidP="003826A7">
      <w:pPr>
        <w:spacing w:line="360" w:lineRule="auto"/>
        <w:rPr>
          <w:sz w:val="22"/>
          <w:szCs w:val="22"/>
          <w:lang w:eastAsia="en-US"/>
        </w:rPr>
      </w:pPr>
      <w:r w:rsidRPr="00B21815">
        <w:rPr>
          <w:rStyle w:val="Strong"/>
          <w:rFonts w:ascii="Arial" w:hAnsi="Arial" w:cs="Arial"/>
          <w:color w:val="000000" w:themeColor="text1"/>
          <w:sz w:val="22"/>
          <w:szCs w:val="22"/>
        </w:rPr>
        <w:t>Theme 2: Inequality, Accessibility, and the Structural Conditions Shaping DMHI Implementation</w:t>
      </w:r>
    </w:p>
    <w:p w14:paraId="7E7A1CF3" w14:textId="77777777" w:rsidR="007C02FD" w:rsidRPr="00B21815" w:rsidRDefault="007C02FD" w:rsidP="003826A7">
      <w:pPr>
        <w:spacing w:line="360" w:lineRule="auto"/>
        <w:rPr>
          <w:rStyle w:val="Strong"/>
          <w:rFonts w:ascii="Arial" w:hAnsi="Arial" w:cs="Arial"/>
          <w:b w:val="0"/>
          <w:bCs w:val="0"/>
          <w:color w:val="000000" w:themeColor="text1"/>
          <w:sz w:val="22"/>
          <w:szCs w:val="22"/>
        </w:rPr>
      </w:pPr>
      <w:r w:rsidRPr="00B21815">
        <w:rPr>
          <w:rStyle w:val="Strong"/>
          <w:rFonts w:ascii="Arial" w:hAnsi="Arial" w:cs="Arial"/>
          <w:b w:val="0"/>
          <w:bCs w:val="0"/>
          <w:color w:val="000000" w:themeColor="text1"/>
          <w:sz w:val="22"/>
          <w:szCs w:val="22"/>
        </w:rPr>
        <w:t>A second major theme across the three studies concerns the persistent inequalities that shape access to and sustainability of DMHIs. Liverpool et al. (2025) highlight that although young people generally find digital tools acceptable, the existing evidence base overwhelmingly focuses on well-resourced populations, with marginalised groups rarely represented in systematic reviews. Potts et al. (2025) similarly show that primary research relies heavily on convenience samples, meaning that findings may not generalise to groups experiencing socioeconomic hardship, rural isolation or digital deprivation. Piers et al. (2023) provide direct empirical evidence of this inequity by demonstrating how marginalised young people face practical barriers such as poor connectivity, limited privacy, device sharing and frequent interruptions to digital access. These barriers not only reduce feasibility but also fundamentally limit whether DMHIs can be implemented safely and consistently in real-world settings. Across all three studies, concerns about ethical practice, data security, practitioner readiness and regulatory oversight further reinforce the idea that DMHIs cannot be assumed to function equitably across populations. Instead, successful implementation requires investment in digital infrastructure, culturally responsive design, and policies that explicitly address the digital divide. Taken together, the studies indicate that inequalities are not peripheral issues but central determinants of whether DMHIs can achieve meaningful, widespread and sustainable impact for young people.</w:t>
      </w:r>
    </w:p>
    <w:p w14:paraId="4DCCED50" w14:textId="77777777" w:rsidR="00B75D7B" w:rsidRPr="00B21815" w:rsidRDefault="00B75D7B" w:rsidP="003826A7">
      <w:pPr>
        <w:spacing w:line="360" w:lineRule="auto"/>
        <w:rPr>
          <w:sz w:val="22"/>
          <w:szCs w:val="22"/>
          <w:lang w:eastAsia="en-US"/>
        </w:rPr>
      </w:pPr>
    </w:p>
    <w:p w14:paraId="5995A308" w14:textId="77777777" w:rsidR="00B75D7B" w:rsidRPr="00B21815" w:rsidRDefault="00B75D7B" w:rsidP="00165E62">
      <w:pPr>
        <w:rPr>
          <w:sz w:val="22"/>
          <w:szCs w:val="22"/>
          <w:lang w:eastAsia="en-US"/>
        </w:rPr>
      </w:pPr>
    </w:p>
    <w:p w14:paraId="7657D495" w14:textId="77777777" w:rsidR="00B75D7B" w:rsidRPr="00B21815" w:rsidRDefault="00B75D7B" w:rsidP="00165E62">
      <w:pPr>
        <w:rPr>
          <w:sz w:val="22"/>
          <w:szCs w:val="22"/>
          <w:lang w:eastAsia="en-US"/>
        </w:rPr>
      </w:pPr>
    </w:p>
    <w:p w14:paraId="2539771C" w14:textId="77777777" w:rsidR="00B75D7B" w:rsidRPr="00B21815" w:rsidRDefault="00B75D7B" w:rsidP="00165E62">
      <w:pPr>
        <w:rPr>
          <w:sz w:val="22"/>
          <w:szCs w:val="22"/>
          <w:lang w:eastAsia="en-US"/>
        </w:rPr>
      </w:pPr>
    </w:p>
    <w:p w14:paraId="63DB5F7B" w14:textId="77777777" w:rsidR="00B75D7B" w:rsidRPr="00B21815" w:rsidRDefault="00B75D7B" w:rsidP="00165E62">
      <w:pPr>
        <w:rPr>
          <w:sz w:val="22"/>
          <w:szCs w:val="22"/>
          <w:lang w:eastAsia="en-US"/>
        </w:rPr>
      </w:pPr>
    </w:p>
    <w:p w14:paraId="5B295BD6" w14:textId="77777777" w:rsidR="00B75D7B" w:rsidRPr="00B21815" w:rsidRDefault="00B75D7B" w:rsidP="00165E62">
      <w:pPr>
        <w:rPr>
          <w:sz w:val="22"/>
          <w:szCs w:val="22"/>
          <w:lang w:eastAsia="en-US"/>
        </w:rPr>
      </w:pPr>
    </w:p>
    <w:p w14:paraId="28E9562E" w14:textId="77777777" w:rsidR="00B75D7B" w:rsidRPr="00B21815" w:rsidRDefault="00B75D7B" w:rsidP="00165E62">
      <w:pPr>
        <w:rPr>
          <w:sz w:val="22"/>
          <w:szCs w:val="22"/>
          <w:lang w:eastAsia="en-US"/>
        </w:rPr>
      </w:pPr>
    </w:p>
    <w:p w14:paraId="67CAFD3A" w14:textId="77777777" w:rsidR="00B75D7B" w:rsidRPr="00B21815" w:rsidRDefault="00B75D7B" w:rsidP="00165E62">
      <w:pPr>
        <w:rPr>
          <w:sz w:val="22"/>
          <w:szCs w:val="22"/>
          <w:lang w:eastAsia="en-US"/>
        </w:rPr>
      </w:pPr>
    </w:p>
    <w:p w14:paraId="470F509F" w14:textId="77777777" w:rsidR="00B75D7B" w:rsidRPr="00B21815" w:rsidRDefault="00B75D7B" w:rsidP="00165E62">
      <w:pPr>
        <w:rPr>
          <w:sz w:val="22"/>
          <w:szCs w:val="22"/>
          <w:lang w:eastAsia="en-US"/>
        </w:rPr>
      </w:pPr>
    </w:p>
    <w:p w14:paraId="318856A3" w14:textId="77777777" w:rsidR="00B75D7B" w:rsidRPr="00B21815" w:rsidRDefault="00B75D7B" w:rsidP="00165E62">
      <w:pPr>
        <w:rPr>
          <w:sz w:val="22"/>
          <w:szCs w:val="22"/>
          <w:lang w:eastAsia="en-US"/>
        </w:rPr>
      </w:pPr>
    </w:p>
    <w:p w14:paraId="33A7D30A" w14:textId="77777777" w:rsidR="00B75D7B" w:rsidRPr="00B21815" w:rsidRDefault="00B75D7B" w:rsidP="00165E62">
      <w:pPr>
        <w:rPr>
          <w:sz w:val="22"/>
          <w:szCs w:val="22"/>
          <w:lang w:eastAsia="en-US"/>
        </w:rPr>
      </w:pPr>
    </w:p>
    <w:p w14:paraId="6F346060" w14:textId="77777777" w:rsidR="00B75D7B" w:rsidRPr="00B21815" w:rsidRDefault="00B75D7B" w:rsidP="00165E62">
      <w:pPr>
        <w:rPr>
          <w:sz w:val="22"/>
          <w:szCs w:val="22"/>
          <w:lang w:eastAsia="en-US"/>
        </w:rPr>
      </w:pPr>
    </w:p>
    <w:p w14:paraId="1ADA5FE2" w14:textId="77777777" w:rsidR="00B75D7B" w:rsidRPr="00B21815" w:rsidRDefault="00B75D7B" w:rsidP="00165E62">
      <w:pPr>
        <w:rPr>
          <w:sz w:val="22"/>
          <w:szCs w:val="22"/>
          <w:lang w:eastAsia="en-US"/>
        </w:rPr>
      </w:pPr>
    </w:p>
    <w:p w14:paraId="167B3D4A" w14:textId="77777777" w:rsidR="00B75D7B" w:rsidRPr="00B21815" w:rsidRDefault="00B75D7B" w:rsidP="00165E62">
      <w:pPr>
        <w:rPr>
          <w:sz w:val="22"/>
          <w:szCs w:val="22"/>
          <w:lang w:eastAsia="en-US"/>
        </w:rPr>
      </w:pPr>
    </w:p>
    <w:p w14:paraId="223EAE4F" w14:textId="77777777" w:rsidR="00B75D7B" w:rsidRPr="00B21815" w:rsidRDefault="00B75D7B" w:rsidP="00165E62">
      <w:pPr>
        <w:rPr>
          <w:sz w:val="22"/>
          <w:szCs w:val="22"/>
          <w:lang w:eastAsia="en-US"/>
        </w:rPr>
      </w:pPr>
    </w:p>
    <w:p w14:paraId="1653CB6C" w14:textId="77777777" w:rsidR="00B75D7B" w:rsidRPr="00B21815" w:rsidRDefault="00B75D7B" w:rsidP="00165E62">
      <w:pPr>
        <w:rPr>
          <w:sz w:val="22"/>
          <w:szCs w:val="22"/>
          <w:lang w:eastAsia="en-US"/>
        </w:rPr>
      </w:pPr>
    </w:p>
    <w:p w14:paraId="1B3CCDDD" w14:textId="77777777" w:rsidR="00B75D7B" w:rsidRPr="00B21815" w:rsidRDefault="00B75D7B" w:rsidP="00165E62">
      <w:pPr>
        <w:rPr>
          <w:sz w:val="22"/>
          <w:szCs w:val="22"/>
          <w:lang w:eastAsia="en-US"/>
        </w:rPr>
      </w:pPr>
    </w:p>
    <w:p w14:paraId="04ADE131" w14:textId="77777777" w:rsidR="00B75D7B" w:rsidRPr="00B21815" w:rsidRDefault="00B75D7B" w:rsidP="00165E62">
      <w:pPr>
        <w:rPr>
          <w:sz w:val="22"/>
          <w:szCs w:val="22"/>
          <w:lang w:eastAsia="en-US"/>
        </w:rPr>
      </w:pPr>
    </w:p>
    <w:p w14:paraId="55A6FD56" w14:textId="77777777" w:rsidR="00B75D7B" w:rsidRPr="00B21815" w:rsidRDefault="00B75D7B" w:rsidP="00165E62">
      <w:pPr>
        <w:rPr>
          <w:sz w:val="22"/>
          <w:szCs w:val="22"/>
          <w:lang w:eastAsia="en-US"/>
        </w:rPr>
      </w:pPr>
    </w:p>
    <w:p w14:paraId="10ADED31" w14:textId="77777777" w:rsidR="00B75D7B" w:rsidRPr="00B21815" w:rsidRDefault="00B75D7B" w:rsidP="00165E62">
      <w:pPr>
        <w:rPr>
          <w:sz w:val="22"/>
          <w:szCs w:val="22"/>
          <w:lang w:eastAsia="en-US"/>
        </w:rPr>
      </w:pPr>
    </w:p>
    <w:p w14:paraId="41A5DCA5" w14:textId="77777777" w:rsidR="00B75D7B" w:rsidRPr="00B21815" w:rsidRDefault="00B75D7B" w:rsidP="00165E62">
      <w:pPr>
        <w:rPr>
          <w:sz w:val="22"/>
          <w:szCs w:val="22"/>
          <w:lang w:eastAsia="en-US"/>
        </w:rPr>
      </w:pPr>
    </w:p>
    <w:p w14:paraId="2C4EE7EE" w14:textId="77777777" w:rsidR="007C02FD" w:rsidRPr="00B21815" w:rsidRDefault="007C02FD" w:rsidP="00165E62">
      <w:pPr>
        <w:rPr>
          <w:rStyle w:val="Strong"/>
          <w:rFonts w:ascii="Arial" w:hAnsi="Arial" w:cs="Arial"/>
          <w:b w:val="0"/>
          <w:bCs w:val="0"/>
          <w:color w:val="000000" w:themeColor="text1"/>
          <w:sz w:val="22"/>
          <w:szCs w:val="22"/>
        </w:rPr>
      </w:pPr>
    </w:p>
    <w:p w14:paraId="5E94D083" w14:textId="2DB5A385" w:rsidR="000878AE" w:rsidRPr="00B21815" w:rsidRDefault="000878AE" w:rsidP="007C02FD">
      <w:pPr>
        <w:pStyle w:val="Heading2"/>
        <w:spacing w:line="360" w:lineRule="auto"/>
        <w:rPr>
          <w:rFonts w:ascii="Arial" w:hAnsi="Arial" w:cs="Arial"/>
          <w:b/>
          <w:bCs/>
          <w:color w:val="000000" w:themeColor="text1"/>
          <w:sz w:val="22"/>
          <w:szCs w:val="22"/>
        </w:rPr>
      </w:pPr>
      <w:bookmarkStart w:id="8" w:name="_Toc216427213"/>
      <w:r w:rsidRPr="00B21815">
        <w:rPr>
          <w:rStyle w:val="Strong"/>
          <w:rFonts w:ascii="Arial" w:hAnsi="Arial" w:cs="Arial"/>
          <w:color w:val="000000" w:themeColor="text1"/>
          <w:sz w:val="22"/>
          <w:szCs w:val="22"/>
        </w:rPr>
        <w:t>8. Discussion</w:t>
      </w:r>
      <w:bookmarkEnd w:id="8"/>
    </w:p>
    <w:p w14:paraId="16761517" w14:textId="77777777" w:rsidR="008462B1" w:rsidRPr="00B21815" w:rsidRDefault="008462B1" w:rsidP="008462B1">
      <w:pPr>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This review examined the effectiveness and challenges of digital mental health interventions (DMHIs) for young people, focusing on wellbeing improvements, accessibility and engagement, peer support, and common limitations. Across all included studies, there was consistent evidence of improvements in emotional wellbeing, although the nature and stability of these gains varied. Liverpool et al. (2025) reported strong short-term reductions in anxiety and depression across multiple systematic reviews, particularly for CBT-based interventions, mirroring the kinds of wellbeing improvements often associated with web-based CBT. Potts et al. (2025) similarly identified measurable improvements in mood, coping, and functioning among young adults aged 16–25, reinforcing the potential of digital delivery to support positive mental health outcomes. Piers et al. (2023) also found positive emotional impacts among socioeconomically marginalised youth; however, these improvements were less consistent, largely because the young people who might benefit most also face the greatest barriers to sustained digital engagement. When viewed together, these findings suggest that although wellbeing benefits are evident, the magnitude and persistence of these improvements differ substantially depending on access, intervention design, and population characteristics.</w:t>
      </w:r>
    </w:p>
    <w:p w14:paraId="2E432D97" w14:textId="77777777" w:rsidR="00B75D7B" w:rsidRPr="00B21815" w:rsidRDefault="00B75D7B" w:rsidP="008462B1">
      <w:pPr>
        <w:spacing w:line="360" w:lineRule="auto"/>
        <w:rPr>
          <w:rFonts w:ascii="Arial" w:hAnsi="Arial" w:cs="Arial"/>
          <w:color w:val="000000" w:themeColor="text1"/>
          <w:sz w:val="22"/>
          <w:szCs w:val="22"/>
        </w:rPr>
      </w:pPr>
    </w:p>
    <w:p w14:paraId="4B13DA9D" w14:textId="799DE260" w:rsidR="008462B1" w:rsidRPr="00B21815" w:rsidRDefault="008462B1" w:rsidP="008462B1">
      <w:pPr>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The analysis also highlighted accessibility and engagement as pivotal factors shaping the success of DMHIs. Consistent with the idea that digital tools can reduce barriers such as stigma, travel, and long waiting times, Liverpool et al. (2025) found that anonymity and flexibility were key reasons why young people preferred digital support. Potts et al. (2025) reinforced the value of accessibility, showing that DMHIs can reach young people who might otherwise be reluctant or unable to engage with traditional services. However, both studies identified considerable variation in retention and adherence, with many users disengaging early</w:t>
      </w:r>
      <w:r w:rsidR="00D46672" w:rsidRPr="00B21815">
        <w:rPr>
          <w:rFonts w:ascii="Arial" w:hAnsi="Arial" w:cs="Arial"/>
          <w:color w:val="000000" w:themeColor="text1"/>
          <w:sz w:val="22"/>
          <w:szCs w:val="22"/>
        </w:rPr>
        <w:t xml:space="preserve"> </w:t>
      </w:r>
      <w:r w:rsidRPr="00B21815">
        <w:rPr>
          <w:rFonts w:ascii="Arial" w:hAnsi="Arial" w:cs="Arial"/>
          <w:color w:val="000000" w:themeColor="text1"/>
          <w:sz w:val="22"/>
          <w:szCs w:val="22"/>
        </w:rPr>
        <w:t>a pattern comparable to the general issue of low retention highlighted in broader digital mental health research. Piers et al. (2023) extended this understanding by illustrating how marginalised young people experience structural constraints</w:t>
      </w:r>
      <w:r w:rsidR="00D46672" w:rsidRPr="00B21815">
        <w:rPr>
          <w:rFonts w:ascii="Arial" w:hAnsi="Arial" w:cs="Arial"/>
          <w:color w:val="000000" w:themeColor="text1"/>
          <w:sz w:val="22"/>
          <w:szCs w:val="22"/>
        </w:rPr>
        <w:t xml:space="preserve"> </w:t>
      </w:r>
      <w:r w:rsidRPr="00B21815">
        <w:rPr>
          <w:rFonts w:ascii="Arial" w:hAnsi="Arial" w:cs="Arial"/>
          <w:color w:val="000000" w:themeColor="text1"/>
          <w:sz w:val="22"/>
          <w:szCs w:val="22"/>
        </w:rPr>
        <w:t>such as device sharing, unstable connectivity, and limited privacy</w:t>
      </w:r>
      <w:r w:rsidR="00D46672" w:rsidRPr="00B21815">
        <w:rPr>
          <w:rFonts w:ascii="Arial" w:hAnsi="Arial" w:cs="Arial"/>
          <w:color w:val="000000" w:themeColor="text1"/>
          <w:sz w:val="22"/>
          <w:szCs w:val="22"/>
        </w:rPr>
        <w:t xml:space="preserve"> </w:t>
      </w:r>
      <w:r w:rsidRPr="00B21815">
        <w:rPr>
          <w:rFonts w:ascii="Arial" w:hAnsi="Arial" w:cs="Arial"/>
          <w:color w:val="000000" w:themeColor="text1"/>
          <w:sz w:val="22"/>
          <w:szCs w:val="22"/>
        </w:rPr>
        <w:t>that severely restrict their ability to maintain engagement, even when motivation is present. These findings demonstrate that accessibility alone is not enough; meaningful engagement depends on personalised content, intuitive usability, supportive features, and stable digital conditions.</w:t>
      </w:r>
    </w:p>
    <w:p w14:paraId="303E3F84" w14:textId="77777777" w:rsidR="00E54085" w:rsidRPr="00B21815" w:rsidRDefault="00E54085" w:rsidP="008462B1">
      <w:pPr>
        <w:spacing w:line="360" w:lineRule="auto"/>
        <w:rPr>
          <w:rFonts w:ascii="Arial" w:hAnsi="Arial" w:cs="Arial"/>
          <w:color w:val="000000" w:themeColor="text1"/>
          <w:sz w:val="22"/>
          <w:szCs w:val="22"/>
        </w:rPr>
      </w:pPr>
    </w:p>
    <w:p w14:paraId="1DA4A991" w14:textId="77777777" w:rsidR="008462B1" w:rsidRPr="00B21815" w:rsidRDefault="008462B1" w:rsidP="008462B1">
      <w:pPr>
        <w:spacing w:line="360" w:lineRule="auto"/>
        <w:rPr>
          <w:rFonts w:ascii="Arial" w:hAnsi="Arial" w:cs="Arial"/>
          <w:color w:val="000000" w:themeColor="text1"/>
          <w:sz w:val="22"/>
          <w:szCs w:val="22"/>
        </w:rPr>
      </w:pPr>
    </w:p>
    <w:p w14:paraId="53B688E8" w14:textId="7A7B5B0B" w:rsidR="008462B1" w:rsidRPr="00B21815" w:rsidRDefault="008462B1" w:rsidP="008462B1">
      <w:pPr>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A third point of comparison concerns the role of peer support. Liverpool et al. (2025) noted that peer-based or socially interactive components can strengthen emotional validation, reduce feelings of isolation, and encourage continued participation</w:t>
      </w:r>
      <w:r w:rsidR="00FE03C9" w:rsidRPr="00B21815">
        <w:rPr>
          <w:rFonts w:ascii="Arial" w:hAnsi="Arial" w:cs="Arial"/>
          <w:color w:val="000000" w:themeColor="text1"/>
          <w:sz w:val="22"/>
          <w:szCs w:val="22"/>
        </w:rPr>
        <w:t xml:space="preserve">, </w:t>
      </w:r>
      <w:r w:rsidRPr="00B21815">
        <w:rPr>
          <w:rFonts w:ascii="Arial" w:hAnsi="Arial" w:cs="Arial"/>
          <w:color w:val="000000" w:themeColor="text1"/>
          <w:sz w:val="22"/>
          <w:szCs w:val="22"/>
        </w:rPr>
        <w:t>findings consistent with the broader understanding that moderated online communities can enhance belonging. Potts et al. (2025) similarly observed that interventions incorporating peer elements or blended human–digital models often showed higher acceptability and engagement than purely self-directed tools. Piers et al. (2023) agreed that social connection is valuable but highlighted a key tension: marginalised young people may be the least able to participate in peer-support features because of limited digital access or concerns about privacy in shared living environments. Thus, while the studies collectively support the benefits of peer support, they also indicate that such features must be designed with attention to digital inequality and safety.</w:t>
      </w:r>
    </w:p>
    <w:p w14:paraId="66AA9C57" w14:textId="77777777" w:rsidR="008462B1" w:rsidRPr="00B21815" w:rsidRDefault="008462B1" w:rsidP="008462B1">
      <w:pPr>
        <w:spacing w:line="360" w:lineRule="auto"/>
        <w:rPr>
          <w:rFonts w:ascii="Arial" w:hAnsi="Arial" w:cs="Arial"/>
          <w:color w:val="000000" w:themeColor="text1"/>
          <w:sz w:val="22"/>
          <w:szCs w:val="22"/>
        </w:rPr>
      </w:pPr>
    </w:p>
    <w:p w14:paraId="7AE07023" w14:textId="2DD5946B" w:rsidR="000878AE" w:rsidRPr="00B21815" w:rsidRDefault="008462B1" w:rsidP="008462B1">
      <w:pPr>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Finally, all three studies identified important risks and limitations, closely aligned with the broader categories typically described in DMHI literature. Consistent with concerns around engagement, both Liverpool et al. (2025) and Potts et al. (2025) emphasised high dropout rates, which limit the strength of conclusions about long-term effectiveness. Digital inequality</w:t>
      </w:r>
      <w:r w:rsidR="00FE03C9" w:rsidRPr="00B21815">
        <w:rPr>
          <w:rFonts w:ascii="Arial" w:hAnsi="Arial" w:cs="Arial"/>
          <w:color w:val="000000" w:themeColor="text1"/>
          <w:sz w:val="22"/>
          <w:szCs w:val="22"/>
        </w:rPr>
        <w:t xml:space="preserve"> </w:t>
      </w:r>
      <w:r w:rsidRPr="00B21815">
        <w:rPr>
          <w:rFonts w:ascii="Arial" w:hAnsi="Arial" w:cs="Arial"/>
          <w:color w:val="000000" w:themeColor="text1"/>
          <w:sz w:val="22"/>
          <w:szCs w:val="22"/>
        </w:rPr>
        <w:t>such as lack of devices, limited internet access, or low digital literacy</w:t>
      </w:r>
      <w:r w:rsidR="00FE03C9" w:rsidRPr="00B21815">
        <w:rPr>
          <w:rFonts w:ascii="Arial" w:hAnsi="Arial" w:cs="Arial"/>
          <w:color w:val="000000" w:themeColor="text1"/>
          <w:sz w:val="22"/>
          <w:szCs w:val="22"/>
        </w:rPr>
        <w:t xml:space="preserve">, </w:t>
      </w:r>
      <w:r w:rsidRPr="00B21815">
        <w:rPr>
          <w:rFonts w:ascii="Arial" w:hAnsi="Arial" w:cs="Arial"/>
          <w:color w:val="000000" w:themeColor="text1"/>
          <w:sz w:val="22"/>
          <w:szCs w:val="22"/>
        </w:rPr>
        <w:t>was a major limitation highlighted explicitly by Piers et al. (2023), who demonstrated that these constraints disproportionately affect those most in need of support. Privacy and security concerns were also widely acknowledged: Liverpool et al. (2025) noted ethical and safeguarding risks when young people use digital platforms without adequate clinical oversight, while Potts et al. (2025) identified significant variability in regulatory standards and intervention quality. Across all studies, there was agreement that digital tools alone cannot safely or effectively support young people with complex or severe mental health needs, for whom specialist, face-to-face interventions remain essential. Taken together, these limitations underscore that although DMHIs offer promising avenues for youth mental health, their success depends on careful implementation, strong governance, and strategies to reduce digital exclusion.</w:t>
      </w:r>
    </w:p>
    <w:p w14:paraId="43E43138" w14:textId="77777777" w:rsidR="008462B1" w:rsidRPr="00B21815" w:rsidRDefault="008462B1" w:rsidP="008462B1">
      <w:pPr>
        <w:spacing w:line="360" w:lineRule="auto"/>
        <w:rPr>
          <w:rFonts w:ascii="Arial" w:hAnsi="Arial" w:cs="Arial"/>
          <w:color w:val="000000" w:themeColor="text1"/>
          <w:sz w:val="22"/>
          <w:szCs w:val="22"/>
        </w:rPr>
      </w:pPr>
    </w:p>
    <w:p w14:paraId="6E9618E6" w14:textId="2E0B50E5" w:rsidR="008462B1" w:rsidRPr="00B21815" w:rsidRDefault="008462B1" w:rsidP="008462B1">
      <w:pPr>
        <w:spacing w:line="360" w:lineRule="auto"/>
        <w:rPr>
          <w:rFonts w:ascii="Arial" w:hAnsi="Arial" w:cs="Arial"/>
          <w:color w:val="000000"/>
          <w:sz w:val="22"/>
          <w:szCs w:val="22"/>
        </w:rPr>
      </w:pPr>
      <w:r w:rsidRPr="00B21815">
        <w:rPr>
          <w:rFonts w:ascii="Arial" w:hAnsi="Arial" w:cs="Arial"/>
          <w:color w:val="000000"/>
          <w:sz w:val="22"/>
          <w:szCs w:val="22"/>
        </w:rPr>
        <w:t>The overall findings of this review also align closely with evidence from the wider international context, further strengthening the conclusions drawn from the three included studies. The Danish research by Stjerneklar et al. (2019), for example, demonstrated that a structured internet-based CBT programme produced significant reductions in anxiety symptoms and maintained these improvements over a 12-month follow-up, provided that young people had stable digital access and regular therapeutic support.</w:t>
      </w:r>
      <w:r w:rsidRPr="00B21815">
        <w:rPr>
          <w:rStyle w:val="apple-converted-space"/>
          <w:rFonts w:ascii="Arial" w:eastAsiaTheme="majorEastAsia" w:hAnsi="Arial" w:cs="Arial"/>
          <w:color w:val="000000"/>
          <w:sz w:val="22"/>
          <w:szCs w:val="22"/>
        </w:rPr>
        <w:t> </w:t>
      </w:r>
      <w:r w:rsidRPr="00B21815">
        <w:rPr>
          <w:rFonts w:ascii="Arial" w:hAnsi="Arial" w:cs="Arial"/>
          <w:color w:val="000000"/>
          <w:sz w:val="22"/>
          <w:szCs w:val="22"/>
        </w:rPr>
        <w:t xml:space="preserve">This mirrors the </w:t>
      </w:r>
      <w:r w:rsidRPr="00B21815">
        <w:rPr>
          <w:rFonts w:ascii="Arial" w:hAnsi="Arial" w:cs="Arial"/>
          <w:color w:val="000000"/>
          <w:sz w:val="22"/>
          <w:szCs w:val="22"/>
        </w:rPr>
        <w:lastRenderedPageBreak/>
        <w:t>positive short-term outcomes reported in Liverpool et al. (2025) and Potts et al. (2025), while also reinforcing the concerns raised by Piers et al. (2023) regarding digital inequality and uneven engagement. Importantly, the international findings highlight that even highly effective digital interventions require supportive infrastructure, guidance, and accessibility to achieve sustained impact. By comparing UK-focused and international evidence, it becomes clear that the potential of DMHIs is universal, but their success depends on addressing structural barriers and ensuring that digital solutions are implemented equitably across diverse youth populations.</w:t>
      </w:r>
    </w:p>
    <w:p w14:paraId="3857B818" w14:textId="77777777" w:rsidR="00461369" w:rsidRPr="00B21815" w:rsidRDefault="00461369" w:rsidP="008462B1">
      <w:pPr>
        <w:spacing w:line="360" w:lineRule="auto"/>
        <w:rPr>
          <w:rFonts w:ascii="Arial" w:hAnsi="Arial" w:cs="Arial"/>
          <w:color w:val="000000"/>
          <w:sz w:val="22"/>
          <w:szCs w:val="22"/>
        </w:rPr>
      </w:pPr>
    </w:p>
    <w:p w14:paraId="28BC41C1" w14:textId="77777777" w:rsidR="00461369" w:rsidRPr="00B21815" w:rsidRDefault="00461369" w:rsidP="008462B1">
      <w:pPr>
        <w:spacing w:line="360" w:lineRule="auto"/>
        <w:rPr>
          <w:rFonts w:ascii="Arial" w:hAnsi="Arial" w:cs="Arial"/>
          <w:color w:val="000000"/>
          <w:sz w:val="22"/>
          <w:szCs w:val="22"/>
        </w:rPr>
      </w:pPr>
    </w:p>
    <w:p w14:paraId="56A3284D" w14:textId="77777777" w:rsidR="00461369" w:rsidRPr="00B21815" w:rsidRDefault="00461369" w:rsidP="008462B1">
      <w:pPr>
        <w:spacing w:line="360" w:lineRule="auto"/>
        <w:rPr>
          <w:rFonts w:ascii="Arial" w:hAnsi="Arial" w:cs="Arial"/>
          <w:color w:val="000000"/>
          <w:sz w:val="22"/>
          <w:szCs w:val="22"/>
        </w:rPr>
      </w:pPr>
    </w:p>
    <w:p w14:paraId="3C95715F" w14:textId="77777777" w:rsidR="00461369" w:rsidRPr="00B21815" w:rsidRDefault="00461369" w:rsidP="008462B1">
      <w:pPr>
        <w:spacing w:line="360" w:lineRule="auto"/>
        <w:rPr>
          <w:rFonts w:ascii="Arial" w:hAnsi="Arial" w:cs="Arial"/>
          <w:color w:val="000000"/>
          <w:sz w:val="22"/>
          <w:szCs w:val="22"/>
        </w:rPr>
      </w:pPr>
    </w:p>
    <w:p w14:paraId="2CCAB279" w14:textId="77777777" w:rsidR="00461369" w:rsidRPr="00B21815" w:rsidRDefault="00461369" w:rsidP="008462B1">
      <w:pPr>
        <w:spacing w:line="360" w:lineRule="auto"/>
        <w:rPr>
          <w:rFonts w:ascii="Arial" w:hAnsi="Arial" w:cs="Arial"/>
          <w:color w:val="000000"/>
          <w:sz w:val="22"/>
          <w:szCs w:val="22"/>
        </w:rPr>
      </w:pPr>
    </w:p>
    <w:p w14:paraId="16EAD4D0" w14:textId="77777777" w:rsidR="00461369" w:rsidRPr="00B21815" w:rsidRDefault="00461369" w:rsidP="008462B1">
      <w:pPr>
        <w:spacing w:line="360" w:lineRule="auto"/>
        <w:rPr>
          <w:rFonts w:ascii="Arial" w:hAnsi="Arial" w:cs="Arial"/>
          <w:color w:val="000000"/>
          <w:sz w:val="22"/>
          <w:szCs w:val="22"/>
        </w:rPr>
      </w:pPr>
    </w:p>
    <w:p w14:paraId="5E555339" w14:textId="77777777" w:rsidR="00461369" w:rsidRPr="00B21815" w:rsidRDefault="00461369" w:rsidP="008462B1">
      <w:pPr>
        <w:spacing w:line="360" w:lineRule="auto"/>
        <w:rPr>
          <w:rFonts w:ascii="Arial" w:hAnsi="Arial" w:cs="Arial"/>
          <w:color w:val="000000"/>
          <w:sz w:val="22"/>
          <w:szCs w:val="22"/>
        </w:rPr>
      </w:pPr>
    </w:p>
    <w:p w14:paraId="4A1977A3" w14:textId="77777777" w:rsidR="00461369" w:rsidRPr="00B21815" w:rsidRDefault="00461369" w:rsidP="008462B1">
      <w:pPr>
        <w:spacing w:line="360" w:lineRule="auto"/>
        <w:rPr>
          <w:rFonts w:ascii="Arial" w:hAnsi="Arial" w:cs="Arial"/>
          <w:color w:val="000000"/>
          <w:sz w:val="22"/>
          <w:szCs w:val="22"/>
        </w:rPr>
      </w:pPr>
    </w:p>
    <w:p w14:paraId="5809C9F0" w14:textId="77777777" w:rsidR="00461369" w:rsidRPr="00B21815" w:rsidRDefault="00461369" w:rsidP="008462B1">
      <w:pPr>
        <w:spacing w:line="360" w:lineRule="auto"/>
        <w:rPr>
          <w:rFonts w:ascii="Arial" w:hAnsi="Arial" w:cs="Arial"/>
          <w:color w:val="000000"/>
          <w:sz w:val="22"/>
          <w:szCs w:val="22"/>
        </w:rPr>
      </w:pPr>
    </w:p>
    <w:p w14:paraId="13ACFF73" w14:textId="77777777" w:rsidR="00461369" w:rsidRPr="00B21815" w:rsidRDefault="00461369" w:rsidP="008462B1">
      <w:pPr>
        <w:spacing w:line="360" w:lineRule="auto"/>
        <w:rPr>
          <w:rFonts w:ascii="Arial" w:hAnsi="Arial" w:cs="Arial"/>
          <w:color w:val="000000"/>
          <w:sz w:val="22"/>
          <w:szCs w:val="22"/>
        </w:rPr>
      </w:pPr>
    </w:p>
    <w:p w14:paraId="1F63F418" w14:textId="77777777" w:rsidR="00461369" w:rsidRPr="00B21815" w:rsidRDefault="00461369" w:rsidP="008462B1">
      <w:pPr>
        <w:spacing w:line="360" w:lineRule="auto"/>
        <w:rPr>
          <w:rFonts w:ascii="Arial" w:hAnsi="Arial" w:cs="Arial"/>
          <w:color w:val="000000"/>
          <w:sz w:val="22"/>
          <w:szCs w:val="22"/>
        </w:rPr>
      </w:pPr>
    </w:p>
    <w:p w14:paraId="4E47B50C" w14:textId="77777777" w:rsidR="00461369" w:rsidRPr="00B21815" w:rsidRDefault="00461369" w:rsidP="008462B1">
      <w:pPr>
        <w:spacing w:line="360" w:lineRule="auto"/>
        <w:rPr>
          <w:rFonts w:ascii="Arial" w:hAnsi="Arial" w:cs="Arial"/>
          <w:color w:val="000000"/>
          <w:sz w:val="22"/>
          <w:szCs w:val="22"/>
        </w:rPr>
      </w:pPr>
    </w:p>
    <w:p w14:paraId="2D0A70EC" w14:textId="77777777" w:rsidR="00461369" w:rsidRPr="00B21815" w:rsidRDefault="00461369" w:rsidP="008462B1">
      <w:pPr>
        <w:spacing w:line="360" w:lineRule="auto"/>
        <w:rPr>
          <w:rFonts w:ascii="Arial" w:hAnsi="Arial" w:cs="Arial"/>
          <w:color w:val="000000"/>
          <w:sz w:val="22"/>
          <w:szCs w:val="22"/>
        </w:rPr>
      </w:pPr>
    </w:p>
    <w:p w14:paraId="10134CF7" w14:textId="77777777" w:rsidR="00461369" w:rsidRPr="00B21815" w:rsidRDefault="00461369" w:rsidP="008462B1">
      <w:pPr>
        <w:spacing w:line="360" w:lineRule="auto"/>
        <w:rPr>
          <w:rFonts w:ascii="Arial" w:hAnsi="Arial" w:cs="Arial"/>
          <w:color w:val="000000"/>
          <w:sz w:val="22"/>
          <w:szCs w:val="22"/>
        </w:rPr>
      </w:pPr>
    </w:p>
    <w:p w14:paraId="7110526F" w14:textId="77777777" w:rsidR="00461369" w:rsidRPr="00B21815" w:rsidRDefault="00461369" w:rsidP="008462B1">
      <w:pPr>
        <w:spacing w:line="360" w:lineRule="auto"/>
        <w:rPr>
          <w:rFonts w:ascii="Arial" w:hAnsi="Arial" w:cs="Arial"/>
          <w:color w:val="000000"/>
          <w:sz w:val="22"/>
          <w:szCs w:val="22"/>
        </w:rPr>
      </w:pPr>
    </w:p>
    <w:p w14:paraId="1976E337" w14:textId="77777777" w:rsidR="00461369" w:rsidRPr="00B21815" w:rsidRDefault="00461369" w:rsidP="008462B1">
      <w:pPr>
        <w:spacing w:line="360" w:lineRule="auto"/>
        <w:rPr>
          <w:rFonts w:ascii="Arial" w:hAnsi="Arial" w:cs="Arial"/>
          <w:color w:val="000000"/>
          <w:sz w:val="22"/>
          <w:szCs w:val="22"/>
        </w:rPr>
      </w:pPr>
    </w:p>
    <w:p w14:paraId="0B1C0CAE" w14:textId="77777777" w:rsidR="00461369" w:rsidRPr="00B21815" w:rsidRDefault="00461369" w:rsidP="008462B1">
      <w:pPr>
        <w:spacing w:line="360" w:lineRule="auto"/>
        <w:rPr>
          <w:rFonts w:ascii="Arial" w:hAnsi="Arial" w:cs="Arial"/>
          <w:color w:val="000000"/>
          <w:sz w:val="22"/>
          <w:szCs w:val="22"/>
        </w:rPr>
      </w:pPr>
    </w:p>
    <w:p w14:paraId="3C8DEE0B" w14:textId="77777777" w:rsidR="00461369" w:rsidRPr="00B21815" w:rsidRDefault="00461369" w:rsidP="008462B1">
      <w:pPr>
        <w:spacing w:line="360" w:lineRule="auto"/>
        <w:rPr>
          <w:rFonts w:ascii="Arial" w:hAnsi="Arial" w:cs="Arial"/>
          <w:color w:val="000000"/>
          <w:sz w:val="22"/>
          <w:szCs w:val="22"/>
        </w:rPr>
      </w:pPr>
    </w:p>
    <w:p w14:paraId="4A9045E1" w14:textId="77777777" w:rsidR="00461369" w:rsidRPr="00B21815" w:rsidRDefault="00461369" w:rsidP="008462B1">
      <w:pPr>
        <w:spacing w:line="360" w:lineRule="auto"/>
        <w:rPr>
          <w:rFonts w:ascii="Arial" w:hAnsi="Arial" w:cs="Arial"/>
          <w:color w:val="000000"/>
          <w:sz w:val="22"/>
          <w:szCs w:val="22"/>
        </w:rPr>
      </w:pPr>
    </w:p>
    <w:p w14:paraId="0CF02B3D" w14:textId="77777777" w:rsidR="00461369" w:rsidRPr="00B21815" w:rsidRDefault="00461369" w:rsidP="008462B1">
      <w:pPr>
        <w:spacing w:line="360" w:lineRule="auto"/>
        <w:rPr>
          <w:rFonts w:ascii="Arial" w:hAnsi="Arial" w:cs="Arial"/>
          <w:color w:val="000000"/>
          <w:sz w:val="22"/>
          <w:szCs w:val="22"/>
        </w:rPr>
      </w:pPr>
    </w:p>
    <w:p w14:paraId="3D2BB460" w14:textId="77777777" w:rsidR="00461369" w:rsidRPr="00B21815" w:rsidRDefault="00461369" w:rsidP="008462B1">
      <w:pPr>
        <w:spacing w:line="360" w:lineRule="auto"/>
        <w:rPr>
          <w:rFonts w:ascii="Arial" w:hAnsi="Arial" w:cs="Arial"/>
          <w:color w:val="000000"/>
          <w:sz w:val="22"/>
          <w:szCs w:val="22"/>
        </w:rPr>
      </w:pPr>
    </w:p>
    <w:p w14:paraId="52AA47DF" w14:textId="77777777" w:rsidR="00461369" w:rsidRPr="00B21815" w:rsidRDefault="00461369" w:rsidP="008462B1">
      <w:pPr>
        <w:spacing w:line="360" w:lineRule="auto"/>
        <w:rPr>
          <w:rFonts w:ascii="Arial" w:hAnsi="Arial" w:cs="Arial"/>
          <w:color w:val="000000"/>
          <w:sz w:val="22"/>
          <w:szCs w:val="22"/>
        </w:rPr>
      </w:pPr>
    </w:p>
    <w:p w14:paraId="4DA39A68" w14:textId="77777777" w:rsidR="00461369" w:rsidRPr="00B21815" w:rsidRDefault="00461369" w:rsidP="008462B1">
      <w:pPr>
        <w:spacing w:line="360" w:lineRule="auto"/>
        <w:rPr>
          <w:rFonts w:ascii="Arial" w:hAnsi="Arial" w:cs="Arial"/>
          <w:color w:val="000000"/>
          <w:sz w:val="22"/>
          <w:szCs w:val="22"/>
        </w:rPr>
      </w:pPr>
    </w:p>
    <w:p w14:paraId="6492BE99" w14:textId="77777777" w:rsidR="00461369" w:rsidRPr="00B21815" w:rsidRDefault="00461369" w:rsidP="008462B1">
      <w:pPr>
        <w:spacing w:line="360" w:lineRule="auto"/>
        <w:rPr>
          <w:rFonts w:ascii="Arial" w:hAnsi="Arial" w:cs="Arial"/>
          <w:color w:val="000000"/>
          <w:sz w:val="22"/>
          <w:szCs w:val="22"/>
        </w:rPr>
      </w:pPr>
    </w:p>
    <w:p w14:paraId="586F1C3E" w14:textId="77777777" w:rsidR="00461369" w:rsidRPr="00B21815" w:rsidRDefault="00461369" w:rsidP="008462B1">
      <w:pPr>
        <w:spacing w:line="360" w:lineRule="auto"/>
        <w:rPr>
          <w:rFonts w:ascii="Arial" w:hAnsi="Arial" w:cs="Arial"/>
          <w:color w:val="000000"/>
          <w:sz w:val="22"/>
          <w:szCs w:val="22"/>
        </w:rPr>
      </w:pPr>
    </w:p>
    <w:p w14:paraId="19B6931D" w14:textId="77777777" w:rsidR="00461369" w:rsidRPr="00B21815" w:rsidRDefault="00461369" w:rsidP="008462B1">
      <w:pPr>
        <w:spacing w:line="360" w:lineRule="auto"/>
        <w:rPr>
          <w:rFonts w:ascii="Arial" w:hAnsi="Arial" w:cs="Arial"/>
          <w:color w:val="000000"/>
          <w:sz w:val="22"/>
          <w:szCs w:val="22"/>
        </w:rPr>
      </w:pPr>
    </w:p>
    <w:p w14:paraId="43807D45" w14:textId="77777777" w:rsidR="00461369" w:rsidRPr="00B21815" w:rsidRDefault="00461369" w:rsidP="008462B1">
      <w:pPr>
        <w:spacing w:line="360" w:lineRule="auto"/>
        <w:rPr>
          <w:rFonts w:ascii="Arial" w:hAnsi="Arial" w:cs="Arial"/>
          <w:color w:val="000000"/>
          <w:sz w:val="22"/>
          <w:szCs w:val="22"/>
        </w:rPr>
      </w:pPr>
    </w:p>
    <w:p w14:paraId="26A201FF" w14:textId="77777777" w:rsidR="00461369" w:rsidRPr="00B21815" w:rsidRDefault="00461369" w:rsidP="008462B1">
      <w:pPr>
        <w:spacing w:line="360" w:lineRule="auto"/>
        <w:rPr>
          <w:rFonts w:ascii="Arial" w:eastAsiaTheme="majorEastAsia" w:hAnsi="Arial" w:cs="Arial"/>
          <w:color w:val="000000"/>
          <w:sz w:val="22"/>
          <w:szCs w:val="22"/>
        </w:rPr>
      </w:pPr>
    </w:p>
    <w:p w14:paraId="0F3AEE79" w14:textId="77777777" w:rsidR="000878AE" w:rsidRPr="00B21815" w:rsidRDefault="000878AE" w:rsidP="006E18D9">
      <w:pPr>
        <w:pStyle w:val="Heading2"/>
        <w:spacing w:line="360" w:lineRule="auto"/>
        <w:rPr>
          <w:rFonts w:ascii="Arial" w:hAnsi="Arial" w:cs="Arial"/>
          <w:color w:val="000000" w:themeColor="text1"/>
          <w:sz w:val="22"/>
          <w:szCs w:val="22"/>
        </w:rPr>
      </w:pPr>
      <w:bookmarkStart w:id="9" w:name="_Toc216427214"/>
      <w:r w:rsidRPr="00B21815">
        <w:rPr>
          <w:rStyle w:val="Strong"/>
          <w:rFonts w:ascii="Arial" w:hAnsi="Arial" w:cs="Arial"/>
          <w:color w:val="000000" w:themeColor="text1"/>
          <w:sz w:val="22"/>
          <w:szCs w:val="22"/>
        </w:rPr>
        <w:lastRenderedPageBreak/>
        <w:t>9. Limitations of the Research</w:t>
      </w:r>
      <w:bookmarkEnd w:id="9"/>
    </w:p>
    <w:p w14:paraId="62DB3FE4" w14:textId="77777777" w:rsidR="000878AE" w:rsidRPr="00B21815" w:rsidRDefault="000878AE" w:rsidP="006E18D9">
      <w:pPr>
        <w:pStyle w:val="NormalWeb"/>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This study is limited by the small number of reviewed studies, focusing on UK-specific research. The scoping review design does not allow for meta-analysis or causality assessment. Included studies often examined short-term outcomes, and there is limited evidence on long-term effects. Digital interventions targeting specific subpopulations, such as ethnic minorities or care-experienced youth, were underrepresented, limiting generalisability.</w:t>
      </w:r>
    </w:p>
    <w:p w14:paraId="5DE60706" w14:textId="77777777" w:rsidR="00461369" w:rsidRPr="00B21815" w:rsidRDefault="00461369" w:rsidP="006E18D9">
      <w:pPr>
        <w:pStyle w:val="NormalWeb"/>
        <w:spacing w:line="360" w:lineRule="auto"/>
        <w:rPr>
          <w:rFonts w:ascii="Arial" w:hAnsi="Arial" w:cs="Arial"/>
          <w:color w:val="000000" w:themeColor="text1"/>
          <w:sz w:val="22"/>
          <w:szCs w:val="22"/>
        </w:rPr>
      </w:pPr>
    </w:p>
    <w:p w14:paraId="486FA734" w14:textId="77777777" w:rsidR="00461369" w:rsidRPr="00B21815" w:rsidRDefault="00461369" w:rsidP="006E18D9">
      <w:pPr>
        <w:pStyle w:val="NormalWeb"/>
        <w:spacing w:line="360" w:lineRule="auto"/>
        <w:rPr>
          <w:rFonts w:ascii="Arial" w:hAnsi="Arial" w:cs="Arial"/>
          <w:color w:val="000000" w:themeColor="text1"/>
          <w:sz w:val="22"/>
          <w:szCs w:val="22"/>
        </w:rPr>
      </w:pPr>
    </w:p>
    <w:p w14:paraId="6B9BEC15" w14:textId="77777777" w:rsidR="00461369" w:rsidRPr="00B21815" w:rsidRDefault="00461369" w:rsidP="006E18D9">
      <w:pPr>
        <w:pStyle w:val="NormalWeb"/>
        <w:spacing w:line="360" w:lineRule="auto"/>
        <w:rPr>
          <w:rFonts w:ascii="Arial" w:hAnsi="Arial" w:cs="Arial"/>
          <w:color w:val="000000" w:themeColor="text1"/>
          <w:sz w:val="22"/>
          <w:szCs w:val="22"/>
        </w:rPr>
      </w:pPr>
    </w:p>
    <w:p w14:paraId="0219D22F" w14:textId="77777777" w:rsidR="00461369" w:rsidRPr="00B21815" w:rsidRDefault="00461369" w:rsidP="006E18D9">
      <w:pPr>
        <w:pStyle w:val="NormalWeb"/>
        <w:spacing w:line="360" w:lineRule="auto"/>
        <w:rPr>
          <w:rFonts w:ascii="Arial" w:hAnsi="Arial" w:cs="Arial"/>
          <w:color w:val="000000" w:themeColor="text1"/>
          <w:sz w:val="22"/>
          <w:szCs w:val="22"/>
        </w:rPr>
      </w:pPr>
    </w:p>
    <w:p w14:paraId="44AF30F0" w14:textId="77777777" w:rsidR="00461369" w:rsidRPr="00B21815" w:rsidRDefault="00461369" w:rsidP="006E18D9">
      <w:pPr>
        <w:pStyle w:val="NormalWeb"/>
        <w:spacing w:line="360" w:lineRule="auto"/>
        <w:rPr>
          <w:rFonts w:ascii="Arial" w:hAnsi="Arial" w:cs="Arial"/>
          <w:color w:val="000000" w:themeColor="text1"/>
          <w:sz w:val="22"/>
          <w:szCs w:val="22"/>
        </w:rPr>
      </w:pPr>
    </w:p>
    <w:p w14:paraId="509E2643" w14:textId="77777777" w:rsidR="00461369" w:rsidRPr="00B21815" w:rsidRDefault="00461369" w:rsidP="006E18D9">
      <w:pPr>
        <w:pStyle w:val="NormalWeb"/>
        <w:spacing w:line="360" w:lineRule="auto"/>
        <w:rPr>
          <w:rFonts w:ascii="Arial" w:hAnsi="Arial" w:cs="Arial"/>
          <w:color w:val="000000" w:themeColor="text1"/>
          <w:sz w:val="22"/>
          <w:szCs w:val="22"/>
        </w:rPr>
      </w:pPr>
    </w:p>
    <w:p w14:paraId="43D4B996" w14:textId="77777777" w:rsidR="00461369" w:rsidRPr="00B21815" w:rsidRDefault="00461369" w:rsidP="006E18D9">
      <w:pPr>
        <w:pStyle w:val="NormalWeb"/>
        <w:spacing w:line="360" w:lineRule="auto"/>
        <w:rPr>
          <w:rFonts w:ascii="Arial" w:hAnsi="Arial" w:cs="Arial"/>
          <w:color w:val="000000" w:themeColor="text1"/>
          <w:sz w:val="22"/>
          <w:szCs w:val="22"/>
        </w:rPr>
      </w:pPr>
    </w:p>
    <w:p w14:paraId="09A2A355" w14:textId="77777777" w:rsidR="00461369" w:rsidRPr="00B21815" w:rsidRDefault="00461369" w:rsidP="006E18D9">
      <w:pPr>
        <w:pStyle w:val="NormalWeb"/>
        <w:spacing w:line="360" w:lineRule="auto"/>
        <w:rPr>
          <w:rFonts w:ascii="Arial" w:hAnsi="Arial" w:cs="Arial"/>
          <w:color w:val="000000" w:themeColor="text1"/>
          <w:sz w:val="22"/>
          <w:szCs w:val="22"/>
        </w:rPr>
      </w:pPr>
    </w:p>
    <w:p w14:paraId="7A8B1985" w14:textId="77777777" w:rsidR="00461369" w:rsidRPr="00B21815" w:rsidRDefault="00461369" w:rsidP="006E18D9">
      <w:pPr>
        <w:pStyle w:val="NormalWeb"/>
        <w:spacing w:line="360" w:lineRule="auto"/>
        <w:rPr>
          <w:rFonts w:ascii="Arial" w:hAnsi="Arial" w:cs="Arial"/>
          <w:color w:val="000000" w:themeColor="text1"/>
          <w:sz w:val="22"/>
          <w:szCs w:val="22"/>
        </w:rPr>
      </w:pPr>
    </w:p>
    <w:p w14:paraId="681FA22F" w14:textId="77777777" w:rsidR="00461369" w:rsidRPr="00B21815" w:rsidRDefault="00461369" w:rsidP="006E18D9">
      <w:pPr>
        <w:pStyle w:val="NormalWeb"/>
        <w:spacing w:line="360" w:lineRule="auto"/>
        <w:rPr>
          <w:rFonts w:ascii="Arial" w:hAnsi="Arial" w:cs="Arial"/>
          <w:color w:val="000000" w:themeColor="text1"/>
          <w:sz w:val="22"/>
          <w:szCs w:val="22"/>
        </w:rPr>
      </w:pPr>
    </w:p>
    <w:p w14:paraId="610AADA6" w14:textId="77777777" w:rsidR="00461369" w:rsidRPr="00B21815" w:rsidRDefault="00461369" w:rsidP="006E18D9">
      <w:pPr>
        <w:pStyle w:val="NormalWeb"/>
        <w:spacing w:line="360" w:lineRule="auto"/>
        <w:rPr>
          <w:rFonts w:ascii="Arial" w:hAnsi="Arial" w:cs="Arial"/>
          <w:color w:val="000000" w:themeColor="text1"/>
          <w:sz w:val="22"/>
          <w:szCs w:val="22"/>
        </w:rPr>
      </w:pPr>
    </w:p>
    <w:p w14:paraId="3A94408D" w14:textId="77777777" w:rsidR="00461369" w:rsidRPr="00B21815" w:rsidRDefault="00461369" w:rsidP="006E18D9">
      <w:pPr>
        <w:pStyle w:val="NormalWeb"/>
        <w:spacing w:line="360" w:lineRule="auto"/>
        <w:rPr>
          <w:rFonts w:ascii="Arial" w:hAnsi="Arial" w:cs="Arial"/>
          <w:color w:val="000000" w:themeColor="text1"/>
          <w:sz w:val="22"/>
          <w:szCs w:val="22"/>
        </w:rPr>
      </w:pPr>
    </w:p>
    <w:p w14:paraId="30250AF5" w14:textId="77777777" w:rsidR="00461369" w:rsidRPr="00B21815" w:rsidRDefault="00461369" w:rsidP="006E18D9">
      <w:pPr>
        <w:pStyle w:val="NormalWeb"/>
        <w:spacing w:line="360" w:lineRule="auto"/>
        <w:rPr>
          <w:rFonts w:ascii="Arial" w:hAnsi="Arial" w:cs="Arial"/>
          <w:color w:val="000000" w:themeColor="text1"/>
          <w:sz w:val="22"/>
          <w:szCs w:val="22"/>
        </w:rPr>
      </w:pPr>
    </w:p>
    <w:p w14:paraId="6EE389BB" w14:textId="77777777" w:rsidR="00461369" w:rsidRPr="00B21815" w:rsidRDefault="00461369" w:rsidP="006E18D9">
      <w:pPr>
        <w:pStyle w:val="NormalWeb"/>
        <w:spacing w:line="360" w:lineRule="auto"/>
        <w:rPr>
          <w:rFonts w:ascii="Arial" w:hAnsi="Arial" w:cs="Arial"/>
          <w:color w:val="000000" w:themeColor="text1"/>
          <w:sz w:val="22"/>
          <w:szCs w:val="22"/>
        </w:rPr>
      </w:pPr>
    </w:p>
    <w:p w14:paraId="50E5AF46" w14:textId="77777777" w:rsidR="00461369" w:rsidRPr="00B21815" w:rsidRDefault="00461369" w:rsidP="006E18D9">
      <w:pPr>
        <w:pStyle w:val="NormalWeb"/>
        <w:spacing w:line="360" w:lineRule="auto"/>
        <w:rPr>
          <w:rFonts w:ascii="Arial" w:hAnsi="Arial" w:cs="Arial"/>
          <w:color w:val="000000" w:themeColor="text1"/>
          <w:sz w:val="22"/>
          <w:szCs w:val="22"/>
        </w:rPr>
      </w:pPr>
    </w:p>
    <w:p w14:paraId="102F06EA" w14:textId="4EB644F9" w:rsidR="000878AE" w:rsidRPr="00B21815" w:rsidRDefault="000878AE" w:rsidP="006E18D9">
      <w:pPr>
        <w:spacing w:line="360" w:lineRule="auto"/>
        <w:rPr>
          <w:rFonts w:ascii="Arial" w:hAnsi="Arial" w:cs="Arial"/>
          <w:color w:val="000000" w:themeColor="text1"/>
          <w:sz w:val="22"/>
          <w:szCs w:val="22"/>
        </w:rPr>
      </w:pPr>
    </w:p>
    <w:p w14:paraId="772906DC" w14:textId="77777777" w:rsidR="000878AE" w:rsidRPr="00B21815" w:rsidRDefault="000878AE" w:rsidP="006E18D9">
      <w:pPr>
        <w:pStyle w:val="Heading2"/>
        <w:spacing w:line="360" w:lineRule="auto"/>
        <w:rPr>
          <w:rFonts w:ascii="Arial" w:hAnsi="Arial" w:cs="Arial"/>
          <w:color w:val="000000" w:themeColor="text1"/>
          <w:sz w:val="22"/>
          <w:szCs w:val="22"/>
        </w:rPr>
      </w:pPr>
      <w:bookmarkStart w:id="10" w:name="_Toc216427215"/>
      <w:r w:rsidRPr="00B21815">
        <w:rPr>
          <w:rStyle w:val="Strong"/>
          <w:rFonts w:ascii="Arial" w:hAnsi="Arial" w:cs="Arial"/>
          <w:color w:val="000000" w:themeColor="text1"/>
          <w:sz w:val="22"/>
          <w:szCs w:val="22"/>
        </w:rPr>
        <w:lastRenderedPageBreak/>
        <w:t>10. Recommendations</w:t>
      </w:r>
      <w:bookmarkEnd w:id="10"/>
    </w:p>
    <w:p w14:paraId="7BF92D8A" w14:textId="77777777" w:rsidR="000878AE" w:rsidRPr="00B21815" w:rsidRDefault="000878AE" w:rsidP="006E18D9">
      <w:pPr>
        <w:pStyle w:val="NormalWeb"/>
        <w:numPr>
          <w:ilvl w:val="0"/>
          <w:numId w:val="11"/>
        </w:numPr>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Strengthen regulation of digital mental health tools to ensure clinical accuracy, safety, and adherence to data protection standards (JMIR, 2025).</w:t>
      </w:r>
    </w:p>
    <w:p w14:paraId="2154FE7F" w14:textId="77777777" w:rsidR="000878AE" w:rsidRPr="00B21815" w:rsidRDefault="000878AE" w:rsidP="006E18D9">
      <w:pPr>
        <w:pStyle w:val="NormalWeb"/>
        <w:numPr>
          <w:ilvl w:val="0"/>
          <w:numId w:val="11"/>
        </w:numPr>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Enhance engagement through gamification, personalised feedback, and reminders to improve retention (Sivertsen et al., 2021).</w:t>
      </w:r>
    </w:p>
    <w:p w14:paraId="54B40F40" w14:textId="77777777" w:rsidR="000878AE" w:rsidRPr="00B21815" w:rsidRDefault="000878AE" w:rsidP="006E18D9">
      <w:pPr>
        <w:pStyle w:val="NormalWeb"/>
        <w:numPr>
          <w:ilvl w:val="0"/>
          <w:numId w:val="11"/>
        </w:numPr>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Increase accessibility by providing school-based access, subsidised devices, or internet provision for disadvantaged youth (Mind, 2025).</w:t>
      </w:r>
    </w:p>
    <w:p w14:paraId="1AB9DE2C" w14:textId="77777777" w:rsidR="000878AE" w:rsidRPr="00B21815" w:rsidRDefault="000878AE" w:rsidP="006E18D9">
      <w:pPr>
        <w:pStyle w:val="NormalWeb"/>
        <w:numPr>
          <w:ilvl w:val="0"/>
          <w:numId w:val="11"/>
        </w:numPr>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Integrate digital tools with traditional mental health services, establishing clear referral pathways for complex cases (March et al., 2022).</w:t>
      </w:r>
    </w:p>
    <w:p w14:paraId="5D001506" w14:textId="08582D91" w:rsidR="005C326C" w:rsidRDefault="000878AE" w:rsidP="006E18D9">
      <w:pPr>
        <w:pStyle w:val="NormalWeb"/>
        <w:numPr>
          <w:ilvl w:val="0"/>
          <w:numId w:val="11"/>
        </w:numPr>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Conduct longitudinal research to evaluate long-term effectiveness and explore diverse populations’ experiences.</w:t>
      </w:r>
    </w:p>
    <w:p w14:paraId="3185B507" w14:textId="77777777" w:rsidR="001D3DD1" w:rsidRDefault="001D3DD1" w:rsidP="001D3DD1">
      <w:pPr>
        <w:pStyle w:val="NormalWeb"/>
        <w:spacing w:line="360" w:lineRule="auto"/>
        <w:rPr>
          <w:rFonts w:ascii="Arial" w:hAnsi="Arial" w:cs="Arial"/>
          <w:color w:val="000000" w:themeColor="text1"/>
          <w:sz w:val="22"/>
          <w:szCs w:val="22"/>
        </w:rPr>
      </w:pPr>
    </w:p>
    <w:p w14:paraId="21A91AA1" w14:textId="77777777" w:rsidR="001D3DD1" w:rsidRPr="00B21815" w:rsidRDefault="001D3DD1" w:rsidP="001D3DD1">
      <w:pPr>
        <w:pStyle w:val="NormalWeb"/>
        <w:spacing w:line="360" w:lineRule="auto"/>
        <w:rPr>
          <w:rFonts w:ascii="Arial" w:hAnsi="Arial" w:cs="Arial"/>
          <w:color w:val="000000" w:themeColor="text1"/>
          <w:sz w:val="22"/>
          <w:szCs w:val="22"/>
        </w:rPr>
      </w:pPr>
    </w:p>
    <w:p w14:paraId="389C744F" w14:textId="77777777" w:rsidR="005C326C" w:rsidRPr="00B21815" w:rsidRDefault="005C326C" w:rsidP="006E18D9">
      <w:pPr>
        <w:spacing w:line="360" w:lineRule="auto"/>
        <w:rPr>
          <w:rFonts w:ascii="Arial" w:hAnsi="Arial" w:cs="Arial"/>
          <w:b/>
          <w:bCs/>
          <w:color w:val="000000" w:themeColor="text1"/>
          <w:sz w:val="22"/>
          <w:szCs w:val="22"/>
        </w:rPr>
      </w:pPr>
    </w:p>
    <w:p w14:paraId="2468E808" w14:textId="77777777" w:rsidR="000878AE" w:rsidRPr="00B21815" w:rsidRDefault="000878AE" w:rsidP="006E18D9">
      <w:pPr>
        <w:pStyle w:val="Heading2"/>
        <w:spacing w:line="360" w:lineRule="auto"/>
        <w:rPr>
          <w:rFonts w:ascii="Arial" w:hAnsi="Arial" w:cs="Arial"/>
          <w:b/>
          <w:bCs/>
          <w:color w:val="000000" w:themeColor="text1"/>
          <w:sz w:val="22"/>
          <w:szCs w:val="22"/>
        </w:rPr>
      </w:pPr>
      <w:bookmarkStart w:id="11" w:name="_Toc216427216"/>
      <w:r w:rsidRPr="00B21815">
        <w:rPr>
          <w:rStyle w:val="Strong"/>
          <w:rFonts w:ascii="Arial" w:hAnsi="Arial" w:cs="Arial"/>
          <w:color w:val="000000" w:themeColor="text1"/>
          <w:sz w:val="22"/>
          <w:szCs w:val="22"/>
        </w:rPr>
        <w:t>11. Conclusion</w:t>
      </w:r>
      <w:bookmarkEnd w:id="11"/>
    </w:p>
    <w:p w14:paraId="679A5053" w14:textId="77777777" w:rsidR="000878AE" w:rsidRPr="00B21815" w:rsidRDefault="000878AE" w:rsidP="006E18D9">
      <w:pPr>
        <w:pStyle w:val="NormalWeb"/>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Digital mental health interventions demonstrate significant potential to improve the emotional wellbeing of young people in the UK. Tools such as web-based CBT, mindfulness apps, and online peer-support platforms have been shown to reduce symptoms of anxiety and depression, improve resilience, and foster a sense of social connection.</w:t>
      </w:r>
    </w:p>
    <w:p w14:paraId="26085CB1" w14:textId="77777777" w:rsidR="000878AE" w:rsidRPr="00B21815" w:rsidRDefault="000878AE" w:rsidP="006E18D9">
      <w:pPr>
        <w:pStyle w:val="NormalWeb"/>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Despite these benefits, challenges persist, including low engagement, digital inequality, privacy concerns, and variable clinical quality. Addressing these limitations through improved regulation, user-centred design, equitable access, and integration with traditional services can enhance the effectiveness and sustainability of digital mental health interventions. Ultimately, DMHIs represent a valuable complement to existing services, supporting early intervention and promoting mental wellbeing among young people across the UK.</w:t>
      </w:r>
    </w:p>
    <w:p w14:paraId="0755145F" w14:textId="77777777" w:rsidR="008F3C73" w:rsidRPr="00B21815" w:rsidRDefault="008F3C73" w:rsidP="006E18D9">
      <w:pPr>
        <w:pStyle w:val="NormalWeb"/>
        <w:spacing w:line="360" w:lineRule="auto"/>
        <w:rPr>
          <w:rFonts w:ascii="Arial" w:hAnsi="Arial" w:cs="Arial"/>
          <w:color w:val="000000" w:themeColor="text1"/>
          <w:sz w:val="22"/>
          <w:szCs w:val="22"/>
        </w:rPr>
      </w:pPr>
    </w:p>
    <w:p w14:paraId="6FE3EFA4" w14:textId="77777777" w:rsidR="008F3C73" w:rsidRPr="00B21815" w:rsidRDefault="008F3C73" w:rsidP="006E18D9">
      <w:pPr>
        <w:pStyle w:val="NormalWeb"/>
        <w:spacing w:line="360" w:lineRule="auto"/>
        <w:rPr>
          <w:rFonts w:ascii="Arial" w:hAnsi="Arial" w:cs="Arial"/>
          <w:color w:val="000000" w:themeColor="text1"/>
          <w:sz w:val="22"/>
          <w:szCs w:val="22"/>
        </w:rPr>
      </w:pPr>
    </w:p>
    <w:p w14:paraId="7D1E430F" w14:textId="77777777" w:rsidR="008F3C73" w:rsidRPr="00B21815" w:rsidRDefault="008F3C73" w:rsidP="006E18D9">
      <w:pPr>
        <w:pStyle w:val="NormalWeb"/>
        <w:spacing w:line="360" w:lineRule="auto"/>
        <w:rPr>
          <w:rFonts w:ascii="Arial" w:hAnsi="Arial" w:cs="Arial"/>
          <w:color w:val="000000" w:themeColor="text1"/>
          <w:sz w:val="22"/>
          <w:szCs w:val="22"/>
        </w:rPr>
      </w:pPr>
    </w:p>
    <w:p w14:paraId="43B67CAD" w14:textId="77777777" w:rsidR="008F3C73" w:rsidRPr="00B21815" w:rsidRDefault="008F3C73" w:rsidP="006E18D9">
      <w:pPr>
        <w:pStyle w:val="NormalWeb"/>
        <w:spacing w:line="360" w:lineRule="auto"/>
        <w:rPr>
          <w:rFonts w:ascii="Arial" w:hAnsi="Arial" w:cs="Arial"/>
          <w:color w:val="000000" w:themeColor="text1"/>
          <w:sz w:val="22"/>
          <w:szCs w:val="22"/>
        </w:rPr>
      </w:pPr>
    </w:p>
    <w:p w14:paraId="5CD1DA23" w14:textId="0E49F4B0" w:rsidR="008462B1" w:rsidRPr="00B21815" w:rsidRDefault="008F3C73" w:rsidP="008462B1">
      <w:pPr>
        <w:pStyle w:val="Heading1"/>
        <w:rPr>
          <w:rFonts w:ascii="Arial" w:hAnsi="Arial" w:cs="Arial"/>
          <w:b/>
          <w:bCs/>
          <w:color w:val="000000" w:themeColor="text1"/>
          <w:sz w:val="22"/>
          <w:szCs w:val="22"/>
        </w:rPr>
      </w:pPr>
      <w:bookmarkStart w:id="12" w:name="_Toc216427217"/>
      <w:r w:rsidRPr="00B21815">
        <w:rPr>
          <w:rFonts w:ascii="Arial" w:hAnsi="Arial" w:cs="Arial"/>
          <w:b/>
          <w:bCs/>
          <w:color w:val="000000" w:themeColor="text1"/>
          <w:sz w:val="22"/>
          <w:szCs w:val="22"/>
        </w:rPr>
        <w:lastRenderedPageBreak/>
        <w:t>References</w:t>
      </w:r>
      <w:bookmarkEnd w:id="12"/>
    </w:p>
    <w:p w14:paraId="79AA5591" w14:textId="77777777" w:rsidR="008462B1" w:rsidRPr="00B21815" w:rsidRDefault="008462B1" w:rsidP="006E18D9">
      <w:pPr>
        <w:pStyle w:val="NormalWeb"/>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BHBIA. (2020)</w:t>
      </w:r>
      <w:r w:rsidRPr="00B21815">
        <w:rPr>
          <w:rStyle w:val="apple-converted-space"/>
          <w:rFonts w:ascii="Arial" w:eastAsiaTheme="majorEastAsia" w:hAnsi="Arial" w:cs="Arial"/>
          <w:color w:val="000000" w:themeColor="text1"/>
          <w:sz w:val="22"/>
          <w:szCs w:val="22"/>
        </w:rPr>
        <w:t> </w:t>
      </w:r>
      <w:r w:rsidRPr="00B21815">
        <w:rPr>
          <w:rStyle w:val="Emphasis"/>
          <w:rFonts w:ascii="Arial" w:eastAsiaTheme="majorEastAsia" w:hAnsi="Arial" w:cs="Arial"/>
          <w:color w:val="000000" w:themeColor="text1"/>
          <w:sz w:val="22"/>
          <w:szCs w:val="22"/>
        </w:rPr>
        <w:t>Ethical guidelines for the use of research data</w:t>
      </w:r>
      <w:r w:rsidRPr="00B21815">
        <w:rPr>
          <w:rFonts w:ascii="Arial" w:hAnsi="Arial" w:cs="Arial"/>
          <w:color w:val="000000" w:themeColor="text1"/>
          <w:sz w:val="22"/>
          <w:szCs w:val="22"/>
        </w:rPr>
        <w:t>. Available at:</w:t>
      </w:r>
      <w:r w:rsidRPr="00B21815">
        <w:rPr>
          <w:rStyle w:val="apple-converted-space"/>
          <w:rFonts w:ascii="Arial" w:eastAsiaTheme="majorEastAsia" w:hAnsi="Arial" w:cs="Arial"/>
          <w:color w:val="000000" w:themeColor="text1"/>
          <w:sz w:val="22"/>
          <w:szCs w:val="22"/>
        </w:rPr>
        <w:t> </w:t>
      </w:r>
      <w:hyperlink r:id="rId8" w:tgtFrame="_new" w:history="1">
        <w:r w:rsidRPr="00B21815">
          <w:rPr>
            <w:rStyle w:val="Hyperlink"/>
            <w:rFonts w:ascii="Arial" w:eastAsiaTheme="majorEastAsia" w:hAnsi="Arial" w:cs="Arial"/>
            <w:color w:val="000000" w:themeColor="text1"/>
            <w:sz w:val="22"/>
            <w:szCs w:val="22"/>
          </w:rPr>
          <w:t>https://www.bhbia.org.uk</w:t>
        </w:r>
      </w:hyperlink>
      <w:r w:rsidRPr="00B21815">
        <w:rPr>
          <w:rStyle w:val="apple-converted-space"/>
          <w:rFonts w:ascii="Arial" w:eastAsiaTheme="majorEastAsia" w:hAnsi="Arial" w:cs="Arial"/>
          <w:color w:val="000000" w:themeColor="text1"/>
          <w:sz w:val="22"/>
          <w:szCs w:val="22"/>
        </w:rPr>
        <w:t> </w:t>
      </w:r>
      <w:r w:rsidRPr="00B21815">
        <w:rPr>
          <w:rFonts w:ascii="Arial" w:hAnsi="Arial" w:cs="Arial"/>
          <w:color w:val="000000" w:themeColor="text1"/>
          <w:sz w:val="22"/>
          <w:szCs w:val="22"/>
        </w:rPr>
        <w:t>(Accessed: 7 December 2025).</w:t>
      </w:r>
    </w:p>
    <w:p w14:paraId="16A18840" w14:textId="77777777" w:rsidR="008462B1" w:rsidRPr="00B21815" w:rsidRDefault="008462B1" w:rsidP="006E18D9">
      <w:pPr>
        <w:pStyle w:val="NormalWeb"/>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Braun, V. &amp; Clarke, V. (2021)</w:t>
      </w:r>
      <w:r w:rsidRPr="00B21815">
        <w:rPr>
          <w:rStyle w:val="apple-converted-space"/>
          <w:rFonts w:ascii="Arial" w:eastAsiaTheme="majorEastAsia" w:hAnsi="Arial" w:cs="Arial"/>
          <w:color w:val="000000" w:themeColor="text1"/>
          <w:sz w:val="22"/>
          <w:szCs w:val="22"/>
        </w:rPr>
        <w:t> </w:t>
      </w:r>
      <w:r w:rsidRPr="00B21815">
        <w:rPr>
          <w:rStyle w:val="Emphasis"/>
          <w:rFonts w:ascii="Arial" w:eastAsiaTheme="majorEastAsia" w:hAnsi="Arial" w:cs="Arial"/>
          <w:color w:val="000000" w:themeColor="text1"/>
          <w:sz w:val="22"/>
          <w:szCs w:val="22"/>
        </w:rPr>
        <w:t>Thematic Analysis: A Practical Guide</w:t>
      </w:r>
      <w:r w:rsidRPr="00B21815">
        <w:rPr>
          <w:rFonts w:ascii="Arial" w:hAnsi="Arial" w:cs="Arial"/>
          <w:color w:val="000000" w:themeColor="text1"/>
          <w:sz w:val="22"/>
          <w:szCs w:val="22"/>
        </w:rPr>
        <w:t>. London: Sage.</w:t>
      </w:r>
    </w:p>
    <w:p w14:paraId="4DF4BA5E" w14:textId="77777777" w:rsidR="008462B1" w:rsidRPr="00B21815" w:rsidRDefault="008462B1" w:rsidP="006E18D9">
      <w:pPr>
        <w:pStyle w:val="NormalWeb"/>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Emick, R. (2024) ‘Scoping review methodologies in health research’,</w:t>
      </w:r>
      <w:r w:rsidRPr="00B21815">
        <w:rPr>
          <w:rStyle w:val="apple-converted-space"/>
          <w:rFonts w:ascii="Arial" w:eastAsiaTheme="majorEastAsia" w:hAnsi="Arial" w:cs="Arial"/>
          <w:color w:val="000000" w:themeColor="text1"/>
          <w:sz w:val="22"/>
          <w:szCs w:val="22"/>
        </w:rPr>
        <w:t> </w:t>
      </w:r>
      <w:r w:rsidRPr="00B21815">
        <w:rPr>
          <w:rStyle w:val="Emphasis"/>
          <w:rFonts w:ascii="Arial" w:eastAsiaTheme="majorEastAsia" w:hAnsi="Arial" w:cs="Arial"/>
          <w:color w:val="000000" w:themeColor="text1"/>
          <w:sz w:val="22"/>
          <w:szCs w:val="22"/>
        </w:rPr>
        <w:t>Journal of Research Methods</w:t>
      </w:r>
      <w:r w:rsidRPr="00B21815">
        <w:rPr>
          <w:rFonts w:ascii="Arial" w:hAnsi="Arial" w:cs="Arial"/>
          <w:color w:val="000000" w:themeColor="text1"/>
          <w:sz w:val="22"/>
          <w:szCs w:val="22"/>
        </w:rPr>
        <w:t>, 12(3), pp. 45–58.</w:t>
      </w:r>
    </w:p>
    <w:p w14:paraId="409E8E0D" w14:textId="77777777" w:rsidR="008462B1" w:rsidRPr="00B21815" w:rsidRDefault="008462B1" w:rsidP="006E18D9">
      <w:pPr>
        <w:pStyle w:val="NormalWeb"/>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Fleming, T., Bavin, L., Stasiak, K., Hermansson-Webb, E., Merry, S. &amp; Cheek, C. (2019) ‘App engagement patterns among adolescents using digital mental health tools’,</w:t>
      </w:r>
      <w:r w:rsidRPr="00B21815">
        <w:rPr>
          <w:rStyle w:val="apple-converted-space"/>
          <w:rFonts w:ascii="Arial" w:eastAsiaTheme="majorEastAsia" w:hAnsi="Arial" w:cs="Arial"/>
          <w:color w:val="000000" w:themeColor="text1"/>
          <w:sz w:val="22"/>
          <w:szCs w:val="22"/>
        </w:rPr>
        <w:t> </w:t>
      </w:r>
      <w:r w:rsidRPr="00B21815">
        <w:rPr>
          <w:rStyle w:val="Emphasis"/>
          <w:rFonts w:ascii="Arial" w:eastAsiaTheme="majorEastAsia" w:hAnsi="Arial" w:cs="Arial"/>
          <w:color w:val="000000" w:themeColor="text1"/>
          <w:sz w:val="22"/>
          <w:szCs w:val="22"/>
        </w:rPr>
        <w:t>JMIR Mental Health</w:t>
      </w:r>
      <w:r w:rsidRPr="00B21815">
        <w:rPr>
          <w:rFonts w:ascii="Arial" w:hAnsi="Arial" w:cs="Arial"/>
          <w:color w:val="000000" w:themeColor="text1"/>
          <w:sz w:val="22"/>
          <w:szCs w:val="22"/>
        </w:rPr>
        <w:t>, 6(5), e13152.</w:t>
      </w:r>
    </w:p>
    <w:p w14:paraId="1DBC63C3" w14:textId="77777777" w:rsidR="008462B1" w:rsidRPr="00B21815" w:rsidRDefault="008462B1" w:rsidP="006E18D9">
      <w:pPr>
        <w:pStyle w:val="NormalWeb"/>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Hollis, C., Falconer, C.J., Martin, J.L., Whittington, C., Stockton, S., Glazebrook, C. &amp; Davies, E.B. (2017) ‘Digital interventions for mental health in young people: A systematic review’,</w:t>
      </w:r>
      <w:r w:rsidRPr="00B21815">
        <w:rPr>
          <w:rStyle w:val="apple-converted-space"/>
          <w:rFonts w:ascii="Arial" w:eastAsiaTheme="majorEastAsia" w:hAnsi="Arial" w:cs="Arial"/>
          <w:color w:val="000000" w:themeColor="text1"/>
          <w:sz w:val="22"/>
          <w:szCs w:val="22"/>
        </w:rPr>
        <w:t> </w:t>
      </w:r>
      <w:r w:rsidRPr="00B21815">
        <w:rPr>
          <w:rStyle w:val="Emphasis"/>
          <w:rFonts w:ascii="Arial" w:eastAsiaTheme="majorEastAsia" w:hAnsi="Arial" w:cs="Arial"/>
          <w:color w:val="000000" w:themeColor="text1"/>
          <w:sz w:val="22"/>
          <w:szCs w:val="22"/>
        </w:rPr>
        <w:t>Lancet Psychiatry</w:t>
      </w:r>
      <w:r w:rsidRPr="00B21815">
        <w:rPr>
          <w:rFonts w:ascii="Arial" w:hAnsi="Arial" w:cs="Arial"/>
          <w:color w:val="000000" w:themeColor="text1"/>
          <w:sz w:val="22"/>
          <w:szCs w:val="22"/>
        </w:rPr>
        <w:t>, 4(5), pp. 377–388.</w:t>
      </w:r>
    </w:p>
    <w:p w14:paraId="5F4BFDEA" w14:textId="77777777" w:rsidR="008462B1" w:rsidRPr="00B21815" w:rsidRDefault="008462B1" w:rsidP="006E18D9">
      <w:pPr>
        <w:pStyle w:val="NormalWeb"/>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Keles, B., McCrae, N. &amp; Grealish, A. (2020) ‘The impact of social media on mental health: A systematic review’,</w:t>
      </w:r>
      <w:r w:rsidRPr="00B21815">
        <w:rPr>
          <w:rStyle w:val="apple-converted-space"/>
          <w:rFonts w:ascii="Arial" w:eastAsiaTheme="majorEastAsia" w:hAnsi="Arial" w:cs="Arial"/>
          <w:color w:val="000000" w:themeColor="text1"/>
          <w:sz w:val="22"/>
          <w:szCs w:val="22"/>
        </w:rPr>
        <w:t> </w:t>
      </w:r>
      <w:r w:rsidRPr="00B21815">
        <w:rPr>
          <w:rStyle w:val="Emphasis"/>
          <w:rFonts w:ascii="Arial" w:eastAsiaTheme="majorEastAsia" w:hAnsi="Arial" w:cs="Arial"/>
          <w:color w:val="000000" w:themeColor="text1"/>
          <w:sz w:val="22"/>
          <w:szCs w:val="22"/>
        </w:rPr>
        <w:t>Journal of Adolescent Health</w:t>
      </w:r>
      <w:r w:rsidRPr="00B21815">
        <w:rPr>
          <w:rFonts w:ascii="Arial" w:hAnsi="Arial" w:cs="Arial"/>
          <w:color w:val="000000" w:themeColor="text1"/>
          <w:sz w:val="22"/>
          <w:szCs w:val="22"/>
        </w:rPr>
        <w:t>, 65(6), pp. 651–659.</w:t>
      </w:r>
    </w:p>
    <w:p w14:paraId="0158DE31" w14:textId="77777777" w:rsidR="008462B1" w:rsidRPr="00B21815" w:rsidRDefault="008462B1" w:rsidP="008462B1">
      <w:pPr>
        <w:pStyle w:val="NormalWeb"/>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 xml:space="preserve">Liverpool, S. et al. (2025) ‘Updates on digital mental health interventions for children and young people: systematic overview of reviews’, </w:t>
      </w:r>
      <w:r w:rsidRPr="00B21815">
        <w:rPr>
          <w:rFonts w:ascii="Arial" w:hAnsi="Arial" w:cs="Arial"/>
          <w:i/>
          <w:iCs/>
          <w:color w:val="000000" w:themeColor="text1"/>
          <w:sz w:val="22"/>
          <w:szCs w:val="22"/>
        </w:rPr>
        <w:t>European child &amp; adolescent psychiatry,</w:t>
      </w:r>
      <w:r w:rsidRPr="00B21815">
        <w:rPr>
          <w:rFonts w:ascii="Arial" w:hAnsi="Arial" w:cs="Arial"/>
          <w:color w:val="000000" w:themeColor="text1"/>
          <w:sz w:val="22"/>
          <w:szCs w:val="22"/>
        </w:rPr>
        <w:t xml:space="preserve"> 34(10), pp. 2961–2974. Available at: https://doi.org/10.1007/s00787-025-02722-9.</w:t>
      </w:r>
    </w:p>
    <w:p w14:paraId="4950ABA8" w14:textId="77777777" w:rsidR="008462B1" w:rsidRPr="00B21815" w:rsidRDefault="008462B1" w:rsidP="006E18D9">
      <w:pPr>
        <w:pStyle w:val="NormalWeb"/>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 xml:space="preserve">March, E., Tew, J. &amp; Brown, J. (2022) ‘Evaluation of </w:t>
      </w:r>
      <w:proofErr w:type="spellStart"/>
      <w:r w:rsidRPr="00B21815">
        <w:rPr>
          <w:rFonts w:ascii="Arial" w:hAnsi="Arial" w:cs="Arial"/>
          <w:color w:val="000000" w:themeColor="text1"/>
          <w:sz w:val="22"/>
          <w:szCs w:val="22"/>
        </w:rPr>
        <w:t>Kooth</w:t>
      </w:r>
      <w:proofErr w:type="spellEnd"/>
      <w:r w:rsidRPr="00B21815">
        <w:rPr>
          <w:rFonts w:ascii="Arial" w:hAnsi="Arial" w:cs="Arial"/>
          <w:color w:val="000000" w:themeColor="text1"/>
          <w:sz w:val="22"/>
          <w:szCs w:val="22"/>
        </w:rPr>
        <w:t xml:space="preserve"> platform for youth mental health’,</w:t>
      </w:r>
      <w:r w:rsidRPr="00B21815">
        <w:rPr>
          <w:rStyle w:val="apple-converted-space"/>
          <w:rFonts w:ascii="Arial" w:eastAsiaTheme="majorEastAsia" w:hAnsi="Arial" w:cs="Arial"/>
          <w:color w:val="000000" w:themeColor="text1"/>
          <w:sz w:val="22"/>
          <w:szCs w:val="22"/>
        </w:rPr>
        <w:t> </w:t>
      </w:r>
      <w:r w:rsidRPr="00B21815">
        <w:rPr>
          <w:rStyle w:val="Emphasis"/>
          <w:rFonts w:ascii="Arial" w:eastAsiaTheme="majorEastAsia" w:hAnsi="Arial" w:cs="Arial"/>
          <w:color w:val="000000" w:themeColor="text1"/>
          <w:sz w:val="22"/>
          <w:szCs w:val="22"/>
        </w:rPr>
        <w:t>Child and Adolescent Mental Health</w:t>
      </w:r>
      <w:r w:rsidRPr="00B21815">
        <w:rPr>
          <w:rFonts w:ascii="Arial" w:hAnsi="Arial" w:cs="Arial"/>
          <w:color w:val="000000" w:themeColor="text1"/>
          <w:sz w:val="22"/>
          <w:szCs w:val="22"/>
        </w:rPr>
        <w:t>, 27(2), pp. 92–101.</w:t>
      </w:r>
    </w:p>
    <w:p w14:paraId="36D62C2B" w14:textId="463CAEDF" w:rsidR="008462B1" w:rsidRPr="00B21815" w:rsidRDefault="008462B1" w:rsidP="006E18D9">
      <w:pPr>
        <w:pStyle w:val="NormalWeb"/>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Mind. (2025)</w:t>
      </w:r>
      <w:r w:rsidRPr="00B21815">
        <w:rPr>
          <w:rStyle w:val="apple-converted-space"/>
          <w:rFonts w:ascii="Arial" w:eastAsiaTheme="majorEastAsia" w:hAnsi="Arial" w:cs="Arial"/>
          <w:color w:val="000000" w:themeColor="text1"/>
          <w:sz w:val="22"/>
          <w:szCs w:val="22"/>
        </w:rPr>
        <w:t> </w:t>
      </w:r>
      <w:r w:rsidRPr="00B21815">
        <w:rPr>
          <w:rStyle w:val="Emphasis"/>
          <w:rFonts w:ascii="Arial" w:eastAsiaTheme="majorEastAsia" w:hAnsi="Arial" w:cs="Arial"/>
          <w:color w:val="000000" w:themeColor="text1"/>
          <w:sz w:val="22"/>
          <w:szCs w:val="22"/>
        </w:rPr>
        <w:t>Young people’s mental health statistics</w:t>
      </w:r>
      <w:r w:rsidRPr="00B21815">
        <w:rPr>
          <w:rFonts w:ascii="Arial" w:hAnsi="Arial" w:cs="Arial"/>
          <w:color w:val="000000" w:themeColor="text1"/>
          <w:sz w:val="22"/>
          <w:szCs w:val="22"/>
        </w:rPr>
        <w:t>. London: Mind. Available at:</w:t>
      </w:r>
      <w:r w:rsidRPr="00B21815">
        <w:rPr>
          <w:rStyle w:val="apple-converted-space"/>
          <w:rFonts w:ascii="Arial" w:eastAsiaTheme="majorEastAsia" w:hAnsi="Arial" w:cs="Arial"/>
          <w:color w:val="000000" w:themeColor="text1"/>
          <w:sz w:val="22"/>
          <w:szCs w:val="22"/>
        </w:rPr>
        <w:t> </w:t>
      </w:r>
      <w:hyperlink r:id="rId9" w:tgtFrame="_new" w:history="1">
        <w:r w:rsidRPr="00B21815">
          <w:rPr>
            <w:rStyle w:val="Hyperlink"/>
            <w:rFonts w:ascii="Arial" w:eastAsiaTheme="majorEastAsia" w:hAnsi="Arial" w:cs="Arial"/>
            <w:color w:val="000000" w:themeColor="text1"/>
            <w:sz w:val="22"/>
            <w:szCs w:val="22"/>
          </w:rPr>
          <w:t>https://www.mind.org.uk</w:t>
        </w:r>
      </w:hyperlink>
      <w:r w:rsidRPr="00B21815">
        <w:rPr>
          <w:rStyle w:val="Hyperlink"/>
          <w:rFonts w:ascii="Arial" w:eastAsiaTheme="majorEastAsia" w:hAnsi="Arial" w:cs="Arial"/>
          <w:color w:val="000000" w:themeColor="text1"/>
          <w:sz w:val="22"/>
          <w:szCs w:val="22"/>
        </w:rPr>
        <w:t xml:space="preserve"> </w:t>
      </w:r>
      <w:r w:rsidRPr="00B21815">
        <w:rPr>
          <w:rFonts w:ascii="Arial" w:hAnsi="Arial" w:cs="Arial"/>
          <w:color w:val="000000" w:themeColor="text1"/>
          <w:sz w:val="22"/>
          <w:szCs w:val="22"/>
        </w:rPr>
        <w:t>(Accessed: 10 December 2025).</w:t>
      </w:r>
    </w:p>
    <w:p w14:paraId="51692E49" w14:textId="77777777" w:rsidR="008462B1" w:rsidRPr="00B21815" w:rsidRDefault="008462B1" w:rsidP="008462B1">
      <w:pPr>
        <w:pStyle w:val="NormalWeb"/>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 xml:space="preserve">Piers, R., Williams, J.M. and Sharpe, H. (2023) ‘Review: Can digital mental health interventions bridge the “digital divide” for socioeconomically and digitally marginalised youth? A systematic review’, </w:t>
      </w:r>
      <w:r w:rsidRPr="00B21815">
        <w:rPr>
          <w:rFonts w:ascii="Arial" w:hAnsi="Arial" w:cs="Arial"/>
          <w:i/>
          <w:iCs/>
          <w:color w:val="000000" w:themeColor="text1"/>
          <w:sz w:val="22"/>
          <w:szCs w:val="22"/>
        </w:rPr>
        <w:t>Child and adolescent mental health</w:t>
      </w:r>
      <w:r w:rsidRPr="00B21815">
        <w:rPr>
          <w:rFonts w:ascii="Arial" w:hAnsi="Arial" w:cs="Arial"/>
          <w:color w:val="000000" w:themeColor="text1"/>
          <w:sz w:val="22"/>
          <w:szCs w:val="22"/>
        </w:rPr>
        <w:t xml:space="preserve">, 28(1), pp. 90–104. Available at: </w:t>
      </w:r>
      <w:hyperlink r:id="rId10" w:history="1">
        <w:r w:rsidRPr="00B21815">
          <w:rPr>
            <w:rStyle w:val="Hyperlink"/>
            <w:rFonts w:ascii="Arial" w:hAnsi="Arial" w:cs="Arial"/>
            <w:sz w:val="22"/>
            <w:szCs w:val="22"/>
          </w:rPr>
          <w:t>https://doi.org/10.1111/camh.12620</w:t>
        </w:r>
      </w:hyperlink>
      <w:r w:rsidRPr="00B21815">
        <w:rPr>
          <w:rFonts w:ascii="Arial" w:hAnsi="Arial" w:cs="Arial"/>
          <w:color w:val="000000" w:themeColor="text1"/>
          <w:sz w:val="22"/>
          <w:szCs w:val="22"/>
        </w:rPr>
        <w:t xml:space="preserve">. </w:t>
      </w:r>
    </w:p>
    <w:p w14:paraId="4B2176FE" w14:textId="77777777" w:rsidR="008462B1" w:rsidRPr="00B21815" w:rsidRDefault="008462B1" w:rsidP="008462B1">
      <w:pPr>
        <w:pStyle w:val="NormalWeb"/>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 xml:space="preserve">Potts, C. et al. (2025) ‘Digital Mental Health Interventions for Young People Aged 16-25 Years: Scoping Review’, </w:t>
      </w:r>
      <w:r w:rsidRPr="00B21815">
        <w:rPr>
          <w:rFonts w:ascii="Arial" w:hAnsi="Arial" w:cs="Arial"/>
          <w:i/>
          <w:iCs/>
          <w:color w:val="000000" w:themeColor="text1"/>
          <w:sz w:val="22"/>
          <w:szCs w:val="22"/>
        </w:rPr>
        <w:t>Journal of medical Internet research</w:t>
      </w:r>
      <w:r w:rsidRPr="00B21815">
        <w:rPr>
          <w:rFonts w:ascii="Arial" w:hAnsi="Arial" w:cs="Arial"/>
          <w:color w:val="000000" w:themeColor="text1"/>
          <w:sz w:val="22"/>
          <w:szCs w:val="22"/>
        </w:rPr>
        <w:t xml:space="preserve">, 27(4), p. e72892. Available at: </w:t>
      </w:r>
      <w:hyperlink r:id="rId11" w:history="1">
        <w:r w:rsidRPr="00B21815">
          <w:rPr>
            <w:rStyle w:val="Hyperlink"/>
            <w:rFonts w:ascii="Arial" w:hAnsi="Arial" w:cs="Arial"/>
            <w:sz w:val="22"/>
            <w:szCs w:val="22"/>
          </w:rPr>
          <w:t>https://doi.org/10.2196/72892</w:t>
        </w:r>
      </w:hyperlink>
      <w:r w:rsidRPr="00B21815">
        <w:rPr>
          <w:rFonts w:ascii="Arial" w:hAnsi="Arial" w:cs="Arial"/>
          <w:color w:val="000000" w:themeColor="text1"/>
          <w:sz w:val="22"/>
          <w:szCs w:val="22"/>
        </w:rPr>
        <w:t xml:space="preserve">. </w:t>
      </w:r>
    </w:p>
    <w:p w14:paraId="5DDECB42" w14:textId="77777777" w:rsidR="008462B1" w:rsidRPr="00B21815" w:rsidRDefault="008462B1" w:rsidP="003869CD">
      <w:pPr>
        <w:pStyle w:val="NormalWeb"/>
        <w:spacing w:line="360" w:lineRule="auto"/>
        <w:rPr>
          <w:rFonts w:ascii="Arial" w:hAnsi="Arial" w:cs="Arial"/>
          <w:color w:val="000000" w:themeColor="text1"/>
          <w:sz w:val="22"/>
          <w:szCs w:val="22"/>
        </w:rPr>
      </w:pPr>
      <w:r w:rsidRPr="00B21815">
        <w:rPr>
          <w:rFonts w:ascii="Arial" w:hAnsi="Arial" w:cs="Arial"/>
          <w:color w:val="000000" w:themeColor="text1"/>
          <w:sz w:val="22"/>
          <w:szCs w:val="22"/>
        </w:rPr>
        <w:lastRenderedPageBreak/>
        <w:t>Statista. (2021)</w:t>
      </w:r>
      <w:r w:rsidRPr="00B21815">
        <w:rPr>
          <w:rStyle w:val="apple-converted-space"/>
          <w:rFonts w:ascii="Arial" w:eastAsiaTheme="majorEastAsia" w:hAnsi="Arial" w:cs="Arial"/>
          <w:color w:val="000000" w:themeColor="text1"/>
          <w:sz w:val="22"/>
          <w:szCs w:val="22"/>
        </w:rPr>
        <w:t> </w:t>
      </w:r>
      <w:r w:rsidRPr="00B21815">
        <w:rPr>
          <w:rStyle w:val="Emphasis"/>
          <w:rFonts w:ascii="Arial" w:eastAsiaTheme="majorEastAsia" w:hAnsi="Arial" w:cs="Arial"/>
          <w:color w:val="000000" w:themeColor="text1"/>
          <w:sz w:val="22"/>
          <w:szCs w:val="22"/>
        </w:rPr>
        <w:t>Prevalence of mental health problems among UK youth</w:t>
      </w:r>
      <w:r w:rsidRPr="00B21815">
        <w:rPr>
          <w:rFonts w:ascii="Arial" w:hAnsi="Arial" w:cs="Arial"/>
          <w:color w:val="000000" w:themeColor="text1"/>
          <w:sz w:val="22"/>
          <w:szCs w:val="22"/>
        </w:rPr>
        <w:t>. Available at:</w:t>
      </w:r>
      <w:r w:rsidRPr="00B21815">
        <w:rPr>
          <w:rStyle w:val="apple-converted-space"/>
          <w:rFonts w:ascii="Arial" w:eastAsiaTheme="majorEastAsia" w:hAnsi="Arial" w:cs="Arial"/>
          <w:color w:val="000000" w:themeColor="text1"/>
          <w:sz w:val="22"/>
          <w:szCs w:val="22"/>
        </w:rPr>
        <w:t> </w:t>
      </w:r>
      <w:hyperlink r:id="rId12" w:tgtFrame="_new" w:history="1">
        <w:r w:rsidRPr="00B21815">
          <w:rPr>
            <w:rStyle w:val="Hyperlink"/>
            <w:rFonts w:ascii="Arial" w:eastAsiaTheme="majorEastAsia" w:hAnsi="Arial" w:cs="Arial"/>
            <w:color w:val="000000" w:themeColor="text1"/>
            <w:sz w:val="22"/>
            <w:szCs w:val="22"/>
          </w:rPr>
          <w:t>https://www.statista.com</w:t>
        </w:r>
      </w:hyperlink>
      <w:r w:rsidRPr="00B21815">
        <w:rPr>
          <w:rFonts w:ascii="Arial" w:hAnsi="Arial" w:cs="Arial"/>
          <w:color w:val="000000" w:themeColor="text1"/>
          <w:sz w:val="22"/>
          <w:szCs w:val="22"/>
        </w:rPr>
        <w:t>(Accessed: 9 December 2025).</w:t>
      </w:r>
    </w:p>
    <w:p w14:paraId="47288CC6" w14:textId="77777777" w:rsidR="008462B1" w:rsidRPr="00B21815" w:rsidRDefault="008462B1" w:rsidP="003869CD">
      <w:pPr>
        <w:pStyle w:val="NormalWeb"/>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 xml:space="preserve">Stjerneklar, S. et al. (2019) ‘A randomized controlled trial examining the efficacy of an internet-based cognitive </w:t>
      </w:r>
      <w:proofErr w:type="spellStart"/>
      <w:r w:rsidRPr="00B21815">
        <w:rPr>
          <w:rFonts w:ascii="Arial" w:hAnsi="Arial" w:cs="Arial"/>
          <w:color w:val="000000" w:themeColor="text1"/>
          <w:sz w:val="22"/>
          <w:szCs w:val="22"/>
        </w:rPr>
        <w:t>behavioral</w:t>
      </w:r>
      <w:proofErr w:type="spellEnd"/>
      <w:r w:rsidRPr="00B21815">
        <w:rPr>
          <w:rFonts w:ascii="Arial" w:hAnsi="Arial" w:cs="Arial"/>
          <w:color w:val="000000" w:themeColor="text1"/>
          <w:sz w:val="22"/>
          <w:szCs w:val="22"/>
        </w:rPr>
        <w:t xml:space="preserve"> therapy program for adolescents with anxiety disorders’, </w:t>
      </w:r>
      <w:proofErr w:type="spellStart"/>
      <w:r w:rsidRPr="00B21815">
        <w:rPr>
          <w:rFonts w:ascii="Arial" w:hAnsi="Arial" w:cs="Arial"/>
          <w:i/>
          <w:iCs/>
          <w:color w:val="000000" w:themeColor="text1"/>
          <w:sz w:val="22"/>
          <w:szCs w:val="22"/>
        </w:rPr>
        <w:t>PloS</w:t>
      </w:r>
      <w:proofErr w:type="spellEnd"/>
      <w:r w:rsidRPr="00B21815">
        <w:rPr>
          <w:rFonts w:ascii="Arial" w:hAnsi="Arial" w:cs="Arial"/>
          <w:i/>
          <w:iCs/>
          <w:color w:val="000000" w:themeColor="text1"/>
          <w:sz w:val="22"/>
          <w:szCs w:val="22"/>
        </w:rPr>
        <w:t xml:space="preserve"> one,</w:t>
      </w:r>
      <w:r w:rsidRPr="00B21815">
        <w:rPr>
          <w:rFonts w:ascii="Arial" w:hAnsi="Arial" w:cs="Arial"/>
          <w:color w:val="000000" w:themeColor="text1"/>
          <w:sz w:val="22"/>
          <w:szCs w:val="22"/>
        </w:rPr>
        <w:t xml:space="preserve"> 14(9), p. e0222485. Available at: </w:t>
      </w:r>
      <w:hyperlink r:id="rId13" w:history="1">
        <w:r w:rsidRPr="00B21815">
          <w:rPr>
            <w:rStyle w:val="Hyperlink"/>
            <w:rFonts w:ascii="Arial" w:hAnsi="Arial" w:cs="Arial"/>
            <w:sz w:val="22"/>
            <w:szCs w:val="22"/>
          </w:rPr>
          <w:t>https://doi.org/10.1371/journal.pone.0222485</w:t>
        </w:r>
      </w:hyperlink>
      <w:r w:rsidRPr="00B21815">
        <w:rPr>
          <w:rFonts w:ascii="Arial" w:hAnsi="Arial" w:cs="Arial"/>
          <w:color w:val="000000" w:themeColor="text1"/>
          <w:sz w:val="22"/>
          <w:szCs w:val="22"/>
        </w:rPr>
        <w:t xml:space="preserve">. </w:t>
      </w:r>
    </w:p>
    <w:p w14:paraId="79AD740C" w14:textId="77777777" w:rsidR="008462B1" w:rsidRPr="00B21815" w:rsidRDefault="008462B1" w:rsidP="006E18D9">
      <w:pPr>
        <w:pStyle w:val="NormalWeb"/>
        <w:spacing w:line="360" w:lineRule="auto"/>
        <w:rPr>
          <w:rFonts w:ascii="Arial" w:hAnsi="Arial" w:cs="Arial"/>
          <w:color w:val="000000" w:themeColor="text1"/>
          <w:sz w:val="22"/>
          <w:szCs w:val="22"/>
        </w:rPr>
      </w:pPr>
      <w:r w:rsidRPr="00B21815">
        <w:rPr>
          <w:rFonts w:ascii="Arial" w:hAnsi="Arial" w:cs="Arial"/>
          <w:color w:val="000000" w:themeColor="text1"/>
          <w:sz w:val="22"/>
          <w:szCs w:val="22"/>
        </w:rPr>
        <w:t>World Health Organization (WHO). (2021)</w:t>
      </w:r>
      <w:r w:rsidRPr="00B21815">
        <w:rPr>
          <w:rStyle w:val="apple-converted-space"/>
          <w:rFonts w:ascii="Arial" w:eastAsiaTheme="majorEastAsia" w:hAnsi="Arial" w:cs="Arial"/>
          <w:color w:val="000000" w:themeColor="text1"/>
          <w:sz w:val="22"/>
          <w:szCs w:val="22"/>
        </w:rPr>
        <w:t> </w:t>
      </w:r>
      <w:r w:rsidRPr="00B21815">
        <w:rPr>
          <w:rStyle w:val="Emphasis"/>
          <w:rFonts w:ascii="Arial" w:eastAsiaTheme="majorEastAsia" w:hAnsi="Arial" w:cs="Arial"/>
          <w:color w:val="000000" w:themeColor="text1"/>
          <w:sz w:val="22"/>
          <w:szCs w:val="22"/>
        </w:rPr>
        <w:t>Adolescent mental health fact sheet</w:t>
      </w:r>
      <w:r w:rsidRPr="00B21815">
        <w:rPr>
          <w:rFonts w:ascii="Arial" w:hAnsi="Arial" w:cs="Arial"/>
          <w:color w:val="000000" w:themeColor="text1"/>
          <w:sz w:val="22"/>
          <w:szCs w:val="22"/>
        </w:rPr>
        <w:t>. Available at:</w:t>
      </w:r>
      <w:r w:rsidRPr="00B21815">
        <w:rPr>
          <w:rStyle w:val="apple-converted-space"/>
          <w:rFonts w:ascii="Arial" w:eastAsiaTheme="majorEastAsia" w:hAnsi="Arial" w:cs="Arial"/>
          <w:color w:val="000000" w:themeColor="text1"/>
          <w:sz w:val="22"/>
          <w:szCs w:val="22"/>
        </w:rPr>
        <w:t> </w:t>
      </w:r>
      <w:hyperlink r:id="rId14" w:tgtFrame="_new" w:history="1">
        <w:r w:rsidRPr="00B21815">
          <w:rPr>
            <w:rStyle w:val="Hyperlink"/>
            <w:rFonts w:ascii="Arial" w:eastAsiaTheme="majorEastAsia" w:hAnsi="Arial" w:cs="Arial"/>
            <w:color w:val="000000" w:themeColor="text1"/>
            <w:sz w:val="22"/>
            <w:szCs w:val="22"/>
          </w:rPr>
          <w:t>https://www.who.int</w:t>
        </w:r>
      </w:hyperlink>
      <w:r w:rsidRPr="00B21815">
        <w:rPr>
          <w:rFonts w:ascii="Arial" w:hAnsi="Arial" w:cs="Arial"/>
          <w:color w:val="000000" w:themeColor="text1"/>
          <w:sz w:val="22"/>
          <w:szCs w:val="22"/>
        </w:rPr>
        <w:t>(Accessed: 8 December 2025).</w:t>
      </w:r>
    </w:p>
    <w:sectPr w:rsidR="008462B1" w:rsidRPr="00B21815">
      <w:footerReference w:type="even"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0FCC19" w14:textId="77777777" w:rsidR="00FD703C" w:rsidRDefault="00FD703C" w:rsidP="00407E1C">
      <w:r>
        <w:separator/>
      </w:r>
    </w:p>
  </w:endnote>
  <w:endnote w:type="continuationSeparator" w:id="0">
    <w:p w14:paraId="6AD564D9" w14:textId="77777777" w:rsidR="00FD703C" w:rsidRDefault="00FD703C" w:rsidP="00407E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66098401"/>
      <w:docPartObj>
        <w:docPartGallery w:val="Page Numbers (Bottom of Page)"/>
        <w:docPartUnique/>
      </w:docPartObj>
    </w:sdtPr>
    <w:sdtEndPr>
      <w:rPr>
        <w:rStyle w:val="PageNumber"/>
      </w:rPr>
    </w:sdtEndPr>
    <w:sdtContent>
      <w:p w14:paraId="04A2BC77" w14:textId="095FFCAC" w:rsidR="00407E1C" w:rsidRDefault="00407E1C" w:rsidP="00114B3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38306A4" w14:textId="77777777" w:rsidR="00407E1C" w:rsidRDefault="00407E1C" w:rsidP="00407E1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54692974"/>
      <w:docPartObj>
        <w:docPartGallery w:val="Page Numbers (Bottom of Page)"/>
        <w:docPartUnique/>
      </w:docPartObj>
    </w:sdtPr>
    <w:sdtEndPr>
      <w:rPr>
        <w:rStyle w:val="PageNumber"/>
      </w:rPr>
    </w:sdtEndPr>
    <w:sdtContent>
      <w:p w14:paraId="0FC0B525" w14:textId="15899DAC" w:rsidR="00407E1C" w:rsidRDefault="00407E1C" w:rsidP="00114B3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475129E3" w14:textId="77777777" w:rsidR="00407E1C" w:rsidRDefault="00407E1C" w:rsidP="00407E1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64E73" w14:textId="77777777" w:rsidR="00FD703C" w:rsidRDefault="00FD703C" w:rsidP="00407E1C">
      <w:r>
        <w:separator/>
      </w:r>
    </w:p>
  </w:footnote>
  <w:footnote w:type="continuationSeparator" w:id="0">
    <w:p w14:paraId="155902CD" w14:textId="77777777" w:rsidR="00FD703C" w:rsidRDefault="00FD703C" w:rsidP="00407E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86D58"/>
    <w:multiLevelType w:val="multilevel"/>
    <w:tmpl w:val="3A6A7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70371C"/>
    <w:multiLevelType w:val="multilevel"/>
    <w:tmpl w:val="C450B4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4F3982"/>
    <w:multiLevelType w:val="multilevel"/>
    <w:tmpl w:val="ECC61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8D1475"/>
    <w:multiLevelType w:val="hybridMultilevel"/>
    <w:tmpl w:val="264C91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057805"/>
    <w:multiLevelType w:val="hybridMultilevel"/>
    <w:tmpl w:val="391EB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247DD1"/>
    <w:multiLevelType w:val="multilevel"/>
    <w:tmpl w:val="229AB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FB6CFF"/>
    <w:multiLevelType w:val="multilevel"/>
    <w:tmpl w:val="94B0B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A9763A"/>
    <w:multiLevelType w:val="multilevel"/>
    <w:tmpl w:val="CDA85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85C4CB4"/>
    <w:multiLevelType w:val="multilevel"/>
    <w:tmpl w:val="908E2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3DF140F"/>
    <w:multiLevelType w:val="multilevel"/>
    <w:tmpl w:val="65BC7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600294C"/>
    <w:multiLevelType w:val="multilevel"/>
    <w:tmpl w:val="F3467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A5556D"/>
    <w:multiLevelType w:val="multilevel"/>
    <w:tmpl w:val="D69CD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57839456">
    <w:abstractNumId w:val="2"/>
  </w:num>
  <w:num w:numId="2" w16cid:durableId="122695569">
    <w:abstractNumId w:val="3"/>
  </w:num>
  <w:num w:numId="3" w16cid:durableId="130830720">
    <w:abstractNumId w:val="5"/>
  </w:num>
  <w:num w:numId="4" w16cid:durableId="1223251220">
    <w:abstractNumId w:val="8"/>
  </w:num>
  <w:num w:numId="5" w16cid:durableId="189993474">
    <w:abstractNumId w:val="0"/>
  </w:num>
  <w:num w:numId="6" w16cid:durableId="387606717">
    <w:abstractNumId w:val="11"/>
  </w:num>
  <w:num w:numId="7" w16cid:durableId="379288511">
    <w:abstractNumId w:val="4"/>
  </w:num>
  <w:num w:numId="8" w16cid:durableId="176389724">
    <w:abstractNumId w:val="9"/>
  </w:num>
  <w:num w:numId="9" w16cid:durableId="1460027887">
    <w:abstractNumId w:val="10"/>
  </w:num>
  <w:num w:numId="10" w16cid:durableId="668560065">
    <w:abstractNumId w:val="7"/>
  </w:num>
  <w:num w:numId="11" w16cid:durableId="889153697">
    <w:abstractNumId w:val="1"/>
  </w:num>
  <w:num w:numId="12" w16cid:durableId="4855584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DDF"/>
    <w:rsid w:val="000014CA"/>
    <w:rsid w:val="00007777"/>
    <w:rsid w:val="00023763"/>
    <w:rsid w:val="00025085"/>
    <w:rsid w:val="00050C0A"/>
    <w:rsid w:val="00055E9C"/>
    <w:rsid w:val="000878AE"/>
    <w:rsid w:val="00091801"/>
    <w:rsid w:val="000B0DDF"/>
    <w:rsid w:val="000E717D"/>
    <w:rsid w:val="001118DD"/>
    <w:rsid w:val="0011711A"/>
    <w:rsid w:val="001332EE"/>
    <w:rsid w:val="0015226B"/>
    <w:rsid w:val="00152393"/>
    <w:rsid w:val="00165E62"/>
    <w:rsid w:val="0018693A"/>
    <w:rsid w:val="001D3DD1"/>
    <w:rsid w:val="0020293D"/>
    <w:rsid w:val="00216FA3"/>
    <w:rsid w:val="00231D23"/>
    <w:rsid w:val="00245307"/>
    <w:rsid w:val="00281CE7"/>
    <w:rsid w:val="00286A35"/>
    <w:rsid w:val="00295B3F"/>
    <w:rsid w:val="002C57BA"/>
    <w:rsid w:val="002D0498"/>
    <w:rsid w:val="002E274F"/>
    <w:rsid w:val="0036772C"/>
    <w:rsid w:val="003826A7"/>
    <w:rsid w:val="003869CD"/>
    <w:rsid w:val="003A1E8C"/>
    <w:rsid w:val="003B0417"/>
    <w:rsid w:val="003B7C81"/>
    <w:rsid w:val="003C743F"/>
    <w:rsid w:val="003E4943"/>
    <w:rsid w:val="00407E1C"/>
    <w:rsid w:val="00444DEA"/>
    <w:rsid w:val="00461369"/>
    <w:rsid w:val="00483642"/>
    <w:rsid w:val="004A195E"/>
    <w:rsid w:val="004B2271"/>
    <w:rsid w:val="004D644A"/>
    <w:rsid w:val="004F50C8"/>
    <w:rsid w:val="00503CF0"/>
    <w:rsid w:val="00523970"/>
    <w:rsid w:val="0054580B"/>
    <w:rsid w:val="005C326C"/>
    <w:rsid w:val="005D1AA8"/>
    <w:rsid w:val="005E2060"/>
    <w:rsid w:val="00604398"/>
    <w:rsid w:val="00616919"/>
    <w:rsid w:val="0064314A"/>
    <w:rsid w:val="00683D3A"/>
    <w:rsid w:val="00685EC7"/>
    <w:rsid w:val="006A7CA4"/>
    <w:rsid w:val="006E18D9"/>
    <w:rsid w:val="006F0AED"/>
    <w:rsid w:val="006F1342"/>
    <w:rsid w:val="00745687"/>
    <w:rsid w:val="00775AF6"/>
    <w:rsid w:val="007A52FC"/>
    <w:rsid w:val="007C02FD"/>
    <w:rsid w:val="007F7A2A"/>
    <w:rsid w:val="008278FD"/>
    <w:rsid w:val="008462B1"/>
    <w:rsid w:val="0086058C"/>
    <w:rsid w:val="00861103"/>
    <w:rsid w:val="00870585"/>
    <w:rsid w:val="00872E76"/>
    <w:rsid w:val="008844BC"/>
    <w:rsid w:val="008A54C8"/>
    <w:rsid w:val="008C43E6"/>
    <w:rsid w:val="008C59BF"/>
    <w:rsid w:val="008C7E20"/>
    <w:rsid w:val="008E7C3A"/>
    <w:rsid w:val="008F3C73"/>
    <w:rsid w:val="00922C95"/>
    <w:rsid w:val="00950557"/>
    <w:rsid w:val="00965730"/>
    <w:rsid w:val="00976170"/>
    <w:rsid w:val="009A1A15"/>
    <w:rsid w:val="009C478E"/>
    <w:rsid w:val="009E6C5D"/>
    <w:rsid w:val="00A53D3F"/>
    <w:rsid w:val="00A9560C"/>
    <w:rsid w:val="00AA5386"/>
    <w:rsid w:val="00AC79A5"/>
    <w:rsid w:val="00B21815"/>
    <w:rsid w:val="00B400BB"/>
    <w:rsid w:val="00B75D7B"/>
    <w:rsid w:val="00BE6856"/>
    <w:rsid w:val="00BE7A0F"/>
    <w:rsid w:val="00BE7BDD"/>
    <w:rsid w:val="00C07E07"/>
    <w:rsid w:val="00C1164A"/>
    <w:rsid w:val="00CB17D0"/>
    <w:rsid w:val="00CF548E"/>
    <w:rsid w:val="00D363D6"/>
    <w:rsid w:val="00D46672"/>
    <w:rsid w:val="00D4799A"/>
    <w:rsid w:val="00D91DA1"/>
    <w:rsid w:val="00D941E8"/>
    <w:rsid w:val="00DB7A0F"/>
    <w:rsid w:val="00E17D4A"/>
    <w:rsid w:val="00E54085"/>
    <w:rsid w:val="00E84C37"/>
    <w:rsid w:val="00E9373D"/>
    <w:rsid w:val="00EA0961"/>
    <w:rsid w:val="00EC6E53"/>
    <w:rsid w:val="00ED06FC"/>
    <w:rsid w:val="00F117F3"/>
    <w:rsid w:val="00F5196E"/>
    <w:rsid w:val="00F538AA"/>
    <w:rsid w:val="00F90430"/>
    <w:rsid w:val="00FD703C"/>
    <w:rsid w:val="00FE03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97A87"/>
  <w15:chartTrackingRefBased/>
  <w15:docId w15:val="{D0E1F37F-5426-314F-BA82-E90CDDC8F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02FD"/>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0B0DDF"/>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unhideWhenUsed/>
    <w:qFormat/>
    <w:rsid w:val="000B0DDF"/>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0B0DDF"/>
    <w:pPr>
      <w:keepNext/>
      <w:keepLines/>
      <w:spacing w:before="160" w:after="80" w:line="259" w:lineRule="auto"/>
      <w:outlineLvl w:val="2"/>
    </w:pPr>
    <w:rPr>
      <w:rFonts w:eastAsiaTheme="majorEastAsia"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0B0D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0D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0DD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0DD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0DD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0DD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0D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B0D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0D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0D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0D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0D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0D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0D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0DDF"/>
    <w:rPr>
      <w:rFonts w:eastAsiaTheme="majorEastAsia" w:cstheme="majorBidi"/>
      <w:color w:val="272727" w:themeColor="text1" w:themeTint="D8"/>
    </w:rPr>
  </w:style>
  <w:style w:type="paragraph" w:styleId="Title">
    <w:name w:val="Title"/>
    <w:basedOn w:val="Normal"/>
    <w:next w:val="Normal"/>
    <w:link w:val="TitleChar"/>
    <w:uiPriority w:val="10"/>
    <w:qFormat/>
    <w:rsid w:val="000B0DDF"/>
    <w:pPr>
      <w:spacing w:after="80"/>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0B0D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0DDF"/>
    <w:pPr>
      <w:numPr>
        <w:ilvl w:val="1"/>
      </w:numPr>
      <w:spacing w:after="160" w:line="259" w:lineRule="auto"/>
    </w:pPr>
    <w:rPr>
      <w:rFonts w:eastAsiaTheme="majorEastAsia"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0B0D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0DDF"/>
    <w:pPr>
      <w:spacing w:before="160" w:after="160" w:line="259" w:lineRule="auto"/>
      <w:jc w:val="center"/>
    </w:pPr>
    <w:rPr>
      <w:rFonts w:eastAsiaTheme="minorHAnsi" w:cstheme="minorBidi"/>
      <w:i/>
      <w:iCs/>
      <w:color w:val="404040" w:themeColor="text1" w:themeTint="BF"/>
      <w:szCs w:val="22"/>
      <w:lang w:eastAsia="en-US"/>
    </w:rPr>
  </w:style>
  <w:style w:type="character" w:customStyle="1" w:styleId="QuoteChar">
    <w:name w:val="Quote Char"/>
    <w:basedOn w:val="DefaultParagraphFont"/>
    <w:link w:val="Quote"/>
    <w:uiPriority w:val="29"/>
    <w:rsid w:val="000B0DDF"/>
    <w:rPr>
      <w:i/>
      <w:iCs/>
      <w:color w:val="404040" w:themeColor="text1" w:themeTint="BF"/>
    </w:rPr>
  </w:style>
  <w:style w:type="paragraph" w:styleId="ListParagraph">
    <w:name w:val="List Paragraph"/>
    <w:basedOn w:val="Normal"/>
    <w:uiPriority w:val="34"/>
    <w:qFormat/>
    <w:rsid w:val="000B0DDF"/>
    <w:pPr>
      <w:spacing w:after="160" w:line="259" w:lineRule="auto"/>
      <w:ind w:left="720"/>
      <w:contextualSpacing/>
    </w:pPr>
    <w:rPr>
      <w:rFonts w:eastAsiaTheme="minorHAnsi" w:cstheme="minorBidi"/>
      <w:szCs w:val="22"/>
      <w:lang w:eastAsia="en-US"/>
    </w:rPr>
  </w:style>
  <w:style w:type="character" w:styleId="IntenseEmphasis">
    <w:name w:val="Intense Emphasis"/>
    <w:basedOn w:val="DefaultParagraphFont"/>
    <w:uiPriority w:val="21"/>
    <w:qFormat/>
    <w:rsid w:val="000B0DDF"/>
    <w:rPr>
      <w:i/>
      <w:iCs/>
      <w:color w:val="0F4761" w:themeColor="accent1" w:themeShade="BF"/>
    </w:rPr>
  </w:style>
  <w:style w:type="paragraph" w:styleId="IntenseQuote">
    <w:name w:val="Intense Quote"/>
    <w:basedOn w:val="Normal"/>
    <w:next w:val="Normal"/>
    <w:link w:val="IntenseQuoteChar"/>
    <w:uiPriority w:val="30"/>
    <w:qFormat/>
    <w:rsid w:val="000B0DDF"/>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eastAsiaTheme="minorHAnsi" w:cstheme="minorBidi"/>
      <w:i/>
      <w:iCs/>
      <w:color w:val="0F4761" w:themeColor="accent1" w:themeShade="BF"/>
      <w:szCs w:val="22"/>
      <w:lang w:eastAsia="en-US"/>
    </w:rPr>
  </w:style>
  <w:style w:type="character" w:customStyle="1" w:styleId="IntenseQuoteChar">
    <w:name w:val="Intense Quote Char"/>
    <w:basedOn w:val="DefaultParagraphFont"/>
    <w:link w:val="IntenseQuote"/>
    <w:uiPriority w:val="30"/>
    <w:rsid w:val="000B0DDF"/>
    <w:rPr>
      <w:i/>
      <w:iCs/>
      <w:color w:val="0F4761" w:themeColor="accent1" w:themeShade="BF"/>
    </w:rPr>
  </w:style>
  <w:style w:type="character" w:styleId="IntenseReference">
    <w:name w:val="Intense Reference"/>
    <w:basedOn w:val="DefaultParagraphFont"/>
    <w:uiPriority w:val="32"/>
    <w:qFormat/>
    <w:rsid w:val="000B0DDF"/>
    <w:rPr>
      <w:b/>
      <w:bCs/>
      <w:smallCaps/>
      <w:color w:val="0F4761" w:themeColor="accent1" w:themeShade="BF"/>
      <w:spacing w:val="5"/>
    </w:rPr>
  </w:style>
  <w:style w:type="character" w:styleId="Strong">
    <w:name w:val="Strong"/>
    <w:basedOn w:val="DefaultParagraphFont"/>
    <w:uiPriority w:val="22"/>
    <w:qFormat/>
    <w:rsid w:val="00872E76"/>
    <w:rPr>
      <w:b/>
      <w:bCs/>
    </w:rPr>
  </w:style>
  <w:style w:type="paragraph" w:styleId="NormalWeb">
    <w:name w:val="Normal (Web)"/>
    <w:basedOn w:val="Normal"/>
    <w:uiPriority w:val="99"/>
    <w:unhideWhenUsed/>
    <w:rsid w:val="00872E76"/>
    <w:pPr>
      <w:spacing w:before="100" w:beforeAutospacing="1" w:after="100" w:afterAutospacing="1"/>
    </w:pPr>
  </w:style>
  <w:style w:type="character" w:customStyle="1" w:styleId="apple-converted-space">
    <w:name w:val="apple-converted-space"/>
    <w:basedOn w:val="DefaultParagraphFont"/>
    <w:rsid w:val="00872E76"/>
  </w:style>
  <w:style w:type="character" w:styleId="Emphasis">
    <w:name w:val="Emphasis"/>
    <w:basedOn w:val="DefaultParagraphFont"/>
    <w:uiPriority w:val="20"/>
    <w:qFormat/>
    <w:rsid w:val="00872E76"/>
    <w:rPr>
      <w:i/>
      <w:iCs/>
    </w:rPr>
  </w:style>
  <w:style w:type="character" w:styleId="Hyperlink">
    <w:name w:val="Hyperlink"/>
    <w:basedOn w:val="DefaultParagraphFont"/>
    <w:uiPriority w:val="99"/>
    <w:unhideWhenUsed/>
    <w:rsid w:val="00872E76"/>
    <w:rPr>
      <w:color w:val="0000FF"/>
      <w:u w:val="single"/>
    </w:rPr>
  </w:style>
  <w:style w:type="paragraph" w:styleId="TOCHeading">
    <w:name w:val="TOC Heading"/>
    <w:basedOn w:val="Heading1"/>
    <w:next w:val="Normal"/>
    <w:uiPriority w:val="39"/>
    <w:unhideWhenUsed/>
    <w:qFormat/>
    <w:rsid w:val="00AA5386"/>
    <w:pPr>
      <w:spacing w:before="480" w:after="0" w:line="276" w:lineRule="auto"/>
      <w:outlineLvl w:val="9"/>
    </w:pPr>
    <w:rPr>
      <w:b/>
      <w:bCs/>
      <w:sz w:val="28"/>
      <w:szCs w:val="28"/>
      <w:lang w:val="en-US"/>
    </w:rPr>
  </w:style>
  <w:style w:type="paragraph" w:styleId="TOC3">
    <w:name w:val="toc 3"/>
    <w:basedOn w:val="Normal"/>
    <w:next w:val="Normal"/>
    <w:autoRedefine/>
    <w:uiPriority w:val="39"/>
    <w:unhideWhenUsed/>
    <w:rsid w:val="00AA5386"/>
    <w:pPr>
      <w:spacing w:line="259" w:lineRule="auto"/>
      <w:ind w:left="480"/>
    </w:pPr>
    <w:rPr>
      <w:rFonts w:asciiTheme="minorHAnsi" w:eastAsiaTheme="minorHAnsi" w:hAnsiTheme="minorHAnsi" w:cstheme="minorBidi"/>
      <w:sz w:val="20"/>
      <w:szCs w:val="20"/>
      <w:lang w:eastAsia="en-US"/>
    </w:rPr>
  </w:style>
  <w:style w:type="paragraph" w:styleId="TOC2">
    <w:name w:val="toc 2"/>
    <w:basedOn w:val="Normal"/>
    <w:next w:val="Normal"/>
    <w:autoRedefine/>
    <w:uiPriority w:val="39"/>
    <w:unhideWhenUsed/>
    <w:rsid w:val="00AA5386"/>
    <w:pPr>
      <w:spacing w:before="120" w:line="259" w:lineRule="auto"/>
      <w:ind w:left="240"/>
    </w:pPr>
    <w:rPr>
      <w:rFonts w:asciiTheme="minorHAnsi" w:eastAsiaTheme="minorHAnsi" w:hAnsiTheme="minorHAnsi" w:cstheme="minorBidi"/>
      <w:b/>
      <w:bCs/>
      <w:sz w:val="22"/>
      <w:szCs w:val="22"/>
      <w:lang w:eastAsia="en-US"/>
    </w:rPr>
  </w:style>
  <w:style w:type="paragraph" w:styleId="TOC1">
    <w:name w:val="toc 1"/>
    <w:basedOn w:val="Normal"/>
    <w:next w:val="Normal"/>
    <w:autoRedefine/>
    <w:uiPriority w:val="39"/>
    <w:unhideWhenUsed/>
    <w:rsid w:val="00AA5386"/>
    <w:pPr>
      <w:spacing w:before="120" w:line="259" w:lineRule="auto"/>
    </w:pPr>
    <w:rPr>
      <w:rFonts w:asciiTheme="minorHAnsi" w:eastAsiaTheme="minorHAnsi" w:hAnsiTheme="minorHAnsi" w:cstheme="minorBidi"/>
      <w:b/>
      <w:bCs/>
      <w:i/>
      <w:iCs/>
      <w:lang w:eastAsia="en-US"/>
    </w:rPr>
  </w:style>
  <w:style w:type="paragraph" w:styleId="TOC4">
    <w:name w:val="toc 4"/>
    <w:basedOn w:val="Normal"/>
    <w:next w:val="Normal"/>
    <w:autoRedefine/>
    <w:uiPriority w:val="39"/>
    <w:semiHidden/>
    <w:unhideWhenUsed/>
    <w:rsid w:val="00AA5386"/>
    <w:pPr>
      <w:ind w:left="720"/>
    </w:pPr>
    <w:rPr>
      <w:rFonts w:asciiTheme="minorHAnsi" w:hAnsiTheme="minorHAnsi"/>
      <w:sz w:val="20"/>
      <w:szCs w:val="20"/>
    </w:rPr>
  </w:style>
  <w:style w:type="paragraph" w:styleId="TOC5">
    <w:name w:val="toc 5"/>
    <w:basedOn w:val="Normal"/>
    <w:next w:val="Normal"/>
    <w:autoRedefine/>
    <w:uiPriority w:val="39"/>
    <w:semiHidden/>
    <w:unhideWhenUsed/>
    <w:rsid w:val="00AA5386"/>
    <w:pPr>
      <w:ind w:left="960"/>
    </w:pPr>
    <w:rPr>
      <w:rFonts w:asciiTheme="minorHAnsi" w:hAnsiTheme="minorHAnsi"/>
      <w:sz w:val="20"/>
      <w:szCs w:val="20"/>
    </w:rPr>
  </w:style>
  <w:style w:type="paragraph" w:styleId="TOC6">
    <w:name w:val="toc 6"/>
    <w:basedOn w:val="Normal"/>
    <w:next w:val="Normal"/>
    <w:autoRedefine/>
    <w:uiPriority w:val="39"/>
    <w:semiHidden/>
    <w:unhideWhenUsed/>
    <w:rsid w:val="00AA5386"/>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AA5386"/>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AA5386"/>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AA5386"/>
    <w:pPr>
      <w:ind w:left="1920"/>
    </w:pPr>
    <w:rPr>
      <w:rFonts w:asciiTheme="minorHAnsi" w:hAnsiTheme="minorHAnsi"/>
      <w:sz w:val="20"/>
      <w:szCs w:val="20"/>
    </w:rPr>
  </w:style>
  <w:style w:type="paragraph" w:styleId="Footer">
    <w:name w:val="footer"/>
    <w:basedOn w:val="Normal"/>
    <w:link w:val="FooterChar"/>
    <w:uiPriority w:val="99"/>
    <w:unhideWhenUsed/>
    <w:rsid w:val="00407E1C"/>
    <w:pPr>
      <w:tabs>
        <w:tab w:val="center" w:pos="4513"/>
        <w:tab w:val="right" w:pos="9026"/>
      </w:tabs>
    </w:pPr>
    <w:rPr>
      <w:rFonts w:eastAsiaTheme="minorHAnsi" w:cstheme="minorBidi"/>
      <w:szCs w:val="22"/>
      <w:lang w:eastAsia="en-US"/>
    </w:rPr>
  </w:style>
  <w:style w:type="character" w:customStyle="1" w:styleId="FooterChar">
    <w:name w:val="Footer Char"/>
    <w:basedOn w:val="DefaultParagraphFont"/>
    <w:link w:val="Footer"/>
    <w:uiPriority w:val="99"/>
    <w:rsid w:val="00407E1C"/>
    <w:rPr>
      <w:rFonts w:ascii="Times New Roman" w:hAnsi="Times New Roman"/>
      <w:kern w:val="0"/>
      <w:szCs w:val="22"/>
      <w14:ligatures w14:val="none"/>
    </w:rPr>
  </w:style>
  <w:style w:type="character" w:styleId="PageNumber">
    <w:name w:val="page number"/>
    <w:basedOn w:val="DefaultParagraphFont"/>
    <w:uiPriority w:val="99"/>
    <w:semiHidden/>
    <w:unhideWhenUsed/>
    <w:rsid w:val="00407E1C"/>
  </w:style>
  <w:style w:type="character" w:styleId="FollowedHyperlink">
    <w:name w:val="FollowedHyperlink"/>
    <w:basedOn w:val="DefaultParagraphFont"/>
    <w:uiPriority w:val="99"/>
    <w:semiHidden/>
    <w:unhideWhenUsed/>
    <w:rsid w:val="00A53D3F"/>
    <w:rPr>
      <w:color w:val="96607D" w:themeColor="followedHyperlink"/>
      <w:u w:val="single"/>
    </w:rPr>
  </w:style>
  <w:style w:type="character" w:styleId="UnresolvedMention">
    <w:name w:val="Unresolved Mention"/>
    <w:basedOn w:val="DefaultParagraphFont"/>
    <w:uiPriority w:val="99"/>
    <w:semiHidden/>
    <w:unhideWhenUsed/>
    <w:rsid w:val="003869CD"/>
    <w:rPr>
      <w:color w:val="605E5C"/>
      <w:shd w:val="clear" w:color="auto" w:fill="E1DFDD"/>
    </w:rPr>
  </w:style>
  <w:style w:type="character" w:customStyle="1" w:styleId="relative">
    <w:name w:val="relative"/>
    <w:basedOn w:val="DefaultParagraphFont"/>
    <w:rsid w:val="007C02FD"/>
  </w:style>
  <w:style w:type="paragraph" w:customStyle="1" w:styleId="not-prose">
    <w:name w:val="not-prose"/>
    <w:basedOn w:val="Normal"/>
    <w:rsid w:val="007C02F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5042768">
      <w:bodyDiv w:val="1"/>
      <w:marLeft w:val="0"/>
      <w:marRight w:val="0"/>
      <w:marTop w:val="0"/>
      <w:marBottom w:val="0"/>
      <w:divBdr>
        <w:top w:val="none" w:sz="0" w:space="0" w:color="auto"/>
        <w:left w:val="none" w:sz="0" w:space="0" w:color="auto"/>
        <w:bottom w:val="none" w:sz="0" w:space="0" w:color="auto"/>
        <w:right w:val="none" w:sz="0" w:space="0" w:color="auto"/>
      </w:divBdr>
    </w:div>
    <w:div w:id="2117210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hbia.org.uk/" TargetMode="External"/><Relationship Id="rId13" Type="http://schemas.openxmlformats.org/officeDocument/2006/relationships/hyperlink" Target="https://doi.org/10.1371/journal.pone.0222485"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atista.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196/72892"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i.org/10.1111/camh.12620" TargetMode="External"/><Relationship Id="rId4" Type="http://schemas.openxmlformats.org/officeDocument/2006/relationships/settings" Target="settings.xml"/><Relationship Id="rId9" Type="http://schemas.openxmlformats.org/officeDocument/2006/relationships/hyperlink" Target="https://www.mind.org.uk/" TargetMode="External"/><Relationship Id="rId14" Type="http://schemas.openxmlformats.org/officeDocument/2006/relationships/hyperlink" Target="https://www.who.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FCEC05-4812-464B-BEB5-BAF015A26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4280</Words>
  <Characters>24398</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Kimia Mansoory Kinevarsi</dc:creator>
  <cp:keywords/>
  <dc:description/>
  <cp:lastModifiedBy>Kimia Mansoory Kinevarsi</cp:lastModifiedBy>
  <cp:revision>2</cp:revision>
  <dcterms:created xsi:type="dcterms:W3CDTF">2025-12-12T10:47:00Z</dcterms:created>
  <dcterms:modified xsi:type="dcterms:W3CDTF">2025-12-12T10:47:00Z</dcterms:modified>
</cp:coreProperties>
</file>