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66338" w14:textId="257184CA" w:rsidR="004C30FC" w:rsidRPr="004C30FC" w:rsidRDefault="004C30FC" w:rsidP="004C30FC">
      <w:pPr>
        <w:rPr>
          <w:b/>
          <w:bCs/>
        </w:rPr>
      </w:pPr>
    </w:p>
    <w:p w14:paraId="3B80388A" w14:textId="77777777" w:rsidR="002C3D19" w:rsidRDefault="004C30FC" w:rsidP="004C30FC">
      <w:pPr>
        <w:rPr>
          <w:sz w:val="48"/>
          <w:szCs w:val="48"/>
        </w:rPr>
      </w:pPr>
      <w:r w:rsidRPr="004C30FC">
        <w:rPr>
          <w:b/>
          <w:bCs/>
          <w:sz w:val="48"/>
          <w:szCs w:val="48"/>
        </w:rPr>
        <w:t>Student Name:</w:t>
      </w:r>
      <w:r w:rsidRPr="004C30FC">
        <w:t xml:space="preserve"> </w:t>
      </w:r>
      <w:r w:rsidRPr="00624A66">
        <w:rPr>
          <w:sz w:val="48"/>
          <w:szCs w:val="48"/>
        </w:rPr>
        <w:t>Charles Onij</w:t>
      </w:r>
      <w:r w:rsidR="00953A28">
        <w:rPr>
          <w:sz w:val="48"/>
          <w:szCs w:val="48"/>
        </w:rPr>
        <w:t>e</w:t>
      </w:r>
    </w:p>
    <w:p w14:paraId="1AAD36C7" w14:textId="77777777" w:rsidR="002C3D19" w:rsidRDefault="004C30FC" w:rsidP="004C30FC">
      <w:pPr>
        <w:rPr>
          <w:sz w:val="48"/>
          <w:szCs w:val="48"/>
        </w:rPr>
      </w:pPr>
      <w:r w:rsidRPr="004C30FC">
        <w:rPr>
          <w:sz w:val="48"/>
          <w:szCs w:val="48"/>
        </w:rPr>
        <w:br/>
      </w:r>
      <w:r w:rsidRPr="004C30FC">
        <w:rPr>
          <w:b/>
          <w:bCs/>
          <w:sz w:val="48"/>
          <w:szCs w:val="48"/>
        </w:rPr>
        <w:t>Student Number:</w:t>
      </w:r>
      <w:r w:rsidRPr="004C30FC">
        <w:rPr>
          <w:sz w:val="48"/>
          <w:szCs w:val="48"/>
        </w:rPr>
        <w:t xml:space="preserve"> </w:t>
      </w:r>
      <w:r w:rsidRPr="00953A28">
        <w:rPr>
          <w:sz w:val="48"/>
          <w:szCs w:val="48"/>
        </w:rPr>
        <w:t>2420902</w:t>
      </w:r>
    </w:p>
    <w:p w14:paraId="6696E9F8" w14:textId="77777777" w:rsidR="002C3D19" w:rsidRDefault="004C30FC" w:rsidP="004C30FC">
      <w:pPr>
        <w:rPr>
          <w:sz w:val="48"/>
          <w:szCs w:val="48"/>
        </w:rPr>
      </w:pPr>
      <w:r w:rsidRPr="004C30FC">
        <w:rPr>
          <w:sz w:val="48"/>
          <w:szCs w:val="48"/>
        </w:rPr>
        <w:br/>
      </w:r>
      <w:r w:rsidRPr="004C30FC">
        <w:rPr>
          <w:b/>
          <w:bCs/>
          <w:sz w:val="48"/>
          <w:szCs w:val="48"/>
        </w:rPr>
        <w:t>Module Code and Title</w:t>
      </w:r>
      <w:r w:rsidRPr="004C30FC">
        <w:rPr>
          <w:sz w:val="48"/>
          <w:szCs w:val="48"/>
        </w:rPr>
        <w:t xml:space="preserve">: </w:t>
      </w:r>
      <w:r w:rsidR="00E34358" w:rsidRPr="00953A28">
        <w:rPr>
          <w:sz w:val="48"/>
          <w:szCs w:val="48"/>
        </w:rPr>
        <w:t>L</w:t>
      </w:r>
      <w:r w:rsidR="000419E3" w:rsidRPr="00953A28">
        <w:rPr>
          <w:sz w:val="48"/>
          <w:szCs w:val="48"/>
        </w:rPr>
        <w:t>CHS</w:t>
      </w:r>
      <w:r w:rsidR="00E34358" w:rsidRPr="00953A28">
        <w:rPr>
          <w:sz w:val="48"/>
          <w:szCs w:val="48"/>
        </w:rPr>
        <w:t>4003</w:t>
      </w:r>
    </w:p>
    <w:p w14:paraId="233E66E0" w14:textId="18C13D4B" w:rsidR="004112F1" w:rsidRDefault="004C30FC" w:rsidP="004C30FC">
      <w:pPr>
        <w:rPr>
          <w:sz w:val="48"/>
          <w:szCs w:val="48"/>
        </w:rPr>
      </w:pPr>
      <w:r w:rsidRPr="004C30FC">
        <w:rPr>
          <w:sz w:val="48"/>
          <w:szCs w:val="48"/>
        </w:rPr>
        <w:br/>
      </w:r>
      <w:r w:rsidRPr="004C30FC">
        <w:rPr>
          <w:b/>
          <w:bCs/>
          <w:sz w:val="48"/>
          <w:szCs w:val="48"/>
        </w:rPr>
        <w:t>Lecturer:</w:t>
      </w:r>
      <w:r w:rsidRPr="004C30FC">
        <w:rPr>
          <w:sz w:val="48"/>
          <w:szCs w:val="48"/>
        </w:rPr>
        <w:t xml:space="preserve"> </w:t>
      </w:r>
      <w:r w:rsidR="004C77CC">
        <w:rPr>
          <w:sz w:val="48"/>
          <w:szCs w:val="48"/>
        </w:rPr>
        <w:t>TSIWANI</w:t>
      </w:r>
      <w:r w:rsidR="00CD1D15" w:rsidRPr="007D15C4">
        <w:rPr>
          <w:sz w:val="48"/>
          <w:szCs w:val="48"/>
        </w:rPr>
        <w:t xml:space="preserve"> </w:t>
      </w:r>
      <w:r w:rsidR="004C77CC" w:rsidRPr="007D15C4">
        <w:rPr>
          <w:sz w:val="48"/>
          <w:szCs w:val="48"/>
        </w:rPr>
        <w:t>K</w:t>
      </w:r>
      <w:r w:rsidR="00A92FCC">
        <w:rPr>
          <w:sz w:val="48"/>
          <w:szCs w:val="48"/>
        </w:rPr>
        <w:t>HU</w:t>
      </w:r>
      <w:r w:rsidR="003529C7">
        <w:rPr>
          <w:sz w:val="48"/>
          <w:szCs w:val="48"/>
        </w:rPr>
        <w:t>MALO</w:t>
      </w:r>
    </w:p>
    <w:p w14:paraId="2B096091" w14:textId="636B3789" w:rsidR="004C30FC" w:rsidRDefault="004C30FC" w:rsidP="004C30FC">
      <w:pPr>
        <w:rPr>
          <w:sz w:val="48"/>
          <w:szCs w:val="48"/>
        </w:rPr>
      </w:pPr>
      <w:r w:rsidRPr="004C30FC">
        <w:rPr>
          <w:sz w:val="48"/>
          <w:szCs w:val="48"/>
        </w:rPr>
        <w:br/>
      </w:r>
      <w:r w:rsidRPr="004C30FC">
        <w:rPr>
          <w:b/>
          <w:bCs/>
          <w:sz w:val="48"/>
          <w:szCs w:val="48"/>
        </w:rPr>
        <w:t>Assignment Title:</w:t>
      </w:r>
      <w:r w:rsidRPr="004C30FC">
        <w:rPr>
          <w:sz w:val="48"/>
          <w:szCs w:val="48"/>
        </w:rPr>
        <w:t xml:space="preserve"> Case Study Report – Mrs Mann</w:t>
      </w:r>
    </w:p>
    <w:p w14:paraId="6AFDD588" w14:textId="77777777" w:rsidR="00D810F0" w:rsidRDefault="00D810F0" w:rsidP="004C30FC">
      <w:pPr>
        <w:rPr>
          <w:sz w:val="48"/>
          <w:szCs w:val="48"/>
        </w:rPr>
      </w:pPr>
    </w:p>
    <w:p w14:paraId="1F420E31" w14:textId="05212A55" w:rsidR="00F12879" w:rsidRDefault="00F12879" w:rsidP="004C30FC">
      <w:pPr>
        <w:rPr>
          <w:sz w:val="48"/>
          <w:szCs w:val="48"/>
        </w:rPr>
      </w:pPr>
    </w:p>
    <w:p w14:paraId="2FC0C999" w14:textId="77777777" w:rsidR="00F12879" w:rsidRDefault="00F12879" w:rsidP="004C30FC">
      <w:pPr>
        <w:rPr>
          <w:sz w:val="48"/>
          <w:szCs w:val="48"/>
        </w:rPr>
      </w:pPr>
    </w:p>
    <w:p w14:paraId="10A85A10" w14:textId="77777777" w:rsidR="00F12879" w:rsidRDefault="00F12879" w:rsidP="004C30FC">
      <w:pPr>
        <w:rPr>
          <w:sz w:val="48"/>
          <w:szCs w:val="48"/>
        </w:rPr>
      </w:pPr>
    </w:p>
    <w:p w14:paraId="35827E2C" w14:textId="77777777" w:rsidR="00F12879" w:rsidRDefault="00F12879" w:rsidP="004C30FC">
      <w:pPr>
        <w:rPr>
          <w:sz w:val="48"/>
          <w:szCs w:val="48"/>
        </w:rPr>
      </w:pPr>
    </w:p>
    <w:p w14:paraId="2E4444EF" w14:textId="77777777" w:rsidR="00F12879" w:rsidRDefault="00F12879" w:rsidP="004C30FC">
      <w:pPr>
        <w:rPr>
          <w:sz w:val="48"/>
          <w:szCs w:val="48"/>
        </w:rPr>
      </w:pPr>
    </w:p>
    <w:p w14:paraId="13A2B893" w14:textId="77777777" w:rsidR="00F12879" w:rsidRDefault="00F12879" w:rsidP="004C30FC">
      <w:pPr>
        <w:rPr>
          <w:sz w:val="48"/>
          <w:szCs w:val="48"/>
        </w:rPr>
      </w:pPr>
    </w:p>
    <w:p w14:paraId="0B13EF9D" w14:textId="77777777" w:rsidR="004112F1" w:rsidRPr="004C30FC" w:rsidRDefault="004112F1" w:rsidP="004C30FC">
      <w:pPr>
        <w:rPr>
          <w:sz w:val="48"/>
          <w:szCs w:val="48"/>
        </w:rPr>
      </w:pPr>
    </w:p>
    <w:p w14:paraId="21CA7305" w14:textId="77777777" w:rsidR="004C30FC" w:rsidRPr="004C30FC" w:rsidRDefault="00000000" w:rsidP="004C30FC">
      <w:r>
        <w:pict w14:anchorId="1F8D558C">
          <v:rect id="_x0000_i1025" style="width:0;height:1.5pt" o:hralign="center" o:hrstd="t" o:hr="t" fillcolor="#a0a0a0" stroked="f"/>
        </w:pict>
      </w:r>
    </w:p>
    <w:p w14:paraId="6EAB4035" w14:textId="146748EF" w:rsidR="004C30FC" w:rsidRPr="00B17D23" w:rsidRDefault="004C30FC" w:rsidP="004C30FC">
      <w:pPr>
        <w:rPr>
          <w:b/>
          <w:bCs/>
          <w:sz w:val="44"/>
          <w:szCs w:val="44"/>
          <w:u w:val="single"/>
        </w:rPr>
      </w:pPr>
      <w:r w:rsidRPr="00B17D23">
        <w:rPr>
          <w:b/>
          <w:bCs/>
          <w:sz w:val="44"/>
          <w:szCs w:val="44"/>
          <w:u w:val="single"/>
        </w:rPr>
        <w:t>Introduction</w:t>
      </w:r>
    </w:p>
    <w:p w14:paraId="3E926AB0" w14:textId="67F3278F" w:rsidR="00F12879" w:rsidRDefault="004C30FC" w:rsidP="00C930A0">
      <w:pPr>
        <w:spacing w:line="360" w:lineRule="auto"/>
      </w:pPr>
      <w:r w:rsidRPr="004C30FC">
        <w:t xml:space="preserve">Effective health and social care practice relies on clear communication, accurate record keeping, and strong interprofessional collaboration. In the case of Mrs Mann, a </w:t>
      </w:r>
      <w:r w:rsidR="000E0EA9" w:rsidRPr="004C30FC">
        <w:t>72</w:t>
      </w:r>
      <w:r w:rsidR="000E0EA9">
        <w:t>-year-old</w:t>
      </w:r>
      <w:r w:rsidRPr="004C30FC">
        <w:t xml:space="preserve"> woman recovering from hip replacement surgery, these principles are central to ensuring safety, dignity, and continuity of care. Her situation highlights challenges commonly faced in community-based care, particularly where language barriers, multiple professionals, and complex care needs intersect. </w:t>
      </w:r>
    </w:p>
    <w:p w14:paraId="18B04322" w14:textId="77777777" w:rsidR="00F12879" w:rsidRDefault="00F12879" w:rsidP="00C930A0">
      <w:pPr>
        <w:spacing w:line="360" w:lineRule="auto"/>
      </w:pPr>
    </w:p>
    <w:p w14:paraId="3ACB36B4" w14:textId="74C55DF6" w:rsidR="004C30FC" w:rsidRPr="004C30FC" w:rsidRDefault="004C30FC" w:rsidP="00C930A0">
      <w:pPr>
        <w:spacing w:line="360" w:lineRule="auto"/>
      </w:pPr>
      <w:r w:rsidRPr="004C30FC">
        <w:t>This report examines three key aspects of professional practice relevant to Mrs Mann’s case</w:t>
      </w:r>
      <w:r w:rsidR="006D76F7">
        <w:t>;</w:t>
      </w:r>
      <w:r w:rsidRPr="004C30FC">
        <w:t xml:space="preserve"> effective communication with service users and families; the importance of administrative and recor</w:t>
      </w:r>
      <w:r w:rsidR="00CE2445">
        <w:t xml:space="preserve">d </w:t>
      </w:r>
      <w:r w:rsidRPr="004C30FC">
        <w:t>keeping skills; and the need for collaborative working among multidisciplinary teams. Drawing on key legislation such as the</w:t>
      </w:r>
      <w:r w:rsidR="00382191">
        <w:t xml:space="preserve"> </w:t>
      </w:r>
      <w:r w:rsidR="00CA6F3B">
        <w:t>(</w:t>
      </w:r>
      <w:r w:rsidRPr="004C30FC">
        <w:t>Equality Act 2010</w:t>
      </w:r>
      <w:r w:rsidR="00CA6F3B">
        <w:t>)</w:t>
      </w:r>
      <w:r w:rsidRPr="004C30FC">
        <w:t xml:space="preserve"> and the Data Protection Act 2018, as well as theoretical models of communication and teamwork, the discussion emphasises how adherence to professional standards safeguards patient wellbeing and promotes holistic, person-centred care.</w:t>
      </w:r>
    </w:p>
    <w:p w14:paraId="20FE5E33" w14:textId="77777777" w:rsidR="004C30FC" w:rsidRPr="004C30FC" w:rsidRDefault="00000000" w:rsidP="00C930A0">
      <w:pPr>
        <w:spacing w:line="360" w:lineRule="auto"/>
      </w:pPr>
      <w:r>
        <w:pict w14:anchorId="0C179CAD">
          <v:rect id="_x0000_i1026" style="width:0;height:1.5pt" o:hralign="center" o:hrstd="t" o:hr="t" fillcolor="#a0a0a0" stroked="f"/>
        </w:pict>
      </w:r>
    </w:p>
    <w:p w14:paraId="597096F4" w14:textId="3396D257" w:rsidR="004C30FC" w:rsidRPr="00B17D23" w:rsidRDefault="004C30FC" w:rsidP="00C930A0">
      <w:pPr>
        <w:spacing w:line="360" w:lineRule="auto"/>
        <w:rPr>
          <w:b/>
          <w:bCs/>
          <w:sz w:val="44"/>
          <w:szCs w:val="44"/>
        </w:rPr>
      </w:pPr>
      <w:r w:rsidRPr="00B17D23">
        <w:rPr>
          <w:b/>
          <w:bCs/>
          <w:sz w:val="44"/>
          <w:szCs w:val="44"/>
          <w:u w:val="single"/>
        </w:rPr>
        <w:t xml:space="preserve"> Importance of Effective Communication</w:t>
      </w:r>
      <w:r w:rsidRPr="00B17D23">
        <w:rPr>
          <w:b/>
          <w:bCs/>
          <w:sz w:val="44"/>
          <w:szCs w:val="44"/>
        </w:rPr>
        <w:t xml:space="preserve"> </w:t>
      </w:r>
    </w:p>
    <w:p w14:paraId="4F5BF2F8" w14:textId="1BDBF9C7" w:rsidR="004C30FC" w:rsidRPr="004C30FC" w:rsidRDefault="004C30FC" w:rsidP="00C930A0">
      <w:pPr>
        <w:spacing w:line="360" w:lineRule="auto"/>
      </w:pPr>
      <w:r w:rsidRPr="004C30FC">
        <w:t xml:space="preserve">Communication is a cornerstone of </w:t>
      </w:r>
      <w:r w:rsidR="00F62108" w:rsidRPr="004C30FC">
        <w:t>high-quality</w:t>
      </w:r>
      <w:r w:rsidRPr="004C30FC">
        <w:t xml:space="preserve"> care. For Mrs Mann, who speaks limited English, effective communication is critical to understanding her needs, ensuring her participation in decision-making, and maintaining trust between her and the care team. The </w:t>
      </w:r>
      <w:r w:rsidRPr="00C930A0">
        <w:t>Equality Act 2010</w:t>
      </w:r>
      <w:r w:rsidRPr="004C30FC">
        <w:t xml:space="preserve"> requires that services make reasonable adjustments to eliminate barriers and promote equality, which in this context includes providing interpretation support and culturally sensitive communication</w:t>
      </w:r>
      <w:r w:rsidR="00F12879">
        <w:t xml:space="preserve"> </w:t>
      </w:r>
      <w:r w:rsidR="00C53583">
        <w:t>(</w:t>
      </w:r>
      <w:r w:rsidR="00EE5A0E">
        <w:rPr>
          <w:color w:val="000000" w:themeColor="text1"/>
        </w:rPr>
        <w:t>Equality Act,2020)</w:t>
      </w:r>
      <w:r w:rsidRPr="004C30FC">
        <w:t>. Failing to address these needs could amount to indirect discrimination under the Act.</w:t>
      </w:r>
    </w:p>
    <w:p w14:paraId="1584F641" w14:textId="5F08A25A" w:rsidR="004C30FC" w:rsidRPr="004C30FC" w:rsidRDefault="004C30FC" w:rsidP="00C930A0">
      <w:pPr>
        <w:spacing w:line="360" w:lineRule="auto"/>
      </w:pPr>
      <w:r w:rsidRPr="004C30FC">
        <w:lastRenderedPageBreak/>
        <w:t xml:space="preserve">To communicate effectively with Mrs Mann, staff should use </w:t>
      </w:r>
      <w:r w:rsidRPr="00C930A0">
        <w:t>interpreters</w:t>
      </w:r>
      <w:r w:rsidRPr="004C30FC">
        <w:t xml:space="preserve">, translated materials, and visual aids where appropriate. Her daughter’s involvement as an informal interpreter can be helpful, but professional interpreters should be used for discussions involving consent, medication, or health decisions to avoid miscommunication and ensure confidentiality </w:t>
      </w:r>
      <w:r w:rsidR="00051B22">
        <w:t>(</w:t>
      </w:r>
      <w:r w:rsidRPr="004C30FC">
        <w:t>NHS England, 2021</w:t>
      </w:r>
      <w:r w:rsidR="00051B22">
        <w:t>)</w:t>
      </w:r>
      <w:r w:rsidRPr="004C30FC">
        <w:t xml:space="preserve">. Non-verbal communication such as gestures, eye contact, and empathetic body language also </w:t>
      </w:r>
      <w:r w:rsidR="000468CE">
        <w:t>part take</w:t>
      </w:r>
      <w:r w:rsidRPr="004C30FC">
        <w:t xml:space="preserve"> a key role in building rapport when language differences exist.</w:t>
      </w:r>
    </w:p>
    <w:p w14:paraId="28E7CD25" w14:textId="24DCBD35" w:rsidR="004C30FC" w:rsidRPr="004C30FC" w:rsidRDefault="004C30FC" w:rsidP="00C930A0">
      <w:pPr>
        <w:spacing w:line="360" w:lineRule="auto"/>
      </w:pPr>
      <w:r w:rsidRPr="004C30FC">
        <w:t xml:space="preserve">A relevant framework for understanding communication in this context is </w:t>
      </w:r>
      <w:r w:rsidRPr="00C930A0">
        <w:t>Berlo’s SMCR</w:t>
      </w:r>
      <w:r w:rsidRPr="004C30FC">
        <w:rPr>
          <w:b/>
          <w:bCs/>
        </w:rPr>
        <w:t xml:space="preserve"> </w:t>
      </w:r>
      <w:r w:rsidRPr="00C930A0">
        <w:t>Model Source–Message–Channel–Receiver</w:t>
      </w:r>
      <w:r w:rsidRPr="004C30FC">
        <w:t>. According to Berlo (1960</w:t>
      </w:r>
      <w:r w:rsidR="00F12879">
        <w:t>)</w:t>
      </w:r>
      <w:r w:rsidRPr="004C30FC">
        <w:t>, effective communication depends on the skills, attitudes, and cultural backgrounds of both the sender and receiver. In Mrs Mann’s case, the source (care worker) must ensure that messages are clear, simple, and culturally appropriate, while the channel (spoken word, interpreter, written notes) must match Mrs Mann’s communication preferences. Feedback mechanisms</w:t>
      </w:r>
      <w:r w:rsidR="000468CE">
        <w:t xml:space="preserve"> </w:t>
      </w:r>
      <w:r w:rsidRPr="004C30FC">
        <w:t>such as confirming understanding through demonstration or repetition</w:t>
      </w:r>
      <w:r w:rsidR="000468CE">
        <w:t xml:space="preserve"> </w:t>
      </w:r>
      <w:r w:rsidRPr="004C30FC">
        <w:t>are essential to ensure the receiver (Mrs Mann) has accurately received the message.</w:t>
      </w:r>
    </w:p>
    <w:p w14:paraId="5FB5BA63" w14:textId="1D228F0E" w:rsidR="004C30FC" w:rsidRPr="004C30FC" w:rsidRDefault="004C30FC" w:rsidP="00C930A0">
      <w:pPr>
        <w:spacing w:line="360" w:lineRule="auto"/>
      </w:pPr>
      <w:r w:rsidRPr="004C30FC">
        <w:t xml:space="preserve">Incorporating </w:t>
      </w:r>
      <w:r w:rsidRPr="00C930A0">
        <w:t>person-centred principles</w:t>
      </w:r>
      <w:r w:rsidRPr="004C30FC">
        <w:t xml:space="preserve"> ensures that communication respects Mrs Mann’s individuality, autonomy, and dignity</w:t>
      </w:r>
      <w:r w:rsidR="00C66508">
        <w:t xml:space="preserve"> </w:t>
      </w:r>
      <w:r w:rsidR="0064238B">
        <w:t>(</w:t>
      </w:r>
      <w:r w:rsidR="0064238B" w:rsidRPr="004C30FC">
        <w:t>NICE</w:t>
      </w:r>
      <w:r w:rsidRPr="004C30FC">
        <w:t>, 2021</w:t>
      </w:r>
      <w:r w:rsidR="00C66508">
        <w:t>)</w:t>
      </w:r>
      <w:r w:rsidRPr="004C30FC">
        <w:t xml:space="preserve">. Care staff should actively listen, involve her in goal setting for physiotherapy, and communicate with warmth and respect. </w:t>
      </w:r>
      <w:r w:rsidR="00EE5A0E" w:rsidRPr="004C30FC">
        <w:t>These fosters</w:t>
      </w:r>
      <w:r w:rsidRPr="004C30FC">
        <w:t xml:space="preserve"> trust and </w:t>
      </w:r>
      <w:r w:rsidR="00EE5A0E" w:rsidRPr="004C30FC">
        <w:t>promote</w:t>
      </w:r>
      <w:r w:rsidRPr="004C30FC">
        <w:t xml:space="preserve"> emotional wellbeing during recovery.</w:t>
      </w:r>
    </w:p>
    <w:p w14:paraId="59BC5FC6" w14:textId="61AA4477" w:rsidR="004C30FC" w:rsidRPr="004C30FC" w:rsidRDefault="004C30FC" w:rsidP="00C930A0">
      <w:pPr>
        <w:spacing w:line="360" w:lineRule="auto"/>
      </w:pPr>
      <w:r w:rsidRPr="004C30FC">
        <w:t xml:space="preserve">Effective communication must also extend to </w:t>
      </w:r>
      <w:r w:rsidRPr="00853FCC">
        <w:t>family and professionals</w:t>
      </w:r>
      <w:r w:rsidRPr="004C30FC">
        <w:t>. Mrs Mann’s daughter is an important advocate and source of emotional support, so regular updates in accessible language are essential. The domiciliary care team, physiotherapist, and GP must use consistent channels</w:t>
      </w:r>
      <w:r w:rsidR="009D7F34">
        <w:t xml:space="preserve"> </w:t>
      </w:r>
      <w:r w:rsidRPr="004C30FC">
        <w:t>such as electronic care records or scheduled case conferences</w:t>
      </w:r>
      <w:r w:rsidR="009D7F34">
        <w:t xml:space="preserve"> </w:t>
      </w:r>
      <w:r w:rsidRPr="004C30FC">
        <w:t>to prevent errors like the recent delayed medication adjustment. Structured handovers (using frameworks like SBAR: Situation, Background, Assessment, Recommendation) help ensure information is clear and concise across shifts and agencies</w:t>
      </w:r>
      <w:r w:rsidR="00011113">
        <w:t xml:space="preserve"> </w:t>
      </w:r>
      <w:r w:rsidRPr="004C30FC">
        <w:t>NHS Improvement, 2018.</w:t>
      </w:r>
    </w:p>
    <w:p w14:paraId="2AB319C7" w14:textId="77777777" w:rsidR="004C30FC" w:rsidRPr="004C30FC" w:rsidRDefault="004C30FC" w:rsidP="00C930A0">
      <w:pPr>
        <w:spacing w:line="360" w:lineRule="auto"/>
      </w:pPr>
      <w:r w:rsidRPr="004C30FC">
        <w:lastRenderedPageBreak/>
        <w:t>In summary, applying the principles of equality, cultural sensitivity, and clear communication models enables Mrs Mann’s care team to meet both her clinical and emotional needs while reducing the risk of misunderstandings or safety incidents.</w:t>
      </w:r>
    </w:p>
    <w:p w14:paraId="33F0C1E2" w14:textId="77777777" w:rsidR="004C30FC" w:rsidRPr="004C30FC" w:rsidRDefault="00000000" w:rsidP="00C930A0">
      <w:pPr>
        <w:spacing w:line="360" w:lineRule="auto"/>
      </w:pPr>
      <w:r>
        <w:pict w14:anchorId="00E250E6">
          <v:rect id="_x0000_i1027" style="width:0;height:1.5pt" o:hralign="center" o:hrstd="t" o:hr="t" fillcolor="#a0a0a0" stroked="f"/>
        </w:pict>
      </w:r>
    </w:p>
    <w:p w14:paraId="364AC5BB" w14:textId="2334CE27" w:rsidR="004C30FC" w:rsidRPr="00011113" w:rsidRDefault="004C30FC" w:rsidP="00C930A0">
      <w:pPr>
        <w:spacing w:line="360" w:lineRule="auto"/>
        <w:rPr>
          <w:b/>
          <w:bCs/>
          <w:sz w:val="44"/>
          <w:szCs w:val="44"/>
          <w:u w:val="single"/>
        </w:rPr>
      </w:pPr>
      <w:r w:rsidRPr="004C30FC">
        <w:rPr>
          <w:b/>
          <w:bCs/>
        </w:rPr>
        <w:t xml:space="preserve"> </w:t>
      </w:r>
      <w:r w:rsidRPr="00011113">
        <w:rPr>
          <w:b/>
          <w:bCs/>
          <w:sz w:val="44"/>
          <w:szCs w:val="44"/>
          <w:u w:val="single"/>
        </w:rPr>
        <w:t xml:space="preserve">Importance of Administrative Skills and Record Keeping </w:t>
      </w:r>
    </w:p>
    <w:p w14:paraId="6D906D79" w14:textId="6DD130FE" w:rsidR="004C30FC" w:rsidRPr="004C30FC" w:rsidRDefault="004C30FC" w:rsidP="00C930A0">
      <w:pPr>
        <w:spacing w:line="360" w:lineRule="auto"/>
      </w:pPr>
      <w:r w:rsidRPr="004C30FC">
        <w:t>Good administrative and record</w:t>
      </w:r>
      <w:r w:rsidR="009D7F34">
        <w:t xml:space="preserve"> </w:t>
      </w:r>
      <w:r w:rsidRPr="004C30FC">
        <w:t xml:space="preserve">keeping skills underpin safe, accountable care practice. In Mrs Mann’s case, inconsistent documentation led to a medication delay, demonstrating how poor record keeping can directly compromise patient safety. Health and social care professionals have both legal and ethical duties to maintain accurate, timely, and complete records </w:t>
      </w:r>
      <w:r w:rsidR="00F12879">
        <w:t>(</w:t>
      </w:r>
      <w:r w:rsidRPr="004C30FC">
        <w:t>NMC, 2018; CQC, 2021</w:t>
      </w:r>
      <w:r w:rsidR="00F12879">
        <w:t>)</w:t>
      </w:r>
      <w:r w:rsidRPr="004C30FC">
        <w:t>.</w:t>
      </w:r>
    </w:p>
    <w:p w14:paraId="58C4B34A" w14:textId="4D9FD0D8" w:rsidR="004C30FC" w:rsidRPr="004C30FC" w:rsidRDefault="004C30FC" w:rsidP="00C930A0">
      <w:pPr>
        <w:spacing w:line="360" w:lineRule="auto"/>
      </w:pPr>
      <w:r w:rsidRPr="004C30FC">
        <w:t xml:space="preserve">The </w:t>
      </w:r>
      <w:r w:rsidRPr="004C30FC">
        <w:rPr>
          <w:b/>
          <w:bCs/>
        </w:rPr>
        <w:t>Data Protection Act 2018 (DPA)</w:t>
      </w:r>
      <w:r w:rsidRPr="004C30FC">
        <w:t xml:space="preserve">, incorporating the </w:t>
      </w:r>
      <w:r w:rsidRPr="004C30FC">
        <w:rPr>
          <w:b/>
          <w:bCs/>
        </w:rPr>
        <w:t>UK General Data Protection Regulation (GDPR)</w:t>
      </w:r>
      <w:r w:rsidRPr="004C30FC">
        <w:t xml:space="preserve">, sets out principles for handling personal </w:t>
      </w:r>
      <w:r w:rsidR="005D205A" w:rsidRPr="004C30FC">
        <w:t>information</w:t>
      </w:r>
      <w:r w:rsidR="005D205A">
        <w:t xml:space="preserve"> (</w:t>
      </w:r>
      <w:r w:rsidR="00EE5A0E">
        <w:t>Information</w:t>
      </w:r>
      <w:r w:rsidR="00EE5A0E">
        <w:rPr>
          <w:color w:val="000000" w:themeColor="text1"/>
        </w:rPr>
        <w:t xml:space="preserve"> commissioner’s office,</w:t>
      </w:r>
      <w:r w:rsidR="004E5107">
        <w:rPr>
          <w:color w:val="000000" w:themeColor="text1"/>
        </w:rPr>
        <w:t xml:space="preserve"> </w:t>
      </w:r>
      <w:r w:rsidR="00EE5A0E">
        <w:rPr>
          <w:color w:val="000000" w:themeColor="text1"/>
        </w:rPr>
        <w:t>2021)</w:t>
      </w:r>
      <w:r w:rsidRPr="004C30FC">
        <w:t>. These include lawfulness, fairness, transparency, accuracy, purpose limitation, data minimisation, and confidentiality. Mrs Mann’s care records contain sensitive personal and medical data, which must be stored securely, accessed only by authorised individuals, and shared strictly on a “need-to-know” basis. Breaches of confidentiality could cause harm and undermine trust.</w:t>
      </w:r>
    </w:p>
    <w:p w14:paraId="0D1F134D" w14:textId="7EB0BA57" w:rsidR="004C30FC" w:rsidRPr="004C30FC" w:rsidRDefault="004C30FC" w:rsidP="00C930A0">
      <w:pPr>
        <w:spacing w:line="360" w:lineRule="auto"/>
      </w:pPr>
      <w:r w:rsidRPr="004C30FC">
        <w:t xml:space="preserve">Accurate record keeping ensures </w:t>
      </w:r>
      <w:r w:rsidRPr="00853FCC">
        <w:t>continuity of care</w:t>
      </w:r>
      <w:r w:rsidRPr="004C30FC">
        <w:t>, supports multidisciplinary communication, and provides legal evidence of actions taken. Each care worker must record interventions promptly after visits</w:t>
      </w:r>
      <w:r w:rsidR="00066013">
        <w:t xml:space="preserve"> </w:t>
      </w:r>
      <w:r w:rsidRPr="004C30FC">
        <w:t>such as assistance with mobility, wound care, or medication administration</w:t>
      </w:r>
      <w:r w:rsidR="00066013">
        <w:t xml:space="preserve"> </w:t>
      </w:r>
      <w:r w:rsidRPr="004C30FC">
        <w:t>and note any changes in condition. Electronic care management systems, when used correctly, can improve accuracy and reduce duplication. However, staff must receive adequate training to use these systems competently.</w:t>
      </w:r>
    </w:p>
    <w:p w14:paraId="7C341649" w14:textId="071BC637" w:rsidR="004C30FC" w:rsidRPr="004C30FC" w:rsidRDefault="004C30FC" w:rsidP="00C930A0">
      <w:pPr>
        <w:spacing w:line="360" w:lineRule="auto"/>
      </w:pPr>
      <w:r w:rsidRPr="004C30FC">
        <w:t xml:space="preserve">The </w:t>
      </w:r>
      <w:r w:rsidRPr="004C30FC">
        <w:rPr>
          <w:b/>
          <w:bCs/>
        </w:rPr>
        <w:t>Health and Social Care Act 2008 (Regulated Activities) Regulations 2014</w:t>
      </w:r>
      <w:r w:rsidRPr="004C30FC">
        <w:t xml:space="preserve"> requires providers to maintain accurate and up-to-date care records. The</w:t>
      </w:r>
      <w:r w:rsidRPr="00853FCC">
        <w:t xml:space="preserve"> Caldicott</w:t>
      </w:r>
      <w:r w:rsidRPr="004C30FC">
        <w:rPr>
          <w:b/>
          <w:bCs/>
        </w:rPr>
        <w:t xml:space="preserve"> </w:t>
      </w:r>
      <w:r w:rsidRPr="00853FCC">
        <w:t>Principles 1997, revised 2013</w:t>
      </w:r>
      <w:r w:rsidRPr="004C30FC">
        <w:t xml:space="preserve"> also guide professionals to justify the purpose of using </w:t>
      </w:r>
      <w:r w:rsidRPr="004C30FC">
        <w:lastRenderedPageBreak/>
        <w:t>identifiable information, use the minimum necessary, and ensure data is shared safely. In Mrs Mann’s case, this means sharing relevant information with her GP or physiotherapist to coordinate medication and rehabilitation while protecting privacy</w:t>
      </w:r>
      <w:r w:rsidR="00F12879">
        <w:t xml:space="preserve"> (</w:t>
      </w:r>
      <w:r w:rsidR="00E31AFB">
        <w:rPr>
          <w:color w:val="000000" w:themeColor="text1"/>
        </w:rPr>
        <w:t>Department of health and social care,</w:t>
      </w:r>
      <w:r w:rsidR="004E5107">
        <w:rPr>
          <w:color w:val="000000" w:themeColor="text1"/>
        </w:rPr>
        <w:t xml:space="preserve"> </w:t>
      </w:r>
      <w:r w:rsidR="00E31AFB">
        <w:rPr>
          <w:color w:val="000000" w:themeColor="text1"/>
        </w:rPr>
        <w:t>2023</w:t>
      </w:r>
      <w:r w:rsidR="00E31AFB" w:rsidRPr="00E31AFB">
        <w:rPr>
          <w:color w:val="000000" w:themeColor="text1"/>
        </w:rPr>
        <w:t>)</w:t>
      </w:r>
      <w:r w:rsidRPr="00E31AFB">
        <w:rPr>
          <w:color w:val="000000" w:themeColor="text1"/>
        </w:rPr>
        <w:t>.</w:t>
      </w:r>
    </w:p>
    <w:p w14:paraId="7547D9E4" w14:textId="77777777" w:rsidR="004C30FC" w:rsidRPr="004C30FC" w:rsidRDefault="004C30FC" w:rsidP="00C930A0">
      <w:pPr>
        <w:spacing w:line="360" w:lineRule="auto"/>
      </w:pPr>
      <w:r w:rsidRPr="004C30FC">
        <w:t xml:space="preserve">Administrative competence also includes </w:t>
      </w:r>
      <w:r w:rsidRPr="00853FCC">
        <w:t>attention to detail, time management</w:t>
      </w:r>
      <w:r w:rsidRPr="004C30FC">
        <w:t xml:space="preserve">, and </w:t>
      </w:r>
      <w:r w:rsidRPr="00853FCC">
        <w:t>understanding documentation protocols</w:t>
      </w:r>
      <w:r w:rsidRPr="004C30FC">
        <w:t>. For example, clear records of Mrs Mann’s physiotherapy progress, pain levels, and medication changes support clinical review and audit processes. Any discrepancies, omissions, or illegible notes could lead to errors, such as duplicated care or missed doses. Therefore, a culture of accountability and regular record audits should be encouraged within the domiciliary agency.</w:t>
      </w:r>
    </w:p>
    <w:p w14:paraId="607EE4E8" w14:textId="29204464" w:rsidR="004C30FC" w:rsidRPr="004C30FC" w:rsidRDefault="004C30FC" w:rsidP="00C930A0">
      <w:pPr>
        <w:spacing w:line="360" w:lineRule="auto"/>
      </w:pPr>
      <w:r w:rsidRPr="004C30FC">
        <w:t xml:space="preserve">Good administrative practice also involves </w:t>
      </w:r>
      <w:r w:rsidRPr="00853FCC">
        <w:t>reflective and analytical skills</w:t>
      </w:r>
      <w:r w:rsidR="00A9011E">
        <w:t xml:space="preserve"> </w:t>
      </w:r>
      <w:r w:rsidRPr="004C30FC">
        <w:t xml:space="preserve">recognising when records indicate a pattern of concern (e.g. recurrent pain reports) and escalating appropriately. This proactive approach aligns with the </w:t>
      </w:r>
      <w:r w:rsidRPr="004C30FC">
        <w:rPr>
          <w:b/>
          <w:bCs/>
        </w:rPr>
        <w:t>Duty of Candour</w:t>
      </w:r>
      <w:r w:rsidRPr="004C30FC">
        <w:t xml:space="preserve"> </w:t>
      </w:r>
      <w:r w:rsidR="00F12879">
        <w:t>(</w:t>
      </w:r>
      <w:r w:rsidRPr="004C30FC">
        <w:t>CQC, 2014</w:t>
      </w:r>
      <w:r w:rsidR="00F12879">
        <w:t>)</w:t>
      </w:r>
      <w:r w:rsidRPr="004C30FC">
        <w:t>, which requires transparency and honesty when mistakes occur, such as in the recent communication lapse.</w:t>
      </w:r>
    </w:p>
    <w:p w14:paraId="7F207377" w14:textId="77777777" w:rsidR="004C30FC" w:rsidRPr="004C30FC" w:rsidRDefault="004C30FC" w:rsidP="00C930A0">
      <w:pPr>
        <w:spacing w:line="360" w:lineRule="auto"/>
      </w:pPr>
      <w:r w:rsidRPr="004C30FC">
        <w:t>In essence, high-quality record keeping is not merely an administrative task but a professional and ethical responsibility that safeguards patient welfare, supports interprofessional coordination, and demonstrates compliance with key legal frameworks.</w:t>
      </w:r>
    </w:p>
    <w:p w14:paraId="1AFA9E9C" w14:textId="77777777" w:rsidR="004C30FC" w:rsidRPr="004C30FC" w:rsidRDefault="00000000" w:rsidP="00C930A0">
      <w:pPr>
        <w:spacing w:line="360" w:lineRule="auto"/>
      </w:pPr>
      <w:r>
        <w:pict w14:anchorId="054635F0">
          <v:rect id="_x0000_i1028" style="width:0;height:1.5pt" o:hralign="center" o:hrstd="t" o:hr="t" fillcolor="#a0a0a0" stroked="f"/>
        </w:pict>
      </w:r>
    </w:p>
    <w:p w14:paraId="1BA37C40" w14:textId="7BBD1C35" w:rsidR="004C30FC" w:rsidRPr="00AC67BC" w:rsidRDefault="004C30FC" w:rsidP="00C930A0">
      <w:pPr>
        <w:spacing w:line="360" w:lineRule="auto"/>
        <w:rPr>
          <w:b/>
          <w:bCs/>
          <w:sz w:val="44"/>
          <w:szCs w:val="44"/>
        </w:rPr>
      </w:pPr>
      <w:r w:rsidRPr="004C30FC">
        <w:rPr>
          <w:b/>
          <w:bCs/>
        </w:rPr>
        <w:t xml:space="preserve"> </w:t>
      </w:r>
      <w:r w:rsidRPr="00AC67BC">
        <w:rPr>
          <w:b/>
          <w:bCs/>
          <w:sz w:val="44"/>
          <w:szCs w:val="44"/>
          <w:u w:val="single"/>
        </w:rPr>
        <w:t>Collaborative Working in Multi-Agency Care</w:t>
      </w:r>
      <w:r w:rsidRPr="00AC67BC">
        <w:rPr>
          <w:b/>
          <w:bCs/>
          <w:sz w:val="44"/>
          <w:szCs w:val="44"/>
        </w:rPr>
        <w:t xml:space="preserve"> </w:t>
      </w:r>
    </w:p>
    <w:p w14:paraId="69E251DA" w14:textId="7DC6A26A" w:rsidR="004C30FC" w:rsidRPr="004C30FC" w:rsidRDefault="004C30FC" w:rsidP="00C930A0">
      <w:pPr>
        <w:spacing w:line="360" w:lineRule="auto"/>
      </w:pPr>
      <w:r w:rsidRPr="004C30FC">
        <w:t>Effective collaboration among professionals is essential for delivering coordinated, person-centred care. In Mrs Mann’s case, multiple agencies</w:t>
      </w:r>
      <w:r w:rsidR="00853FCC">
        <w:t xml:space="preserve"> </w:t>
      </w:r>
      <w:r w:rsidRPr="004C30FC">
        <w:t>including her GP, physiotherapist, and domiciliary care staff</w:t>
      </w:r>
      <w:r w:rsidR="00853FCC">
        <w:t xml:space="preserve"> </w:t>
      </w:r>
      <w:r w:rsidRPr="004C30FC">
        <w:t>must work together to manage her recovery safely</w:t>
      </w:r>
      <w:r w:rsidRPr="00853FCC">
        <w:t>. Interprofessional collaboration</w:t>
      </w:r>
      <w:r w:rsidRPr="004C30FC">
        <w:t xml:space="preserve"> ensures that each professional’s expertise contributes to a holistic care plan, reducing duplication and improving outcomes.</w:t>
      </w:r>
    </w:p>
    <w:p w14:paraId="2A6B17A6" w14:textId="5E26B1C2" w:rsidR="004C30FC" w:rsidRPr="004C30FC" w:rsidRDefault="004C30FC" w:rsidP="00C930A0">
      <w:pPr>
        <w:spacing w:line="360" w:lineRule="auto"/>
      </w:pPr>
      <w:r w:rsidRPr="004C30FC">
        <w:t xml:space="preserve">Approaches that foster collaboration </w:t>
      </w:r>
      <w:r w:rsidRPr="00853FCC">
        <w:t>include shared care planning, regular</w:t>
      </w:r>
      <w:r w:rsidRPr="004C30FC">
        <w:rPr>
          <w:b/>
          <w:bCs/>
        </w:rPr>
        <w:t xml:space="preserve"> </w:t>
      </w:r>
      <w:r w:rsidR="00853FCC" w:rsidRPr="004C30FC">
        <w:t xml:space="preserve">and </w:t>
      </w:r>
      <w:r w:rsidR="00853FCC" w:rsidRPr="00853FCC">
        <w:t>clear communicatio</w:t>
      </w:r>
      <w:r w:rsidR="007F5D79">
        <w:t>n pathways (World health organization,</w:t>
      </w:r>
      <w:r w:rsidR="0064238B">
        <w:t>2010)</w:t>
      </w:r>
      <w:r w:rsidR="007E4EC0">
        <w:t>.</w:t>
      </w:r>
      <w:r w:rsidR="0064238B" w:rsidRPr="004C30FC">
        <w:t xml:space="preserve"> For</w:t>
      </w:r>
      <w:r w:rsidR="00853FCC" w:rsidRPr="004C30FC">
        <w:t xml:space="preserve"> </w:t>
      </w:r>
      <w:r w:rsidRPr="00853FCC">
        <w:t xml:space="preserve">multidisciplinary </w:t>
      </w:r>
      <w:r w:rsidRPr="00853FCC">
        <w:lastRenderedPageBreak/>
        <w:t>meetings,</w:t>
      </w:r>
      <w:r w:rsidRPr="004C30FC">
        <w:t xml:space="preserve"> example, joint reviews between the physiotherapist and GP can ensure Mrs Mann’s pain management aligns with her rehabilitation goals. The use of </w:t>
      </w:r>
      <w:r w:rsidRPr="00853FCC">
        <w:t>shared electronic records</w:t>
      </w:r>
      <w:r w:rsidRPr="004C30FC">
        <w:t xml:space="preserve"> and structured communication tools like SBAR supports consistency across teams. Mutual respect, active listening, and recognition of each team member’s role are central to effective teamwork (Bronstein, 2003).</w:t>
      </w:r>
    </w:p>
    <w:p w14:paraId="69771405" w14:textId="65BD2198" w:rsidR="004C30FC" w:rsidRPr="004C30FC" w:rsidRDefault="004C30FC" w:rsidP="00C930A0">
      <w:pPr>
        <w:spacing w:line="360" w:lineRule="auto"/>
      </w:pPr>
      <w:r w:rsidRPr="004C30FC">
        <w:t xml:space="preserve">Common challenges in </w:t>
      </w:r>
      <w:r w:rsidR="007F5D79" w:rsidRPr="004C30FC">
        <w:t>multi</w:t>
      </w:r>
      <w:r w:rsidR="007F5D79">
        <w:t>-</w:t>
      </w:r>
      <w:r w:rsidR="007F5D79" w:rsidRPr="004C30FC">
        <w:t>agency</w:t>
      </w:r>
      <w:r w:rsidRPr="004C30FC">
        <w:t xml:space="preserve"> working include </w:t>
      </w:r>
      <w:r w:rsidRPr="00853FCC">
        <w:t xml:space="preserve">role confusion, information silos, </w:t>
      </w:r>
      <w:r w:rsidRPr="004C30FC">
        <w:t xml:space="preserve">and </w:t>
      </w:r>
      <w:r w:rsidRPr="00853FCC">
        <w:t>conflicting priorities</w:t>
      </w:r>
      <w:r w:rsidRPr="004C30FC">
        <w:t xml:space="preserve"> between health and social care providers. These can be addressed through establishing </w:t>
      </w:r>
      <w:r w:rsidRPr="00853FCC">
        <w:t>clear protocols</w:t>
      </w:r>
      <w:r w:rsidRPr="004C30FC">
        <w:t xml:space="preserve">, </w:t>
      </w:r>
      <w:r w:rsidRPr="00853FCC">
        <w:t>joint training,</w:t>
      </w:r>
      <w:r w:rsidRPr="004C30FC">
        <w:t xml:space="preserve"> and </w:t>
      </w:r>
      <w:r w:rsidRPr="00853FCC">
        <w:t>designated care</w:t>
      </w:r>
      <w:r w:rsidRPr="004C30FC">
        <w:rPr>
          <w:b/>
          <w:bCs/>
        </w:rPr>
        <w:t xml:space="preserve"> </w:t>
      </w:r>
      <w:r w:rsidRPr="00853FCC">
        <w:t>coordinators</w:t>
      </w:r>
      <w:r w:rsidRPr="004C30FC">
        <w:t xml:space="preserve"> who act as communication links. Cultural competence is also vital, ensuring that professionals respect Mrs Mann’s language and religious needs while planning care collaboratively with her and her family.</w:t>
      </w:r>
    </w:p>
    <w:p w14:paraId="1847E00E" w14:textId="216743D8" w:rsidR="004C30FC" w:rsidRPr="004C30FC" w:rsidRDefault="004C30FC" w:rsidP="00C930A0">
      <w:pPr>
        <w:spacing w:line="360" w:lineRule="auto"/>
      </w:pPr>
      <w:r w:rsidRPr="004C30FC">
        <w:t xml:space="preserve">Applying frameworks such as </w:t>
      </w:r>
      <w:r w:rsidRPr="00853FCC">
        <w:t>Tuckman’s model of team development (1965</w:t>
      </w:r>
      <w:r w:rsidR="00C77FE4">
        <w:t xml:space="preserve"> </w:t>
      </w:r>
      <w:r w:rsidRPr="004C30FC">
        <w:t>forming, storming, norming, and performing</w:t>
      </w:r>
      <w:r w:rsidR="00C77FE4">
        <w:t xml:space="preserve"> </w:t>
      </w:r>
      <w:r w:rsidRPr="004C30FC">
        <w:t>helps teams understand their dynamics and build effective working relationships. Reflective practice and open feedback encourage continuous improvement and problem</w:t>
      </w:r>
      <w:r w:rsidR="00C77FE4">
        <w:t xml:space="preserve"> </w:t>
      </w:r>
      <w:r w:rsidRPr="004C30FC">
        <w:t>solving.</w:t>
      </w:r>
    </w:p>
    <w:p w14:paraId="186B4391" w14:textId="77777777" w:rsidR="004C30FC" w:rsidRPr="004C30FC" w:rsidRDefault="004C30FC" w:rsidP="00C930A0">
      <w:pPr>
        <w:spacing w:line="360" w:lineRule="auto"/>
      </w:pPr>
      <w:r w:rsidRPr="004C30FC">
        <w:t>Ultimately, collaborative practice enhances safety, efficiency, and patient satisfaction. For Mrs Mann, consistent teamwork ensures timely medication adjustments, coordinated physiotherapy progress, and emotional reassurance, promoting recovery and independence in her home environment.</w:t>
      </w:r>
    </w:p>
    <w:p w14:paraId="660BDA48" w14:textId="77777777" w:rsidR="004C30FC" w:rsidRPr="004C30FC" w:rsidRDefault="00000000" w:rsidP="00C930A0">
      <w:pPr>
        <w:spacing w:line="360" w:lineRule="auto"/>
      </w:pPr>
      <w:r>
        <w:pict w14:anchorId="718FFC5F">
          <v:rect id="_x0000_i1029" style="width:0;height:1.5pt" o:hralign="center" o:hrstd="t" o:hr="t" fillcolor="#a0a0a0" stroked="f"/>
        </w:pict>
      </w:r>
    </w:p>
    <w:p w14:paraId="6FC1D65E" w14:textId="32468E13" w:rsidR="004C30FC" w:rsidRPr="00AC67BC" w:rsidRDefault="004C30FC" w:rsidP="00C930A0">
      <w:pPr>
        <w:spacing w:line="360" w:lineRule="auto"/>
        <w:rPr>
          <w:b/>
          <w:bCs/>
          <w:sz w:val="44"/>
          <w:szCs w:val="44"/>
          <w:u w:val="single"/>
        </w:rPr>
      </w:pPr>
      <w:r w:rsidRPr="00AC67BC">
        <w:rPr>
          <w:b/>
          <w:bCs/>
          <w:sz w:val="44"/>
          <w:szCs w:val="44"/>
          <w:u w:val="single"/>
        </w:rPr>
        <w:t xml:space="preserve">Conclusion </w:t>
      </w:r>
    </w:p>
    <w:p w14:paraId="7A49C8A9" w14:textId="77777777" w:rsidR="004C30FC" w:rsidRPr="004C30FC" w:rsidRDefault="004C30FC" w:rsidP="00C930A0">
      <w:pPr>
        <w:spacing w:line="360" w:lineRule="auto"/>
      </w:pPr>
      <w:r w:rsidRPr="004C30FC">
        <w:t xml:space="preserve">Mrs Mann’s case illustrates how effective communication, accurate record keeping, and collaborative working are interdependent elements of high-quality care. Applying the principles of equality, cultural competence, and respect ensures that communication is inclusive and person-centred. Robust administrative skills and compliance with the Data Protection Act 2018 safeguard confidentiality and promote continuity. Finally, effective collaboration across health and social care disciplines ensures coordinated, holistic support for Mrs Mann’s rehabilitation. By embedding these principles into everyday practice, care professionals not only meet regulatory and ethical standards </w:t>
      </w:r>
      <w:r w:rsidRPr="004C30FC">
        <w:lastRenderedPageBreak/>
        <w:t>but also enhance patient safety, empowerment, and wellbeing. The lessons from this case underscore the importance of continual professional reflection, adherence to legal frameworks, and a commitment to teamwork in delivering compassionate and effective care.</w:t>
      </w:r>
    </w:p>
    <w:p w14:paraId="7BA3E69D" w14:textId="77777777" w:rsidR="004C30FC" w:rsidRPr="004C30FC" w:rsidRDefault="00000000" w:rsidP="00C930A0">
      <w:pPr>
        <w:spacing w:line="360" w:lineRule="auto"/>
      </w:pPr>
      <w:r>
        <w:pict w14:anchorId="3BD1B916">
          <v:rect id="_x0000_i1030" style="width:0;height:1.5pt" o:hralign="center" o:hrstd="t" o:hr="t" fillcolor="#a0a0a0" stroked="f"/>
        </w:pict>
      </w:r>
    </w:p>
    <w:p w14:paraId="59D3128A" w14:textId="21806481" w:rsidR="004C30FC" w:rsidRPr="00AC67BC" w:rsidRDefault="004C30FC" w:rsidP="00C930A0">
      <w:pPr>
        <w:spacing w:line="360" w:lineRule="auto"/>
        <w:rPr>
          <w:b/>
          <w:bCs/>
          <w:sz w:val="44"/>
          <w:szCs w:val="44"/>
          <w:u w:val="single"/>
        </w:rPr>
      </w:pPr>
      <w:r w:rsidRPr="00AC67BC">
        <w:rPr>
          <w:b/>
          <w:bCs/>
          <w:sz w:val="44"/>
          <w:szCs w:val="44"/>
          <w:u w:val="single"/>
        </w:rPr>
        <w:t>References</w:t>
      </w:r>
    </w:p>
    <w:p w14:paraId="117B1B91" w14:textId="74000C68" w:rsidR="004C30FC" w:rsidRPr="004C30FC" w:rsidRDefault="004C30FC" w:rsidP="00C930A0">
      <w:pPr>
        <w:spacing w:line="360" w:lineRule="auto"/>
      </w:pPr>
      <w:r w:rsidRPr="004C30FC">
        <w:t xml:space="preserve">Berlo, D. (1960) </w:t>
      </w:r>
      <w:r w:rsidRPr="004C30FC">
        <w:rPr>
          <w:i/>
          <w:iCs/>
        </w:rPr>
        <w:t>The Process of Communication: An Introduction to Theory and Practice</w:t>
      </w:r>
      <w:r w:rsidRPr="004C30FC">
        <w:t>. New York: Holt, Rinehart &amp; Winston.</w:t>
      </w:r>
      <w:r w:rsidRPr="004C30FC">
        <w:br/>
        <w:t xml:space="preserve">Bronstein, L. (2003) A model for interdisciplinary collaboration’, </w:t>
      </w:r>
      <w:r w:rsidRPr="004C30FC">
        <w:rPr>
          <w:i/>
          <w:iCs/>
        </w:rPr>
        <w:t>Social Work</w:t>
      </w:r>
      <w:r w:rsidRPr="004C30FC">
        <w:t>, 48(3), pp. 297–306.</w:t>
      </w:r>
      <w:r w:rsidRPr="004C30FC">
        <w:br/>
        <w:t xml:space="preserve">Care Quality Commission (CQC) (2021) </w:t>
      </w:r>
      <w:r w:rsidRPr="004C30FC">
        <w:rPr>
          <w:i/>
          <w:iCs/>
        </w:rPr>
        <w:t>Guidance for Providers on Meeting Regulations</w:t>
      </w:r>
      <w:r w:rsidRPr="004C30FC">
        <w:t>. London: CQC.</w:t>
      </w:r>
      <w:r w:rsidRPr="004C30FC">
        <w:br/>
        <w:t xml:space="preserve">Department of Health and Social Care (2014) </w:t>
      </w:r>
      <w:r w:rsidRPr="004C30FC">
        <w:rPr>
          <w:i/>
          <w:iCs/>
        </w:rPr>
        <w:t>The Health and Social Care Act 2008 (Regulated Activities) Regulations 2014</w:t>
      </w:r>
      <w:r w:rsidRPr="004C30FC">
        <w:t>. London: DHSC.</w:t>
      </w:r>
      <w:r w:rsidRPr="004C30FC">
        <w:br/>
        <w:t>Equality Act 2010. London: The Stationery Office.</w:t>
      </w:r>
      <w:r w:rsidRPr="004C30FC">
        <w:br/>
        <w:t xml:space="preserve">NHS England (2021) </w:t>
      </w:r>
      <w:r w:rsidRPr="004C30FC">
        <w:rPr>
          <w:i/>
          <w:iCs/>
        </w:rPr>
        <w:t>Accessible Information Standard</w:t>
      </w:r>
      <w:r w:rsidRPr="004C30FC">
        <w:t>. London: NHS England.</w:t>
      </w:r>
      <w:r w:rsidRPr="004C30FC">
        <w:br/>
        <w:t xml:space="preserve">NHS Improvement (2018) </w:t>
      </w:r>
      <w:r w:rsidRPr="004C30FC">
        <w:rPr>
          <w:i/>
          <w:iCs/>
        </w:rPr>
        <w:t>SBAR Communication Toolkit</w:t>
      </w:r>
      <w:r w:rsidRPr="004C30FC">
        <w:t>. London: NHSI.</w:t>
      </w:r>
      <w:r w:rsidRPr="004C30FC">
        <w:br/>
        <w:t xml:space="preserve">Nursing and Midwifery Council (NMC) (2018) </w:t>
      </w:r>
      <w:r w:rsidRPr="004C30FC">
        <w:rPr>
          <w:i/>
          <w:iCs/>
        </w:rPr>
        <w:t>The Code: Professional Standards of Practice and Behaviour for Nurses, Midwives and Nursing Associates</w:t>
      </w:r>
      <w:r w:rsidRPr="004C30FC">
        <w:t>. London: NMC.</w:t>
      </w:r>
      <w:r w:rsidRPr="004C30FC">
        <w:br/>
        <w:t xml:space="preserve">UK Government (2018) </w:t>
      </w:r>
      <w:r w:rsidRPr="004C30FC">
        <w:rPr>
          <w:i/>
          <w:iCs/>
        </w:rPr>
        <w:t>Data Protection Act 2018</w:t>
      </w:r>
      <w:r w:rsidRPr="004C30FC">
        <w:t>. London: The Stationery Office.</w:t>
      </w:r>
      <w:r w:rsidRPr="004C30FC">
        <w:br/>
        <w:t xml:space="preserve">NICE (2021) </w:t>
      </w:r>
      <w:r w:rsidRPr="004C30FC">
        <w:rPr>
          <w:i/>
          <w:iCs/>
        </w:rPr>
        <w:t>Person-Centred Care Guidelines</w:t>
      </w:r>
      <w:r w:rsidRPr="004C30FC">
        <w:t>. London: NICE.</w:t>
      </w:r>
    </w:p>
    <w:p w14:paraId="613C2FB4" w14:textId="77777777" w:rsidR="004C30FC" w:rsidRDefault="004C30FC" w:rsidP="00C930A0">
      <w:pPr>
        <w:spacing w:line="360" w:lineRule="auto"/>
      </w:pPr>
    </w:p>
    <w:sectPr w:rsidR="004C30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0FC"/>
    <w:rsid w:val="00011113"/>
    <w:rsid w:val="000419E3"/>
    <w:rsid w:val="000468CE"/>
    <w:rsid w:val="00051B22"/>
    <w:rsid w:val="00066013"/>
    <w:rsid w:val="000E0EA9"/>
    <w:rsid w:val="00130E4D"/>
    <w:rsid w:val="001462CB"/>
    <w:rsid w:val="0017412F"/>
    <w:rsid w:val="00191CF1"/>
    <w:rsid w:val="00212D36"/>
    <w:rsid w:val="00286F8E"/>
    <w:rsid w:val="002C3D19"/>
    <w:rsid w:val="0034634A"/>
    <w:rsid w:val="003529C7"/>
    <w:rsid w:val="00382191"/>
    <w:rsid w:val="004112F1"/>
    <w:rsid w:val="004C30FC"/>
    <w:rsid w:val="004C77CC"/>
    <w:rsid w:val="004E5107"/>
    <w:rsid w:val="00513EEA"/>
    <w:rsid w:val="005418F3"/>
    <w:rsid w:val="00547537"/>
    <w:rsid w:val="005B2211"/>
    <w:rsid w:val="005D205A"/>
    <w:rsid w:val="00624A66"/>
    <w:rsid w:val="00641C63"/>
    <w:rsid w:val="0064238B"/>
    <w:rsid w:val="00674F8F"/>
    <w:rsid w:val="006D76F7"/>
    <w:rsid w:val="007079A8"/>
    <w:rsid w:val="007D15C4"/>
    <w:rsid w:val="007E4EC0"/>
    <w:rsid w:val="007F5D79"/>
    <w:rsid w:val="00853FCC"/>
    <w:rsid w:val="00866137"/>
    <w:rsid w:val="00936120"/>
    <w:rsid w:val="00953A28"/>
    <w:rsid w:val="009D7F34"/>
    <w:rsid w:val="009E145F"/>
    <w:rsid w:val="00A06D28"/>
    <w:rsid w:val="00A7158E"/>
    <w:rsid w:val="00A83099"/>
    <w:rsid w:val="00A9011E"/>
    <w:rsid w:val="00A92FCC"/>
    <w:rsid w:val="00AC67BC"/>
    <w:rsid w:val="00B17D23"/>
    <w:rsid w:val="00B40D51"/>
    <w:rsid w:val="00B96A8C"/>
    <w:rsid w:val="00C05316"/>
    <w:rsid w:val="00C53583"/>
    <w:rsid w:val="00C66508"/>
    <w:rsid w:val="00C77FE4"/>
    <w:rsid w:val="00C930A0"/>
    <w:rsid w:val="00CA6F3B"/>
    <w:rsid w:val="00CD1D15"/>
    <w:rsid w:val="00CE2445"/>
    <w:rsid w:val="00D810F0"/>
    <w:rsid w:val="00E1049C"/>
    <w:rsid w:val="00E31AFB"/>
    <w:rsid w:val="00E34358"/>
    <w:rsid w:val="00EE5A0E"/>
    <w:rsid w:val="00EF4CA2"/>
    <w:rsid w:val="00F12879"/>
    <w:rsid w:val="00F20F13"/>
    <w:rsid w:val="00F62108"/>
    <w:rsid w:val="00F93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F0DFB"/>
  <w15:chartTrackingRefBased/>
  <w15:docId w15:val="{E966625A-41BB-42B9-8E16-EE82AEE36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30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30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30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30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30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30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30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30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30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0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30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30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30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30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30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30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30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30FC"/>
    <w:rPr>
      <w:rFonts w:eastAsiaTheme="majorEastAsia" w:cstheme="majorBidi"/>
      <w:color w:val="272727" w:themeColor="text1" w:themeTint="D8"/>
    </w:rPr>
  </w:style>
  <w:style w:type="paragraph" w:styleId="Title">
    <w:name w:val="Title"/>
    <w:basedOn w:val="Normal"/>
    <w:next w:val="Normal"/>
    <w:link w:val="TitleChar"/>
    <w:uiPriority w:val="10"/>
    <w:qFormat/>
    <w:rsid w:val="004C30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0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0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30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30FC"/>
    <w:pPr>
      <w:spacing w:before="160"/>
      <w:jc w:val="center"/>
    </w:pPr>
    <w:rPr>
      <w:i/>
      <w:iCs/>
      <w:color w:val="404040" w:themeColor="text1" w:themeTint="BF"/>
    </w:rPr>
  </w:style>
  <w:style w:type="character" w:customStyle="1" w:styleId="QuoteChar">
    <w:name w:val="Quote Char"/>
    <w:basedOn w:val="DefaultParagraphFont"/>
    <w:link w:val="Quote"/>
    <w:uiPriority w:val="29"/>
    <w:rsid w:val="004C30FC"/>
    <w:rPr>
      <w:i/>
      <w:iCs/>
      <w:color w:val="404040" w:themeColor="text1" w:themeTint="BF"/>
    </w:rPr>
  </w:style>
  <w:style w:type="paragraph" w:styleId="ListParagraph">
    <w:name w:val="List Paragraph"/>
    <w:basedOn w:val="Normal"/>
    <w:uiPriority w:val="34"/>
    <w:qFormat/>
    <w:rsid w:val="004C30FC"/>
    <w:pPr>
      <w:ind w:left="720"/>
      <w:contextualSpacing/>
    </w:pPr>
  </w:style>
  <w:style w:type="character" w:styleId="IntenseEmphasis">
    <w:name w:val="Intense Emphasis"/>
    <w:basedOn w:val="DefaultParagraphFont"/>
    <w:uiPriority w:val="21"/>
    <w:qFormat/>
    <w:rsid w:val="004C30FC"/>
    <w:rPr>
      <w:i/>
      <w:iCs/>
      <w:color w:val="0F4761" w:themeColor="accent1" w:themeShade="BF"/>
    </w:rPr>
  </w:style>
  <w:style w:type="paragraph" w:styleId="IntenseQuote">
    <w:name w:val="Intense Quote"/>
    <w:basedOn w:val="Normal"/>
    <w:next w:val="Normal"/>
    <w:link w:val="IntenseQuoteChar"/>
    <w:uiPriority w:val="30"/>
    <w:qFormat/>
    <w:rsid w:val="004C30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30FC"/>
    <w:rPr>
      <w:i/>
      <w:iCs/>
      <w:color w:val="0F4761" w:themeColor="accent1" w:themeShade="BF"/>
    </w:rPr>
  </w:style>
  <w:style w:type="character" w:styleId="IntenseReference">
    <w:name w:val="Intense Reference"/>
    <w:basedOn w:val="DefaultParagraphFont"/>
    <w:uiPriority w:val="32"/>
    <w:qFormat/>
    <w:rsid w:val="004C30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5" ma:contentTypeDescription="Create a new document." ma:contentTypeScope="" ma:versionID="c4daaa50d8b1bdbc3070df05f07ba8cc">
  <xsd:schema xmlns:xsd="http://www.w3.org/2001/XMLSchema" xmlns:xs="http://www.w3.org/2001/XMLSchema" xmlns:p="http://schemas.microsoft.com/office/2006/metadata/properties" xmlns:ns3="1db24759-c936-4417-b43c-e7856b46dbfa" targetNamespace="http://schemas.microsoft.com/office/2006/metadata/properties" ma:root="true" ma:fieldsID="51b56b9709e099f14e8a6baea89b358b"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Props1.xml><?xml version="1.0" encoding="utf-8"?>
<ds:datastoreItem xmlns:ds="http://schemas.openxmlformats.org/officeDocument/2006/customXml" ds:itemID="{0562AED5-5727-4363-88A7-2EF970ADE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A25884-6CF4-4E85-BFA4-8EEDAAA4D9A6}">
  <ds:schemaRefs>
    <ds:schemaRef ds:uri="http://schemas.microsoft.com/sharepoint/v3/contenttype/forms"/>
  </ds:schemaRefs>
</ds:datastoreItem>
</file>

<file path=customXml/itemProps3.xml><?xml version="1.0" encoding="utf-8"?>
<ds:datastoreItem xmlns:ds="http://schemas.openxmlformats.org/officeDocument/2006/customXml" ds:itemID="{627DACA4-8065-40BF-8744-DB7F6ACCC319}">
  <ds:schemaRefs>
    <ds:schemaRef ds:uri="http://schemas.microsoft.com/office/2006/metadata/properties"/>
    <ds:schemaRef ds:uri="http://schemas.microsoft.com/office/infopath/2007/PartnerControls"/>
    <ds:schemaRef ds:uri="1db24759-c936-4417-b43c-e7856b46dbfa"/>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7</Pages>
  <Words>1509</Words>
  <Characters>9888</Characters>
  <Application>Microsoft Office Word</Application>
  <DocSecurity>0</DocSecurity>
  <Lines>179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Onije (2420902)</dc:creator>
  <cp:keywords/>
  <dc:description/>
  <cp:lastModifiedBy>Charles Onije (2420902)</cp:lastModifiedBy>
  <cp:revision>54</cp:revision>
  <cp:lastPrinted>2025-11-08T16:56:00Z</cp:lastPrinted>
  <dcterms:created xsi:type="dcterms:W3CDTF">2025-11-03T12:28:00Z</dcterms:created>
  <dcterms:modified xsi:type="dcterms:W3CDTF">2025-11-20T08:07:00Z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