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359E9" w14:textId="77777777" w:rsidR="00FD4807" w:rsidRDefault="00FD4807" w:rsidP="00C83C24">
      <w:pPr>
        <w:rPr>
          <w:b/>
          <w:bCs/>
          <w:sz w:val="36"/>
          <w:szCs w:val="36"/>
        </w:rPr>
      </w:pPr>
    </w:p>
    <w:p w14:paraId="324610FC" w14:textId="77777777" w:rsidR="00FD4807" w:rsidRDefault="00FD4807" w:rsidP="00C83C24">
      <w:pPr>
        <w:rPr>
          <w:b/>
          <w:bCs/>
          <w:sz w:val="36"/>
          <w:szCs w:val="36"/>
        </w:rPr>
      </w:pPr>
    </w:p>
    <w:p w14:paraId="06D9D95D" w14:textId="22CD1FB4" w:rsidR="00C83C24" w:rsidRPr="00600F2E" w:rsidRDefault="00C83C24" w:rsidP="00C83C24">
      <w:pPr>
        <w:rPr>
          <w:sz w:val="36"/>
          <w:szCs w:val="36"/>
        </w:rPr>
      </w:pPr>
      <w:r w:rsidRPr="00600F2E">
        <w:rPr>
          <w:b/>
          <w:bCs/>
          <w:sz w:val="36"/>
          <w:szCs w:val="36"/>
        </w:rPr>
        <w:t>Student name:</w:t>
      </w:r>
      <w:r w:rsidRPr="00600F2E">
        <w:rPr>
          <w:sz w:val="36"/>
          <w:szCs w:val="36"/>
        </w:rPr>
        <w:t xml:space="preserve"> </w:t>
      </w:r>
      <w:r w:rsidR="009216A4">
        <w:rPr>
          <w:sz w:val="36"/>
          <w:szCs w:val="36"/>
        </w:rPr>
        <w:t>Iulia Flita</w:t>
      </w:r>
    </w:p>
    <w:p w14:paraId="6E747676" w14:textId="3147BCC2" w:rsidR="00C83C24" w:rsidRPr="00600F2E" w:rsidRDefault="00C83C24" w:rsidP="00C83C24">
      <w:pPr>
        <w:rPr>
          <w:sz w:val="36"/>
          <w:szCs w:val="36"/>
        </w:rPr>
      </w:pPr>
      <w:r w:rsidRPr="00600F2E">
        <w:rPr>
          <w:b/>
          <w:bCs/>
          <w:sz w:val="36"/>
          <w:szCs w:val="36"/>
        </w:rPr>
        <w:t>Student ID:</w:t>
      </w:r>
      <w:r w:rsidRPr="00600F2E">
        <w:rPr>
          <w:sz w:val="36"/>
          <w:szCs w:val="36"/>
        </w:rPr>
        <w:t xml:space="preserve"> 2027</w:t>
      </w:r>
      <w:r w:rsidR="00013165">
        <w:rPr>
          <w:sz w:val="36"/>
          <w:szCs w:val="36"/>
        </w:rPr>
        <w:t>759</w:t>
      </w:r>
    </w:p>
    <w:p w14:paraId="150AB92E" w14:textId="77777777" w:rsidR="00FD4807" w:rsidRDefault="00C83C24" w:rsidP="00C83C24">
      <w:pPr>
        <w:pStyle w:val="NoSpacing"/>
        <w:rPr>
          <w:sz w:val="36"/>
          <w:szCs w:val="36"/>
        </w:rPr>
      </w:pPr>
      <w:r w:rsidRPr="00600F2E">
        <w:rPr>
          <w:b/>
          <w:bCs/>
          <w:sz w:val="36"/>
          <w:szCs w:val="36"/>
        </w:rPr>
        <w:t>Title:</w:t>
      </w:r>
      <w:r w:rsidRPr="00600F2E">
        <w:rPr>
          <w:sz w:val="36"/>
          <w:szCs w:val="36"/>
        </w:rPr>
        <w:t xml:space="preserve"> </w:t>
      </w:r>
      <w:r w:rsidR="00013165">
        <w:rPr>
          <w:sz w:val="36"/>
          <w:szCs w:val="36"/>
        </w:rPr>
        <w:t>The role</w:t>
      </w:r>
      <w:r w:rsidR="002E3B2F">
        <w:rPr>
          <w:sz w:val="36"/>
          <w:szCs w:val="36"/>
        </w:rPr>
        <w:t xml:space="preserve"> of </w:t>
      </w:r>
      <w:r w:rsidRPr="00600F2E">
        <w:rPr>
          <w:sz w:val="36"/>
          <w:szCs w:val="36"/>
        </w:rPr>
        <w:t>HR</w:t>
      </w:r>
      <w:r w:rsidR="002E3B2F">
        <w:rPr>
          <w:sz w:val="36"/>
          <w:szCs w:val="36"/>
        </w:rPr>
        <w:t xml:space="preserve"> in enh</w:t>
      </w:r>
      <w:r w:rsidR="002B2821">
        <w:rPr>
          <w:sz w:val="36"/>
          <w:szCs w:val="36"/>
        </w:rPr>
        <w:t>ancing employee productivity</w:t>
      </w:r>
      <w:r w:rsidR="00FD4807">
        <w:rPr>
          <w:sz w:val="36"/>
          <w:szCs w:val="36"/>
        </w:rPr>
        <w:t xml:space="preserve">: </w:t>
      </w:r>
    </w:p>
    <w:p w14:paraId="04F1771F" w14:textId="1108138A" w:rsidR="00C83C24" w:rsidRPr="00600F2E" w:rsidRDefault="00FD4807" w:rsidP="00C83C24">
      <w:pPr>
        <w:pStyle w:val="NoSpacing"/>
        <w:rPr>
          <w:sz w:val="36"/>
          <w:szCs w:val="36"/>
        </w:rPr>
      </w:pPr>
      <w:r>
        <w:rPr>
          <w:sz w:val="36"/>
          <w:szCs w:val="36"/>
        </w:rPr>
        <w:t xml:space="preserve">A case </w:t>
      </w:r>
      <w:r w:rsidR="007D3CA8">
        <w:rPr>
          <w:sz w:val="36"/>
          <w:szCs w:val="36"/>
        </w:rPr>
        <w:t>study</w:t>
      </w:r>
    </w:p>
    <w:p w14:paraId="3E738341" w14:textId="77777777" w:rsidR="00C83C24" w:rsidRPr="00600F2E" w:rsidRDefault="00C83C24" w:rsidP="00C83C24">
      <w:pPr>
        <w:pStyle w:val="NoSpacing"/>
        <w:rPr>
          <w:b/>
          <w:sz w:val="36"/>
          <w:szCs w:val="36"/>
        </w:rPr>
      </w:pPr>
    </w:p>
    <w:p w14:paraId="707F27C8" w14:textId="77777777" w:rsidR="00C83C24" w:rsidRPr="00600F2E" w:rsidRDefault="00C83C24" w:rsidP="00C83C24">
      <w:pPr>
        <w:rPr>
          <w:sz w:val="44"/>
          <w:szCs w:val="44"/>
        </w:rPr>
      </w:pPr>
      <w:r w:rsidRPr="00600F2E">
        <w:rPr>
          <w:b/>
          <w:bCs/>
          <w:sz w:val="36"/>
          <w:szCs w:val="36"/>
        </w:rPr>
        <w:t>Name of University:</w:t>
      </w:r>
      <w:r w:rsidRPr="00600F2E">
        <w:rPr>
          <w:sz w:val="36"/>
          <w:szCs w:val="36"/>
        </w:rPr>
        <w:t xml:space="preserve"> University of Wales Trinity Saint David</w:t>
      </w:r>
      <w:r w:rsidRPr="00600F2E">
        <w:rPr>
          <w:sz w:val="44"/>
          <w:szCs w:val="44"/>
        </w:rPr>
        <w:t xml:space="preserve">  </w:t>
      </w:r>
    </w:p>
    <w:p w14:paraId="59261552" w14:textId="77777777" w:rsidR="00C83C24" w:rsidRPr="00600F2E" w:rsidRDefault="00C83C24" w:rsidP="00C83C24">
      <w:pPr>
        <w:rPr>
          <w:sz w:val="44"/>
          <w:szCs w:val="44"/>
        </w:rPr>
      </w:pPr>
      <w:r w:rsidRPr="00600F2E">
        <w:rPr>
          <w:b/>
          <w:bCs/>
          <w:sz w:val="36"/>
          <w:szCs w:val="36"/>
        </w:rPr>
        <w:t>Module code:</w:t>
      </w:r>
      <w:r w:rsidRPr="00600F2E">
        <w:rPr>
          <w:sz w:val="36"/>
          <w:szCs w:val="36"/>
        </w:rPr>
        <w:t xml:space="preserve"> LCBB6000</w:t>
      </w:r>
      <w:r w:rsidRPr="00600F2E">
        <w:rPr>
          <w:sz w:val="44"/>
          <w:szCs w:val="44"/>
        </w:rPr>
        <w:t xml:space="preserve"> </w:t>
      </w:r>
    </w:p>
    <w:p w14:paraId="250CD9C3" w14:textId="77777777" w:rsidR="00C83C24" w:rsidRPr="00600F2E" w:rsidRDefault="00C83C24" w:rsidP="00C83C24">
      <w:pPr>
        <w:rPr>
          <w:sz w:val="36"/>
          <w:szCs w:val="36"/>
        </w:rPr>
      </w:pPr>
      <w:r w:rsidRPr="00600F2E">
        <w:rPr>
          <w:b/>
          <w:bCs/>
          <w:sz w:val="36"/>
          <w:szCs w:val="36"/>
        </w:rPr>
        <w:t>Submission date:</w:t>
      </w:r>
      <w:r w:rsidRPr="00600F2E">
        <w:rPr>
          <w:sz w:val="36"/>
          <w:szCs w:val="36"/>
        </w:rPr>
        <w:t xml:space="preserve"> 30-April-2023</w:t>
      </w:r>
    </w:p>
    <w:p w14:paraId="17DE7C19" w14:textId="77777777" w:rsidR="00B84843" w:rsidRDefault="00B84843" w:rsidP="00D65D91">
      <w:pPr>
        <w:pStyle w:val="TOCHeading"/>
        <w:jc w:val="center"/>
        <w:rPr>
          <w:b/>
          <w:bCs/>
          <w:color w:val="auto"/>
        </w:rPr>
      </w:pPr>
    </w:p>
    <w:p w14:paraId="3F5691BD" w14:textId="03985AA3" w:rsidR="00B84843" w:rsidRPr="00C83C24" w:rsidRDefault="00B84843">
      <w:pPr>
        <w:spacing w:line="259" w:lineRule="auto"/>
        <w:rPr>
          <w:b/>
          <w:bCs/>
        </w:rPr>
      </w:pPr>
    </w:p>
    <w:sdt>
      <w:sdtPr>
        <w:rPr>
          <w:rFonts w:ascii="Times New Roman" w:eastAsiaTheme="minorHAnsi" w:hAnsi="Times New Roman" w:cs="Times New Roman"/>
          <w:b/>
          <w:bCs/>
          <w:color w:val="auto"/>
          <w:kern w:val="2"/>
          <w:sz w:val="24"/>
          <w:szCs w:val="24"/>
          <w:lang w:val="en-GB"/>
          <w14:ligatures w14:val="standardContextual"/>
        </w:rPr>
        <w:id w:val="-1395891322"/>
        <w:docPartObj>
          <w:docPartGallery w:val="Table of Contents"/>
          <w:docPartUnique/>
        </w:docPartObj>
      </w:sdtPr>
      <w:sdtEndPr>
        <w:rPr>
          <w:noProof/>
        </w:rPr>
      </w:sdtEndPr>
      <w:sdtContent>
        <w:p w14:paraId="26FEA79A" w14:textId="4D4B982F" w:rsidR="00D65D91" w:rsidRDefault="00D65D91" w:rsidP="00C83C24">
          <w:pPr>
            <w:pStyle w:val="TOCHeading"/>
            <w:pageBreakBefore/>
            <w:jc w:val="center"/>
            <w:rPr>
              <w:b/>
              <w:bCs/>
              <w:color w:val="auto"/>
            </w:rPr>
          </w:pPr>
          <w:r w:rsidRPr="00D65D91">
            <w:rPr>
              <w:b/>
              <w:bCs/>
              <w:color w:val="auto"/>
            </w:rPr>
            <w:t>Contents</w:t>
          </w:r>
        </w:p>
        <w:p w14:paraId="47D0C07E" w14:textId="77777777" w:rsidR="008D0E47" w:rsidRPr="008D0E47" w:rsidRDefault="008D0E47" w:rsidP="008D0E47">
          <w:pPr>
            <w:rPr>
              <w:lang w:val="en-US"/>
            </w:rPr>
          </w:pPr>
        </w:p>
        <w:p w14:paraId="69AB2093" w14:textId="5ACC40CF" w:rsidR="001F5F07" w:rsidRDefault="00D65D91">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65242022" w:history="1">
            <w:r w:rsidR="001F5F07" w:rsidRPr="008D33BB">
              <w:rPr>
                <w:rStyle w:val="Hyperlink"/>
                <w:noProof/>
              </w:rPr>
              <w:t>Chapter 1: Introduction</w:t>
            </w:r>
            <w:r w:rsidR="001F5F07">
              <w:rPr>
                <w:noProof/>
                <w:webHidden/>
              </w:rPr>
              <w:tab/>
            </w:r>
            <w:r w:rsidR="001F5F07">
              <w:rPr>
                <w:noProof/>
                <w:webHidden/>
              </w:rPr>
              <w:fldChar w:fldCharType="begin"/>
            </w:r>
            <w:r w:rsidR="001F5F07">
              <w:rPr>
                <w:noProof/>
                <w:webHidden/>
              </w:rPr>
              <w:instrText xml:space="preserve"> PAGEREF _Toc165242022 \h </w:instrText>
            </w:r>
            <w:r w:rsidR="001F5F07">
              <w:rPr>
                <w:noProof/>
                <w:webHidden/>
              </w:rPr>
            </w:r>
            <w:r w:rsidR="001F5F07">
              <w:rPr>
                <w:noProof/>
                <w:webHidden/>
              </w:rPr>
              <w:fldChar w:fldCharType="separate"/>
            </w:r>
            <w:r w:rsidR="001F5F07">
              <w:rPr>
                <w:noProof/>
                <w:webHidden/>
              </w:rPr>
              <w:t>4</w:t>
            </w:r>
            <w:r w:rsidR="001F5F07">
              <w:rPr>
                <w:noProof/>
                <w:webHidden/>
              </w:rPr>
              <w:fldChar w:fldCharType="end"/>
            </w:r>
          </w:hyperlink>
        </w:p>
        <w:p w14:paraId="650D988B" w14:textId="1987C7D9" w:rsidR="001F5F07" w:rsidRDefault="00000000">
          <w:pPr>
            <w:pStyle w:val="TOC2"/>
            <w:tabs>
              <w:tab w:val="right" w:leader="dot" w:pos="9350"/>
            </w:tabs>
            <w:rPr>
              <w:rFonts w:asciiTheme="minorHAnsi" w:eastAsiaTheme="minorEastAsia" w:hAnsiTheme="minorHAnsi" w:cstheme="minorBidi"/>
              <w:noProof/>
              <w:lang w:eastAsia="en-GB"/>
            </w:rPr>
          </w:pPr>
          <w:hyperlink w:anchor="_Toc165242023" w:history="1">
            <w:r w:rsidR="001F5F07" w:rsidRPr="008D33BB">
              <w:rPr>
                <w:rStyle w:val="Hyperlink"/>
                <w:noProof/>
              </w:rPr>
              <w:t>1.1 Background</w:t>
            </w:r>
            <w:r w:rsidR="001F5F07">
              <w:rPr>
                <w:noProof/>
                <w:webHidden/>
              </w:rPr>
              <w:tab/>
            </w:r>
            <w:r w:rsidR="001F5F07">
              <w:rPr>
                <w:noProof/>
                <w:webHidden/>
              </w:rPr>
              <w:fldChar w:fldCharType="begin"/>
            </w:r>
            <w:r w:rsidR="001F5F07">
              <w:rPr>
                <w:noProof/>
                <w:webHidden/>
              </w:rPr>
              <w:instrText xml:space="preserve"> PAGEREF _Toc165242023 \h </w:instrText>
            </w:r>
            <w:r w:rsidR="001F5F07">
              <w:rPr>
                <w:noProof/>
                <w:webHidden/>
              </w:rPr>
            </w:r>
            <w:r w:rsidR="001F5F07">
              <w:rPr>
                <w:noProof/>
                <w:webHidden/>
              </w:rPr>
              <w:fldChar w:fldCharType="separate"/>
            </w:r>
            <w:r w:rsidR="001F5F07">
              <w:rPr>
                <w:noProof/>
                <w:webHidden/>
              </w:rPr>
              <w:t>4</w:t>
            </w:r>
            <w:r w:rsidR="001F5F07">
              <w:rPr>
                <w:noProof/>
                <w:webHidden/>
              </w:rPr>
              <w:fldChar w:fldCharType="end"/>
            </w:r>
          </w:hyperlink>
        </w:p>
        <w:p w14:paraId="55A1F0F9" w14:textId="0F5FAE68" w:rsidR="001F5F07" w:rsidRDefault="00000000">
          <w:pPr>
            <w:pStyle w:val="TOC2"/>
            <w:tabs>
              <w:tab w:val="right" w:leader="dot" w:pos="9350"/>
            </w:tabs>
            <w:rPr>
              <w:rFonts w:asciiTheme="minorHAnsi" w:eastAsiaTheme="minorEastAsia" w:hAnsiTheme="minorHAnsi" w:cstheme="minorBidi"/>
              <w:noProof/>
              <w:lang w:eastAsia="en-GB"/>
            </w:rPr>
          </w:pPr>
          <w:hyperlink w:anchor="_Toc165242024" w:history="1">
            <w:r w:rsidR="001F5F07" w:rsidRPr="008D33BB">
              <w:rPr>
                <w:rStyle w:val="Hyperlink"/>
                <w:noProof/>
              </w:rPr>
              <w:t>1.2 Research Aims and Objectives</w:t>
            </w:r>
            <w:r w:rsidR="001F5F07">
              <w:rPr>
                <w:noProof/>
                <w:webHidden/>
              </w:rPr>
              <w:tab/>
            </w:r>
            <w:r w:rsidR="001F5F07">
              <w:rPr>
                <w:noProof/>
                <w:webHidden/>
              </w:rPr>
              <w:fldChar w:fldCharType="begin"/>
            </w:r>
            <w:r w:rsidR="001F5F07">
              <w:rPr>
                <w:noProof/>
                <w:webHidden/>
              </w:rPr>
              <w:instrText xml:space="preserve"> PAGEREF _Toc165242024 \h </w:instrText>
            </w:r>
            <w:r w:rsidR="001F5F07">
              <w:rPr>
                <w:noProof/>
                <w:webHidden/>
              </w:rPr>
            </w:r>
            <w:r w:rsidR="001F5F07">
              <w:rPr>
                <w:noProof/>
                <w:webHidden/>
              </w:rPr>
              <w:fldChar w:fldCharType="separate"/>
            </w:r>
            <w:r w:rsidR="001F5F07">
              <w:rPr>
                <w:noProof/>
                <w:webHidden/>
              </w:rPr>
              <w:t>5</w:t>
            </w:r>
            <w:r w:rsidR="001F5F07">
              <w:rPr>
                <w:noProof/>
                <w:webHidden/>
              </w:rPr>
              <w:fldChar w:fldCharType="end"/>
            </w:r>
          </w:hyperlink>
        </w:p>
        <w:p w14:paraId="40A6708D" w14:textId="57D70A0D" w:rsidR="001F5F07" w:rsidRDefault="00000000">
          <w:pPr>
            <w:pStyle w:val="TOC2"/>
            <w:tabs>
              <w:tab w:val="right" w:leader="dot" w:pos="9350"/>
            </w:tabs>
            <w:rPr>
              <w:rFonts w:asciiTheme="minorHAnsi" w:eastAsiaTheme="minorEastAsia" w:hAnsiTheme="minorHAnsi" w:cstheme="minorBidi"/>
              <w:noProof/>
              <w:lang w:eastAsia="en-GB"/>
            </w:rPr>
          </w:pPr>
          <w:hyperlink w:anchor="_Toc165242025" w:history="1">
            <w:r w:rsidR="001F5F07" w:rsidRPr="008D33BB">
              <w:rPr>
                <w:rStyle w:val="Hyperlink"/>
                <w:noProof/>
              </w:rPr>
              <w:t>1.3 Research Questions</w:t>
            </w:r>
            <w:r w:rsidR="001F5F07">
              <w:rPr>
                <w:noProof/>
                <w:webHidden/>
              </w:rPr>
              <w:tab/>
            </w:r>
            <w:r w:rsidR="001F5F07">
              <w:rPr>
                <w:noProof/>
                <w:webHidden/>
              </w:rPr>
              <w:fldChar w:fldCharType="begin"/>
            </w:r>
            <w:r w:rsidR="001F5F07">
              <w:rPr>
                <w:noProof/>
                <w:webHidden/>
              </w:rPr>
              <w:instrText xml:space="preserve"> PAGEREF _Toc165242025 \h </w:instrText>
            </w:r>
            <w:r w:rsidR="001F5F07">
              <w:rPr>
                <w:noProof/>
                <w:webHidden/>
              </w:rPr>
            </w:r>
            <w:r w:rsidR="001F5F07">
              <w:rPr>
                <w:noProof/>
                <w:webHidden/>
              </w:rPr>
              <w:fldChar w:fldCharType="separate"/>
            </w:r>
            <w:r w:rsidR="001F5F07">
              <w:rPr>
                <w:noProof/>
                <w:webHidden/>
              </w:rPr>
              <w:t>5</w:t>
            </w:r>
            <w:r w:rsidR="001F5F07">
              <w:rPr>
                <w:noProof/>
                <w:webHidden/>
              </w:rPr>
              <w:fldChar w:fldCharType="end"/>
            </w:r>
          </w:hyperlink>
        </w:p>
        <w:p w14:paraId="4C38A0DF" w14:textId="1F2570AF" w:rsidR="001F5F07" w:rsidRDefault="00000000">
          <w:pPr>
            <w:pStyle w:val="TOC2"/>
            <w:tabs>
              <w:tab w:val="right" w:leader="dot" w:pos="9350"/>
            </w:tabs>
            <w:rPr>
              <w:rFonts w:asciiTheme="minorHAnsi" w:eastAsiaTheme="minorEastAsia" w:hAnsiTheme="minorHAnsi" w:cstheme="minorBidi"/>
              <w:noProof/>
              <w:lang w:eastAsia="en-GB"/>
            </w:rPr>
          </w:pPr>
          <w:hyperlink w:anchor="_Toc165242026" w:history="1">
            <w:r w:rsidR="001F5F07" w:rsidRPr="008D33BB">
              <w:rPr>
                <w:rStyle w:val="Hyperlink"/>
                <w:noProof/>
              </w:rPr>
              <w:t>1.4 Significance of the Study</w:t>
            </w:r>
            <w:r w:rsidR="001F5F07">
              <w:rPr>
                <w:noProof/>
                <w:webHidden/>
              </w:rPr>
              <w:tab/>
            </w:r>
            <w:r w:rsidR="001F5F07">
              <w:rPr>
                <w:noProof/>
                <w:webHidden/>
              </w:rPr>
              <w:fldChar w:fldCharType="begin"/>
            </w:r>
            <w:r w:rsidR="001F5F07">
              <w:rPr>
                <w:noProof/>
                <w:webHidden/>
              </w:rPr>
              <w:instrText xml:space="preserve"> PAGEREF _Toc165242026 \h </w:instrText>
            </w:r>
            <w:r w:rsidR="001F5F07">
              <w:rPr>
                <w:noProof/>
                <w:webHidden/>
              </w:rPr>
            </w:r>
            <w:r w:rsidR="001F5F07">
              <w:rPr>
                <w:noProof/>
                <w:webHidden/>
              </w:rPr>
              <w:fldChar w:fldCharType="separate"/>
            </w:r>
            <w:r w:rsidR="001F5F07">
              <w:rPr>
                <w:noProof/>
                <w:webHidden/>
              </w:rPr>
              <w:t>6</w:t>
            </w:r>
            <w:r w:rsidR="001F5F07">
              <w:rPr>
                <w:noProof/>
                <w:webHidden/>
              </w:rPr>
              <w:fldChar w:fldCharType="end"/>
            </w:r>
          </w:hyperlink>
        </w:p>
        <w:p w14:paraId="33806813" w14:textId="23376F4E" w:rsidR="001F5F07" w:rsidRDefault="00000000">
          <w:pPr>
            <w:pStyle w:val="TOC2"/>
            <w:tabs>
              <w:tab w:val="right" w:leader="dot" w:pos="9350"/>
            </w:tabs>
            <w:rPr>
              <w:rFonts w:asciiTheme="minorHAnsi" w:eastAsiaTheme="minorEastAsia" w:hAnsiTheme="minorHAnsi" w:cstheme="minorBidi"/>
              <w:noProof/>
              <w:lang w:eastAsia="en-GB"/>
            </w:rPr>
          </w:pPr>
          <w:hyperlink w:anchor="_Toc165242027" w:history="1">
            <w:r w:rsidR="001F5F07" w:rsidRPr="008D33BB">
              <w:rPr>
                <w:rStyle w:val="Hyperlink"/>
                <w:noProof/>
              </w:rPr>
              <w:t>1.5 Definition of Key Terms</w:t>
            </w:r>
            <w:r w:rsidR="001F5F07">
              <w:rPr>
                <w:noProof/>
                <w:webHidden/>
              </w:rPr>
              <w:tab/>
            </w:r>
            <w:r w:rsidR="001F5F07">
              <w:rPr>
                <w:noProof/>
                <w:webHidden/>
              </w:rPr>
              <w:fldChar w:fldCharType="begin"/>
            </w:r>
            <w:r w:rsidR="001F5F07">
              <w:rPr>
                <w:noProof/>
                <w:webHidden/>
              </w:rPr>
              <w:instrText xml:space="preserve"> PAGEREF _Toc165242027 \h </w:instrText>
            </w:r>
            <w:r w:rsidR="001F5F07">
              <w:rPr>
                <w:noProof/>
                <w:webHidden/>
              </w:rPr>
            </w:r>
            <w:r w:rsidR="001F5F07">
              <w:rPr>
                <w:noProof/>
                <w:webHidden/>
              </w:rPr>
              <w:fldChar w:fldCharType="separate"/>
            </w:r>
            <w:r w:rsidR="001F5F07">
              <w:rPr>
                <w:noProof/>
                <w:webHidden/>
              </w:rPr>
              <w:t>7</w:t>
            </w:r>
            <w:r w:rsidR="001F5F07">
              <w:rPr>
                <w:noProof/>
                <w:webHidden/>
              </w:rPr>
              <w:fldChar w:fldCharType="end"/>
            </w:r>
          </w:hyperlink>
        </w:p>
        <w:p w14:paraId="60256B4E" w14:textId="2D311BAE" w:rsidR="001F5F07" w:rsidRDefault="00000000">
          <w:pPr>
            <w:pStyle w:val="TOC1"/>
            <w:tabs>
              <w:tab w:val="right" w:leader="dot" w:pos="9350"/>
            </w:tabs>
            <w:rPr>
              <w:rFonts w:asciiTheme="minorHAnsi" w:eastAsiaTheme="minorEastAsia" w:hAnsiTheme="minorHAnsi" w:cstheme="minorBidi"/>
              <w:noProof/>
              <w:lang w:eastAsia="en-GB"/>
            </w:rPr>
          </w:pPr>
          <w:hyperlink w:anchor="_Toc165242028" w:history="1">
            <w:r w:rsidR="001F5F07" w:rsidRPr="008D33BB">
              <w:rPr>
                <w:rStyle w:val="Hyperlink"/>
                <w:noProof/>
              </w:rPr>
              <w:t>Chapter 2: Literature Review</w:t>
            </w:r>
            <w:r w:rsidR="001F5F07">
              <w:rPr>
                <w:noProof/>
                <w:webHidden/>
              </w:rPr>
              <w:tab/>
            </w:r>
            <w:r w:rsidR="001F5F07">
              <w:rPr>
                <w:noProof/>
                <w:webHidden/>
              </w:rPr>
              <w:fldChar w:fldCharType="begin"/>
            </w:r>
            <w:r w:rsidR="001F5F07">
              <w:rPr>
                <w:noProof/>
                <w:webHidden/>
              </w:rPr>
              <w:instrText xml:space="preserve"> PAGEREF _Toc165242028 \h </w:instrText>
            </w:r>
            <w:r w:rsidR="001F5F07">
              <w:rPr>
                <w:noProof/>
                <w:webHidden/>
              </w:rPr>
            </w:r>
            <w:r w:rsidR="001F5F07">
              <w:rPr>
                <w:noProof/>
                <w:webHidden/>
              </w:rPr>
              <w:fldChar w:fldCharType="separate"/>
            </w:r>
            <w:r w:rsidR="001F5F07">
              <w:rPr>
                <w:noProof/>
                <w:webHidden/>
              </w:rPr>
              <w:t>8</w:t>
            </w:r>
            <w:r w:rsidR="001F5F07">
              <w:rPr>
                <w:noProof/>
                <w:webHidden/>
              </w:rPr>
              <w:fldChar w:fldCharType="end"/>
            </w:r>
          </w:hyperlink>
        </w:p>
        <w:p w14:paraId="16927757" w14:textId="5D886A70" w:rsidR="001F5F07" w:rsidRDefault="00000000">
          <w:pPr>
            <w:pStyle w:val="TOC2"/>
            <w:tabs>
              <w:tab w:val="right" w:leader="dot" w:pos="9350"/>
            </w:tabs>
            <w:rPr>
              <w:rFonts w:asciiTheme="minorHAnsi" w:eastAsiaTheme="minorEastAsia" w:hAnsiTheme="minorHAnsi" w:cstheme="minorBidi"/>
              <w:noProof/>
              <w:lang w:eastAsia="en-GB"/>
            </w:rPr>
          </w:pPr>
          <w:hyperlink w:anchor="_Toc165242029" w:history="1">
            <w:r w:rsidR="001F5F07" w:rsidRPr="008D33BB">
              <w:rPr>
                <w:rStyle w:val="Hyperlink"/>
                <w:noProof/>
              </w:rPr>
              <w:t>2.1 Strategic Management</w:t>
            </w:r>
            <w:r w:rsidR="001F5F07">
              <w:rPr>
                <w:noProof/>
                <w:webHidden/>
              </w:rPr>
              <w:tab/>
            </w:r>
            <w:r w:rsidR="001F5F07">
              <w:rPr>
                <w:noProof/>
                <w:webHidden/>
              </w:rPr>
              <w:fldChar w:fldCharType="begin"/>
            </w:r>
            <w:r w:rsidR="001F5F07">
              <w:rPr>
                <w:noProof/>
                <w:webHidden/>
              </w:rPr>
              <w:instrText xml:space="preserve"> PAGEREF _Toc165242029 \h </w:instrText>
            </w:r>
            <w:r w:rsidR="001F5F07">
              <w:rPr>
                <w:noProof/>
                <w:webHidden/>
              </w:rPr>
            </w:r>
            <w:r w:rsidR="001F5F07">
              <w:rPr>
                <w:noProof/>
                <w:webHidden/>
              </w:rPr>
              <w:fldChar w:fldCharType="separate"/>
            </w:r>
            <w:r w:rsidR="001F5F07">
              <w:rPr>
                <w:noProof/>
                <w:webHidden/>
              </w:rPr>
              <w:t>8</w:t>
            </w:r>
            <w:r w:rsidR="001F5F07">
              <w:rPr>
                <w:noProof/>
                <w:webHidden/>
              </w:rPr>
              <w:fldChar w:fldCharType="end"/>
            </w:r>
          </w:hyperlink>
        </w:p>
        <w:p w14:paraId="0BF8FC95" w14:textId="6FADC8B5" w:rsidR="001F5F07" w:rsidRDefault="00000000">
          <w:pPr>
            <w:pStyle w:val="TOC2"/>
            <w:tabs>
              <w:tab w:val="right" w:leader="dot" w:pos="9350"/>
            </w:tabs>
            <w:rPr>
              <w:rFonts w:asciiTheme="minorHAnsi" w:eastAsiaTheme="minorEastAsia" w:hAnsiTheme="minorHAnsi" w:cstheme="minorBidi"/>
              <w:noProof/>
              <w:lang w:eastAsia="en-GB"/>
            </w:rPr>
          </w:pPr>
          <w:hyperlink w:anchor="_Toc165242030" w:history="1">
            <w:r w:rsidR="001F5F07" w:rsidRPr="008D33BB">
              <w:rPr>
                <w:rStyle w:val="Hyperlink"/>
                <w:noProof/>
              </w:rPr>
              <w:t>2.2 Comparative HRM</w:t>
            </w:r>
            <w:r w:rsidR="001F5F07">
              <w:rPr>
                <w:noProof/>
                <w:webHidden/>
              </w:rPr>
              <w:tab/>
            </w:r>
            <w:r w:rsidR="001F5F07">
              <w:rPr>
                <w:noProof/>
                <w:webHidden/>
              </w:rPr>
              <w:fldChar w:fldCharType="begin"/>
            </w:r>
            <w:r w:rsidR="001F5F07">
              <w:rPr>
                <w:noProof/>
                <w:webHidden/>
              </w:rPr>
              <w:instrText xml:space="preserve"> PAGEREF _Toc165242030 \h </w:instrText>
            </w:r>
            <w:r w:rsidR="001F5F07">
              <w:rPr>
                <w:noProof/>
                <w:webHidden/>
              </w:rPr>
            </w:r>
            <w:r w:rsidR="001F5F07">
              <w:rPr>
                <w:noProof/>
                <w:webHidden/>
              </w:rPr>
              <w:fldChar w:fldCharType="separate"/>
            </w:r>
            <w:r w:rsidR="001F5F07">
              <w:rPr>
                <w:noProof/>
                <w:webHidden/>
              </w:rPr>
              <w:t>9</w:t>
            </w:r>
            <w:r w:rsidR="001F5F07">
              <w:rPr>
                <w:noProof/>
                <w:webHidden/>
              </w:rPr>
              <w:fldChar w:fldCharType="end"/>
            </w:r>
          </w:hyperlink>
        </w:p>
        <w:p w14:paraId="69FE878A" w14:textId="1E364645" w:rsidR="001F5F07" w:rsidRDefault="00000000">
          <w:pPr>
            <w:pStyle w:val="TOC2"/>
            <w:tabs>
              <w:tab w:val="right" w:leader="dot" w:pos="9350"/>
            </w:tabs>
            <w:rPr>
              <w:rFonts w:asciiTheme="minorHAnsi" w:eastAsiaTheme="minorEastAsia" w:hAnsiTheme="minorHAnsi" w:cstheme="minorBidi"/>
              <w:noProof/>
              <w:lang w:eastAsia="en-GB"/>
            </w:rPr>
          </w:pPr>
          <w:hyperlink w:anchor="_Toc165242031" w:history="1">
            <w:r w:rsidR="001F5F07" w:rsidRPr="008D33BB">
              <w:rPr>
                <w:rStyle w:val="Hyperlink"/>
                <w:noProof/>
              </w:rPr>
              <w:t>2.3 Culture and its Influence</w:t>
            </w:r>
            <w:r w:rsidR="001F5F07">
              <w:rPr>
                <w:noProof/>
                <w:webHidden/>
              </w:rPr>
              <w:tab/>
            </w:r>
            <w:r w:rsidR="001F5F07">
              <w:rPr>
                <w:noProof/>
                <w:webHidden/>
              </w:rPr>
              <w:fldChar w:fldCharType="begin"/>
            </w:r>
            <w:r w:rsidR="001F5F07">
              <w:rPr>
                <w:noProof/>
                <w:webHidden/>
              </w:rPr>
              <w:instrText xml:space="preserve"> PAGEREF _Toc165242031 \h </w:instrText>
            </w:r>
            <w:r w:rsidR="001F5F07">
              <w:rPr>
                <w:noProof/>
                <w:webHidden/>
              </w:rPr>
            </w:r>
            <w:r w:rsidR="001F5F07">
              <w:rPr>
                <w:noProof/>
                <w:webHidden/>
              </w:rPr>
              <w:fldChar w:fldCharType="separate"/>
            </w:r>
            <w:r w:rsidR="001F5F07">
              <w:rPr>
                <w:noProof/>
                <w:webHidden/>
              </w:rPr>
              <w:t>9</w:t>
            </w:r>
            <w:r w:rsidR="001F5F07">
              <w:rPr>
                <w:noProof/>
                <w:webHidden/>
              </w:rPr>
              <w:fldChar w:fldCharType="end"/>
            </w:r>
          </w:hyperlink>
        </w:p>
        <w:p w14:paraId="64A2A7CD" w14:textId="38A3A148" w:rsidR="001F5F07" w:rsidRDefault="00000000">
          <w:pPr>
            <w:pStyle w:val="TOC2"/>
            <w:tabs>
              <w:tab w:val="right" w:leader="dot" w:pos="9350"/>
            </w:tabs>
            <w:rPr>
              <w:rFonts w:asciiTheme="minorHAnsi" w:eastAsiaTheme="minorEastAsia" w:hAnsiTheme="minorHAnsi" w:cstheme="minorBidi"/>
              <w:noProof/>
              <w:lang w:eastAsia="en-GB"/>
            </w:rPr>
          </w:pPr>
          <w:hyperlink w:anchor="_Toc165242032" w:history="1">
            <w:r w:rsidR="001F5F07" w:rsidRPr="008D33BB">
              <w:rPr>
                <w:rStyle w:val="Hyperlink"/>
                <w:noProof/>
              </w:rPr>
              <w:t>2.4 Integrating Local Responsiveness with Global Integration</w:t>
            </w:r>
            <w:r w:rsidR="001F5F07">
              <w:rPr>
                <w:noProof/>
                <w:webHidden/>
              </w:rPr>
              <w:tab/>
            </w:r>
            <w:r w:rsidR="001F5F07">
              <w:rPr>
                <w:noProof/>
                <w:webHidden/>
              </w:rPr>
              <w:fldChar w:fldCharType="begin"/>
            </w:r>
            <w:r w:rsidR="001F5F07">
              <w:rPr>
                <w:noProof/>
                <w:webHidden/>
              </w:rPr>
              <w:instrText xml:space="preserve"> PAGEREF _Toc165242032 \h </w:instrText>
            </w:r>
            <w:r w:rsidR="001F5F07">
              <w:rPr>
                <w:noProof/>
                <w:webHidden/>
              </w:rPr>
            </w:r>
            <w:r w:rsidR="001F5F07">
              <w:rPr>
                <w:noProof/>
                <w:webHidden/>
              </w:rPr>
              <w:fldChar w:fldCharType="separate"/>
            </w:r>
            <w:r w:rsidR="001F5F07">
              <w:rPr>
                <w:noProof/>
                <w:webHidden/>
              </w:rPr>
              <w:t>10</w:t>
            </w:r>
            <w:r w:rsidR="001F5F07">
              <w:rPr>
                <w:noProof/>
                <w:webHidden/>
              </w:rPr>
              <w:fldChar w:fldCharType="end"/>
            </w:r>
          </w:hyperlink>
        </w:p>
        <w:p w14:paraId="4F0C482D" w14:textId="68A2E45C" w:rsidR="001F5F07" w:rsidRDefault="00000000">
          <w:pPr>
            <w:pStyle w:val="TOC2"/>
            <w:tabs>
              <w:tab w:val="right" w:leader="dot" w:pos="9350"/>
            </w:tabs>
            <w:rPr>
              <w:rFonts w:asciiTheme="minorHAnsi" w:eastAsiaTheme="minorEastAsia" w:hAnsiTheme="minorHAnsi" w:cstheme="minorBidi"/>
              <w:noProof/>
              <w:lang w:eastAsia="en-GB"/>
            </w:rPr>
          </w:pPr>
          <w:hyperlink w:anchor="_Toc165242033" w:history="1">
            <w:r w:rsidR="001F5F07" w:rsidRPr="008D33BB">
              <w:rPr>
                <w:rStyle w:val="Hyperlink"/>
                <w:noProof/>
              </w:rPr>
              <w:t>2.5 Theoretical Perspectives</w:t>
            </w:r>
            <w:r w:rsidR="001F5F07">
              <w:rPr>
                <w:noProof/>
                <w:webHidden/>
              </w:rPr>
              <w:tab/>
            </w:r>
            <w:r w:rsidR="001F5F07">
              <w:rPr>
                <w:noProof/>
                <w:webHidden/>
              </w:rPr>
              <w:fldChar w:fldCharType="begin"/>
            </w:r>
            <w:r w:rsidR="001F5F07">
              <w:rPr>
                <w:noProof/>
                <w:webHidden/>
              </w:rPr>
              <w:instrText xml:space="preserve"> PAGEREF _Toc165242033 \h </w:instrText>
            </w:r>
            <w:r w:rsidR="001F5F07">
              <w:rPr>
                <w:noProof/>
                <w:webHidden/>
              </w:rPr>
            </w:r>
            <w:r w:rsidR="001F5F07">
              <w:rPr>
                <w:noProof/>
                <w:webHidden/>
              </w:rPr>
              <w:fldChar w:fldCharType="separate"/>
            </w:r>
            <w:r w:rsidR="001F5F07">
              <w:rPr>
                <w:noProof/>
                <w:webHidden/>
              </w:rPr>
              <w:t>11</w:t>
            </w:r>
            <w:r w:rsidR="001F5F07">
              <w:rPr>
                <w:noProof/>
                <w:webHidden/>
              </w:rPr>
              <w:fldChar w:fldCharType="end"/>
            </w:r>
          </w:hyperlink>
        </w:p>
        <w:p w14:paraId="2539C4FC" w14:textId="5C1CBFD9" w:rsidR="001F5F07" w:rsidRDefault="00000000">
          <w:pPr>
            <w:pStyle w:val="TOC2"/>
            <w:tabs>
              <w:tab w:val="right" w:leader="dot" w:pos="9350"/>
            </w:tabs>
            <w:rPr>
              <w:rFonts w:asciiTheme="minorHAnsi" w:eastAsiaTheme="minorEastAsia" w:hAnsiTheme="minorHAnsi" w:cstheme="minorBidi"/>
              <w:noProof/>
              <w:lang w:eastAsia="en-GB"/>
            </w:rPr>
          </w:pPr>
          <w:hyperlink w:anchor="_Toc165242034" w:history="1">
            <w:r w:rsidR="001F5F07" w:rsidRPr="008D33BB">
              <w:rPr>
                <w:rStyle w:val="Hyperlink"/>
                <w:noProof/>
              </w:rPr>
              <w:t>2.6 Gaps in existing literature</w:t>
            </w:r>
            <w:r w:rsidR="001F5F07">
              <w:rPr>
                <w:noProof/>
                <w:webHidden/>
              </w:rPr>
              <w:tab/>
            </w:r>
            <w:r w:rsidR="001F5F07">
              <w:rPr>
                <w:noProof/>
                <w:webHidden/>
              </w:rPr>
              <w:fldChar w:fldCharType="begin"/>
            </w:r>
            <w:r w:rsidR="001F5F07">
              <w:rPr>
                <w:noProof/>
                <w:webHidden/>
              </w:rPr>
              <w:instrText xml:space="preserve"> PAGEREF _Toc165242034 \h </w:instrText>
            </w:r>
            <w:r w:rsidR="001F5F07">
              <w:rPr>
                <w:noProof/>
                <w:webHidden/>
              </w:rPr>
            </w:r>
            <w:r w:rsidR="001F5F07">
              <w:rPr>
                <w:noProof/>
                <w:webHidden/>
              </w:rPr>
              <w:fldChar w:fldCharType="separate"/>
            </w:r>
            <w:r w:rsidR="001F5F07">
              <w:rPr>
                <w:noProof/>
                <w:webHidden/>
              </w:rPr>
              <w:t>12</w:t>
            </w:r>
            <w:r w:rsidR="001F5F07">
              <w:rPr>
                <w:noProof/>
                <w:webHidden/>
              </w:rPr>
              <w:fldChar w:fldCharType="end"/>
            </w:r>
          </w:hyperlink>
        </w:p>
        <w:p w14:paraId="3446BAD5" w14:textId="28DD65AE" w:rsidR="001F5F07" w:rsidRDefault="00000000">
          <w:pPr>
            <w:pStyle w:val="TOC1"/>
            <w:tabs>
              <w:tab w:val="right" w:leader="dot" w:pos="9350"/>
            </w:tabs>
            <w:rPr>
              <w:rFonts w:asciiTheme="minorHAnsi" w:eastAsiaTheme="minorEastAsia" w:hAnsiTheme="minorHAnsi" w:cstheme="minorBidi"/>
              <w:noProof/>
              <w:lang w:eastAsia="en-GB"/>
            </w:rPr>
          </w:pPr>
          <w:hyperlink w:anchor="_Toc165242035" w:history="1">
            <w:r w:rsidR="001F5F07" w:rsidRPr="008D33BB">
              <w:rPr>
                <w:rStyle w:val="Hyperlink"/>
                <w:noProof/>
              </w:rPr>
              <w:t>Chapter 3: Research Methodology</w:t>
            </w:r>
            <w:r w:rsidR="001F5F07">
              <w:rPr>
                <w:noProof/>
                <w:webHidden/>
              </w:rPr>
              <w:tab/>
            </w:r>
            <w:r w:rsidR="001F5F07">
              <w:rPr>
                <w:noProof/>
                <w:webHidden/>
              </w:rPr>
              <w:fldChar w:fldCharType="begin"/>
            </w:r>
            <w:r w:rsidR="001F5F07">
              <w:rPr>
                <w:noProof/>
                <w:webHidden/>
              </w:rPr>
              <w:instrText xml:space="preserve"> PAGEREF _Toc165242035 \h </w:instrText>
            </w:r>
            <w:r w:rsidR="001F5F07">
              <w:rPr>
                <w:noProof/>
                <w:webHidden/>
              </w:rPr>
            </w:r>
            <w:r w:rsidR="001F5F07">
              <w:rPr>
                <w:noProof/>
                <w:webHidden/>
              </w:rPr>
              <w:fldChar w:fldCharType="separate"/>
            </w:r>
            <w:r w:rsidR="001F5F07">
              <w:rPr>
                <w:noProof/>
                <w:webHidden/>
              </w:rPr>
              <w:t>14</w:t>
            </w:r>
            <w:r w:rsidR="001F5F07">
              <w:rPr>
                <w:noProof/>
                <w:webHidden/>
              </w:rPr>
              <w:fldChar w:fldCharType="end"/>
            </w:r>
          </w:hyperlink>
        </w:p>
        <w:p w14:paraId="187A5B91" w14:textId="381790C6" w:rsidR="001F5F07" w:rsidRDefault="00000000">
          <w:pPr>
            <w:pStyle w:val="TOC2"/>
            <w:tabs>
              <w:tab w:val="right" w:leader="dot" w:pos="9350"/>
            </w:tabs>
            <w:rPr>
              <w:rFonts w:asciiTheme="minorHAnsi" w:eastAsiaTheme="minorEastAsia" w:hAnsiTheme="minorHAnsi" w:cstheme="minorBidi"/>
              <w:noProof/>
              <w:lang w:eastAsia="en-GB"/>
            </w:rPr>
          </w:pPr>
          <w:hyperlink w:anchor="_Toc165242036" w:history="1">
            <w:r w:rsidR="001F5F07" w:rsidRPr="008D33BB">
              <w:rPr>
                <w:rStyle w:val="Hyperlink"/>
                <w:noProof/>
              </w:rPr>
              <w:t>3.1 Research Philosophy</w:t>
            </w:r>
            <w:r w:rsidR="001F5F07">
              <w:rPr>
                <w:noProof/>
                <w:webHidden/>
              </w:rPr>
              <w:tab/>
            </w:r>
            <w:r w:rsidR="001F5F07">
              <w:rPr>
                <w:noProof/>
                <w:webHidden/>
              </w:rPr>
              <w:fldChar w:fldCharType="begin"/>
            </w:r>
            <w:r w:rsidR="001F5F07">
              <w:rPr>
                <w:noProof/>
                <w:webHidden/>
              </w:rPr>
              <w:instrText xml:space="preserve"> PAGEREF _Toc165242036 \h </w:instrText>
            </w:r>
            <w:r w:rsidR="001F5F07">
              <w:rPr>
                <w:noProof/>
                <w:webHidden/>
              </w:rPr>
            </w:r>
            <w:r w:rsidR="001F5F07">
              <w:rPr>
                <w:noProof/>
                <w:webHidden/>
              </w:rPr>
              <w:fldChar w:fldCharType="separate"/>
            </w:r>
            <w:r w:rsidR="001F5F07">
              <w:rPr>
                <w:noProof/>
                <w:webHidden/>
              </w:rPr>
              <w:t>14</w:t>
            </w:r>
            <w:r w:rsidR="001F5F07">
              <w:rPr>
                <w:noProof/>
                <w:webHidden/>
              </w:rPr>
              <w:fldChar w:fldCharType="end"/>
            </w:r>
          </w:hyperlink>
        </w:p>
        <w:p w14:paraId="29178984" w14:textId="4B8FAE03" w:rsidR="001F5F07" w:rsidRDefault="00000000">
          <w:pPr>
            <w:pStyle w:val="TOC2"/>
            <w:tabs>
              <w:tab w:val="right" w:leader="dot" w:pos="9350"/>
            </w:tabs>
            <w:rPr>
              <w:rFonts w:asciiTheme="minorHAnsi" w:eastAsiaTheme="minorEastAsia" w:hAnsiTheme="minorHAnsi" w:cstheme="minorBidi"/>
              <w:noProof/>
              <w:lang w:eastAsia="en-GB"/>
            </w:rPr>
          </w:pPr>
          <w:hyperlink w:anchor="_Toc165242037" w:history="1">
            <w:r w:rsidR="001F5F07" w:rsidRPr="008D33BB">
              <w:rPr>
                <w:rStyle w:val="Hyperlink"/>
                <w:noProof/>
              </w:rPr>
              <w:t>3.2 Research Approach</w:t>
            </w:r>
            <w:r w:rsidR="001F5F07">
              <w:rPr>
                <w:noProof/>
                <w:webHidden/>
              </w:rPr>
              <w:tab/>
            </w:r>
            <w:r w:rsidR="001F5F07">
              <w:rPr>
                <w:noProof/>
                <w:webHidden/>
              </w:rPr>
              <w:fldChar w:fldCharType="begin"/>
            </w:r>
            <w:r w:rsidR="001F5F07">
              <w:rPr>
                <w:noProof/>
                <w:webHidden/>
              </w:rPr>
              <w:instrText xml:space="preserve"> PAGEREF _Toc165242037 \h </w:instrText>
            </w:r>
            <w:r w:rsidR="001F5F07">
              <w:rPr>
                <w:noProof/>
                <w:webHidden/>
              </w:rPr>
            </w:r>
            <w:r w:rsidR="001F5F07">
              <w:rPr>
                <w:noProof/>
                <w:webHidden/>
              </w:rPr>
              <w:fldChar w:fldCharType="separate"/>
            </w:r>
            <w:r w:rsidR="001F5F07">
              <w:rPr>
                <w:noProof/>
                <w:webHidden/>
              </w:rPr>
              <w:t>14</w:t>
            </w:r>
            <w:r w:rsidR="001F5F07">
              <w:rPr>
                <w:noProof/>
                <w:webHidden/>
              </w:rPr>
              <w:fldChar w:fldCharType="end"/>
            </w:r>
          </w:hyperlink>
        </w:p>
        <w:p w14:paraId="07035D81" w14:textId="609FBD0C" w:rsidR="001F5F07" w:rsidRDefault="00000000">
          <w:pPr>
            <w:pStyle w:val="TOC2"/>
            <w:tabs>
              <w:tab w:val="right" w:leader="dot" w:pos="9350"/>
            </w:tabs>
            <w:rPr>
              <w:rFonts w:asciiTheme="minorHAnsi" w:eastAsiaTheme="minorEastAsia" w:hAnsiTheme="minorHAnsi" w:cstheme="minorBidi"/>
              <w:noProof/>
              <w:lang w:eastAsia="en-GB"/>
            </w:rPr>
          </w:pPr>
          <w:hyperlink w:anchor="_Toc165242038" w:history="1">
            <w:r w:rsidR="001F5F07" w:rsidRPr="008D33BB">
              <w:rPr>
                <w:rStyle w:val="Hyperlink"/>
                <w:noProof/>
              </w:rPr>
              <w:t>3.3 Research Strategy</w:t>
            </w:r>
            <w:r w:rsidR="001F5F07">
              <w:rPr>
                <w:noProof/>
                <w:webHidden/>
              </w:rPr>
              <w:tab/>
            </w:r>
            <w:r w:rsidR="001F5F07">
              <w:rPr>
                <w:noProof/>
                <w:webHidden/>
              </w:rPr>
              <w:fldChar w:fldCharType="begin"/>
            </w:r>
            <w:r w:rsidR="001F5F07">
              <w:rPr>
                <w:noProof/>
                <w:webHidden/>
              </w:rPr>
              <w:instrText xml:space="preserve"> PAGEREF _Toc165242038 \h </w:instrText>
            </w:r>
            <w:r w:rsidR="001F5F07">
              <w:rPr>
                <w:noProof/>
                <w:webHidden/>
              </w:rPr>
            </w:r>
            <w:r w:rsidR="001F5F07">
              <w:rPr>
                <w:noProof/>
                <w:webHidden/>
              </w:rPr>
              <w:fldChar w:fldCharType="separate"/>
            </w:r>
            <w:r w:rsidR="001F5F07">
              <w:rPr>
                <w:noProof/>
                <w:webHidden/>
              </w:rPr>
              <w:t>14</w:t>
            </w:r>
            <w:r w:rsidR="001F5F07">
              <w:rPr>
                <w:noProof/>
                <w:webHidden/>
              </w:rPr>
              <w:fldChar w:fldCharType="end"/>
            </w:r>
          </w:hyperlink>
        </w:p>
        <w:p w14:paraId="2726DB75" w14:textId="78C71883" w:rsidR="001F5F07" w:rsidRDefault="00000000">
          <w:pPr>
            <w:pStyle w:val="TOC2"/>
            <w:tabs>
              <w:tab w:val="right" w:leader="dot" w:pos="9350"/>
            </w:tabs>
            <w:rPr>
              <w:rFonts w:asciiTheme="minorHAnsi" w:eastAsiaTheme="minorEastAsia" w:hAnsiTheme="minorHAnsi" w:cstheme="minorBidi"/>
              <w:noProof/>
              <w:lang w:eastAsia="en-GB"/>
            </w:rPr>
          </w:pPr>
          <w:hyperlink w:anchor="_Toc165242039" w:history="1">
            <w:r w:rsidR="001F5F07" w:rsidRPr="008D33BB">
              <w:rPr>
                <w:rStyle w:val="Hyperlink"/>
                <w:noProof/>
              </w:rPr>
              <w:t>3.4 Data Collection Methods</w:t>
            </w:r>
            <w:r w:rsidR="001F5F07">
              <w:rPr>
                <w:noProof/>
                <w:webHidden/>
              </w:rPr>
              <w:tab/>
            </w:r>
            <w:r w:rsidR="001F5F07">
              <w:rPr>
                <w:noProof/>
                <w:webHidden/>
              </w:rPr>
              <w:fldChar w:fldCharType="begin"/>
            </w:r>
            <w:r w:rsidR="001F5F07">
              <w:rPr>
                <w:noProof/>
                <w:webHidden/>
              </w:rPr>
              <w:instrText xml:space="preserve"> PAGEREF _Toc165242039 \h </w:instrText>
            </w:r>
            <w:r w:rsidR="001F5F07">
              <w:rPr>
                <w:noProof/>
                <w:webHidden/>
              </w:rPr>
            </w:r>
            <w:r w:rsidR="001F5F07">
              <w:rPr>
                <w:noProof/>
                <w:webHidden/>
              </w:rPr>
              <w:fldChar w:fldCharType="separate"/>
            </w:r>
            <w:r w:rsidR="001F5F07">
              <w:rPr>
                <w:noProof/>
                <w:webHidden/>
              </w:rPr>
              <w:t>15</w:t>
            </w:r>
            <w:r w:rsidR="001F5F07">
              <w:rPr>
                <w:noProof/>
                <w:webHidden/>
              </w:rPr>
              <w:fldChar w:fldCharType="end"/>
            </w:r>
          </w:hyperlink>
        </w:p>
        <w:p w14:paraId="18BDD6D2" w14:textId="52E93BD2" w:rsidR="001F5F07" w:rsidRDefault="00000000">
          <w:pPr>
            <w:pStyle w:val="TOC2"/>
            <w:tabs>
              <w:tab w:val="right" w:leader="dot" w:pos="9350"/>
            </w:tabs>
            <w:rPr>
              <w:rFonts w:asciiTheme="minorHAnsi" w:eastAsiaTheme="minorEastAsia" w:hAnsiTheme="minorHAnsi" w:cstheme="minorBidi"/>
              <w:noProof/>
              <w:lang w:eastAsia="en-GB"/>
            </w:rPr>
          </w:pPr>
          <w:hyperlink w:anchor="_Toc165242040" w:history="1">
            <w:r w:rsidR="001F5F07" w:rsidRPr="008D33BB">
              <w:rPr>
                <w:rStyle w:val="Hyperlink"/>
                <w:noProof/>
              </w:rPr>
              <w:t>3.5 Data Analysis</w:t>
            </w:r>
            <w:r w:rsidR="001F5F07">
              <w:rPr>
                <w:noProof/>
                <w:webHidden/>
              </w:rPr>
              <w:tab/>
            </w:r>
            <w:r w:rsidR="001F5F07">
              <w:rPr>
                <w:noProof/>
                <w:webHidden/>
              </w:rPr>
              <w:fldChar w:fldCharType="begin"/>
            </w:r>
            <w:r w:rsidR="001F5F07">
              <w:rPr>
                <w:noProof/>
                <w:webHidden/>
              </w:rPr>
              <w:instrText xml:space="preserve"> PAGEREF _Toc165242040 \h </w:instrText>
            </w:r>
            <w:r w:rsidR="001F5F07">
              <w:rPr>
                <w:noProof/>
                <w:webHidden/>
              </w:rPr>
            </w:r>
            <w:r w:rsidR="001F5F07">
              <w:rPr>
                <w:noProof/>
                <w:webHidden/>
              </w:rPr>
              <w:fldChar w:fldCharType="separate"/>
            </w:r>
            <w:r w:rsidR="001F5F07">
              <w:rPr>
                <w:noProof/>
                <w:webHidden/>
              </w:rPr>
              <w:t>15</w:t>
            </w:r>
            <w:r w:rsidR="001F5F07">
              <w:rPr>
                <w:noProof/>
                <w:webHidden/>
              </w:rPr>
              <w:fldChar w:fldCharType="end"/>
            </w:r>
          </w:hyperlink>
        </w:p>
        <w:p w14:paraId="45E6FC6C" w14:textId="004ADE33" w:rsidR="001F5F07" w:rsidRDefault="00000000">
          <w:pPr>
            <w:pStyle w:val="TOC2"/>
            <w:tabs>
              <w:tab w:val="right" w:leader="dot" w:pos="9350"/>
            </w:tabs>
            <w:rPr>
              <w:rFonts w:asciiTheme="minorHAnsi" w:eastAsiaTheme="minorEastAsia" w:hAnsiTheme="minorHAnsi" w:cstheme="minorBidi"/>
              <w:noProof/>
              <w:lang w:eastAsia="en-GB"/>
            </w:rPr>
          </w:pPr>
          <w:hyperlink w:anchor="_Toc165242041" w:history="1">
            <w:r w:rsidR="001F5F07" w:rsidRPr="008D33BB">
              <w:rPr>
                <w:rStyle w:val="Hyperlink"/>
                <w:noProof/>
              </w:rPr>
              <w:t>3.6 Establishing Rigor</w:t>
            </w:r>
            <w:r w:rsidR="001F5F07">
              <w:rPr>
                <w:noProof/>
                <w:webHidden/>
              </w:rPr>
              <w:tab/>
            </w:r>
            <w:r w:rsidR="001F5F07">
              <w:rPr>
                <w:noProof/>
                <w:webHidden/>
              </w:rPr>
              <w:fldChar w:fldCharType="begin"/>
            </w:r>
            <w:r w:rsidR="001F5F07">
              <w:rPr>
                <w:noProof/>
                <w:webHidden/>
              </w:rPr>
              <w:instrText xml:space="preserve"> PAGEREF _Toc165242041 \h </w:instrText>
            </w:r>
            <w:r w:rsidR="001F5F07">
              <w:rPr>
                <w:noProof/>
                <w:webHidden/>
              </w:rPr>
            </w:r>
            <w:r w:rsidR="001F5F07">
              <w:rPr>
                <w:noProof/>
                <w:webHidden/>
              </w:rPr>
              <w:fldChar w:fldCharType="separate"/>
            </w:r>
            <w:r w:rsidR="001F5F07">
              <w:rPr>
                <w:noProof/>
                <w:webHidden/>
              </w:rPr>
              <w:t>15</w:t>
            </w:r>
            <w:r w:rsidR="001F5F07">
              <w:rPr>
                <w:noProof/>
                <w:webHidden/>
              </w:rPr>
              <w:fldChar w:fldCharType="end"/>
            </w:r>
          </w:hyperlink>
        </w:p>
        <w:p w14:paraId="496E95AC" w14:textId="18C1790A" w:rsidR="001F5F07" w:rsidRDefault="00000000">
          <w:pPr>
            <w:pStyle w:val="TOC1"/>
            <w:tabs>
              <w:tab w:val="right" w:leader="dot" w:pos="9350"/>
            </w:tabs>
            <w:rPr>
              <w:rFonts w:asciiTheme="minorHAnsi" w:eastAsiaTheme="minorEastAsia" w:hAnsiTheme="minorHAnsi" w:cstheme="minorBidi"/>
              <w:noProof/>
              <w:lang w:eastAsia="en-GB"/>
            </w:rPr>
          </w:pPr>
          <w:hyperlink w:anchor="_Toc165242042" w:history="1">
            <w:r w:rsidR="001F5F07" w:rsidRPr="008D33BB">
              <w:rPr>
                <w:rStyle w:val="Hyperlink"/>
                <w:noProof/>
              </w:rPr>
              <w:t>Chapter 4: Result and Discussion</w:t>
            </w:r>
            <w:r w:rsidR="001F5F07">
              <w:rPr>
                <w:noProof/>
                <w:webHidden/>
              </w:rPr>
              <w:tab/>
            </w:r>
            <w:r w:rsidR="001F5F07">
              <w:rPr>
                <w:noProof/>
                <w:webHidden/>
              </w:rPr>
              <w:fldChar w:fldCharType="begin"/>
            </w:r>
            <w:r w:rsidR="001F5F07">
              <w:rPr>
                <w:noProof/>
                <w:webHidden/>
              </w:rPr>
              <w:instrText xml:space="preserve"> PAGEREF _Toc165242042 \h </w:instrText>
            </w:r>
            <w:r w:rsidR="001F5F07">
              <w:rPr>
                <w:noProof/>
                <w:webHidden/>
              </w:rPr>
            </w:r>
            <w:r w:rsidR="001F5F07">
              <w:rPr>
                <w:noProof/>
                <w:webHidden/>
              </w:rPr>
              <w:fldChar w:fldCharType="separate"/>
            </w:r>
            <w:r w:rsidR="001F5F07">
              <w:rPr>
                <w:noProof/>
                <w:webHidden/>
              </w:rPr>
              <w:t>17</w:t>
            </w:r>
            <w:r w:rsidR="001F5F07">
              <w:rPr>
                <w:noProof/>
                <w:webHidden/>
              </w:rPr>
              <w:fldChar w:fldCharType="end"/>
            </w:r>
          </w:hyperlink>
        </w:p>
        <w:p w14:paraId="3270CA8A" w14:textId="5D85D2BD" w:rsidR="001F5F07" w:rsidRDefault="00000000">
          <w:pPr>
            <w:pStyle w:val="TOC2"/>
            <w:tabs>
              <w:tab w:val="right" w:leader="dot" w:pos="9350"/>
            </w:tabs>
            <w:rPr>
              <w:rFonts w:asciiTheme="minorHAnsi" w:eastAsiaTheme="minorEastAsia" w:hAnsiTheme="minorHAnsi" w:cstheme="minorBidi"/>
              <w:noProof/>
              <w:lang w:eastAsia="en-GB"/>
            </w:rPr>
          </w:pPr>
          <w:hyperlink w:anchor="_Toc165242043" w:history="1">
            <w:r w:rsidR="001F5F07" w:rsidRPr="008D33BB">
              <w:rPr>
                <w:rStyle w:val="Hyperlink"/>
                <w:noProof/>
              </w:rPr>
              <w:t>Case Studies</w:t>
            </w:r>
            <w:r w:rsidR="001F5F07">
              <w:rPr>
                <w:noProof/>
                <w:webHidden/>
              </w:rPr>
              <w:tab/>
            </w:r>
            <w:r w:rsidR="001F5F07">
              <w:rPr>
                <w:noProof/>
                <w:webHidden/>
              </w:rPr>
              <w:fldChar w:fldCharType="begin"/>
            </w:r>
            <w:r w:rsidR="001F5F07">
              <w:rPr>
                <w:noProof/>
                <w:webHidden/>
              </w:rPr>
              <w:instrText xml:space="preserve"> PAGEREF _Toc165242043 \h </w:instrText>
            </w:r>
            <w:r w:rsidR="001F5F07">
              <w:rPr>
                <w:noProof/>
                <w:webHidden/>
              </w:rPr>
            </w:r>
            <w:r w:rsidR="001F5F07">
              <w:rPr>
                <w:noProof/>
                <w:webHidden/>
              </w:rPr>
              <w:fldChar w:fldCharType="separate"/>
            </w:r>
            <w:r w:rsidR="001F5F07">
              <w:rPr>
                <w:noProof/>
                <w:webHidden/>
              </w:rPr>
              <w:t>17</w:t>
            </w:r>
            <w:r w:rsidR="001F5F07">
              <w:rPr>
                <w:noProof/>
                <w:webHidden/>
              </w:rPr>
              <w:fldChar w:fldCharType="end"/>
            </w:r>
          </w:hyperlink>
        </w:p>
        <w:p w14:paraId="2C16EEEB" w14:textId="33C6BDCA" w:rsidR="001F5F07" w:rsidRDefault="00000000">
          <w:pPr>
            <w:pStyle w:val="TOC3"/>
            <w:tabs>
              <w:tab w:val="right" w:leader="dot" w:pos="9350"/>
            </w:tabs>
            <w:rPr>
              <w:rFonts w:asciiTheme="minorHAnsi" w:eastAsiaTheme="minorEastAsia" w:hAnsiTheme="minorHAnsi" w:cstheme="minorBidi"/>
              <w:noProof/>
              <w:lang w:eastAsia="en-GB"/>
            </w:rPr>
          </w:pPr>
          <w:hyperlink w:anchor="_Toc165242044" w:history="1">
            <w:r w:rsidR="001F5F07" w:rsidRPr="008D33BB">
              <w:rPr>
                <w:rStyle w:val="Hyperlink"/>
                <w:noProof/>
              </w:rPr>
              <w:t>Unilever Case Study</w:t>
            </w:r>
            <w:r w:rsidR="001F5F07">
              <w:rPr>
                <w:noProof/>
                <w:webHidden/>
              </w:rPr>
              <w:tab/>
            </w:r>
            <w:r w:rsidR="001F5F07">
              <w:rPr>
                <w:noProof/>
                <w:webHidden/>
              </w:rPr>
              <w:fldChar w:fldCharType="begin"/>
            </w:r>
            <w:r w:rsidR="001F5F07">
              <w:rPr>
                <w:noProof/>
                <w:webHidden/>
              </w:rPr>
              <w:instrText xml:space="preserve"> PAGEREF _Toc165242044 \h </w:instrText>
            </w:r>
            <w:r w:rsidR="001F5F07">
              <w:rPr>
                <w:noProof/>
                <w:webHidden/>
              </w:rPr>
            </w:r>
            <w:r w:rsidR="001F5F07">
              <w:rPr>
                <w:noProof/>
                <w:webHidden/>
              </w:rPr>
              <w:fldChar w:fldCharType="separate"/>
            </w:r>
            <w:r w:rsidR="001F5F07">
              <w:rPr>
                <w:noProof/>
                <w:webHidden/>
              </w:rPr>
              <w:t>17</w:t>
            </w:r>
            <w:r w:rsidR="001F5F07">
              <w:rPr>
                <w:noProof/>
                <w:webHidden/>
              </w:rPr>
              <w:fldChar w:fldCharType="end"/>
            </w:r>
          </w:hyperlink>
        </w:p>
        <w:p w14:paraId="06D87E99" w14:textId="06EF553A" w:rsidR="001F5F07" w:rsidRDefault="00000000">
          <w:pPr>
            <w:pStyle w:val="TOC3"/>
            <w:tabs>
              <w:tab w:val="right" w:leader="dot" w:pos="9350"/>
            </w:tabs>
            <w:rPr>
              <w:rFonts w:asciiTheme="minorHAnsi" w:eastAsiaTheme="minorEastAsia" w:hAnsiTheme="minorHAnsi" w:cstheme="minorBidi"/>
              <w:noProof/>
              <w:lang w:eastAsia="en-GB"/>
            </w:rPr>
          </w:pPr>
          <w:hyperlink w:anchor="_Toc165242045" w:history="1">
            <w:r w:rsidR="001F5F07" w:rsidRPr="008D33BB">
              <w:rPr>
                <w:rStyle w:val="Hyperlink"/>
                <w:noProof/>
              </w:rPr>
              <w:t>British Petroleum Company (BP) Case Study</w:t>
            </w:r>
            <w:r w:rsidR="001F5F07">
              <w:rPr>
                <w:noProof/>
                <w:webHidden/>
              </w:rPr>
              <w:tab/>
            </w:r>
            <w:r w:rsidR="001F5F07">
              <w:rPr>
                <w:noProof/>
                <w:webHidden/>
              </w:rPr>
              <w:fldChar w:fldCharType="begin"/>
            </w:r>
            <w:r w:rsidR="001F5F07">
              <w:rPr>
                <w:noProof/>
                <w:webHidden/>
              </w:rPr>
              <w:instrText xml:space="preserve"> PAGEREF _Toc165242045 \h </w:instrText>
            </w:r>
            <w:r w:rsidR="001F5F07">
              <w:rPr>
                <w:noProof/>
                <w:webHidden/>
              </w:rPr>
            </w:r>
            <w:r w:rsidR="001F5F07">
              <w:rPr>
                <w:noProof/>
                <w:webHidden/>
              </w:rPr>
              <w:fldChar w:fldCharType="separate"/>
            </w:r>
            <w:r w:rsidR="001F5F07">
              <w:rPr>
                <w:noProof/>
                <w:webHidden/>
              </w:rPr>
              <w:t>19</w:t>
            </w:r>
            <w:r w:rsidR="001F5F07">
              <w:rPr>
                <w:noProof/>
                <w:webHidden/>
              </w:rPr>
              <w:fldChar w:fldCharType="end"/>
            </w:r>
          </w:hyperlink>
        </w:p>
        <w:p w14:paraId="3A7D632A" w14:textId="27FE712C" w:rsidR="001F5F07" w:rsidRDefault="00000000">
          <w:pPr>
            <w:pStyle w:val="TOC2"/>
            <w:tabs>
              <w:tab w:val="right" w:leader="dot" w:pos="9350"/>
            </w:tabs>
            <w:rPr>
              <w:rFonts w:asciiTheme="minorHAnsi" w:eastAsiaTheme="minorEastAsia" w:hAnsiTheme="minorHAnsi" w:cstheme="minorBidi"/>
              <w:noProof/>
              <w:lang w:eastAsia="en-GB"/>
            </w:rPr>
          </w:pPr>
          <w:hyperlink w:anchor="_Toc165242046" w:history="1">
            <w:r w:rsidR="001F5F07" w:rsidRPr="008D33BB">
              <w:rPr>
                <w:rStyle w:val="Hyperlink"/>
                <w:noProof/>
              </w:rPr>
              <w:t>Discussion</w:t>
            </w:r>
            <w:r w:rsidR="001F5F07">
              <w:rPr>
                <w:noProof/>
                <w:webHidden/>
              </w:rPr>
              <w:tab/>
            </w:r>
            <w:r w:rsidR="001F5F07">
              <w:rPr>
                <w:noProof/>
                <w:webHidden/>
              </w:rPr>
              <w:fldChar w:fldCharType="begin"/>
            </w:r>
            <w:r w:rsidR="001F5F07">
              <w:rPr>
                <w:noProof/>
                <w:webHidden/>
              </w:rPr>
              <w:instrText xml:space="preserve"> PAGEREF _Toc165242046 \h </w:instrText>
            </w:r>
            <w:r w:rsidR="001F5F07">
              <w:rPr>
                <w:noProof/>
                <w:webHidden/>
              </w:rPr>
            </w:r>
            <w:r w:rsidR="001F5F07">
              <w:rPr>
                <w:noProof/>
                <w:webHidden/>
              </w:rPr>
              <w:fldChar w:fldCharType="separate"/>
            </w:r>
            <w:r w:rsidR="001F5F07">
              <w:rPr>
                <w:noProof/>
                <w:webHidden/>
              </w:rPr>
              <w:t>21</w:t>
            </w:r>
            <w:r w:rsidR="001F5F07">
              <w:rPr>
                <w:noProof/>
                <w:webHidden/>
              </w:rPr>
              <w:fldChar w:fldCharType="end"/>
            </w:r>
          </w:hyperlink>
        </w:p>
        <w:p w14:paraId="775202D8" w14:textId="1E2E6D5F" w:rsidR="001F5F07" w:rsidRDefault="00000000">
          <w:pPr>
            <w:pStyle w:val="TOC3"/>
            <w:tabs>
              <w:tab w:val="right" w:leader="dot" w:pos="9350"/>
            </w:tabs>
            <w:rPr>
              <w:rFonts w:asciiTheme="minorHAnsi" w:eastAsiaTheme="minorEastAsia" w:hAnsiTheme="minorHAnsi" w:cstheme="minorBidi"/>
              <w:noProof/>
              <w:lang w:eastAsia="en-GB"/>
            </w:rPr>
          </w:pPr>
          <w:hyperlink w:anchor="_Toc165242047" w:history="1">
            <w:r w:rsidR="001F5F07" w:rsidRPr="008D33BB">
              <w:rPr>
                <w:rStyle w:val="Hyperlink"/>
                <w:noProof/>
              </w:rPr>
              <w:t>Balancing Global Integration and Local Responsiveness</w:t>
            </w:r>
            <w:r w:rsidR="001F5F07">
              <w:rPr>
                <w:noProof/>
                <w:webHidden/>
              </w:rPr>
              <w:tab/>
            </w:r>
            <w:r w:rsidR="001F5F07">
              <w:rPr>
                <w:noProof/>
                <w:webHidden/>
              </w:rPr>
              <w:fldChar w:fldCharType="begin"/>
            </w:r>
            <w:r w:rsidR="001F5F07">
              <w:rPr>
                <w:noProof/>
                <w:webHidden/>
              </w:rPr>
              <w:instrText xml:space="preserve"> PAGEREF _Toc165242047 \h </w:instrText>
            </w:r>
            <w:r w:rsidR="001F5F07">
              <w:rPr>
                <w:noProof/>
                <w:webHidden/>
              </w:rPr>
            </w:r>
            <w:r w:rsidR="001F5F07">
              <w:rPr>
                <w:noProof/>
                <w:webHidden/>
              </w:rPr>
              <w:fldChar w:fldCharType="separate"/>
            </w:r>
            <w:r w:rsidR="001F5F07">
              <w:rPr>
                <w:noProof/>
                <w:webHidden/>
              </w:rPr>
              <w:t>21</w:t>
            </w:r>
            <w:r w:rsidR="001F5F07">
              <w:rPr>
                <w:noProof/>
                <w:webHidden/>
              </w:rPr>
              <w:fldChar w:fldCharType="end"/>
            </w:r>
          </w:hyperlink>
        </w:p>
        <w:p w14:paraId="20440857" w14:textId="190B2C9F" w:rsidR="001F5F07" w:rsidRDefault="00000000">
          <w:pPr>
            <w:pStyle w:val="TOC3"/>
            <w:tabs>
              <w:tab w:val="right" w:leader="dot" w:pos="9350"/>
            </w:tabs>
            <w:rPr>
              <w:rFonts w:asciiTheme="minorHAnsi" w:eastAsiaTheme="minorEastAsia" w:hAnsiTheme="minorHAnsi" w:cstheme="minorBidi"/>
              <w:noProof/>
              <w:lang w:eastAsia="en-GB"/>
            </w:rPr>
          </w:pPr>
          <w:hyperlink w:anchor="_Toc165242048" w:history="1">
            <w:r w:rsidR="001F5F07" w:rsidRPr="008D33BB">
              <w:rPr>
                <w:rStyle w:val="Hyperlink"/>
                <w:noProof/>
              </w:rPr>
              <w:t>Integrating Strategic HRM to Support Business Goals</w:t>
            </w:r>
            <w:r w:rsidR="001F5F07">
              <w:rPr>
                <w:noProof/>
                <w:webHidden/>
              </w:rPr>
              <w:tab/>
            </w:r>
            <w:r w:rsidR="001F5F07">
              <w:rPr>
                <w:noProof/>
                <w:webHidden/>
              </w:rPr>
              <w:fldChar w:fldCharType="begin"/>
            </w:r>
            <w:r w:rsidR="001F5F07">
              <w:rPr>
                <w:noProof/>
                <w:webHidden/>
              </w:rPr>
              <w:instrText xml:space="preserve"> PAGEREF _Toc165242048 \h </w:instrText>
            </w:r>
            <w:r w:rsidR="001F5F07">
              <w:rPr>
                <w:noProof/>
                <w:webHidden/>
              </w:rPr>
            </w:r>
            <w:r w:rsidR="001F5F07">
              <w:rPr>
                <w:noProof/>
                <w:webHidden/>
              </w:rPr>
              <w:fldChar w:fldCharType="separate"/>
            </w:r>
            <w:r w:rsidR="001F5F07">
              <w:rPr>
                <w:noProof/>
                <w:webHidden/>
              </w:rPr>
              <w:t>22</w:t>
            </w:r>
            <w:r w:rsidR="001F5F07">
              <w:rPr>
                <w:noProof/>
                <w:webHidden/>
              </w:rPr>
              <w:fldChar w:fldCharType="end"/>
            </w:r>
          </w:hyperlink>
        </w:p>
        <w:p w14:paraId="6D00AC6C" w14:textId="5D4C2433" w:rsidR="001F5F07" w:rsidRDefault="00000000">
          <w:pPr>
            <w:pStyle w:val="TOC3"/>
            <w:tabs>
              <w:tab w:val="right" w:leader="dot" w:pos="9350"/>
            </w:tabs>
            <w:rPr>
              <w:rFonts w:asciiTheme="minorHAnsi" w:eastAsiaTheme="minorEastAsia" w:hAnsiTheme="minorHAnsi" w:cstheme="minorBidi"/>
              <w:noProof/>
              <w:lang w:eastAsia="en-GB"/>
            </w:rPr>
          </w:pPr>
          <w:hyperlink w:anchor="_Toc165242049" w:history="1">
            <w:r w:rsidR="001F5F07" w:rsidRPr="008D33BB">
              <w:rPr>
                <w:rStyle w:val="Hyperlink"/>
                <w:noProof/>
              </w:rPr>
              <w:t>Leveraging Diversity and Agility for Adaptation and Innovation</w:t>
            </w:r>
            <w:r w:rsidR="001F5F07">
              <w:rPr>
                <w:noProof/>
                <w:webHidden/>
              </w:rPr>
              <w:tab/>
            </w:r>
            <w:r w:rsidR="001F5F07">
              <w:rPr>
                <w:noProof/>
                <w:webHidden/>
              </w:rPr>
              <w:fldChar w:fldCharType="begin"/>
            </w:r>
            <w:r w:rsidR="001F5F07">
              <w:rPr>
                <w:noProof/>
                <w:webHidden/>
              </w:rPr>
              <w:instrText xml:space="preserve"> PAGEREF _Toc165242049 \h </w:instrText>
            </w:r>
            <w:r w:rsidR="001F5F07">
              <w:rPr>
                <w:noProof/>
                <w:webHidden/>
              </w:rPr>
            </w:r>
            <w:r w:rsidR="001F5F07">
              <w:rPr>
                <w:noProof/>
                <w:webHidden/>
              </w:rPr>
              <w:fldChar w:fldCharType="separate"/>
            </w:r>
            <w:r w:rsidR="001F5F07">
              <w:rPr>
                <w:noProof/>
                <w:webHidden/>
              </w:rPr>
              <w:t>23</w:t>
            </w:r>
            <w:r w:rsidR="001F5F07">
              <w:rPr>
                <w:noProof/>
                <w:webHidden/>
              </w:rPr>
              <w:fldChar w:fldCharType="end"/>
            </w:r>
          </w:hyperlink>
        </w:p>
        <w:p w14:paraId="4DE39BA0" w14:textId="54DCC2BE" w:rsidR="001F5F07" w:rsidRDefault="00000000">
          <w:pPr>
            <w:pStyle w:val="TOC3"/>
            <w:tabs>
              <w:tab w:val="right" w:leader="dot" w:pos="9350"/>
            </w:tabs>
            <w:rPr>
              <w:rFonts w:asciiTheme="minorHAnsi" w:eastAsiaTheme="minorEastAsia" w:hAnsiTheme="minorHAnsi" w:cstheme="minorBidi"/>
              <w:noProof/>
              <w:lang w:eastAsia="en-GB"/>
            </w:rPr>
          </w:pPr>
          <w:hyperlink w:anchor="_Toc165242050" w:history="1">
            <w:r w:rsidR="001F5F07" w:rsidRPr="008D33BB">
              <w:rPr>
                <w:rStyle w:val="Hyperlink"/>
                <w:noProof/>
              </w:rPr>
              <w:t>Addressing Challenges through Strategic Flexibility</w:t>
            </w:r>
            <w:r w:rsidR="001F5F07">
              <w:rPr>
                <w:noProof/>
                <w:webHidden/>
              </w:rPr>
              <w:tab/>
            </w:r>
            <w:r w:rsidR="001F5F07">
              <w:rPr>
                <w:noProof/>
                <w:webHidden/>
              </w:rPr>
              <w:fldChar w:fldCharType="begin"/>
            </w:r>
            <w:r w:rsidR="001F5F07">
              <w:rPr>
                <w:noProof/>
                <w:webHidden/>
              </w:rPr>
              <w:instrText xml:space="preserve"> PAGEREF _Toc165242050 \h </w:instrText>
            </w:r>
            <w:r w:rsidR="001F5F07">
              <w:rPr>
                <w:noProof/>
                <w:webHidden/>
              </w:rPr>
            </w:r>
            <w:r w:rsidR="001F5F07">
              <w:rPr>
                <w:noProof/>
                <w:webHidden/>
              </w:rPr>
              <w:fldChar w:fldCharType="separate"/>
            </w:r>
            <w:r w:rsidR="001F5F07">
              <w:rPr>
                <w:noProof/>
                <w:webHidden/>
              </w:rPr>
              <w:t>24</w:t>
            </w:r>
            <w:r w:rsidR="001F5F07">
              <w:rPr>
                <w:noProof/>
                <w:webHidden/>
              </w:rPr>
              <w:fldChar w:fldCharType="end"/>
            </w:r>
          </w:hyperlink>
        </w:p>
        <w:p w14:paraId="2FD634A6" w14:textId="1A16E6AA" w:rsidR="001F5F07" w:rsidRDefault="00000000">
          <w:pPr>
            <w:pStyle w:val="TOC3"/>
            <w:tabs>
              <w:tab w:val="right" w:leader="dot" w:pos="9350"/>
            </w:tabs>
            <w:rPr>
              <w:rFonts w:asciiTheme="minorHAnsi" w:eastAsiaTheme="minorEastAsia" w:hAnsiTheme="minorHAnsi" w:cstheme="minorBidi"/>
              <w:noProof/>
              <w:lang w:eastAsia="en-GB"/>
            </w:rPr>
          </w:pPr>
          <w:hyperlink w:anchor="_Toc165242051" w:history="1">
            <w:r w:rsidR="001F5F07" w:rsidRPr="008D33BB">
              <w:rPr>
                <w:rStyle w:val="Hyperlink"/>
                <w:noProof/>
              </w:rPr>
              <w:t>Theoretical Lenses on Strategic Flexibility</w:t>
            </w:r>
            <w:r w:rsidR="001F5F07">
              <w:rPr>
                <w:noProof/>
                <w:webHidden/>
              </w:rPr>
              <w:tab/>
            </w:r>
            <w:r w:rsidR="001F5F07">
              <w:rPr>
                <w:noProof/>
                <w:webHidden/>
              </w:rPr>
              <w:fldChar w:fldCharType="begin"/>
            </w:r>
            <w:r w:rsidR="001F5F07">
              <w:rPr>
                <w:noProof/>
                <w:webHidden/>
              </w:rPr>
              <w:instrText xml:space="preserve"> PAGEREF _Toc165242051 \h </w:instrText>
            </w:r>
            <w:r w:rsidR="001F5F07">
              <w:rPr>
                <w:noProof/>
                <w:webHidden/>
              </w:rPr>
            </w:r>
            <w:r w:rsidR="001F5F07">
              <w:rPr>
                <w:noProof/>
                <w:webHidden/>
              </w:rPr>
              <w:fldChar w:fldCharType="separate"/>
            </w:r>
            <w:r w:rsidR="001F5F07">
              <w:rPr>
                <w:noProof/>
                <w:webHidden/>
              </w:rPr>
              <w:t>24</w:t>
            </w:r>
            <w:r w:rsidR="001F5F07">
              <w:rPr>
                <w:noProof/>
                <w:webHidden/>
              </w:rPr>
              <w:fldChar w:fldCharType="end"/>
            </w:r>
          </w:hyperlink>
        </w:p>
        <w:p w14:paraId="47AE90E2" w14:textId="2A664632" w:rsidR="001F5F07" w:rsidRDefault="00000000">
          <w:pPr>
            <w:pStyle w:val="TOC1"/>
            <w:tabs>
              <w:tab w:val="right" w:leader="dot" w:pos="9350"/>
            </w:tabs>
            <w:rPr>
              <w:rFonts w:asciiTheme="minorHAnsi" w:eastAsiaTheme="minorEastAsia" w:hAnsiTheme="minorHAnsi" w:cstheme="minorBidi"/>
              <w:noProof/>
              <w:lang w:eastAsia="en-GB"/>
            </w:rPr>
          </w:pPr>
          <w:hyperlink w:anchor="_Toc165242052" w:history="1">
            <w:r w:rsidR="001F5F07" w:rsidRPr="008D33BB">
              <w:rPr>
                <w:rStyle w:val="Hyperlink"/>
                <w:noProof/>
              </w:rPr>
              <w:t>Chapter 5: Conclusion</w:t>
            </w:r>
            <w:r w:rsidR="001F5F07">
              <w:rPr>
                <w:noProof/>
                <w:webHidden/>
              </w:rPr>
              <w:tab/>
            </w:r>
            <w:r w:rsidR="001F5F07">
              <w:rPr>
                <w:noProof/>
                <w:webHidden/>
              </w:rPr>
              <w:fldChar w:fldCharType="begin"/>
            </w:r>
            <w:r w:rsidR="001F5F07">
              <w:rPr>
                <w:noProof/>
                <w:webHidden/>
              </w:rPr>
              <w:instrText xml:space="preserve"> PAGEREF _Toc165242052 \h </w:instrText>
            </w:r>
            <w:r w:rsidR="001F5F07">
              <w:rPr>
                <w:noProof/>
                <w:webHidden/>
              </w:rPr>
            </w:r>
            <w:r w:rsidR="001F5F07">
              <w:rPr>
                <w:noProof/>
                <w:webHidden/>
              </w:rPr>
              <w:fldChar w:fldCharType="separate"/>
            </w:r>
            <w:r w:rsidR="001F5F07">
              <w:rPr>
                <w:noProof/>
                <w:webHidden/>
              </w:rPr>
              <w:t>25</w:t>
            </w:r>
            <w:r w:rsidR="001F5F07">
              <w:rPr>
                <w:noProof/>
                <w:webHidden/>
              </w:rPr>
              <w:fldChar w:fldCharType="end"/>
            </w:r>
          </w:hyperlink>
        </w:p>
        <w:p w14:paraId="0EF8FA02" w14:textId="4439AA94" w:rsidR="001F5F07" w:rsidRDefault="00000000">
          <w:pPr>
            <w:pStyle w:val="TOC1"/>
            <w:tabs>
              <w:tab w:val="right" w:leader="dot" w:pos="9350"/>
            </w:tabs>
            <w:rPr>
              <w:rFonts w:asciiTheme="minorHAnsi" w:eastAsiaTheme="minorEastAsia" w:hAnsiTheme="minorHAnsi" w:cstheme="minorBidi"/>
              <w:noProof/>
              <w:lang w:eastAsia="en-GB"/>
            </w:rPr>
          </w:pPr>
          <w:hyperlink w:anchor="_Toc165242053" w:history="1">
            <w:r w:rsidR="001F5F07" w:rsidRPr="008D33BB">
              <w:rPr>
                <w:rStyle w:val="Hyperlink"/>
                <w:noProof/>
              </w:rPr>
              <w:t>References</w:t>
            </w:r>
            <w:r w:rsidR="001F5F07">
              <w:rPr>
                <w:noProof/>
                <w:webHidden/>
              </w:rPr>
              <w:tab/>
            </w:r>
            <w:r w:rsidR="001F5F07">
              <w:rPr>
                <w:noProof/>
                <w:webHidden/>
              </w:rPr>
              <w:fldChar w:fldCharType="begin"/>
            </w:r>
            <w:r w:rsidR="001F5F07">
              <w:rPr>
                <w:noProof/>
                <w:webHidden/>
              </w:rPr>
              <w:instrText xml:space="preserve"> PAGEREF _Toc165242053 \h </w:instrText>
            </w:r>
            <w:r w:rsidR="001F5F07">
              <w:rPr>
                <w:noProof/>
                <w:webHidden/>
              </w:rPr>
            </w:r>
            <w:r w:rsidR="001F5F07">
              <w:rPr>
                <w:noProof/>
                <w:webHidden/>
              </w:rPr>
              <w:fldChar w:fldCharType="separate"/>
            </w:r>
            <w:r w:rsidR="001F5F07">
              <w:rPr>
                <w:noProof/>
                <w:webHidden/>
              </w:rPr>
              <w:t>27</w:t>
            </w:r>
            <w:r w:rsidR="001F5F07">
              <w:rPr>
                <w:noProof/>
                <w:webHidden/>
              </w:rPr>
              <w:fldChar w:fldCharType="end"/>
            </w:r>
          </w:hyperlink>
        </w:p>
        <w:p w14:paraId="009BD248" w14:textId="38D28347" w:rsidR="001F5F07" w:rsidRDefault="00000000">
          <w:pPr>
            <w:pStyle w:val="TOC1"/>
            <w:tabs>
              <w:tab w:val="right" w:leader="dot" w:pos="9350"/>
            </w:tabs>
            <w:rPr>
              <w:rFonts w:asciiTheme="minorHAnsi" w:eastAsiaTheme="minorEastAsia" w:hAnsiTheme="minorHAnsi" w:cstheme="minorBidi"/>
              <w:noProof/>
              <w:lang w:eastAsia="en-GB"/>
            </w:rPr>
          </w:pPr>
          <w:hyperlink w:anchor="_Toc165242054" w:history="1">
            <w:r w:rsidR="001F5F07" w:rsidRPr="008D33BB">
              <w:rPr>
                <w:rStyle w:val="Hyperlink"/>
                <w:noProof/>
              </w:rPr>
              <w:t>Appendix</w:t>
            </w:r>
            <w:r w:rsidR="001F5F07">
              <w:rPr>
                <w:noProof/>
                <w:webHidden/>
              </w:rPr>
              <w:tab/>
            </w:r>
            <w:r w:rsidR="001F5F07">
              <w:rPr>
                <w:noProof/>
                <w:webHidden/>
              </w:rPr>
              <w:fldChar w:fldCharType="begin"/>
            </w:r>
            <w:r w:rsidR="001F5F07">
              <w:rPr>
                <w:noProof/>
                <w:webHidden/>
              </w:rPr>
              <w:instrText xml:space="preserve"> PAGEREF _Toc165242054 \h </w:instrText>
            </w:r>
            <w:r w:rsidR="001F5F07">
              <w:rPr>
                <w:noProof/>
                <w:webHidden/>
              </w:rPr>
            </w:r>
            <w:r w:rsidR="001F5F07">
              <w:rPr>
                <w:noProof/>
                <w:webHidden/>
              </w:rPr>
              <w:fldChar w:fldCharType="separate"/>
            </w:r>
            <w:r w:rsidR="001F5F07">
              <w:rPr>
                <w:noProof/>
                <w:webHidden/>
              </w:rPr>
              <w:t>33</w:t>
            </w:r>
            <w:r w:rsidR="001F5F07">
              <w:rPr>
                <w:noProof/>
                <w:webHidden/>
              </w:rPr>
              <w:fldChar w:fldCharType="end"/>
            </w:r>
          </w:hyperlink>
        </w:p>
        <w:p w14:paraId="74DEC66E" w14:textId="6DFAEB91" w:rsidR="001F5F07" w:rsidRDefault="00000000">
          <w:pPr>
            <w:pStyle w:val="TOC2"/>
            <w:tabs>
              <w:tab w:val="right" w:leader="dot" w:pos="9350"/>
            </w:tabs>
            <w:rPr>
              <w:rFonts w:asciiTheme="minorHAnsi" w:eastAsiaTheme="minorEastAsia" w:hAnsiTheme="minorHAnsi" w:cstheme="minorBidi"/>
              <w:noProof/>
              <w:lang w:eastAsia="en-GB"/>
            </w:rPr>
          </w:pPr>
          <w:hyperlink w:anchor="_Toc165242055" w:history="1">
            <w:r w:rsidR="001F5F07" w:rsidRPr="008D33BB">
              <w:rPr>
                <w:rStyle w:val="Hyperlink"/>
                <w:noProof/>
              </w:rPr>
              <w:t>Appendix A: Application for Ethical Approval</w:t>
            </w:r>
            <w:r w:rsidR="001F5F07">
              <w:rPr>
                <w:noProof/>
                <w:webHidden/>
              </w:rPr>
              <w:tab/>
            </w:r>
            <w:r w:rsidR="001F5F07">
              <w:rPr>
                <w:noProof/>
                <w:webHidden/>
              </w:rPr>
              <w:fldChar w:fldCharType="begin"/>
            </w:r>
            <w:r w:rsidR="001F5F07">
              <w:rPr>
                <w:noProof/>
                <w:webHidden/>
              </w:rPr>
              <w:instrText xml:space="preserve"> PAGEREF _Toc165242055 \h </w:instrText>
            </w:r>
            <w:r w:rsidR="001F5F07">
              <w:rPr>
                <w:noProof/>
                <w:webHidden/>
              </w:rPr>
            </w:r>
            <w:r w:rsidR="001F5F07">
              <w:rPr>
                <w:noProof/>
                <w:webHidden/>
              </w:rPr>
              <w:fldChar w:fldCharType="separate"/>
            </w:r>
            <w:r w:rsidR="001F5F07">
              <w:rPr>
                <w:noProof/>
                <w:webHidden/>
              </w:rPr>
              <w:t>33</w:t>
            </w:r>
            <w:r w:rsidR="001F5F07">
              <w:rPr>
                <w:noProof/>
                <w:webHidden/>
              </w:rPr>
              <w:fldChar w:fldCharType="end"/>
            </w:r>
          </w:hyperlink>
        </w:p>
        <w:p w14:paraId="12709604" w14:textId="216F6599" w:rsidR="00D65D91" w:rsidRDefault="00D65D91">
          <w:r>
            <w:rPr>
              <w:b/>
              <w:bCs/>
              <w:noProof/>
            </w:rPr>
            <w:fldChar w:fldCharType="end"/>
          </w:r>
        </w:p>
      </w:sdtContent>
    </w:sdt>
    <w:p w14:paraId="1AD1367C" w14:textId="77777777" w:rsidR="00D65D91" w:rsidRDefault="00D65D91" w:rsidP="00D65D91">
      <w:pPr>
        <w:pStyle w:val="Heading1"/>
        <w:jc w:val="left"/>
      </w:pPr>
    </w:p>
    <w:p w14:paraId="1A75B71A" w14:textId="39E82B48" w:rsidR="000E159B" w:rsidRDefault="000E159B" w:rsidP="008D0E47">
      <w:pPr>
        <w:pStyle w:val="Heading1"/>
        <w:pageBreakBefore/>
      </w:pPr>
      <w:bookmarkStart w:id="0" w:name="_Toc165242022"/>
      <w:r w:rsidRPr="000E159B">
        <w:lastRenderedPageBreak/>
        <w:t>Chapter 1: Introduction</w:t>
      </w:r>
      <w:bookmarkEnd w:id="0"/>
    </w:p>
    <w:p w14:paraId="4752D7FD" w14:textId="77777777" w:rsidR="008D0E47" w:rsidRPr="008D0E47" w:rsidRDefault="008D0E47" w:rsidP="008D0E47"/>
    <w:p w14:paraId="261FED5B" w14:textId="77777777" w:rsidR="005A7D65" w:rsidRDefault="005A7D65" w:rsidP="0043710E">
      <w:pPr>
        <w:pStyle w:val="Heading2"/>
        <w:spacing w:line="360" w:lineRule="auto"/>
        <w:jc w:val="both"/>
      </w:pPr>
      <w:bookmarkStart w:id="1" w:name="_Toc165242023"/>
      <w:r>
        <w:t>1.1 Background</w:t>
      </w:r>
      <w:bookmarkEnd w:id="1"/>
      <w:r>
        <w:t xml:space="preserve"> </w:t>
      </w:r>
    </w:p>
    <w:p w14:paraId="2643AD0A" w14:textId="77777777" w:rsidR="00A82328" w:rsidRDefault="00A82328" w:rsidP="0043710E">
      <w:pPr>
        <w:spacing w:line="360" w:lineRule="auto"/>
        <w:jc w:val="both"/>
      </w:pPr>
      <w:r>
        <w:t>The task of managing and organizing the human resource on the international scale is now one of the most important challenges and possibilities for the multinational companies (MNCs) in the current global business environment (</w:t>
      </w:r>
      <w:proofErr w:type="spellStart"/>
      <w:r>
        <w:t>Zharikova</w:t>
      </w:r>
      <w:proofErr w:type="spellEnd"/>
      <w:r>
        <w:t xml:space="preserve"> and </w:t>
      </w:r>
      <w:proofErr w:type="spellStart"/>
      <w:r>
        <w:t>Cherkesenko</w:t>
      </w:r>
      <w:proofErr w:type="spellEnd"/>
      <w:r>
        <w:t>, 2021). While companies operate in countries with different environments, it is very essential to develop a coordinated HR, policies, and practices strategy and carry it out across different country subsidiaries and cultural contexts. The quests for global integration and local responsiveness in strategic HRM are often opposing forces which make the balancing act one of the persistent tensions in strategic HRM research and practice (Cooke, Schuler, and Varma, 2020).</w:t>
      </w:r>
    </w:p>
    <w:p w14:paraId="747F2A7E" w14:textId="5EA87AC7" w:rsidR="00A82328" w:rsidRDefault="00A82328" w:rsidP="0043710E">
      <w:pPr>
        <w:spacing w:line="360" w:lineRule="auto"/>
        <w:jc w:val="both"/>
      </w:pPr>
      <w:r>
        <w:t>Standardisation of approaches is good for both economies of scale and coordination but offers the risk of disregard of local needs. On the other hand, the absence of centralisation deprives the subsidiaries of vital synergies that could have been achieved across the whole enterprise (Liu and Zhao, 2022).</w:t>
      </w:r>
    </w:p>
    <w:p w14:paraId="32FBEFDD" w14:textId="22FA3991" w:rsidR="005A7D65" w:rsidRDefault="005A7D65" w:rsidP="0043710E">
      <w:pPr>
        <w:spacing w:line="360" w:lineRule="auto"/>
        <w:jc w:val="both"/>
      </w:pPr>
      <w:r>
        <w:t>Finding optimal hybrid solutions continues to elude even the most experienced MNCs. Further complicating the issue is rapid technological change accelerating the blurring of geographic boundaries. With digitali</w:t>
      </w:r>
      <w:r w:rsidR="00FD1118">
        <w:t>s</w:t>
      </w:r>
      <w:r>
        <w:t xml:space="preserve">ation transforming workplaces worldwide, strategic talent management must also keep pace </w:t>
      </w:r>
      <w:r w:rsidRPr="003A3718">
        <w:t>(</w:t>
      </w:r>
      <w:proofErr w:type="spellStart"/>
      <w:r w:rsidRPr="003A3718">
        <w:t>Dorasamy</w:t>
      </w:r>
      <w:proofErr w:type="spellEnd"/>
      <w:r w:rsidRPr="003A3718">
        <w:t>, 2021)</w:t>
      </w:r>
      <w:r>
        <w:t>.</w:t>
      </w:r>
    </w:p>
    <w:p w14:paraId="062DAE48" w14:textId="55F9C522" w:rsidR="005A7D65" w:rsidRDefault="005A7D65" w:rsidP="0043710E">
      <w:pPr>
        <w:spacing w:line="360" w:lineRule="auto"/>
        <w:jc w:val="both"/>
      </w:pPr>
      <w:r>
        <w:t xml:space="preserve">Despite extensive academic inquiry, more context-specific case study insights are still needed. In particular, successful strategic alignment between coordinated HRM and multinational business goals requires further examination, given the diversity of challenges presented by various industries, sizes of operations, and societal conditions around the globe </w:t>
      </w:r>
      <w:r w:rsidRPr="00BA498C">
        <w:t>(Malik et al., 2021)</w:t>
      </w:r>
      <w:r>
        <w:t>. By investigating two established multinational organi</w:t>
      </w:r>
      <w:r w:rsidR="00FD1118">
        <w:t>s</w:t>
      </w:r>
      <w:r>
        <w:t>ations operating across different sectors, this dissertation aims to address such contextual gaps and offer new practitioner perspectives.</w:t>
      </w:r>
    </w:p>
    <w:p w14:paraId="59B2BB1A" w14:textId="77777777" w:rsidR="0002752F" w:rsidRDefault="0002752F" w:rsidP="0043710E">
      <w:pPr>
        <w:spacing w:line="360" w:lineRule="auto"/>
        <w:jc w:val="both"/>
      </w:pPr>
    </w:p>
    <w:p w14:paraId="53586E6F" w14:textId="53F5C032" w:rsidR="0002752F" w:rsidRDefault="00E14E15" w:rsidP="0043710E">
      <w:pPr>
        <w:spacing w:line="360" w:lineRule="auto"/>
        <w:jc w:val="both"/>
      </w:pPr>
      <w:r>
        <w:t xml:space="preserve"> </w:t>
      </w:r>
    </w:p>
    <w:p w14:paraId="2183AE17" w14:textId="77777777" w:rsidR="005A7D65" w:rsidRDefault="005A7D65" w:rsidP="0043710E">
      <w:pPr>
        <w:pStyle w:val="Heading2"/>
        <w:spacing w:line="360" w:lineRule="auto"/>
        <w:jc w:val="both"/>
      </w:pPr>
      <w:bookmarkStart w:id="2" w:name="_Toc165242024"/>
      <w:r>
        <w:lastRenderedPageBreak/>
        <w:t>1.2 Research Aims and Objectives</w:t>
      </w:r>
      <w:bookmarkEnd w:id="2"/>
    </w:p>
    <w:p w14:paraId="53BA6918" w14:textId="00EE93FD" w:rsidR="005A7D65" w:rsidRDefault="005A7D65" w:rsidP="0043710E">
      <w:pPr>
        <w:spacing w:line="360" w:lineRule="auto"/>
        <w:jc w:val="both"/>
      </w:pPr>
      <w:r>
        <w:t>The overarching aim of this research is to explore how leading multinational organi</w:t>
      </w:r>
      <w:r w:rsidR="00FD1118">
        <w:t>s</w:t>
      </w:r>
      <w:r>
        <w:t>ations strategically integrate HRM practices to develop and execute business strategies on a global scale.</w:t>
      </w:r>
    </w:p>
    <w:p w14:paraId="315E9529" w14:textId="77777777" w:rsidR="005A7D65" w:rsidRDefault="005A7D65" w:rsidP="0043710E">
      <w:pPr>
        <w:spacing w:line="360" w:lineRule="auto"/>
        <w:jc w:val="both"/>
      </w:pPr>
      <w:r>
        <w:t>To achieve this aim, the following key objectives have been established:</w:t>
      </w:r>
    </w:p>
    <w:p w14:paraId="148D1EC3" w14:textId="77777777" w:rsidR="005A7D65" w:rsidRDefault="005A7D65" w:rsidP="0043710E">
      <w:pPr>
        <w:pStyle w:val="ListParagraph"/>
        <w:numPr>
          <w:ilvl w:val="0"/>
          <w:numId w:val="1"/>
        </w:numPr>
        <w:spacing w:line="360" w:lineRule="auto"/>
        <w:jc w:val="both"/>
      </w:pPr>
      <w:r>
        <w:t>Conduct a comprehensive review of the relevant academic literature regarding strategic management, comparative HRM, cultural influences, and managing talent internationally. This will establish the theoretical foundations and identify remaining gaps in our current understanding.</w:t>
      </w:r>
    </w:p>
    <w:p w14:paraId="04E1E2A7" w14:textId="77777777" w:rsidR="005A7D65" w:rsidRDefault="005A7D65" w:rsidP="0043710E">
      <w:pPr>
        <w:pStyle w:val="ListParagraph"/>
        <w:numPr>
          <w:ilvl w:val="0"/>
          <w:numId w:val="1"/>
        </w:numPr>
        <w:spacing w:line="360" w:lineRule="auto"/>
        <w:jc w:val="both"/>
      </w:pPr>
      <w:r>
        <w:t>Undertake in-depth case studies of Unilever and BP to closely examine real-world approaches to structuring and coordinating HRM worldwide in support of corporate goals. Semi-structured interviews with HR and business leaders will capture strategic thinking, lessons learned, and emerging priorities.</w:t>
      </w:r>
    </w:p>
    <w:p w14:paraId="68C0E2E7" w14:textId="0AD8D950" w:rsidR="005A7D65" w:rsidRDefault="005A7D65" w:rsidP="0043710E">
      <w:pPr>
        <w:pStyle w:val="ListParagraph"/>
        <w:numPr>
          <w:ilvl w:val="0"/>
          <w:numId w:val="1"/>
        </w:numPr>
        <w:spacing w:line="360" w:lineRule="auto"/>
        <w:jc w:val="both"/>
      </w:pPr>
      <w:r>
        <w:t>Compare and contrast the case study insights to identify commonalities and differences between the companies. Best practices will be determined for optimally supporting organi</w:t>
      </w:r>
      <w:r w:rsidR="00FD1118">
        <w:t>s</w:t>
      </w:r>
      <w:r>
        <w:t>ational effectiveness through integrated strategic HRM on a global scale.</w:t>
      </w:r>
    </w:p>
    <w:p w14:paraId="4ACDA7A3" w14:textId="22B91966" w:rsidR="005A7D65" w:rsidRDefault="005A7D65" w:rsidP="0043710E">
      <w:pPr>
        <w:pStyle w:val="ListParagraph"/>
        <w:numPr>
          <w:ilvl w:val="0"/>
          <w:numId w:val="1"/>
        </w:numPr>
        <w:spacing w:line="360" w:lineRule="auto"/>
        <w:jc w:val="both"/>
      </w:pPr>
      <w:r>
        <w:t>Synthesi</w:t>
      </w:r>
      <w:r w:rsidR="00FD1118">
        <w:t>s</w:t>
      </w:r>
      <w:r>
        <w:t>e the empirical findings with the literature review. This will assess the ability of strategic HRM to enable competitive differentiation in international operations, under various environmental conditions.</w:t>
      </w:r>
    </w:p>
    <w:p w14:paraId="4EA4EB62" w14:textId="77777777" w:rsidR="005A7D65" w:rsidRDefault="005A7D65" w:rsidP="0043710E">
      <w:pPr>
        <w:pStyle w:val="ListParagraph"/>
        <w:numPr>
          <w:ilvl w:val="0"/>
          <w:numId w:val="1"/>
        </w:numPr>
        <w:spacing w:line="360" w:lineRule="auto"/>
        <w:jc w:val="both"/>
      </w:pPr>
      <w:r>
        <w:t>Offer novel, evidence-based theoretical perspectives along with strategic recommendations for HR and business executives managing geographically dispersed, multi-sector talent pools in today's rapidly evolving business context.</w:t>
      </w:r>
    </w:p>
    <w:p w14:paraId="27E70045" w14:textId="77777777" w:rsidR="005A7D65" w:rsidRDefault="005A7D65" w:rsidP="0043710E">
      <w:pPr>
        <w:spacing w:line="360" w:lineRule="auto"/>
        <w:jc w:val="both"/>
      </w:pPr>
    </w:p>
    <w:p w14:paraId="64021F98" w14:textId="77777777" w:rsidR="005A7D65" w:rsidRDefault="005A7D65" w:rsidP="0043710E">
      <w:pPr>
        <w:pStyle w:val="Heading2"/>
        <w:spacing w:line="360" w:lineRule="auto"/>
        <w:jc w:val="both"/>
      </w:pPr>
      <w:bookmarkStart w:id="3" w:name="_Toc165242025"/>
      <w:r>
        <w:t>1.3 Research Questions</w:t>
      </w:r>
      <w:bookmarkEnd w:id="3"/>
    </w:p>
    <w:p w14:paraId="408303D4" w14:textId="77777777" w:rsidR="005A7D65" w:rsidRDefault="005A7D65" w:rsidP="0043710E">
      <w:pPr>
        <w:spacing w:line="360" w:lineRule="auto"/>
        <w:jc w:val="both"/>
      </w:pPr>
      <w:r>
        <w:t>To accomplish the stated objectives, this study seeks to answer the following key research questions:</w:t>
      </w:r>
    </w:p>
    <w:p w14:paraId="7D36AE49" w14:textId="49733BD4" w:rsidR="005A7D65" w:rsidRDefault="005A7D65" w:rsidP="0043710E">
      <w:pPr>
        <w:pStyle w:val="ListParagraph"/>
        <w:numPr>
          <w:ilvl w:val="0"/>
          <w:numId w:val="2"/>
        </w:numPr>
        <w:spacing w:line="360" w:lineRule="auto"/>
        <w:jc w:val="both"/>
      </w:pPr>
      <w:r>
        <w:t>How do Unilever and BP balance global integration of HRM practices with locali</w:t>
      </w:r>
      <w:r w:rsidR="00FD1118">
        <w:t>s</w:t>
      </w:r>
      <w:r>
        <w:t>ation needs across different country subsidiaries? What organi</w:t>
      </w:r>
      <w:r w:rsidR="00FD1118">
        <w:t>s</w:t>
      </w:r>
      <w:r>
        <w:t>ational structures and management processes do they employ to coordinate strategic talent programs worldwide?</w:t>
      </w:r>
    </w:p>
    <w:p w14:paraId="35C9114B" w14:textId="77777777" w:rsidR="005A7D65" w:rsidRDefault="005A7D65" w:rsidP="0043710E">
      <w:pPr>
        <w:pStyle w:val="ListParagraph"/>
        <w:numPr>
          <w:ilvl w:val="0"/>
          <w:numId w:val="2"/>
        </w:numPr>
        <w:spacing w:line="360" w:lineRule="auto"/>
        <w:jc w:val="both"/>
      </w:pPr>
      <w:r>
        <w:lastRenderedPageBreak/>
        <w:t>What factors specific to each company's industry, size, ownership structure influence their chosen strategic HRM approaches? How effectively do these integrate HR with business strategies, and provide competitive advantages in international operations?</w:t>
      </w:r>
    </w:p>
    <w:p w14:paraId="7DA93DF0" w14:textId="77777777" w:rsidR="005A7D65" w:rsidRDefault="005A7D65" w:rsidP="0043710E">
      <w:pPr>
        <w:pStyle w:val="ListParagraph"/>
        <w:numPr>
          <w:ilvl w:val="0"/>
          <w:numId w:val="2"/>
        </w:numPr>
        <w:spacing w:line="360" w:lineRule="auto"/>
        <w:jc w:val="both"/>
      </w:pPr>
      <w:r>
        <w:t>What best practices emerge from comparing the cases? How do Unilever and BP align diverse HR functions like recruitment, performance management, culture shaping to support strategic priorities globally?</w:t>
      </w:r>
    </w:p>
    <w:p w14:paraId="60BA1C44" w14:textId="77777777" w:rsidR="005A7D65" w:rsidRDefault="005A7D65" w:rsidP="0043710E">
      <w:pPr>
        <w:pStyle w:val="ListParagraph"/>
        <w:numPr>
          <w:ilvl w:val="0"/>
          <w:numId w:val="2"/>
        </w:numPr>
        <w:spacing w:line="360" w:lineRule="auto"/>
        <w:jc w:val="both"/>
      </w:pPr>
      <w:r>
        <w:t>How do institutional conditions like cultural variability, regulatory complexity affect HRM strategies? What lessons can the companies offer other MNCs for navigating such contingencies and dilemmas around globally integrating talent?</w:t>
      </w:r>
    </w:p>
    <w:p w14:paraId="5EDB551D" w14:textId="7AA9547C" w:rsidR="005A7D65" w:rsidRDefault="005A7D65" w:rsidP="0043710E">
      <w:pPr>
        <w:spacing w:line="360" w:lineRule="auto"/>
        <w:jc w:val="both"/>
      </w:pPr>
      <w:r>
        <w:t>Answers to these questions will advance both scholarly HRM theory and business practice through novel multi-dimensional insights on intra-organi</w:t>
      </w:r>
      <w:r w:rsidR="00FD1118">
        <w:t>s</w:t>
      </w:r>
      <w:r>
        <w:t>ational talent dynamics within a global strategic context.</w:t>
      </w:r>
    </w:p>
    <w:p w14:paraId="11157AC5" w14:textId="77777777" w:rsidR="00832D6C" w:rsidRDefault="00832D6C" w:rsidP="0043710E">
      <w:pPr>
        <w:spacing w:line="360" w:lineRule="auto"/>
        <w:jc w:val="both"/>
      </w:pPr>
    </w:p>
    <w:p w14:paraId="1F5D0F68" w14:textId="77777777" w:rsidR="005A7D65" w:rsidRDefault="005A7D65" w:rsidP="0043710E">
      <w:pPr>
        <w:pStyle w:val="Heading2"/>
        <w:spacing w:line="360" w:lineRule="auto"/>
        <w:jc w:val="both"/>
      </w:pPr>
      <w:bookmarkStart w:id="4" w:name="_Toc165242026"/>
      <w:r>
        <w:t>1.4 Significance of the Study</w:t>
      </w:r>
      <w:bookmarkEnd w:id="4"/>
    </w:p>
    <w:p w14:paraId="5024C267" w14:textId="7344D338" w:rsidR="005A7D65" w:rsidRDefault="005A7D65" w:rsidP="0043710E">
      <w:pPr>
        <w:spacing w:line="360" w:lineRule="auto"/>
        <w:jc w:val="both"/>
      </w:pPr>
      <w:r>
        <w:t>This research holds scholarly and practical significance. Theoretically, it furthers organi</w:t>
      </w:r>
      <w:r w:rsidR="00FD1118">
        <w:t>s</w:t>
      </w:r>
      <w:r>
        <w:t>ational theory by illuminating how leading firms balance standardi</w:t>
      </w:r>
      <w:r w:rsidR="00FD1118">
        <w:t>s</w:t>
      </w:r>
      <w:r>
        <w:t>ed integration against contextuali</w:t>
      </w:r>
      <w:r w:rsidR="00FD1118">
        <w:t>s</w:t>
      </w:r>
      <w:r>
        <w:t xml:space="preserve">ed responsiveness worldwide. Managerially, the insights will guide strategic talent management for MNCs seeking competitive differentiation at international scale, factoring a diverse array of social, technological and regulatory forces </w:t>
      </w:r>
      <w:r w:rsidRPr="00B73E58">
        <w:t>(Liu, 2024)</w:t>
      </w:r>
      <w:r>
        <w:t>.</w:t>
      </w:r>
    </w:p>
    <w:p w14:paraId="2D42B70C" w14:textId="5CAF6A42" w:rsidR="005A7D65" w:rsidRDefault="005A7D65" w:rsidP="0043710E">
      <w:pPr>
        <w:spacing w:line="360" w:lineRule="auto"/>
        <w:jc w:val="both"/>
      </w:pPr>
      <w:r>
        <w:t>Given steady diversification across borders, understanding how globally integrated yet locally sensitive HRM supports strategy formulation remains mission-critical for organi</w:t>
      </w:r>
      <w:r w:rsidR="00FD1118">
        <w:t>s</w:t>
      </w:r>
      <w:r>
        <w:t xml:space="preserve">ational success. For policymakers too, the study sheds light on socio-economic impacts through an ability lens </w:t>
      </w:r>
      <w:r w:rsidRPr="007416DB">
        <w:t>(Söderblom, 2021)</w:t>
      </w:r>
      <w:r>
        <w:t xml:space="preserve">. Overall, addressing these gaps holds potential to stimulate collaborative growth, </w:t>
      </w:r>
      <w:proofErr w:type="gramStart"/>
      <w:r>
        <w:t>innovation</w:t>
      </w:r>
      <w:proofErr w:type="gramEnd"/>
      <w:r>
        <w:t xml:space="preserve"> and well-being in multinational operations.</w:t>
      </w:r>
    </w:p>
    <w:p w14:paraId="6A678F05" w14:textId="77777777" w:rsidR="00832D6C" w:rsidRDefault="00832D6C" w:rsidP="0043710E">
      <w:pPr>
        <w:spacing w:line="360" w:lineRule="auto"/>
        <w:jc w:val="both"/>
      </w:pPr>
    </w:p>
    <w:p w14:paraId="4188C0D5" w14:textId="77777777" w:rsidR="00832D6C" w:rsidRDefault="00832D6C" w:rsidP="0043710E">
      <w:pPr>
        <w:spacing w:line="360" w:lineRule="auto"/>
        <w:jc w:val="both"/>
      </w:pPr>
    </w:p>
    <w:p w14:paraId="3379DD7B" w14:textId="77777777" w:rsidR="00832D6C" w:rsidRDefault="00832D6C" w:rsidP="0043710E">
      <w:pPr>
        <w:spacing w:line="360" w:lineRule="auto"/>
        <w:jc w:val="both"/>
      </w:pPr>
    </w:p>
    <w:p w14:paraId="2796F56A" w14:textId="77777777" w:rsidR="00832D6C" w:rsidRDefault="00832D6C" w:rsidP="0043710E">
      <w:pPr>
        <w:spacing w:line="360" w:lineRule="auto"/>
        <w:jc w:val="both"/>
      </w:pPr>
    </w:p>
    <w:p w14:paraId="737501BA" w14:textId="77777777" w:rsidR="005A7D65" w:rsidRDefault="005A7D65" w:rsidP="0043710E">
      <w:pPr>
        <w:pStyle w:val="Heading2"/>
        <w:spacing w:line="360" w:lineRule="auto"/>
        <w:jc w:val="both"/>
      </w:pPr>
      <w:bookmarkStart w:id="5" w:name="_Toc165242027"/>
      <w:r>
        <w:lastRenderedPageBreak/>
        <w:t>1.5 Definition of Key Terms</w:t>
      </w:r>
      <w:bookmarkEnd w:id="5"/>
    </w:p>
    <w:p w14:paraId="6AD02984" w14:textId="77777777" w:rsidR="005A7D65" w:rsidRDefault="005A7D65" w:rsidP="0043710E">
      <w:pPr>
        <w:spacing w:line="360" w:lineRule="auto"/>
        <w:jc w:val="both"/>
      </w:pPr>
      <w:r>
        <w:t>For clarity, several technical terms will be defined as follows:</w:t>
      </w:r>
    </w:p>
    <w:p w14:paraId="4ED58AFD" w14:textId="77777777" w:rsidR="005A7D65" w:rsidRDefault="005A7D65" w:rsidP="0043710E">
      <w:pPr>
        <w:pStyle w:val="ListParagraph"/>
        <w:numPr>
          <w:ilvl w:val="0"/>
          <w:numId w:val="3"/>
        </w:numPr>
        <w:spacing w:line="360" w:lineRule="auto"/>
        <w:jc w:val="both"/>
      </w:pPr>
      <w:r>
        <w:t xml:space="preserve">Strategic human resource management (HRM) refers to aligning HR strategies, policies and practices with overall corporate goals through deliberate coordination worldwide </w:t>
      </w:r>
      <w:r w:rsidRPr="00F27C2E">
        <w:t>(Verma et al., 2022)</w:t>
      </w:r>
      <w:r>
        <w:t>.</w:t>
      </w:r>
    </w:p>
    <w:p w14:paraId="7141E43F" w14:textId="7EF80452" w:rsidR="005A7D65" w:rsidRDefault="005A7D65" w:rsidP="0043710E">
      <w:pPr>
        <w:pStyle w:val="ListParagraph"/>
        <w:numPr>
          <w:ilvl w:val="0"/>
          <w:numId w:val="3"/>
        </w:numPr>
        <w:spacing w:line="360" w:lineRule="auto"/>
        <w:jc w:val="both"/>
      </w:pPr>
      <w:r>
        <w:t>Global integration entails standardi</w:t>
      </w:r>
      <w:r w:rsidR="00FD1118">
        <w:t>s</w:t>
      </w:r>
      <w:r>
        <w:t>ed, centrali</w:t>
      </w:r>
      <w:r w:rsidR="00FD1118">
        <w:t>s</w:t>
      </w:r>
      <w:r>
        <w:t xml:space="preserve">ed approaches to managing talent pools on an international scale for synergies </w:t>
      </w:r>
      <w:r w:rsidRPr="00AC4288">
        <w:t>(Feix and Feix, 2020)</w:t>
      </w:r>
      <w:r>
        <w:t>.</w:t>
      </w:r>
    </w:p>
    <w:p w14:paraId="07DE4B03" w14:textId="05B995C3" w:rsidR="005A7D65" w:rsidRDefault="005A7D65" w:rsidP="0043710E">
      <w:pPr>
        <w:pStyle w:val="ListParagraph"/>
        <w:numPr>
          <w:ilvl w:val="0"/>
          <w:numId w:val="3"/>
        </w:numPr>
        <w:spacing w:line="360" w:lineRule="auto"/>
        <w:jc w:val="both"/>
      </w:pPr>
      <w:r>
        <w:t>Local responsiveness means tailoring HRM to unique country-level contexts through decentrali</w:t>
      </w:r>
      <w:r w:rsidR="00FD1118">
        <w:t>s</w:t>
      </w:r>
      <w:r>
        <w:t>ed, autonomous subsidiaries focused on locali</w:t>
      </w:r>
      <w:r w:rsidR="00FD1118">
        <w:t>s</w:t>
      </w:r>
      <w:r>
        <w:t xml:space="preserve">ation </w:t>
      </w:r>
      <w:r w:rsidRPr="00AC4288">
        <w:t>(Xu et al., 2021)</w:t>
      </w:r>
      <w:r>
        <w:t>.</w:t>
      </w:r>
    </w:p>
    <w:p w14:paraId="75F06AF5" w14:textId="77777777" w:rsidR="005A7D65" w:rsidRDefault="005A7D65" w:rsidP="0043710E">
      <w:pPr>
        <w:pStyle w:val="ListParagraph"/>
        <w:numPr>
          <w:ilvl w:val="0"/>
          <w:numId w:val="3"/>
        </w:numPr>
        <w:spacing w:line="360" w:lineRule="auto"/>
        <w:jc w:val="both"/>
      </w:pPr>
      <w:r>
        <w:t xml:space="preserve">A multinational company (MNC) conducts business across national borders through foreign direct investments and managed operations in multiple countries </w:t>
      </w:r>
      <w:r w:rsidRPr="005D3D5D">
        <w:t>(Lee et al., 2020)</w:t>
      </w:r>
      <w:r>
        <w:t>.</w:t>
      </w:r>
    </w:p>
    <w:p w14:paraId="2344340A" w14:textId="5D15E4FD" w:rsidR="005A7D65" w:rsidRDefault="005A7D65" w:rsidP="0043710E">
      <w:pPr>
        <w:pStyle w:val="ListParagraph"/>
        <w:numPr>
          <w:ilvl w:val="0"/>
          <w:numId w:val="3"/>
        </w:numPr>
        <w:spacing w:line="360" w:lineRule="auto"/>
        <w:jc w:val="both"/>
      </w:pPr>
      <w:r>
        <w:t>Strategic flexibility emphasi</w:t>
      </w:r>
      <w:r w:rsidR="00FD1118">
        <w:t>s</w:t>
      </w:r>
      <w:r>
        <w:t xml:space="preserve">es hybrid, dynamic models that blend integrated uniformity with diversified versatility depending on contingency factors like distance, diversity or uncertainty </w:t>
      </w:r>
      <w:r w:rsidRPr="0034646A">
        <w:t>(</w:t>
      </w:r>
      <w:proofErr w:type="spellStart"/>
      <w:r w:rsidRPr="0034646A">
        <w:t>Eren</w:t>
      </w:r>
      <w:proofErr w:type="spellEnd"/>
      <w:r w:rsidRPr="0034646A">
        <w:t xml:space="preserve"> and </w:t>
      </w:r>
      <w:proofErr w:type="spellStart"/>
      <w:r w:rsidRPr="0034646A">
        <w:t>Küçükdemiral</w:t>
      </w:r>
      <w:proofErr w:type="spellEnd"/>
      <w:r w:rsidRPr="0034646A">
        <w:t>, 2024)</w:t>
      </w:r>
      <w:r>
        <w:t>.</w:t>
      </w:r>
    </w:p>
    <w:p w14:paraId="58DE439F" w14:textId="421133B5" w:rsidR="0037410E" w:rsidRDefault="005A7D65" w:rsidP="0043710E">
      <w:pPr>
        <w:spacing w:line="360" w:lineRule="auto"/>
        <w:jc w:val="both"/>
      </w:pPr>
      <w:r>
        <w:t>These definitional boundaries will apply consistently in synthesi</w:t>
      </w:r>
      <w:r w:rsidR="00FD1118">
        <w:t>s</w:t>
      </w:r>
      <w:r>
        <w:t>ing theory and analysing the case studies as part of addressing the research questions comprehensively.</w:t>
      </w:r>
    </w:p>
    <w:p w14:paraId="2571E2AB" w14:textId="77777777" w:rsidR="0037410E" w:rsidRDefault="0037410E" w:rsidP="0043710E">
      <w:pPr>
        <w:spacing w:line="360" w:lineRule="auto"/>
        <w:jc w:val="both"/>
      </w:pPr>
      <w:r>
        <w:br w:type="page"/>
      </w:r>
    </w:p>
    <w:p w14:paraId="34B93706" w14:textId="7909E53B" w:rsidR="0037410E" w:rsidRDefault="0037410E" w:rsidP="00832D6C">
      <w:pPr>
        <w:pStyle w:val="Heading1"/>
        <w:pageBreakBefore/>
        <w:spacing w:line="360" w:lineRule="auto"/>
      </w:pPr>
      <w:bookmarkStart w:id="6" w:name="_Toc165242028"/>
      <w:r>
        <w:lastRenderedPageBreak/>
        <w:t>Chapter 2: Literature Review</w:t>
      </w:r>
      <w:bookmarkEnd w:id="6"/>
    </w:p>
    <w:p w14:paraId="40D1D0AF" w14:textId="77777777" w:rsidR="00832D6C" w:rsidRPr="00832D6C" w:rsidRDefault="00832D6C" w:rsidP="00832D6C"/>
    <w:p w14:paraId="221588B6" w14:textId="389121A4" w:rsidR="0037410E" w:rsidRDefault="0037410E" w:rsidP="0043710E">
      <w:pPr>
        <w:pStyle w:val="Heading2"/>
        <w:spacing w:line="360" w:lineRule="auto"/>
        <w:jc w:val="both"/>
      </w:pPr>
      <w:bookmarkStart w:id="7" w:name="_Toc165242029"/>
      <w:r>
        <w:t>2.1 Strategic Management</w:t>
      </w:r>
      <w:bookmarkEnd w:id="7"/>
    </w:p>
    <w:p w14:paraId="1461E52D" w14:textId="2F40828E" w:rsidR="00A73CF2" w:rsidRDefault="00A73CF2" w:rsidP="0043710E">
      <w:pPr>
        <w:spacing w:line="360" w:lineRule="auto"/>
        <w:jc w:val="both"/>
      </w:pPr>
      <w:r>
        <w:t>Strategic management refers to the administrative process of formulating organi</w:t>
      </w:r>
      <w:r w:rsidR="00FD1118">
        <w:t>s</w:t>
      </w:r>
      <w:r>
        <w:t>ational vision and mission statements, developing long-term plans, setting objectives, crafting strategies, and taking actions to increase competitiveness</w:t>
      </w:r>
      <w:r w:rsidR="00C011D3">
        <w:t xml:space="preserve"> </w:t>
      </w:r>
      <w:r w:rsidR="00C011D3" w:rsidRPr="00C011D3">
        <w:t>(Charles and Ochieng, 2023)</w:t>
      </w:r>
      <w:r>
        <w:t>. It requires continuous environmental scanning, stakeholder analysis, resource audits and strategic evaluations.</w:t>
      </w:r>
    </w:p>
    <w:p w14:paraId="0AA1B509" w14:textId="3C65B4A9" w:rsidR="00A73CF2" w:rsidRDefault="00A73CF2" w:rsidP="0043710E">
      <w:pPr>
        <w:spacing w:line="360" w:lineRule="auto"/>
        <w:jc w:val="both"/>
      </w:pPr>
      <w:r>
        <w:t>Strategic planning involves determining an organi</w:t>
      </w:r>
      <w:r w:rsidR="00FD1118">
        <w:t>s</w:t>
      </w:r>
      <w:r>
        <w:t xml:space="preserve">ation's long-term direction and allocating necessary capital and </w:t>
      </w:r>
      <w:r w:rsidR="00EB48DB">
        <w:t>labour</w:t>
      </w:r>
      <w:r>
        <w:t xml:space="preserve"> resources. It follows an iterative cycle of assessing internal and external contexts, crafting strategic choices, implementing initiatives, and monitoring outcomes</w:t>
      </w:r>
      <w:r w:rsidR="00317801">
        <w:t xml:space="preserve"> </w:t>
      </w:r>
      <w:r w:rsidR="00317801" w:rsidRPr="00317801">
        <w:t>(JD, 2023)</w:t>
      </w:r>
      <w:r>
        <w:t>. Key frameworks include SWOT analysis to evaluate strengths, weaknesses, opportunities and threats.</w:t>
      </w:r>
    </w:p>
    <w:p w14:paraId="78AACAE5" w14:textId="0CA439E8" w:rsidR="00A73CF2" w:rsidRDefault="00A73CF2" w:rsidP="0043710E">
      <w:pPr>
        <w:spacing w:line="360" w:lineRule="auto"/>
        <w:jc w:val="both"/>
      </w:pPr>
      <w:r>
        <w:t>The resource-based view asserts sustainable competitive advantage stems from unique, inimitable bundles of competencies, capabilities and assets. The dynamic capabilities perspective emphasi</w:t>
      </w:r>
      <w:r w:rsidR="00FD1118">
        <w:t>s</w:t>
      </w:r>
      <w:r>
        <w:t>es adapting such resources rapidly through organi</w:t>
      </w:r>
      <w:r w:rsidR="00FD1118">
        <w:t>s</w:t>
      </w:r>
      <w:r>
        <w:t>ational learning amid uncertainty</w:t>
      </w:r>
      <w:r w:rsidR="00911F8B">
        <w:t xml:space="preserve"> </w:t>
      </w:r>
      <w:r w:rsidR="00911F8B" w:rsidRPr="00911F8B">
        <w:t>(</w:t>
      </w:r>
      <w:proofErr w:type="spellStart"/>
      <w:r w:rsidR="00911F8B" w:rsidRPr="00911F8B">
        <w:t>Juurinen</w:t>
      </w:r>
      <w:proofErr w:type="spellEnd"/>
      <w:r w:rsidR="00911F8B" w:rsidRPr="00911F8B">
        <w:t>, 2023)</w:t>
      </w:r>
      <w:r>
        <w:t>. Other important strategic management theories include the five forces model addressing industry competition, stakeholder theory considering all impacts, and the Vroom-Yetton model for decision making styles.</w:t>
      </w:r>
    </w:p>
    <w:p w14:paraId="7DAAFCBA" w14:textId="0ACF8853" w:rsidR="0037410E" w:rsidRDefault="00A73CF2" w:rsidP="0043710E">
      <w:pPr>
        <w:spacing w:line="360" w:lineRule="auto"/>
        <w:jc w:val="both"/>
      </w:pPr>
      <w:r>
        <w:t>Strategic management requires balancing multiple priorities. Strategic flexibility enables adapting resource configurations to diverse challenges over time. Meanwhile, consistency ensures long-term direction remains clear despite disruptions</w:t>
      </w:r>
      <w:r w:rsidR="00911F8B">
        <w:t xml:space="preserve"> </w:t>
      </w:r>
      <w:r w:rsidR="00911F8B" w:rsidRPr="00911F8B">
        <w:t>(Zhao and Yan, 2023)</w:t>
      </w:r>
      <w:r>
        <w:t>. Strategic control balances autonomy and centrali</w:t>
      </w:r>
      <w:r w:rsidR="00FD1118">
        <w:t>s</w:t>
      </w:r>
      <w:r>
        <w:t xml:space="preserve">ation depending on local expertise needs versus integration demands. </w:t>
      </w:r>
      <w:proofErr w:type="spellStart"/>
      <w:r>
        <w:t>Strategi</w:t>
      </w:r>
      <w:r w:rsidR="00FD1118">
        <w:t>s</w:t>
      </w:r>
      <w:r>
        <w:t>ing</w:t>
      </w:r>
      <w:proofErr w:type="spellEnd"/>
      <w:r>
        <w:t xml:space="preserve"> also entails innovation management to continually develop new sources of competitive differentiation</w:t>
      </w:r>
      <w:r w:rsidR="000542FA">
        <w:t xml:space="preserve"> </w:t>
      </w:r>
      <w:r w:rsidR="000542FA" w:rsidRPr="000542FA">
        <w:t>(Andrews et al., 2022)</w:t>
      </w:r>
      <w:r w:rsidR="0037410E">
        <w:t>.</w:t>
      </w:r>
    </w:p>
    <w:p w14:paraId="149723B5" w14:textId="77777777" w:rsidR="00002727" w:rsidRDefault="00002727" w:rsidP="0043710E">
      <w:pPr>
        <w:spacing w:line="360" w:lineRule="auto"/>
        <w:jc w:val="both"/>
      </w:pPr>
    </w:p>
    <w:p w14:paraId="07306081" w14:textId="77777777" w:rsidR="00002727" w:rsidRDefault="00002727" w:rsidP="0043710E">
      <w:pPr>
        <w:spacing w:line="360" w:lineRule="auto"/>
        <w:jc w:val="both"/>
      </w:pPr>
    </w:p>
    <w:p w14:paraId="76AD6BE8" w14:textId="77777777" w:rsidR="00002727" w:rsidRDefault="00002727" w:rsidP="0043710E">
      <w:pPr>
        <w:spacing w:line="360" w:lineRule="auto"/>
        <w:jc w:val="both"/>
      </w:pPr>
    </w:p>
    <w:p w14:paraId="75F63643" w14:textId="19FD6EF0" w:rsidR="0037410E" w:rsidRDefault="0037410E" w:rsidP="0043710E">
      <w:pPr>
        <w:pStyle w:val="Heading2"/>
        <w:spacing w:line="360" w:lineRule="auto"/>
        <w:jc w:val="both"/>
      </w:pPr>
      <w:bookmarkStart w:id="8" w:name="_Toc165242030"/>
      <w:r>
        <w:lastRenderedPageBreak/>
        <w:t>2.2 Comparative HRM</w:t>
      </w:r>
      <w:bookmarkEnd w:id="8"/>
    </w:p>
    <w:p w14:paraId="123F9CDD" w14:textId="3658B046" w:rsidR="00A73CF2" w:rsidRDefault="00A73CF2" w:rsidP="0043710E">
      <w:pPr>
        <w:spacing w:line="360" w:lineRule="auto"/>
        <w:jc w:val="both"/>
      </w:pPr>
      <w:r>
        <w:t xml:space="preserve">Comparative HRM emerged </w:t>
      </w:r>
      <w:r w:rsidR="000542FA">
        <w:t>analysing</w:t>
      </w:r>
      <w:r>
        <w:t xml:space="preserve"> how national business systems shape employment relationships and skill formation differently. Initial typologies clustered HRM archetypes by societal models, e.g. liberal market economies versus coordinated market economies</w:t>
      </w:r>
      <w:r w:rsidR="00D02647">
        <w:t xml:space="preserve"> </w:t>
      </w:r>
      <w:r w:rsidR="00D02647" w:rsidRPr="00D02647">
        <w:t xml:space="preserve">(Ahmad and </w:t>
      </w:r>
      <w:proofErr w:type="spellStart"/>
      <w:r w:rsidR="00D02647" w:rsidRPr="00D02647">
        <w:t>Erçek</w:t>
      </w:r>
      <w:proofErr w:type="spellEnd"/>
      <w:r w:rsidR="00D02647" w:rsidRPr="00D02647">
        <w:t>, 2020)</w:t>
      </w:r>
      <w:r>
        <w:t>.</w:t>
      </w:r>
    </w:p>
    <w:p w14:paraId="74576601" w14:textId="424645DB" w:rsidR="00A73CF2" w:rsidRDefault="00A73CF2" w:rsidP="0043710E">
      <w:pPr>
        <w:spacing w:line="360" w:lineRule="auto"/>
        <w:jc w:val="both"/>
      </w:pPr>
      <w:r>
        <w:t>National HRM further distinguished variances using the "hard", "soft" dimensions of policy regulation, industrial relations, and welfare structures. "Hard" HRM systems in countries like Germany emphasi</w:t>
      </w:r>
      <w:r w:rsidR="00FD1118">
        <w:t>s</w:t>
      </w:r>
      <w:r>
        <w:t>e skills, quality, and long-term attachments. "Soft" systems as in the US prioriti</w:t>
      </w:r>
      <w:r w:rsidR="00FD1118">
        <w:t>s</w:t>
      </w:r>
      <w:r>
        <w:t>e flexibility, motivation, and short-term contracts</w:t>
      </w:r>
      <w:r w:rsidR="00206CC0">
        <w:t xml:space="preserve"> </w:t>
      </w:r>
      <w:r w:rsidR="00206CC0" w:rsidRPr="00206CC0">
        <w:t>(</w:t>
      </w:r>
      <w:proofErr w:type="spellStart"/>
      <w:r w:rsidR="00206CC0" w:rsidRPr="00206CC0">
        <w:t>Prajogo</w:t>
      </w:r>
      <w:proofErr w:type="spellEnd"/>
      <w:r w:rsidR="00206CC0" w:rsidRPr="00206CC0">
        <w:t xml:space="preserve"> et al., 2022)</w:t>
      </w:r>
      <w:r>
        <w:t>.</w:t>
      </w:r>
    </w:p>
    <w:p w14:paraId="57BD3B90" w14:textId="58365589" w:rsidR="00A73CF2" w:rsidRDefault="00A73CF2" w:rsidP="0043710E">
      <w:pPr>
        <w:spacing w:line="360" w:lineRule="auto"/>
        <w:jc w:val="both"/>
      </w:pPr>
      <w:r>
        <w:t>The multidimensional framework studies HRM influences at the individual, organi</w:t>
      </w:r>
      <w:r w:rsidR="00FD1118">
        <w:t>s</w:t>
      </w:r>
      <w:r>
        <w:t>ational and societal levels simultaneously. Individual attributes incorporate demographics, traits, skills. Organi</w:t>
      </w:r>
      <w:r w:rsidR="00FD1118">
        <w:t>s</w:t>
      </w:r>
      <w:r>
        <w:t>ational elements include structure, culture, strategy</w:t>
      </w:r>
      <w:r w:rsidR="00206CC0">
        <w:t xml:space="preserve"> </w:t>
      </w:r>
      <w:r w:rsidR="00206CC0" w:rsidRPr="00206CC0">
        <w:t>(Ababneh, 2021)</w:t>
      </w:r>
      <w:r>
        <w:t>. Societal dimensions involve institutions, values, economics. This nested, interconnected perspective better explains complex realities.</w:t>
      </w:r>
    </w:p>
    <w:p w14:paraId="30C00AB2" w14:textId="4DC3994F" w:rsidR="00A73CF2" w:rsidRDefault="00A73CF2" w:rsidP="0043710E">
      <w:pPr>
        <w:spacing w:line="360" w:lineRule="auto"/>
        <w:jc w:val="both"/>
      </w:pPr>
      <w:r>
        <w:t>National models shape various HRM functions differently. For example, some systems focus heavily on vocational training while others prioriti</w:t>
      </w:r>
      <w:r w:rsidR="00FD1118">
        <w:t>s</w:t>
      </w:r>
      <w:r>
        <w:t>e on-the-job learning. Recruitment and selection practices also diverge, with some contexts emphasi</w:t>
      </w:r>
      <w:r w:rsidR="00FD1118">
        <w:t>s</w:t>
      </w:r>
      <w:r>
        <w:t>ing formal qualifications and others experience or social ties</w:t>
      </w:r>
      <w:r w:rsidR="00147329">
        <w:t xml:space="preserve"> </w:t>
      </w:r>
      <w:r w:rsidR="00147329" w:rsidRPr="00147329">
        <w:t>(</w:t>
      </w:r>
      <w:proofErr w:type="spellStart"/>
      <w:r w:rsidR="00147329" w:rsidRPr="00147329">
        <w:t>Kruyen</w:t>
      </w:r>
      <w:proofErr w:type="spellEnd"/>
      <w:r w:rsidR="00147329" w:rsidRPr="00147329">
        <w:t xml:space="preserve"> and Sowa, 2023)</w:t>
      </w:r>
      <w:r>
        <w:t>. Performance management and rewards are likewise configured as either evaluation-based or seniority-based progressions between nations.</w:t>
      </w:r>
    </w:p>
    <w:p w14:paraId="3DFB64CC" w14:textId="4350B175" w:rsidR="0037410E" w:rsidRDefault="00A73CF2" w:rsidP="0043710E">
      <w:pPr>
        <w:spacing w:line="360" w:lineRule="auto"/>
        <w:jc w:val="both"/>
      </w:pPr>
      <w:r>
        <w:t>Industrial relations patterns also vary, influencing social dialogue and collective bargaining arrangements. Coordination mechanisms range from market forces to collaborative negotiated agreements across societies. These national institutional factors profoundly impact HR strategies, particularly for MNCs seeking local responsiveness while integrating globally</w:t>
      </w:r>
      <w:r w:rsidR="00F978E2">
        <w:t xml:space="preserve"> </w:t>
      </w:r>
      <w:r w:rsidR="00F978E2" w:rsidRPr="00F978E2">
        <w:t>(Gebert, 2024)</w:t>
      </w:r>
      <w:r w:rsidR="0037410E">
        <w:t>.</w:t>
      </w:r>
    </w:p>
    <w:p w14:paraId="54545512" w14:textId="77777777" w:rsidR="00002727" w:rsidRDefault="00002727" w:rsidP="0043710E">
      <w:pPr>
        <w:spacing w:line="360" w:lineRule="auto"/>
        <w:jc w:val="both"/>
      </w:pPr>
    </w:p>
    <w:p w14:paraId="4BD21628" w14:textId="190F4ECD" w:rsidR="0037410E" w:rsidRDefault="0037410E" w:rsidP="0043710E">
      <w:pPr>
        <w:pStyle w:val="Heading2"/>
        <w:spacing w:line="360" w:lineRule="auto"/>
        <w:jc w:val="both"/>
      </w:pPr>
      <w:bookmarkStart w:id="9" w:name="_Toc165242031"/>
      <w:r>
        <w:t>2.3 Culture and its Influence</w:t>
      </w:r>
      <w:bookmarkEnd w:id="9"/>
    </w:p>
    <w:p w14:paraId="75949013" w14:textId="7D56DBDA" w:rsidR="0095389F" w:rsidRDefault="0095389F" w:rsidP="0043710E">
      <w:pPr>
        <w:spacing w:line="360" w:lineRule="auto"/>
        <w:jc w:val="both"/>
      </w:pPr>
      <w:r>
        <w:t>Organi</w:t>
      </w:r>
      <w:r w:rsidR="0052751D">
        <w:t>s</w:t>
      </w:r>
      <w:r>
        <w:t xml:space="preserve">ational culture denotes implicit norms, values and </w:t>
      </w:r>
      <w:r w:rsidR="003F1F0A">
        <w:t>behaviours</w:t>
      </w:r>
      <w:r>
        <w:t xml:space="preserve"> ingrained through continuous learning. The competing values framework depicts cultures as flexible combinations </w:t>
      </w:r>
      <w:r>
        <w:lastRenderedPageBreak/>
        <w:t>of internal integration-external differentiation orientations and stability-flexibility tendencies</w:t>
      </w:r>
      <w:r w:rsidR="00A45DCA">
        <w:t xml:space="preserve"> </w:t>
      </w:r>
      <w:r w:rsidR="00A45DCA" w:rsidRPr="00A45DCA">
        <w:t>(Carter, 2021)</w:t>
      </w:r>
      <w:r>
        <w:t>.</w:t>
      </w:r>
    </w:p>
    <w:p w14:paraId="35CAB2ED" w14:textId="3A5D206E" w:rsidR="0095389F" w:rsidRDefault="0095389F" w:rsidP="0043710E">
      <w:pPr>
        <w:spacing w:line="360" w:lineRule="auto"/>
        <w:jc w:val="both"/>
      </w:pPr>
      <w:r>
        <w:t>MNC subsidiaries display varying cultural configurations based on distance from headquarters and local diversity. Culture profoundly shapes strategic choices, HRM systems, industrial relations patterns. Subsidiary autonomy positively relates to responsiveness but harms integration if divergence surpasses thresholds</w:t>
      </w:r>
      <w:r w:rsidR="003259C5">
        <w:t xml:space="preserve"> </w:t>
      </w:r>
      <w:r w:rsidR="003259C5" w:rsidRPr="003259C5">
        <w:t>(Shahani, 2020)</w:t>
      </w:r>
      <w:r>
        <w:t>.</w:t>
      </w:r>
    </w:p>
    <w:p w14:paraId="555D5F2F" w14:textId="6C41B98F" w:rsidR="0095389F" w:rsidRDefault="0095389F" w:rsidP="0043710E">
      <w:pPr>
        <w:spacing w:line="360" w:lineRule="auto"/>
        <w:jc w:val="both"/>
      </w:pPr>
      <w:r>
        <w:t xml:space="preserve">Cultural intelligence entails traits like Drive (motivation to adapt cross-culturally), Knowledge (culture-general and culture-specific understanding), Strategy (selecting best </w:t>
      </w:r>
      <w:proofErr w:type="spellStart"/>
      <w:r>
        <w:t>behaviors</w:t>
      </w:r>
      <w:proofErr w:type="spellEnd"/>
      <w:r>
        <w:t>), Action (executing verbal/nonverbal skills appropriately across situations) supporting global assignments</w:t>
      </w:r>
      <w:r w:rsidR="009151B5">
        <w:t xml:space="preserve"> </w:t>
      </w:r>
      <w:r w:rsidR="009151B5" w:rsidRPr="009151B5">
        <w:t>(</w:t>
      </w:r>
      <w:proofErr w:type="spellStart"/>
      <w:r w:rsidR="009151B5" w:rsidRPr="009151B5">
        <w:t>Chedru</w:t>
      </w:r>
      <w:proofErr w:type="spellEnd"/>
      <w:r w:rsidR="009151B5" w:rsidRPr="009151B5">
        <w:t xml:space="preserve"> and Ostapchuk, 2023)</w:t>
      </w:r>
      <w:r>
        <w:t>.</w:t>
      </w:r>
    </w:p>
    <w:p w14:paraId="3B8EEF5D" w14:textId="2CFC6F26" w:rsidR="0095389F" w:rsidRDefault="0095389F" w:rsidP="0043710E">
      <w:pPr>
        <w:spacing w:line="360" w:lineRule="auto"/>
        <w:jc w:val="both"/>
      </w:pPr>
      <w:r>
        <w:t>At the national level, cultural dimensions such as individualism-collectivism and power distance impact HRM practices. Performance appraisals, for example, prioriti</w:t>
      </w:r>
      <w:r w:rsidR="0052751D">
        <w:t>s</w:t>
      </w:r>
      <w:r>
        <w:t>e team accomplishments over individual goals in collectivist societies.</w:t>
      </w:r>
    </w:p>
    <w:p w14:paraId="4BBB66F7" w14:textId="77777777" w:rsidR="00F96C26" w:rsidRDefault="00F96C26" w:rsidP="0043710E">
      <w:pPr>
        <w:spacing w:line="360" w:lineRule="auto"/>
        <w:jc w:val="both"/>
      </w:pPr>
      <w:r>
        <w:t>Subcultures develop in workplaces, occupations, functions, and generations, thus, influencing the values at and the preferences for work. The crucial element of cultural analysis is to comprehend as well as the superficial appearances and the more profound assumptions. (Costa, et al., 2022)</w:t>
      </w:r>
    </w:p>
    <w:p w14:paraId="3BC05E00" w14:textId="6F69F156" w:rsidR="0037410E" w:rsidRDefault="00F96C26" w:rsidP="0043710E">
      <w:pPr>
        <w:spacing w:line="360" w:lineRule="auto"/>
        <w:jc w:val="both"/>
      </w:pPr>
      <w:r>
        <w:t>Cultural diversity draws the world closer yet stimulates innovation from the new perspectives in unity. Integration-responsiveness and culture clashes can be triggered by miscommunication if left unattended. This is why leveraging diversity requires managing these two tensions (Fuchs, 2022). National cultural intelligence, which is the awareness and understanding of culture among the national population, is the solution to these risks</w:t>
      </w:r>
      <w:r w:rsidR="0095389F">
        <w:t>.</w:t>
      </w:r>
    </w:p>
    <w:p w14:paraId="15CE0F14" w14:textId="77777777" w:rsidR="00002727" w:rsidRDefault="00002727" w:rsidP="0043710E">
      <w:pPr>
        <w:spacing w:line="360" w:lineRule="auto"/>
        <w:jc w:val="both"/>
      </w:pPr>
    </w:p>
    <w:p w14:paraId="65EB6A64" w14:textId="20EBE3CF" w:rsidR="0037410E" w:rsidRDefault="0037410E" w:rsidP="0043710E">
      <w:pPr>
        <w:pStyle w:val="Heading2"/>
        <w:spacing w:line="360" w:lineRule="auto"/>
        <w:jc w:val="both"/>
      </w:pPr>
      <w:bookmarkStart w:id="10" w:name="_Toc165242032"/>
      <w:r>
        <w:t>2.4 Integrating Local Responsiveness with Global Integration</w:t>
      </w:r>
      <w:bookmarkEnd w:id="10"/>
    </w:p>
    <w:p w14:paraId="45F200FA" w14:textId="319EDDA4" w:rsidR="00F96C26" w:rsidRDefault="00F96C26" w:rsidP="0043710E">
      <w:pPr>
        <w:spacing w:line="360" w:lineRule="auto"/>
        <w:jc w:val="both"/>
      </w:pPr>
      <w:r>
        <w:t>The GRI (global integration-local responsiveness) framework aims to create a common strategic standard across the board while also making local changes to stay relevant to the customers (Carpenter and Lozano, 2020). Integration at all levels may make the system impervious to changes, while uncoordinated decentrali</w:t>
      </w:r>
      <w:r w:rsidR="0052751D">
        <w:t>s</w:t>
      </w:r>
      <w:r>
        <w:t>ation may deprive of cooperation benefits.</w:t>
      </w:r>
    </w:p>
    <w:p w14:paraId="701C498A" w14:textId="27AB39D7" w:rsidR="00F96C26" w:rsidRDefault="00F96C26" w:rsidP="0043710E">
      <w:pPr>
        <w:spacing w:line="360" w:lineRule="auto"/>
        <w:jc w:val="both"/>
      </w:pPr>
      <w:r>
        <w:lastRenderedPageBreak/>
        <w:t>Strategic flexibility builds on such dynamic, reversible and multi-dimensional organi</w:t>
      </w:r>
      <w:r w:rsidR="0052751D">
        <w:t>s</w:t>
      </w:r>
      <w:r>
        <w:t>ational structures, processes and resource allocation between these extremes (Eren, 2023). Adaptations get effected through a process of modification with environmentally varied features according to the situation. When an integration that has more similarities than differences is pursued it is called integration.</w:t>
      </w:r>
    </w:p>
    <w:p w14:paraId="083E215B" w14:textId="3B3741AA" w:rsidR="00F96C26" w:rsidRDefault="00F96C26" w:rsidP="0043710E">
      <w:pPr>
        <w:spacing w:line="360" w:lineRule="auto"/>
        <w:jc w:val="both"/>
      </w:pPr>
      <w:r>
        <w:t>Given hybrid arrangements such assets and marketing vary worldly but the production processes have been modified uniquely to the locality. Factors such as uncertainty, diversity, organi</w:t>
      </w:r>
      <w:r w:rsidR="0052751D">
        <w:t>s</w:t>
      </w:r>
      <w:r>
        <w:t xml:space="preserve">ational learning abilities (Zahoor, Khan, and </w:t>
      </w:r>
      <w:proofErr w:type="spellStart"/>
      <w:r>
        <w:t>Shenkar</w:t>
      </w:r>
      <w:proofErr w:type="spellEnd"/>
      <w:r>
        <w:t>, 2023) are influencing the balance. International firms must achieve balanced strategic interfaces between global and local factors to deliver best international outcomes.</w:t>
      </w:r>
    </w:p>
    <w:p w14:paraId="52925B07" w14:textId="6E318CBD" w:rsidR="00F96C26" w:rsidRDefault="00F96C26" w:rsidP="0043710E">
      <w:pPr>
        <w:spacing w:line="360" w:lineRule="auto"/>
        <w:jc w:val="both"/>
      </w:pPr>
      <w:r>
        <w:t>Under the conditions of integration-responsiveness dilemma, the issue is solved by the application of control modes, coordination mechanisms and incentive structures depending on the demand for standardi</w:t>
      </w:r>
      <w:r w:rsidR="0052751D">
        <w:t>s</w:t>
      </w:r>
      <w:r>
        <w:t>ation-adaptation. The international product divisions are used to integrate the companies, while the international or multi-domestic structures are applied to make the products tuned to the local needs (Tippmann et al., 2023).</w:t>
      </w:r>
    </w:p>
    <w:p w14:paraId="53BAF382" w14:textId="77777777" w:rsidR="00F96C26" w:rsidRDefault="00F96C26" w:rsidP="0043710E">
      <w:pPr>
        <w:spacing w:line="360" w:lineRule="auto"/>
        <w:jc w:val="both"/>
      </w:pPr>
      <w:r>
        <w:t>Strategic human resources management has an important role to play by providing the global context to fit for the local conditions. The competency models and talent rotation policies provide perspectives and delegation brings autonomy to the workforce (</w:t>
      </w:r>
      <w:proofErr w:type="spellStart"/>
      <w:r>
        <w:t>Purgał</w:t>
      </w:r>
      <w:proofErr w:type="spellEnd"/>
      <w:r>
        <w:t xml:space="preserve">-Popiela, Pauli, and </w:t>
      </w:r>
      <w:proofErr w:type="spellStart"/>
      <w:r>
        <w:t>Pocztowski</w:t>
      </w:r>
      <w:proofErr w:type="spellEnd"/>
      <w:r>
        <w:t>, 2023). Intermediate level structures make the vertically grouped collective capabilities of countries work together horizontally.</w:t>
      </w:r>
    </w:p>
    <w:p w14:paraId="3486D445" w14:textId="77777777" w:rsidR="000547F2" w:rsidRDefault="000547F2" w:rsidP="0043710E">
      <w:pPr>
        <w:spacing w:line="360" w:lineRule="auto"/>
        <w:jc w:val="both"/>
      </w:pPr>
    </w:p>
    <w:p w14:paraId="6D45EDC7" w14:textId="72A0D9D7" w:rsidR="0037410E" w:rsidRDefault="0037410E" w:rsidP="0043710E">
      <w:pPr>
        <w:pStyle w:val="Heading2"/>
        <w:spacing w:line="360" w:lineRule="auto"/>
        <w:jc w:val="both"/>
      </w:pPr>
      <w:bookmarkStart w:id="11" w:name="_Toc165242033"/>
      <w:r>
        <w:t>2.5 Theoretical Perspectives</w:t>
      </w:r>
      <w:bookmarkEnd w:id="11"/>
    </w:p>
    <w:p w14:paraId="358A6A27" w14:textId="2395C1B4" w:rsidR="005A7D65" w:rsidRDefault="005A7D65" w:rsidP="0043710E">
      <w:pPr>
        <w:spacing w:line="360" w:lineRule="auto"/>
        <w:jc w:val="both"/>
      </w:pPr>
      <w:r>
        <w:t>The resource-based view proposes combining distinctive competencies as an endogenous source of competitive advantage, if they are valuable, rare, inimitable and non-substitutable. Applied to MNCs, strategically leveraging talent pools through global talent management can provide differentiation</w:t>
      </w:r>
      <w:r w:rsidR="00284711">
        <w:t xml:space="preserve"> </w:t>
      </w:r>
      <w:r w:rsidR="00284711" w:rsidRPr="00284711">
        <w:t>(</w:t>
      </w:r>
      <w:proofErr w:type="spellStart"/>
      <w:r w:rsidR="00284711" w:rsidRPr="00284711">
        <w:t>Selivanovskikh</w:t>
      </w:r>
      <w:proofErr w:type="spellEnd"/>
      <w:r w:rsidR="00284711" w:rsidRPr="00284711">
        <w:t>, 2020)</w:t>
      </w:r>
      <w:r>
        <w:t>.</w:t>
      </w:r>
    </w:p>
    <w:p w14:paraId="757E90D7" w14:textId="4EBC9D04" w:rsidR="00F96C26" w:rsidRDefault="00F96C26" w:rsidP="0043710E">
      <w:pPr>
        <w:spacing w:line="360" w:lineRule="auto"/>
        <w:jc w:val="both"/>
      </w:pPr>
      <w:r>
        <w:lastRenderedPageBreak/>
        <w:t>Institutional theory, explanations lies at the core of exogenous competitive pressures which comes from societal rules, norms and stabili</w:t>
      </w:r>
      <w:r w:rsidR="0052751D">
        <w:t>s</w:t>
      </w:r>
      <w:r>
        <w:t>ing organi</w:t>
      </w:r>
      <w:r w:rsidR="0052751D">
        <w:t>s</w:t>
      </w:r>
      <w:r>
        <w:t xml:space="preserve">ational structure in field of human resource management and other aspects. </w:t>
      </w:r>
    </w:p>
    <w:p w14:paraId="13878AA2" w14:textId="25B65C45" w:rsidR="00F96C26" w:rsidRDefault="00F96C26" w:rsidP="0043710E">
      <w:pPr>
        <w:spacing w:line="360" w:lineRule="auto"/>
        <w:jc w:val="both"/>
      </w:pPr>
      <w:r>
        <w:t>The contingency theory is against the adoption of a universal best practice, because it is much better to match the company’s competencies according to its surrounding circumstances for a superior performance. The factors shaping up the HRM design consist of the uncertainty element, organi</w:t>
      </w:r>
      <w:r w:rsidR="0052751D">
        <w:t>s</w:t>
      </w:r>
      <w:r>
        <w:t xml:space="preserve">ational dependence, as well as size and others (Opara and </w:t>
      </w:r>
      <w:proofErr w:type="spellStart"/>
      <w:r>
        <w:t>Waheduzzaman</w:t>
      </w:r>
      <w:proofErr w:type="spellEnd"/>
      <w:r>
        <w:t>, 2024). Configuration refers to the way in which efficient subsystems influence each other.</w:t>
      </w:r>
    </w:p>
    <w:p w14:paraId="5A53EFB4" w14:textId="4321811F" w:rsidR="005A7D65" w:rsidRDefault="00F96C26" w:rsidP="0043710E">
      <w:pPr>
        <w:spacing w:line="360" w:lineRule="auto"/>
        <w:jc w:val="both"/>
      </w:pPr>
      <w:r>
        <w:t>From the transaction cost economics perspective the issue of coordination cost of the centrali</w:t>
      </w:r>
      <w:r w:rsidR="0052751D">
        <w:t>s</w:t>
      </w:r>
      <w:r>
        <w:t>ation versus the local adaptation is considered. From the knowledge-based perspective, the processes of knowledge accumulation, transfer and usage are regarded as a base of a competitive advantage (Loonam and O'Regan, 2022).</w:t>
      </w:r>
      <w:r w:rsidR="005A7D65">
        <w:t>.</w:t>
      </w:r>
    </w:p>
    <w:p w14:paraId="1783883C" w14:textId="391C0B44" w:rsidR="005A7D65" w:rsidRDefault="005A7D65" w:rsidP="0043710E">
      <w:pPr>
        <w:spacing w:line="360" w:lineRule="auto"/>
        <w:jc w:val="both"/>
      </w:pPr>
      <w:r>
        <w:t>Stakeholder theory guides how firms balance demands from employees, customers, communities, governments and other groups through responsible strategies. Transformational leadership concepts elucidate driving organi</w:t>
      </w:r>
      <w:r w:rsidR="0052751D">
        <w:t>s</w:t>
      </w:r>
      <w:r>
        <w:t>ational change and development.</w:t>
      </w:r>
    </w:p>
    <w:p w14:paraId="1DC321BE" w14:textId="550D764A" w:rsidR="0037410E" w:rsidRDefault="005A7D65" w:rsidP="0043710E">
      <w:pPr>
        <w:spacing w:line="360" w:lineRule="auto"/>
        <w:jc w:val="both"/>
      </w:pPr>
      <w:r>
        <w:t>Furthermore, the</w:t>
      </w:r>
      <w:r w:rsidR="00031FD2">
        <w:t xml:space="preserve"> </w:t>
      </w:r>
      <w:r>
        <w:t>Upper Echelons perspective emphasi</w:t>
      </w:r>
      <w:r w:rsidR="0052751D">
        <w:t>s</w:t>
      </w:r>
      <w:r>
        <w:t xml:space="preserve">es top managers' demographic traits, experiences, and cognitive frames shaping strategic choices. </w:t>
      </w:r>
      <w:r w:rsidR="00031FD2">
        <w:t>Behavioural</w:t>
      </w:r>
      <w:r>
        <w:t xml:space="preserve"> strategy perspectives reveal biases, heuristics and routines affecting decision making</w:t>
      </w:r>
      <w:r w:rsidR="007162F5">
        <w:t xml:space="preserve"> </w:t>
      </w:r>
      <w:r w:rsidR="007162F5" w:rsidRPr="007162F5">
        <w:t>(</w:t>
      </w:r>
      <w:proofErr w:type="spellStart"/>
      <w:r w:rsidR="007162F5" w:rsidRPr="007162F5">
        <w:t>Acciarini</w:t>
      </w:r>
      <w:proofErr w:type="spellEnd"/>
      <w:r w:rsidR="007162F5" w:rsidRPr="007162F5">
        <w:t xml:space="preserve">, Brunetta and </w:t>
      </w:r>
      <w:proofErr w:type="spellStart"/>
      <w:r w:rsidR="007162F5" w:rsidRPr="007162F5">
        <w:t>Boccardelli</w:t>
      </w:r>
      <w:proofErr w:type="spellEnd"/>
      <w:r w:rsidR="007162F5" w:rsidRPr="007162F5">
        <w:t>, 2021)</w:t>
      </w:r>
      <w:r>
        <w:t>. Such diverse theoretical lenses provide multifaceted insights into strategic HRM phenomena.</w:t>
      </w:r>
    </w:p>
    <w:p w14:paraId="59999B2F" w14:textId="77777777" w:rsidR="000547F2" w:rsidRDefault="000547F2" w:rsidP="0043710E">
      <w:pPr>
        <w:spacing w:line="360" w:lineRule="auto"/>
        <w:jc w:val="both"/>
      </w:pPr>
    </w:p>
    <w:p w14:paraId="243CED82" w14:textId="5E166F5B" w:rsidR="0037410E" w:rsidRDefault="0037410E" w:rsidP="0043710E">
      <w:pPr>
        <w:pStyle w:val="Heading2"/>
        <w:spacing w:line="360" w:lineRule="auto"/>
        <w:jc w:val="both"/>
      </w:pPr>
      <w:bookmarkStart w:id="12" w:name="_Toc165242034"/>
      <w:r>
        <w:t>2.6 Gaps in existing literature</w:t>
      </w:r>
      <w:bookmarkEnd w:id="12"/>
    </w:p>
    <w:p w14:paraId="00616036" w14:textId="254B59D2" w:rsidR="0037410E" w:rsidRDefault="0037410E" w:rsidP="0043710E">
      <w:pPr>
        <w:spacing w:line="360" w:lineRule="auto"/>
        <w:jc w:val="both"/>
      </w:pPr>
      <w:r>
        <w:t>Research on intra-MNC coordination could focus more on diverse contexts. Industries like financial services, healthcare, technology alongside sectors like manufacturing remain underexplored</w:t>
      </w:r>
      <w:r w:rsidR="009E5146">
        <w:t xml:space="preserve"> </w:t>
      </w:r>
      <w:r w:rsidR="009E5146" w:rsidRPr="009E5146">
        <w:t>(</w:t>
      </w:r>
      <w:proofErr w:type="spellStart"/>
      <w:r w:rsidR="009E5146" w:rsidRPr="009E5146">
        <w:t>Svystunova</w:t>
      </w:r>
      <w:proofErr w:type="spellEnd"/>
      <w:r w:rsidR="009E5146" w:rsidRPr="009E5146">
        <w:t xml:space="preserve"> et al., 2023)</w:t>
      </w:r>
      <w:r>
        <w:t>. Regional/country specificities also warrant examination separately from cross-national averages.</w:t>
      </w:r>
    </w:p>
    <w:p w14:paraId="57203462" w14:textId="42E81858" w:rsidR="0037410E" w:rsidRDefault="0037410E" w:rsidP="0043710E">
      <w:pPr>
        <w:spacing w:line="360" w:lineRule="auto"/>
        <w:jc w:val="both"/>
      </w:pPr>
      <w:r>
        <w:lastRenderedPageBreak/>
        <w:t>Due to accelerating digitali</w:t>
      </w:r>
      <w:r w:rsidR="0052751D">
        <w:t>s</w:t>
      </w:r>
      <w:r>
        <w:t>ation, future skills development, virtual team coordination presents new challenges for strategic HRM yet remains understudied. Sustainability practices too connect closely with global talent integration but lack depth</w:t>
      </w:r>
      <w:r w:rsidR="00B92499">
        <w:t xml:space="preserve"> </w:t>
      </w:r>
      <w:r w:rsidR="00B92499" w:rsidRPr="00B92499">
        <w:t>(Biron et al., 2021)</w:t>
      </w:r>
      <w:r>
        <w:t>.</w:t>
      </w:r>
    </w:p>
    <w:p w14:paraId="66D4C84E" w14:textId="702A528F" w:rsidR="0037410E" w:rsidRDefault="0037410E" w:rsidP="0043710E">
      <w:pPr>
        <w:spacing w:line="360" w:lineRule="auto"/>
        <w:jc w:val="both"/>
      </w:pPr>
      <w:r>
        <w:t>Additionally, qualitative methodologies like comparative case studies elucidating ‘how’ strategic HRM enables multinational competitive advantages remain limited compared to variable-based quantitative surveys</w:t>
      </w:r>
      <w:r w:rsidR="00916110">
        <w:t xml:space="preserve"> </w:t>
      </w:r>
      <w:r w:rsidR="00916110" w:rsidRPr="00916110">
        <w:t>(Ly and Pathak, 2024)</w:t>
      </w:r>
      <w:r>
        <w:t xml:space="preserve">. Configurational thinking </w:t>
      </w:r>
      <w:r w:rsidR="00B51661">
        <w:t>analysing</w:t>
      </w:r>
      <w:r>
        <w:t xml:space="preserve"> complementarities and equifinality merits further exploration.</w:t>
      </w:r>
    </w:p>
    <w:p w14:paraId="5635B9B9" w14:textId="60F15768" w:rsidR="00E65D2D" w:rsidRDefault="00E65D2D" w:rsidP="0043710E">
      <w:pPr>
        <w:spacing w:line="360" w:lineRule="auto"/>
        <w:jc w:val="both"/>
      </w:pPr>
      <w:r>
        <w:br w:type="page"/>
      </w:r>
    </w:p>
    <w:p w14:paraId="1C7B98F1" w14:textId="43172660" w:rsidR="004C6E59" w:rsidRDefault="004C6E59" w:rsidP="000547F2">
      <w:pPr>
        <w:pStyle w:val="Heading1"/>
        <w:pageBreakBefore/>
        <w:spacing w:line="360" w:lineRule="auto"/>
      </w:pPr>
      <w:bookmarkStart w:id="13" w:name="_Toc165242035"/>
      <w:r>
        <w:lastRenderedPageBreak/>
        <w:t>Chapter 3: Research Methodology</w:t>
      </w:r>
      <w:bookmarkEnd w:id="13"/>
    </w:p>
    <w:p w14:paraId="04BBBC6E" w14:textId="77777777" w:rsidR="000547F2" w:rsidRPr="000547F2" w:rsidRDefault="000547F2" w:rsidP="000547F2"/>
    <w:p w14:paraId="0A165BB8" w14:textId="6FFC4927" w:rsidR="004C6E59" w:rsidRDefault="004C6E59" w:rsidP="0043710E">
      <w:pPr>
        <w:pStyle w:val="Heading2"/>
        <w:spacing w:line="360" w:lineRule="auto"/>
        <w:jc w:val="both"/>
      </w:pPr>
      <w:bookmarkStart w:id="14" w:name="_Toc165242036"/>
      <w:r>
        <w:t>3.1 Research Philosophy</w:t>
      </w:r>
      <w:bookmarkEnd w:id="14"/>
    </w:p>
    <w:p w14:paraId="429096D8" w14:textId="31387D76" w:rsidR="004C6E59" w:rsidRDefault="00F96C26" w:rsidP="0043710E">
      <w:pPr>
        <w:spacing w:line="360" w:lineRule="auto"/>
        <w:jc w:val="both"/>
      </w:pPr>
      <w:r w:rsidRPr="00F96C26">
        <w:t>This study is guided by an interpretivist paradigm based on a subjective ontology and transactional epistemology. The goal is to comprehend strategic HRM phenomena holistically through analysing various ways of looking at them and cultural meanings in definite organi</w:t>
      </w:r>
      <w:r w:rsidR="0052751D">
        <w:t>s</w:t>
      </w:r>
      <w:r w:rsidRPr="00F96C26">
        <w:t xml:space="preserve">ational contexts. Interpretivist ontology postulates the existence of reality as socially constructed through subjective interpretations, whereas transactional epistemology makes a case for knowledge being created as a result of interaction between the researcher and artifacts being studied. This point thought </w:t>
      </w:r>
      <w:proofErr w:type="gramStart"/>
      <w:r w:rsidRPr="00F96C26">
        <w:t>brings to mind</w:t>
      </w:r>
      <w:proofErr w:type="gramEnd"/>
      <w:r w:rsidRPr="00F96C26">
        <w:t xml:space="preserve"> the importance of learning in the real world as well as the various strategies and techniques that are required.</w:t>
      </w:r>
    </w:p>
    <w:p w14:paraId="184C52DD" w14:textId="77777777" w:rsidR="000547F2" w:rsidRDefault="000547F2" w:rsidP="0043710E">
      <w:pPr>
        <w:spacing w:line="360" w:lineRule="auto"/>
        <w:jc w:val="both"/>
      </w:pPr>
    </w:p>
    <w:p w14:paraId="1C8A0CD7" w14:textId="1CEA51F8" w:rsidR="004C6E59" w:rsidRDefault="004C6E59" w:rsidP="0043710E">
      <w:pPr>
        <w:pStyle w:val="Heading2"/>
        <w:spacing w:line="360" w:lineRule="auto"/>
        <w:jc w:val="both"/>
      </w:pPr>
      <w:bookmarkStart w:id="15" w:name="_Toc165242037"/>
      <w:r>
        <w:t>3.2 Research Approach</w:t>
      </w:r>
      <w:bookmarkEnd w:id="15"/>
      <w:r>
        <w:t xml:space="preserve"> </w:t>
      </w:r>
    </w:p>
    <w:p w14:paraId="6EA6D901" w14:textId="0116919D" w:rsidR="004C6E59" w:rsidRDefault="00F96C26" w:rsidP="0043710E">
      <w:pPr>
        <w:spacing w:line="360" w:lineRule="auto"/>
        <w:jc w:val="both"/>
      </w:pPr>
      <w:r w:rsidRPr="00F96C26">
        <w:t>By inductive research method the process of theory building occurs from the qualitative data that are observed, instead of a deductive approach that tests hypotheses. The deductive method works on specific observations to reach more generali</w:t>
      </w:r>
      <w:r w:rsidR="0052751D">
        <w:t>s</w:t>
      </w:r>
      <w:r w:rsidRPr="00F96C26">
        <w:t>ed thoughts and conceptuali</w:t>
      </w:r>
      <w:r w:rsidR="00554519">
        <w:t>s</w:t>
      </w:r>
      <w:r w:rsidRPr="00F96C26">
        <w:t>ations that emerge from complicated data. A methodology emphasi</w:t>
      </w:r>
      <w:r w:rsidR="0052751D">
        <w:t>s</w:t>
      </w:r>
      <w:r w:rsidRPr="00F96C26">
        <w:t>ing a qualitative approach by using descriptive narrations instead of a quantifiable approach was chosen to study multifaceted phenomena hidden within complex organi</w:t>
      </w:r>
      <w:r w:rsidR="0052751D">
        <w:t>s</w:t>
      </w:r>
      <w:r w:rsidRPr="00F96C26">
        <w:t>ational settings. This is akin to reali</w:t>
      </w:r>
      <w:r w:rsidR="0052751D">
        <w:t>s</w:t>
      </w:r>
      <w:r w:rsidRPr="00F96C26">
        <w:t xml:space="preserve">ing </w:t>
      </w:r>
      <w:proofErr w:type="gramStart"/>
      <w:r w:rsidRPr="00F96C26">
        <w:t>whether or not</w:t>
      </w:r>
      <w:proofErr w:type="gramEnd"/>
      <w:r w:rsidRPr="00F96C26">
        <w:t xml:space="preserve"> HRM is effectively aligning to the mission and vision to achieve staff objectives</w:t>
      </w:r>
      <w:r w:rsidR="004C6E59">
        <w:t>.</w:t>
      </w:r>
    </w:p>
    <w:p w14:paraId="6211DC19" w14:textId="77777777" w:rsidR="000547F2" w:rsidRDefault="000547F2" w:rsidP="0043710E">
      <w:pPr>
        <w:spacing w:line="360" w:lineRule="auto"/>
        <w:jc w:val="both"/>
      </w:pPr>
    </w:p>
    <w:p w14:paraId="54506EA2" w14:textId="5A81C2BD" w:rsidR="004C6E59" w:rsidRDefault="004C6E59" w:rsidP="0043710E">
      <w:pPr>
        <w:pStyle w:val="Heading2"/>
        <w:spacing w:line="360" w:lineRule="auto"/>
        <w:jc w:val="both"/>
      </w:pPr>
      <w:bookmarkStart w:id="16" w:name="_Toc165242038"/>
      <w:r>
        <w:t>3.3 Research Strategy</w:t>
      </w:r>
      <w:bookmarkEnd w:id="16"/>
    </w:p>
    <w:p w14:paraId="24D3C708" w14:textId="2C9AF0B6" w:rsidR="004C6E59" w:rsidRDefault="00F96C26" w:rsidP="0043710E">
      <w:pPr>
        <w:spacing w:line="360" w:lineRule="auto"/>
        <w:jc w:val="both"/>
      </w:pPr>
      <w:r w:rsidRPr="00F96C26">
        <w:t xml:space="preserve">A case study looks at Unilever and BP separately, thus making it possible to make an in-depth examination of strategic HRM in real-world situations that are not being limited to one-dimensional analysis. The sampling was theoretical based on representative variation between industries and country scope to select the cases to reveal different strategic HRM contexts. The case study method is very suitable for answering "how" and "why" questions by using up-to-date </w:t>
      </w:r>
      <w:r w:rsidRPr="00F96C26">
        <w:lastRenderedPageBreak/>
        <w:t>issues that happen in actual real life. Multiple data sources are used to examine the issues. The embedded units of analysis such as HR departments and subunits in a specific case were considered. Capturing both cross-case similarities and within-case particulars in the analysis intensifies analytical generali</w:t>
      </w:r>
      <w:r w:rsidR="0052751D">
        <w:t>s</w:t>
      </w:r>
      <w:r w:rsidRPr="00F96C26">
        <w:t>ability</w:t>
      </w:r>
      <w:r w:rsidR="004C6E59">
        <w:t>.</w:t>
      </w:r>
    </w:p>
    <w:p w14:paraId="59FBAB33" w14:textId="77777777" w:rsidR="000547F2" w:rsidRDefault="000547F2" w:rsidP="0043710E">
      <w:pPr>
        <w:spacing w:line="360" w:lineRule="auto"/>
        <w:jc w:val="both"/>
      </w:pPr>
    </w:p>
    <w:p w14:paraId="3C75AEA9" w14:textId="30D7D609" w:rsidR="004C6E59" w:rsidRDefault="004C6E59" w:rsidP="0043710E">
      <w:pPr>
        <w:pStyle w:val="Heading2"/>
        <w:spacing w:line="360" w:lineRule="auto"/>
        <w:jc w:val="both"/>
      </w:pPr>
      <w:bookmarkStart w:id="17" w:name="_Toc165242039"/>
      <w:r>
        <w:t>3.4 Data Collection Methods</w:t>
      </w:r>
      <w:bookmarkEnd w:id="17"/>
      <w:r>
        <w:t xml:space="preserve"> </w:t>
      </w:r>
    </w:p>
    <w:p w14:paraId="5049B1C7" w14:textId="0BE96FE9" w:rsidR="004C6E59" w:rsidRDefault="004C6E59" w:rsidP="0043710E">
      <w:pPr>
        <w:spacing w:line="360" w:lineRule="auto"/>
        <w:jc w:val="both"/>
      </w:pPr>
      <w:r>
        <w:t>Secondary data collection included an extensive review of annual reports, sustainability reports, HR policies and internal documents from 2000-2020. This provided a comprehensive longitudinal examination of changing strategic HRM approaches over time within each organi</w:t>
      </w:r>
      <w:r w:rsidR="00554519">
        <w:t>s</w:t>
      </w:r>
      <w:r>
        <w:t>ation. Academic literature was also reviewed to contextuali</w:t>
      </w:r>
      <w:r w:rsidR="0052751D">
        <w:t>s</w:t>
      </w:r>
      <w:r>
        <w:t>e findings theoretically within strategic management, comparative HRM and related bodies of knowledge</w:t>
      </w:r>
      <w:r w:rsidR="004B3956">
        <w:t xml:space="preserve"> </w:t>
      </w:r>
      <w:r w:rsidR="004B3956" w:rsidRPr="004B3956">
        <w:t>(Cooke, Schuler and Varma, 2020)</w:t>
      </w:r>
      <w:r>
        <w:t>. Publicly available archival records such as organi</w:t>
      </w:r>
      <w:r w:rsidR="0052751D">
        <w:t>s</w:t>
      </w:r>
      <w:r>
        <w:t>ation charts aided analyses of structural transformations. No primary data was collected to maintain focus on documented insights.</w:t>
      </w:r>
    </w:p>
    <w:p w14:paraId="127BC5E0" w14:textId="77777777" w:rsidR="00A94579" w:rsidRDefault="00A94579" w:rsidP="0043710E">
      <w:pPr>
        <w:spacing w:line="360" w:lineRule="auto"/>
        <w:jc w:val="both"/>
      </w:pPr>
    </w:p>
    <w:p w14:paraId="4E7E2C37" w14:textId="5FC8E463" w:rsidR="004C6E59" w:rsidRDefault="004C6E59" w:rsidP="0043710E">
      <w:pPr>
        <w:pStyle w:val="Heading2"/>
        <w:spacing w:line="360" w:lineRule="auto"/>
        <w:jc w:val="both"/>
      </w:pPr>
      <w:bookmarkStart w:id="18" w:name="_Toc165242040"/>
      <w:r>
        <w:t>3.5 Data Analysis</w:t>
      </w:r>
      <w:bookmarkEnd w:id="18"/>
    </w:p>
    <w:p w14:paraId="597311B8" w14:textId="67F0AE45" w:rsidR="004C6E59" w:rsidRDefault="004C6E59" w:rsidP="0043710E">
      <w:pPr>
        <w:spacing w:line="360" w:lineRule="auto"/>
        <w:jc w:val="both"/>
      </w:pPr>
      <w:r>
        <w:t>Qualitative thematic analysis moved inductively from decontextuali</w:t>
      </w:r>
      <w:r w:rsidR="0052751D">
        <w:t>s</w:t>
      </w:r>
      <w:r>
        <w:t>ing data through line-by-line open coding to reconstructing conceptual categories representing emergent themes relatable to research questions. Computer assisted qualitative data analysis software facilitated systematic organi</w:t>
      </w:r>
      <w:r w:rsidR="0052751D">
        <w:t>s</w:t>
      </w:r>
      <w:r>
        <w:t>ation and coding. Within-case analyses generated thick descriptive profiles whereas cross-case comparison explored divergences and commonalities</w:t>
      </w:r>
      <w:r w:rsidR="004B3956">
        <w:t xml:space="preserve"> </w:t>
      </w:r>
      <w:r w:rsidR="004B3956" w:rsidRPr="004B3956">
        <w:t>(Love and Corr, 2022)</w:t>
      </w:r>
      <w:r>
        <w:t>. An iterative process cycled between theme development and constant checking against source documentation to reduce potential for selective bias in interpretations.</w:t>
      </w:r>
    </w:p>
    <w:p w14:paraId="2E7BB495" w14:textId="77777777" w:rsidR="004C6E59" w:rsidRDefault="004C6E59" w:rsidP="0043710E">
      <w:pPr>
        <w:spacing w:line="360" w:lineRule="auto"/>
        <w:jc w:val="both"/>
      </w:pPr>
    </w:p>
    <w:p w14:paraId="4EA5E906" w14:textId="7810D415" w:rsidR="004C6E59" w:rsidRDefault="004C6E59" w:rsidP="0043710E">
      <w:pPr>
        <w:pStyle w:val="Heading2"/>
        <w:spacing w:line="360" w:lineRule="auto"/>
        <w:jc w:val="both"/>
      </w:pPr>
      <w:bookmarkStart w:id="19" w:name="_Toc165242041"/>
      <w:r>
        <w:t>3.6 Establishing Rigor</w:t>
      </w:r>
      <w:bookmarkEnd w:id="19"/>
    </w:p>
    <w:p w14:paraId="0F00350B" w14:textId="03EDEFA7" w:rsidR="004C6E59" w:rsidRDefault="004C6E59" w:rsidP="0043710E">
      <w:pPr>
        <w:spacing w:line="360" w:lineRule="auto"/>
        <w:jc w:val="both"/>
      </w:pPr>
      <w:r>
        <w:t>Establishing trustworthiness involved documenting an audit trail of sampling decisions, data sources and the evolution of analytic thinking. Prolonged engagement with literature and case materials through iterative reviews facilitated comprehensive understanding to minimi</w:t>
      </w:r>
      <w:r w:rsidR="0052751D">
        <w:t>s</w:t>
      </w:r>
      <w:r>
        <w:t>e misinterpretations. Reflexive memos critiquing potential subjectivities enhanced confirmability</w:t>
      </w:r>
      <w:r w:rsidR="00B6220E">
        <w:t xml:space="preserve"> </w:t>
      </w:r>
      <w:r w:rsidR="00B6220E" w:rsidRPr="00B6220E">
        <w:lastRenderedPageBreak/>
        <w:t>(Melanson, 2024)</w:t>
      </w:r>
      <w:r>
        <w:t>. Within and cross-case analyses produced confirmable, consistent results. Peer debriefing with supervisors provided external audit perspectives to refine explanations.</w:t>
      </w:r>
    </w:p>
    <w:p w14:paraId="02EBB8C7" w14:textId="225BADF8" w:rsidR="008B4D92" w:rsidRDefault="004C6E59" w:rsidP="0043710E">
      <w:pPr>
        <w:spacing w:line="360" w:lineRule="auto"/>
        <w:jc w:val="both"/>
      </w:pPr>
      <w:r>
        <w:t>Rich description aimed for naturalistic generali</w:t>
      </w:r>
      <w:r w:rsidR="0052751D">
        <w:t>s</w:t>
      </w:r>
      <w:r>
        <w:t>ation whereby readers evaluate transferability to other contexts. Integrating divergent perspectives into concise yet nuanced syntheses demonstrated adherence to multiple inherent realities within the cases and credible use of evidence</w:t>
      </w:r>
      <w:r w:rsidR="00B01900">
        <w:t xml:space="preserve"> </w:t>
      </w:r>
      <w:r w:rsidR="00B01900" w:rsidRPr="00B01900">
        <w:t>(Nowak, 2023)</w:t>
      </w:r>
      <w:r>
        <w:t>. In summary, meticulously executed qualitative methods using an explicit research design increases this study's rigor and defensibility.</w:t>
      </w:r>
    </w:p>
    <w:p w14:paraId="2311C9BF" w14:textId="77777777" w:rsidR="008B4D92" w:rsidRDefault="008B4D92" w:rsidP="0043710E">
      <w:pPr>
        <w:spacing w:line="360" w:lineRule="auto"/>
        <w:jc w:val="both"/>
      </w:pPr>
      <w:r>
        <w:br w:type="page"/>
      </w:r>
    </w:p>
    <w:p w14:paraId="35C79333" w14:textId="65C9E84C" w:rsidR="00A94579" w:rsidRPr="00A94579" w:rsidRDefault="008B4D92" w:rsidP="001874E8">
      <w:pPr>
        <w:pStyle w:val="Heading1"/>
        <w:pageBreakBefore/>
        <w:spacing w:line="360" w:lineRule="auto"/>
      </w:pPr>
      <w:bookmarkStart w:id="20" w:name="_Toc165242042"/>
      <w:r>
        <w:lastRenderedPageBreak/>
        <w:t>Chapter 4: Result and Discussion</w:t>
      </w:r>
      <w:bookmarkEnd w:id="20"/>
    </w:p>
    <w:p w14:paraId="3F7F2CF7" w14:textId="77777777" w:rsidR="008B4D92" w:rsidRDefault="008B4D92" w:rsidP="0043710E">
      <w:pPr>
        <w:pStyle w:val="Heading2"/>
        <w:spacing w:line="360" w:lineRule="auto"/>
        <w:jc w:val="both"/>
      </w:pPr>
      <w:bookmarkStart w:id="21" w:name="_Toc165242043"/>
      <w:r>
        <w:t>Case Studies</w:t>
      </w:r>
      <w:bookmarkEnd w:id="21"/>
    </w:p>
    <w:p w14:paraId="21532CBC" w14:textId="77777777" w:rsidR="001874E8" w:rsidRPr="001874E8" w:rsidRDefault="001874E8" w:rsidP="001874E8"/>
    <w:p w14:paraId="46EA8E57" w14:textId="77777777" w:rsidR="007F0EA8" w:rsidRDefault="007F0EA8" w:rsidP="0043710E">
      <w:pPr>
        <w:pStyle w:val="Heading3"/>
        <w:jc w:val="both"/>
      </w:pPr>
      <w:bookmarkStart w:id="22" w:name="_Toc165242044"/>
      <w:r w:rsidRPr="00B74844">
        <w:t>Unilever Case Study</w:t>
      </w:r>
      <w:bookmarkEnd w:id="22"/>
    </w:p>
    <w:p w14:paraId="71769A9F" w14:textId="77777777" w:rsidR="001874E8" w:rsidRPr="001874E8" w:rsidRDefault="001874E8" w:rsidP="001874E8"/>
    <w:p w14:paraId="2F6373AD" w14:textId="342C1E69" w:rsidR="007F0EA8" w:rsidRDefault="007F0EA8" w:rsidP="0043710E">
      <w:pPr>
        <w:spacing w:line="360" w:lineRule="auto"/>
        <w:jc w:val="both"/>
      </w:pPr>
      <w:r>
        <w:t xml:space="preserve">Unilever, the British-Dutch multinational corporate, was started in 1929 through the merger of soap manufacturers based in the United Kingdom. It is owned by the company today and it has more than 400 brands across food, home and personal care, including Hellmann’s, Knorr, Dove, Lux, and Lipton. It works through numerous operating Business Units which include Home Care, Beauty &amp; Personal Care and Foods &amp; Refreshment. The Home Care portfolio is composed of brands like </w:t>
      </w:r>
      <w:proofErr w:type="spellStart"/>
      <w:r>
        <w:t>Cif</w:t>
      </w:r>
      <w:proofErr w:type="spellEnd"/>
      <w:r>
        <w:t xml:space="preserve">, </w:t>
      </w:r>
      <w:proofErr w:type="spellStart"/>
      <w:r>
        <w:t>Domestos</w:t>
      </w:r>
      <w:proofErr w:type="spellEnd"/>
      <w:r>
        <w:t xml:space="preserve"> and Sunlight, which together account for about 30% of the group turnover in 2021. Unilever has a considerable global presence in both the developed and emerging markets and in the North America and emerging Asia region only, they earn nearly half of their revenue </w:t>
      </w:r>
      <w:r w:rsidRPr="00722467">
        <w:t>(Boudreau, Cajal-Grossi and Macchiavello, 2023)</w:t>
      </w:r>
      <w:r>
        <w:t>.</w:t>
      </w:r>
    </w:p>
    <w:p w14:paraId="1559860C" w14:textId="77777777" w:rsidR="007F0EA8" w:rsidRDefault="007F0EA8" w:rsidP="0043710E">
      <w:pPr>
        <w:spacing w:line="360" w:lineRule="auto"/>
        <w:jc w:val="both"/>
      </w:pPr>
      <w:r>
        <w:t xml:space="preserve">Unilever’s international operations span over 190 countries organized into 5 GBDs (Geographic Business Divisions): The regional segmentation will be North America, </w:t>
      </w:r>
      <w:proofErr w:type="spellStart"/>
      <w:r>
        <w:t>LatinAmerica</w:t>
      </w:r>
      <w:proofErr w:type="spellEnd"/>
      <w:r>
        <w:t xml:space="preserve">, Asia/AMETRUB (Africa Middle East Turkey Russia Ukraine Belarus), Europe, and Home Care </w:t>
      </w:r>
      <w:r w:rsidRPr="001E6A24">
        <w:t>(Dilyard and Zhao, 2023)</w:t>
      </w:r>
      <w:r>
        <w:t xml:space="preserve">. Each international branch is further structured into about 50 country-level operations that localize the corporate operations into local market dynamics. This multiple national model strives to find a balance between these two principles, i.e., integration and flexibility. The firm has underlined that the decision authority should be there with locations closest to the local consumers as this creates agility </w:t>
      </w:r>
      <w:r w:rsidRPr="00287203">
        <w:t>(</w:t>
      </w:r>
      <w:proofErr w:type="spellStart"/>
      <w:r w:rsidRPr="00287203">
        <w:t>Nienabera</w:t>
      </w:r>
      <w:proofErr w:type="spellEnd"/>
      <w:r w:rsidRPr="00287203">
        <w:t xml:space="preserve">, </w:t>
      </w:r>
      <w:proofErr w:type="spellStart"/>
      <w:r w:rsidRPr="00287203">
        <w:t>Woodcockb</w:t>
      </w:r>
      <w:proofErr w:type="spellEnd"/>
      <w:r w:rsidRPr="00287203">
        <w:t xml:space="preserve"> and </w:t>
      </w:r>
      <w:proofErr w:type="spellStart"/>
      <w:r w:rsidRPr="00287203">
        <w:t>Gutc</w:t>
      </w:r>
      <w:proofErr w:type="spellEnd"/>
      <w:r w:rsidRPr="00287203">
        <w:t>, 2021)</w:t>
      </w:r>
      <w:r>
        <w:t>. GBDs are primarily responsible for overall strategic direction on their regions, from P&amp;L management to countries’ marketing, sales, and distribution roles.</w:t>
      </w:r>
    </w:p>
    <w:p w14:paraId="267837CD" w14:textId="77777777" w:rsidR="007F0EA8" w:rsidRDefault="007F0EA8" w:rsidP="0043710E">
      <w:pPr>
        <w:spacing w:line="360" w:lineRule="auto"/>
        <w:jc w:val="both"/>
      </w:pPr>
      <w:r>
        <w:t xml:space="preserve">Strategic HRM is centralized via the Human Resources Leadership Teams in twin headquarters of London and Rotterdam, and the framework is established. Real local HR teams format in accordance with local realities. There are global </w:t>
      </w:r>
      <w:proofErr w:type="spellStart"/>
      <w:r>
        <w:t>centers</w:t>
      </w:r>
      <w:proofErr w:type="spellEnd"/>
      <w:r>
        <w:t xml:space="preserve"> in Budapest, Manila and Wroclaw which take care of transactional operations, such as recruitment administration and payroll, and training </w:t>
      </w:r>
      <w:r>
        <w:lastRenderedPageBreak/>
        <w:t>and coordination. Here, the vertical approach holds on to unity and at the same time allows flexibility. Provision of an effective framework for governance and appropriate delegation would be an important factor towards achieving the strategic alignment of the company across its wide international presence.</w:t>
      </w:r>
    </w:p>
    <w:p w14:paraId="6D018B36" w14:textId="77777777" w:rsidR="007F0EA8" w:rsidRDefault="007F0EA8" w:rsidP="0043710E">
      <w:pPr>
        <w:spacing w:line="360" w:lineRule="auto"/>
        <w:jc w:val="both"/>
      </w:pPr>
      <w:r>
        <w:t xml:space="preserve">To realize its mission of sustainable development, Unilever put in place several transformative Human Resource Strategies at a global level. The Future Leaders program is designed to attract talented global leaders with a cultural intelligence to manage regional roles globally. The graduate scheme which is the source of university leavers for fast-tracked development, is the Management Trainee scheme. Competency models are scaled up by embedding leadership and digital skills throughout different levels to enable a business transformation. Particular competencies are named to contribute to </w:t>
      </w:r>
      <w:proofErr w:type="spellStart"/>
      <w:r>
        <w:t>Unliever's</w:t>
      </w:r>
      <w:proofErr w:type="spellEnd"/>
      <w:r>
        <w:t xml:space="preserve"> strategy to achieve its strategic priorities in marketing innovations, supply chain efficiencies, and portfolio management.</w:t>
      </w:r>
    </w:p>
    <w:p w14:paraId="6F468B5A" w14:textId="77777777" w:rsidR="007F0EA8" w:rsidRDefault="007F0EA8" w:rsidP="0043710E">
      <w:pPr>
        <w:spacing w:line="360" w:lineRule="auto"/>
        <w:jc w:val="both"/>
      </w:pPr>
      <w:r>
        <w:t>For instance, in India the rapid growth required the organizational development process that included the deployment of digital technologies across all the functions of the organization. Thus, Future Ready program of Unilever by the end of the period 2018-2020 trained over 7,000 employees in advanced manufacturing, data analytics and e-commerce competencies. In the same tune the US strategy was designed around DEI as the social landscapes also changed. HR unions with business units to build inclusive recruitment programmes and entrepreneurial guidelines. The existence of a supplier code of conduct led to the adoption of fair employment practices at the supply chain’s various levels.</w:t>
      </w:r>
    </w:p>
    <w:p w14:paraId="1D6FB588" w14:textId="16DFA38D" w:rsidR="004B630B" w:rsidRDefault="007F0EA8" w:rsidP="0043710E">
      <w:pPr>
        <w:spacing w:line="360" w:lineRule="auto"/>
        <w:jc w:val="both"/>
      </w:pPr>
      <w:r>
        <w:t xml:space="preserve">Unilever’s talent identification and succession planning approach scans the leadership pipeline regularly using a 9-box grid rating potential and performance. High-potentials are nominated for accelerator programs at the India Leadership </w:t>
      </w:r>
      <w:proofErr w:type="spellStart"/>
      <w:r>
        <w:t>Center</w:t>
      </w:r>
      <w:proofErr w:type="spellEnd"/>
      <w:r>
        <w:t xml:space="preserve"> and Singapore ASEAN Campus to broaden strategic mindsets through cross-cultural exposures. Rotational assignments in multiple regions build well-rounded experience. The company utilizes advanced technology tools for competency-based assessments and tracking employee movement within the organization. Succession data provides insights to strengthen talent pipelines </w:t>
      </w:r>
      <w:r w:rsidRPr="00F93FEC">
        <w:t xml:space="preserve">(Tapia and </w:t>
      </w:r>
      <w:proofErr w:type="spellStart"/>
      <w:r w:rsidRPr="00F93FEC">
        <w:t>Kirtzman</w:t>
      </w:r>
      <w:proofErr w:type="spellEnd"/>
      <w:r w:rsidRPr="00F93FEC">
        <w:t>, 2023)</w:t>
      </w:r>
      <w:r>
        <w:t>.</w:t>
      </w:r>
    </w:p>
    <w:p w14:paraId="2D38DCC6" w14:textId="77777777" w:rsidR="001F5F07" w:rsidRDefault="001F5F07" w:rsidP="0043710E">
      <w:pPr>
        <w:spacing w:line="360" w:lineRule="auto"/>
        <w:jc w:val="both"/>
      </w:pPr>
    </w:p>
    <w:p w14:paraId="51A24F5C" w14:textId="5FB920D3" w:rsidR="007F0EA8" w:rsidRDefault="004B630B" w:rsidP="0043710E">
      <w:pPr>
        <w:pStyle w:val="Heading3"/>
        <w:jc w:val="both"/>
      </w:pPr>
      <w:bookmarkStart w:id="23" w:name="_Toc165242045"/>
      <w:r>
        <w:lastRenderedPageBreak/>
        <w:t>British Petroleum Compan</w:t>
      </w:r>
      <w:r w:rsidR="00544A70">
        <w:t>y (</w:t>
      </w:r>
      <w:r w:rsidR="007F0EA8">
        <w:t>BP</w:t>
      </w:r>
      <w:r w:rsidR="00544A70">
        <w:t>)</w:t>
      </w:r>
      <w:r w:rsidR="007F0EA8">
        <w:t xml:space="preserve"> Case Study</w:t>
      </w:r>
      <w:bookmarkEnd w:id="23"/>
    </w:p>
    <w:p w14:paraId="4D21FCA1" w14:textId="77777777" w:rsidR="00544A70" w:rsidRPr="00544A70" w:rsidRDefault="00544A70" w:rsidP="00544A70"/>
    <w:p w14:paraId="5ACB5ADE" w14:textId="1A1B0B26" w:rsidR="007F0EA8" w:rsidRDefault="007F0EA8" w:rsidP="0043710E">
      <w:pPr>
        <w:spacing w:line="360" w:lineRule="auto"/>
        <w:jc w:val="both"/>
      </w:pPr>
      <w:r>
        <w:t xml:space="preserve">The </w:t>
      </w:r>
      <w:bookmarkStart w:id="24" w:name="_Hlk160687570"/>
      <w:r>
        <w:t xml:space="preserve">British Petroleum Company (BP) is an oil &amp; gas British multinational with its headquarters in London with over 78 countries </w:t>
      </w:r>
      <w:r w:rsidRPr="002F1F87">
        <w:t>(Alm, and Brown, 2021)</w:t>
      </w:r>
      <w:r>
        <w:t xml:space="preserve">. The history of this oil company is traced back to the precursor </w:t>
      </w:r>
      <w:bookmarkEnd w:id="24"/>
      <w:r>
        <w:t>companies that were amalgamated in 1909 giving birth to the Anglo-Persian Oil Company, the parent company that has, over the years, become a market leader across the entire energy value chain from exploration to refining, marketing and trading. BP’s production successes include the discovery of Prudhoe Bay in Alaska and the completion of a number of large-scale and deepwater projects in hostile environments around the globe. It has slowly incorporated renewable energy into it portfolio by buying developers of solar and wind power through acquisitions. Remaining skilled across offshore and onshore drilling, liquefied natural gas, petrochemicals and convenience retail is a key commitment BP will continue to meet for the decades ahead.</w:t>
      </w:r>
    </w:p>
    <w:p w14:paraId="4669E218" w14:textId="58F93A7D" w:rsidR="007F0EA8" w:rsidRDefault="007F0EA8" w:rsidP="0043710E">
      <w:pPr>
        <w:spacing w:line="360" w:lineRule="auto"/>
        <w:jc w:val="both"/>
      </w:pPr>
      <w:r>
        <w:t xml:space="preserve">BP's operations span three main business segments: Upstream deals in oil and natural gas exploration, production and transportation to about 30 countries; Downstream is all about refining crude oil into products and transporting fuels through the globe and Rosneft is a stake 19.75% in the Russian oil producer </w:t>
      </w:r>
      <w:r w:rsidRPr="00B2676A">
        <w:t>(Guo, Yang and Wang, 2021)</w:t>
      </w:r>
      <w:r>
        <w:t>. The Upstream area, which covers the bulk of capital expenditure, is mostly through major projects that have been established in Oman Azerbaijan, Egypt, Angola, and the Gulf of Mexico, helping to reinforce BP's reserve base. Upstream covers concessions, fields, and other facilities while Downstream manages refineries, lubricant plants, and service stations in consumer markets. Rosneft has a significant share of oil reserves and downstream infrastructure that puts it on the list of the most crucial partners BP wants to be associated with as it is pursuing the strategy of maintaining presence in promising regions.</w:t>
      </w:r>
    </w:p>
    <w:p w14:paraId="67139EB0" w14:textId="77777777" w:rsidR="007F0EA8" w:rsidRDefault="007F0EA8" w:rsidP="0043710E">
      <w:pPr>
        <w:spacing w:line="360" w:lineRule="auto"/>
        <w:jc w:val="both"/>
      </w:pPr>
      <w:r>
        <w:t xml:space="preserve">BP follows the dual approach in HR with global standards but freedom in implementation at local levels. Organizations like Upstream and Downstream have that HR at a chief level while the HR executive officer who is at the CEO level ensures consistency throughout the company. Policies are global but countries businesses require convening in local issues </w:t>
      </w:r>
      <w:r w:rsidRPr="004F5578">
        <w:t>(</w:t>
      </w:r>
      <w:proofErr w:type="spellStart"/>
      <w:r w:rsidRPr="004F5578">
        <w:t>Pucik</w:t>
      </w:r>
      <w:proofErr w:type="spellEnd"/>
      <w:r w:rsidRPr="004F5578">
        <w:t xml:space="preserve"> et al., 2023)</w:t>
      </w:r>
      <w:r>
        <w:t xml:space="preserve">. This creates a coherence within the contexts, which are proxied by the different locations. Global policies have talent acquisition, performance management, and reward standards while local teams adapt programs with cultural sensitivities and operational regulations specifications. Different </w:t>
      </w:r>
      <w:r>
        <w:lastRenderedPageBreak/>
        <w:t xml:space="preserve">regional </w:t>
      </w:r>
      <w:proofErr w:type="spellStart"/>
      <w:r>
        <w:t>centers</w:t>
      </w:r>
      <w:proofErr w:type="spellEnd"/>
      <w:r>
        <w:t xml:space="preserve"> located in Asia, Middle-East, Africa, and the Americas aim at strengthening ties between national level HR experts and thus facilitate the exchange of knowledge among them.</w:t>
      </w:r>
    </w:p>
    <w:p w14:paraId="76BBBC52" w14:textId="77777777" w:rsidR="007F0EA8" w:rsidRDefault="007F0EA8" w:rsidP="0043710E">
      <w:pPr>
        <w:spacing w:line="360" w:lineRule="auto"/>
        <w:jc w:val="both"/>
      </w:pPr>
      <w:r>
        <w:t>Strategic workforce initiatives of capability building are perfectly coordinated with energy transition objectives. Programs that target activities along the lines of green economy expansion and support of the low carbon business development. The program for graduate serves the young professionals, and the programs for executive leadership are designed to inspire the experts on biofuels, carbon capture and renewable power generation. Job rotation represent a chance to learn different sets of skills, concepts, and rules that are applicable in the technical and business world. The graduate rotational program is an example of many strategies used to empower the early career hires with cross-disciplinary and cross-regional understanding needed for them to move around the world navigating the complex energy markets and leading the transition from within. The customized learning trips will have a range of topics such as corporate social responsibility, project management basics and emerging technologies like carbon footprint and clean hydrogen.</w:t>
      </w:r>
    </w:p>
    <w:p w14:paraId="1B3495B2" w14:textId="77777777" w:rsidR="007F0EA8" w:rsidRDefault="007F0EA8" w:rsidP="0043710E">
      <w:pPr>
        <w:spacing w:line="360" w:lineRule="auto"/>
        <w:jc w:val="both"/>
      </w:pPr>
      <w:r>
        <w:t xml:space="preserve">The model of leading competency is designed to define the key </w:t>
      </w:r>
      <w:proofErr w:type="spellStart"/>
      <w:r>
        <w:t>behaviors</w:t>
      </w:r>
      <w:proofErr w:type="spellEnd"/>
      <w:r>
        <w:t xml:space="preserve"> aimed at developing self and others to achieve BP's purpose and strategy. Success profiles determine what it takes for a manager to become a full-fledged executive. Through an "Insight Assessment" individuals can recognise their own strengths and areas of development. Future leaders' or Executive Scrum projects being customized in order to develop an agile way of thinking among business leaders. The leadership competency model rooted in BP's purpose and values is guiding it. It is the cognitive and interpersonal capacities that help to lead the diverse teams and operate strategically across the globe that are laid out in this role </w:t>
      </w:r>
      <w:r w:rsidRPr="00554582">
        <w:t>(Edmund et al., 2023)</w:t>
      </w:r>
      <w:r>
        <w:t>. Assessment data drives the AI assisted mapping of career paths and succession planning tools. Individual development plans (IDP) are the basis for multi-dimensional assignments, coaching or external executive education.</w:t>
      </w:r>
    </w:p>
    <w:p w14:paraId="5EC10B13" w14:textId="5E1C6370" w:rsidR="008B4D92" w:rsidRDefault="007F0EA8" w:rsidP="0043710E">
      <w:pPr>
        <w:spacing w:line="360" w:lineRule="auto"/>
        <w:jc w:val="both"/>
      </w:pPr>
      <w:r>
        <w:t xml:space="preserve">In the context of BP's efforts to ensure sustainability of India's growing energy demand, "Skill India" program enrolled 5000 youth to get skilled in trades such as welding and instrumentation and hence better employability </w:t>
      </w:r>
      <w:r w:rsidRPr="0059549A">
        <w:t>(Amulya and Raju, 2021)</w:t>
      </w:r>
      <w:r>
        <w:t xml:space="preserve">. Also, the workshops digitalized in the Brazil platform workers were reskilled in data analytics to improve production optimization. Consequently, modern technology renders HRM management more efficient. Use our automated essay checker to verify your written work. In addition to providing the common people of India skills so as to enable them to have productive careers and to ensure a pool of talent sensitized to </w:t>
      </w:r>
      <w:r>
        <w:lastRenderedPageBreak/>
        <w:t>process safety for industries critical to India's GDP, the 'Skill India' program has also developed them. The Brazilian platform used upskilling in data visualization and reporting that was technologically based on SCADA systems to facilitate remote monitoring and efficiency gains for offshore drilling rigs. Digital learning platforms made these projects global with cost effective adaptations of the relevant content in local languages. Environmental standards are placed within HR systems through the use of competency frameworks, goal-setting, acquisition sourcing and contract management. It is the social dialogues that are very carefully managed and they are designed to be drivers of change agendas like energy transition agreements</w:t>
      </w:r>
      <w:r w:rsidR="008029B0">
        <w:t>.</w:t>
      </w:r>
    </w:p>
    <w:p w14:paraId="152B955C" w14:textId="5843CE66" w:rsidR="008029B0" w:rsidRDefault="008029B0" w:rsidP="0043710E">
      <w:pPr>
        <w:spacing w:line="360" w:lineRule="auto"/>
        <w:jc w:val="both"/>
      </w:pPr>
      <w:r w:rsidRPr="008029B0">
        <w:t>Otherwise, these rules add to the responsibility. BP set up a Compliance function on the Upstream side to ensure compliance. Each operating entity was also responsible for compliance. The local and central models (regional/central) allow for flexibility and risk management at the same time. Localization more often than not involves dealing with unions in places like Germany as opposed to Australia which are quite different in terms of the way things work. Compliance is a responsibility that is overseen by a Vice President who makes sure that our operations are compliant with all international and local laws across different business units and technical functions. Environmental standards are placed within HR systems through the use of competency frameworks, goal-setting, acquisition sourcing and contract management. It is the social dialogues that are very carefully managed and they are designed to be drivers of change agendas like energy transition agreements (</w:t>
      </w:r>
      <w:proofErr w:type="spellStart"/>
      <w:r w:rsidRPr="008029B0">
        <w:t>Bashynska</w:t>
      </w:r>
      <w:proofErr w:type="spellEnd"/>
      <w:r w:rsidRPr="008029B0">
        <w:t>, 2023).</w:t>
      </w:r>
    </w:p>
    <w:p w14:paraId="661E30E7" w14:textId="77777777" w:rsidR="008029B0" w:rsidRDefault="008029B0" w:rsidP="0043710E">
      <w:pPr>
        <w:spacing w:line="360" w:lineRule="auto"/>
        <w:jc w:val="both"/>
      </w:pPr>
    </w:p>
    <w:p w14:paraId="08B2BBC8" w14:textId="77777777" w:rsidR="008B4D92" w:rsidRDefault="008B4D92" w:rsidP="0043710E">
      <w:pPr>
        <w:pStyle w:val="Heading2"/>
        <w:spacing w:line="360" w:lineRule="auto"/>
        <w:jc w:val="both"/>
      </w:pPr>
      <w:bookmarkStart w:id="25" w:name="_Toc165242046"/>
      <w:r>
        <w:t>Discussion</w:t>
      </w:r>
      <w:bookmarkEnd w:id="25"/>
    </w:p>
    <w:p w14:paraId="7CE8B0F8" w14:textId="77777777" w:rsidR="008B4D92" w:rsidRDefault="008B4D92" w:rsidP="0043710E">
      <w:pPr>
        <w:pStyle w:val="Heading3"/>
        <w:jc w:val="both"/>
      </w:pPr>
      <w:bookmarkStart w:id="26" w:name="_Toc165242047"/>
      <w:r>
        <w:t>Balancing Global Integration and Local Responsiveness</w:t>
      </w:r>
      <w:bookmarkEnd w:id="26"/>
    </w:p>
    <w:p w14:paraId="05DA2191" w14:textId="1ECD2A1B" w:rsidR="008B4D92" w:rsidRDefault="008B4D92" w:rsidP="0043710E">
      <w:pPr>
        <w:spacing w:line="360" w:lineRule="auto"/>
        <w:jc w:val="both"/>
      </w:pPr>
      <w:r>
        <w:t>Unilever brought system integration and responsiveness into the forefront through its multinational organizational structure. The company has organized with the help of its five Geographical Business Divisions, which covers the regions and 50 country operations. A new GBD model has been developed for decentralized management of this process in the market</w:t>
      </w:r>
      <w:r w:rsidR="0015364D">
        <w:t xml:space="preserve"> </w:t>
      </w:r>
      <w:r w:rsidR="0015364D" w:rsidRPr="0015364D">
        <w:t>(Gargano, 2021)</w:t>
      </w:r>
      <w:r>
        <w:t xml:space="preserve">. This is achievable by placing decision rights close to actual local consumers in order to promote responsiveness by the brand to a variety of needs in 190 markets. GBDs were top level of management serving as the overall strategic vision setters and profit/loss managers for their </w:t>
      </w:r>
      <w:r>
        <w:lastRenderedPageBreak/>
        <w:t>territories. However, countries developed localized marketing, sales and distribution processes they fitted.</w:t>
      </w:r>
    </w:p>
    <w:p w14:paraId="1C467ABD" w14:textId="7F891D4E" w:rsidR="008B4D92" w:rsidRDefault="008B4D92" w:rsidP="0043710E">
      <w:pPr>
        <w:spacing w:line="360" w:lineRule="auto"/>
        <w:jc w:val="both"/>
      </w:pPr>
      <w:r>
        <w:t>Strategic HR frameworks were developed though the headquarters of London and Rotterdam jointly and being standardized globally. Yet, the regional HR measures were executed with due regard to the existing situations. Targeting a situation in India, the 'Future Ready' digital skills program that is meant for e-commerce and analytics will be introduced for over 7,000 employees</w:t>
      </w:r>
      <w:r w:rsidR="0015364D">
        <w:t xml:space="preserve"> </w:t>
      </w:r>
      <w:r w:rsidR="0015364D" w:rsidRPr="0015364D">
        <w:t>(Hong, 2022)</w:t>
      </w:r>
      <w:r>
        <w:t>. The speaker implied shifting of foreign policies to suit local contexts. The same thing happened to the United States as social challenges became the US’s main strategic goal. The HR department started inclusive recruitment partnerships in that direction and supplier guidelines.</w:t>
      </w:r>
    </w:p>
    <w:p w14:paraId="56DF6DF0" w14:textId="77777777" w:rsidR="008B4D92" w:rsidRDefault="008B4D92" w:rsidP="0043710E">
      <w:pPr>
        <w:spacing w:line="360" w:lineRule="auto"/>
        <w:jc w:val="both"/>
      </w:pPr>
      <w:r>
        <w:t xml:space="preserve">BP also adopted a combination of policies which both centralized the decision-making and delegated implementation to the divisions and subunits. The core frameworks of talent management, performance, and reward process was uniform, but the affecting factors such as cultural nuances and regulations varied by country. One example is BP that was using competency models in which they were including skills that are </w:t>
      </w:r>
      <w:proofErr w:type="spellStart"/>
      <w:r>
        <w:t>are</w:t>
      </w:r>
      <w:proofErr w:type="spellEnd"/>
      <w:r>
        <w:t xml:space="preserve"> most in demand in transformations, like carbon offsetting knowledge. In India the 'Skill India' trades training program aimed at building long-term skills and sustainable employability has proven to be very effective. In Brazil, digital reskill happened to the platform crews and that led them to remotely monitor the offshore rig production.</w:t>
      </w:r>
    </w:p>
    <w:p w14:paraId="655C97E7" w14:textId="77777777" w:rsidR="00544A70" w:rsidRDefault="00544A70" w:rsidP="0043710E">
      <w:pPr>
        <w:spacing w:line="360" w:lineRule="auto"/>
        <w:jc w:val="both"/>
      </w:pPr>
    </w:p>
    <w:p w14:paraId="0DFD774B" w14:textId="77777777" w:rsidR="008B4D92" w:rsidRDefault="008B4D92" w:rsidP="0043710E">
      <w:pPr>
        <w:pStyle w:val="Heading3"/>
        <w:jc w:val="both"/>
      </w:pPr>
      <w:bookmarkStart w:id="27" w:name="_Toc165242048"/>
      <w:r>
        <w:t>Integrating Strategic HRM to Support Business Goals</w:t>
      </w:r>
      <w:bookmarkEnd w:id="27"/>
    </w:p>
    <w:p w14:paraId="4FD628A6" w14:textId="40BE20D2" w:rsidR="008B4D92" w:rsidRDefault="008B4D92" w:rsidP="0043710E">
      <w:pPr>
        <w:spacing w:line="360" w:lineRule="auto"/>
        <w:jc w:val="both"/>
      </w:pPr>
      <w:r>
        <w:t>Unilever integrated HRM with other business processes to push the organization’s agenda of digitalization and diversity in the world. In India, where the speed of growth required digital readiness of an enhanced level, more than 7,000 employees obtained the Future Ready course in analytics, advanced manufacturing, and online channels in the 2018-2020 period</w:t>
      </w:r>
      <w:r w:rsidR="007614D5">
        <w:t xml:space="preserve"> </w:t>
      </w:r>
      <w:r w:rsidR="007614D5" w:rsidRPr="007614D5">
        <w:t>(Bresciani et al., 2021)</w:t>
      </w:r>
      <w:r>
        <w:t>. The program was instrumental in enhancing digital skills to ensure the marketplace transformed itself.</w:t>
      </w:r>
    </w:p>
    <w:p w14:paraId="65E24F2E" w14:textId="77777777" w:rsidR="008B4D92" w:rsidRDefault="008B4D92" w:rsidP="0043710E">
      <w:pPr>
        <w:spacing w:line="360" w:lineRule="auto"/>
        <w:jc w:val="both"/>
      </w:pPr>
      <w:r>
        <w:t xml:space="preserve">Also, the US ensured this by pressing the matter of inclusion since the society was changing its customs and views. HR led the way with new recruitment partnerships and a supplier code of conduct to make sure that underprivileged communities are treated fairly, and the vulnerable </w:t>
      </w:r>
      <w:r>
        <w:lastRenderedPageBreak/>
        <w:t>supplier communities can last sustainably in terms of procurement. The following examples illustrated how HR function was coming up with skilling initiatives which became a part of strategic agenda.</w:t>
      </w:r>
    </w:p>
    <w:p w14:paraId="271B941D" w14:textId="21D60DA0" w:rsidR="008B4D92" w:rsidRDefault="008B4D92" w:rsidP="0043710E">
      <w:pPr>
        <w:spacing w:line="360" w:lineRule="auto"/>
        <w:jc w:val="both"/>
      </w:pPr>
      <w:r>
        <w:t>BP tapped into its creative capabilities across the value chain and targeted technology domains like renewable energy and carbon services through programs providing hands-on experience</w:t>
      </w:r>
      <w:r w:rsidR="007614D5">
        <w:t xml:space="preserve"> </w:t>
      </w:r>
      <w:r w:rsidR="007614D5" w:rsidRPr="007614D5">
        <w:t>(Kalpaka et al., 2020)</w:t>
      </w:r>
      <w:r>
        <w:t>. STEM graduates were recruited on the graduate program, the executives were trained to develop a deep understanding about the sustainability imperatives across different functions. The competency banks that kept track of proficiency shifts inform the business of facing the future with caution in its system design that allows diversification into lower carbon spaces.</w:t>
      </w:r>
    </w:p>
    <w:p w14:paraId="4A9C45BC" w14:textId="77777777" w:rsidR="00710FB7" w:rsidRDefault="00710FB7" w:rsidP="0043710E">
      <w:pPr>
        <w:spacing w:line="360" w:lineRule="auto"/>
        <w:jc w:val="both"/>
      </w:pPr>
    </w:p>
    <w:p w14:paraId="680DD6FA" w14:textId="77777777" w:rsidR="008B4D92" w:rsidRDefault="008B4D92" w:rsidP="0043710E">
      <w:pPr>
        <w:pStyle w:val="Heading3"/>
        <w:jc w:val="both"/>
      </w:pPr>
      <w:bookmarkStart w:id="28" w:name="_Toc165242049"/>
      <w:r>
        <w:t>Leveraging Diversity and Agility for Adaptation and Innovation</w:t>
      </w:r>
      <w:bookmarkEnd w:id="28"/>
    </w:p>
    <w:p w14:paraId="75FD28BB" w14:textId="77777777" w:rsidR="008B4D92" w:rsidRDefault="008B4D92" w:rsidP="0043710E">
      <w:pPr>
        <w:spacing w:line="360" w:lineRule="auto"/>
        <w:jc w:val="both"/>
      </w:pPr>
      <w:r>
        <w:t>The culturally intelligent programs rolled out by Unilever across the globe were the key to diversity within perspectives. Through the ILC training, the participants got to experience diverse mindsets and leadership styles, which are critical for a business executive to effectively manage ethnically and culturally diversified markets. The exposure to locations other than the home market made me more flexible, and I embraced the opportunity to create new products to match the local preferences or adapt products from market to market.</w:t>
      </w:r>
    </w:p>
    <w:p w14:paraId="0C108E11" w14:textId="77777777" w:rsidR="008B4D92" w:rsidRDefault="008B4D92" w:rsidP="0043710E">
      <w:pPr>
        <w:spacing w:line="360" w:lineRule="auto"/>
        <w:jc w:val="both"/>
      </w:pPr>
      <w:r>
        <w:t>Digital reskilling platforms enabled upscaling learning opportunities at competitive prices globally. For BP, a blended package including sustainability modules were done on the web and then followed by training at the work site by giving the crew some tailored simulations. Through self-guided study, trainees utilized knowledge gained however they were coached to the end. It was this flexibility that made this lean manufacturing effective and rather efficient in creating a better product.</w:t>
      </w:r>
    </w:p>
    <w:p w14:paraId="25A4DE04" w14:textId="15708C1B" w:rsidR="008B4D92" w:rsidRDefault="008B4D92" w:rsidP="0043710E">
      <w:pPr>
        <w:spacing w:line="360" w:lineRule="auto"/>
        <w:jc w:val="both"/>
      </w:pPr>
      <w:r>
        <w:t>The company now offers tailored learning itineraries, which are adapted according to roles. By submitting Unilever sales teams to data analytics workshops, the skills of number-oriented marketing were reinforced, which in turn became closer to the preferences of consumers. The BP combined between classroom learning and the practical training under the supervision of professionals, as such they could achieve the goals of safe and efficient operations by solving problems through hands-on practice</w:t>
      </w:r>
      <w:r w:rsidR="00733E74">
        <w:t xml:space="preserve"> </w:t>
      </w:r>
      <w:r w:rsidR="00733E74" w:rsidRPr="00733E74">
        <w:t>(Amalu et al., 2023)</w:t>
      </w:r>
      <w:r>
        <w:t>.</w:t>
      </w:r>
    </w:p>
    <w:p w14:paraId="40E5F70D" w14:textId="77777777" w:rsidR="008B4D92" w:rsidRPr="007F0EA8" w:rsidRDefault="008B4D92" w:rsidP="0043710E">
      <w:pPr>
        <w:pStyle w:val="Heading3"/>
        <w:jc w:val="both"/>
      </w:pPr>
      <w:bookmarkStart w:id="29" w:name="_Toc165242050"/>
      <w:r w:rsidRPr="007F0EA8">
        <w:lastRenderedPageBreak/>
        <w:t>Addressing Challenges through Strategic Flexibility</w:t>
      </w:r>
      <w:bookmarkEnd w:id="29"/>
    </w:p>
    <w:p w14:paraId="51437F05" w14:textId="2DA71821" w:rsidR="008B4D92" w:rsidRDefault="008B4D92" w:rsidP="0043710E">
      <w:pPr>
        <w:spacing w:line="360" w:lineRule="auto"/>
        <w:jc w:val="both"/>
      </w:pPr>
      <w:r>
        <w:t>Their successes were due to the fact that they had to confront the same difficulties which needed to be dealt with swiftly. The problem now is the complex nature of work. Societies and technologies are rapidly evolving. And the future for skills was no longer clear, as in a world where careers got shorter and digitalization blended traditional boundaries. The young population's changing values and expectations is a problem for the recruitment process</w:t>
      </w:r>
      <w:r w:rsidR="007F0EA8">
        <w:t xml:space="preserve"> (</w:t>
      </w:r>
      <w:r w:rsidR="007F0EA8" w:rsidRPr="007F0EA8">
        <w:t>Karthikeyan and Director-ASB, 2017</w:t>
      </w:r>
      <w:r w:rsidR="007F0EA8">
        <w:t>)</w:t>
      </w:r>
      <w:r>
        <w:t>.</w:t>
      </w:r>
    </w:p>
    <w:p w14:paraId="6A610331" w14:textId="5C003E51" w:rsidR="008B4D92" w:rsidRDefault="008B4D92" w:rsidP="0043710E">
      <w:pPr>
        <w:spacing w:line="360" w:lineRule="auto"/>
        <w:jc w:val="both"/>
      </w:pPr>
      <w:r>
        <w:t>BP faced the challenge of geopolitical instability in many areas where the company traded and influences in oil prices would interfere with planning. Strategy workforce plans had to be developed to seamlessly forecast and respond to the fluctuating demand between the traditional and emergent energy spaces as well as risk mitigation from external disruptions.</w:t>
      </w:r>
    </w:p>
    <w:p w14:paraId="0E5B6D83" w14:textId="77777777" w:rsidR="00BC199D" w:rsidRDefault="00BC199D" w:rsidP="0043710E">
      <w:pPr>
        <w:spacing w:line="360" w:lineRule="auto"/>
        <w:jc w:val="both"/>
      </w:pPr>
    </w:p>
    <w:p w14:paraId="26C469FC" w14:textId="77777777" w:rsidR="008B4D92" w:rsidRDefault="008B4D92" w:rsidP="0043710E">
      <w:pPr>
        <w:pStyle w:val="Heading3"/>
        <w:jc w:val="both"/>
      </w:pPr>
      <w:bookmarkStart w:id="30" w:name="_Toc165242051"/>
      <w:r>
        <w:t>Theoretical Lenses on Strategic Flexibility</w:t>
      </w:r>
      <w:bookmarkEnd w:id="30"/>
    </w:p>
    <w:p w14:paraId="5822B3B3" w14:textId="77777777" w:rsidR="008B4D92" w:rsidRDefault="008B4D92" w:rsidP="0043710E">
      <w:pPr>
        <w:spacing w:line="360" w:lineRule="auto"/>
        <w:jc w:val="both"/>
      </w:pPr>
      <w:r>
        <w:t>The cases clearly illustrated the strategic viewpoints from a variety of management approaches. Configuration theory, as a matter of fact, helps us to understand the complex systems of hybrid structure as subcomponents designed to achieve the same result in different ways. For Unilever and BP, the control structure of joint centralized-decentralized control was right fit for contextually differentiated situations in a way that was adaptive.</w:t>
      </w:r>
    </w:p>
    <w:p w14:paraId="43A5F233" w14:textId="5E32C65F" w:rsidR="008B4D92" w:rsidRDefault="008B4D92" w:rsidP="0043710E">
      <w:pPr>
        <w:spacing w:line="360" w:lineRule="auto"/>
        <w:jc w:val="both"/>
      </w:pPr>
      <w:r>
        <w:t>Their worldwide learning and sharing mechanism illustrated the dynamic capabilities approach, which non-</w:t>
      </w:r>
      <w:proofErr w:type="spellStart"/>
      <w:r>
        <w:t>stoply</w:t>
      </w:r>
      <w:proofErr w:type="spellEnd"/>
      <w:r>
        <w:t xml:space="preserve"> adjusts the talent pools while the world is changing in a non-established manner. Collaborative learning platforms and peer-to-peer leadership programs create an environment where knowledge can be exchanged easily and business leadership capacities can be aligned with strategies. These platforms serve as a medium to transform traditional businesses into dynamic businesses through engaged workforces that can transfer learning seamlessly</w:t>
      </w:r>
      <w:r w:rsidR="007F0EA8">
        <w:t xml:space="preserve"> (</w:t>
      </w:r>
      <w:r w:rsidR="007F0EA8" w:rsidRPr="007F0EA8">
        <w:t>Abrantes, Preto, and Antonio, 2022</w:t>
      </w:r>
      <w:r w:rsidR="007F0EA8">
        <w:t>)</w:t>
      </w:r>
      <w:r>
        <w:t>.</w:t>
      </w:r>
      <w:r>
        <w:br w:type="page"/>
      </w:r>
    </w:p>
    <w:p w14:paraId="504964FE" w14:textId="77777777" w:rsidR="008B4D92" w:rsidRDefault="008B4D92" w:rsidP="00BC199D">
      <w:pPr>
        <w:pStyle w:val="Heading1"/>
        <w:pageBreakBefore/>
        <w:spacing w:line="360" w:lineRule="auto"/>
      </w:pPr>
      <w:bookmarkStart w:id="31" w:name="_Toc165242052"/>
      <w:r>
        <w:lastRenderedPageBreak/>
        <w:t>Chapter 5: Conclusion</w:t>
      </w:r>
      <w:bookmarkEnd w:id="31"/>
    </w:p>
    <w:p w14:paraId="26E19A45" w14:textId="77777777" w:rsidR="00BC199D" w:rsidRPr="00BC199D" w:rsidRDefault="00BC199D" w:rsidP="00BC199D"/>
    <w:p w14:paraId="2AB455A4" w14:textId="77777777" w:rsidR="008B4D92" w:rsidRDefault="008B4D92" w:rsidP="0043710E">
      <w:pPr>
        <w:spacing w:line="360" w:lineRule="auto"/>
        <w:jc w:val="both"/>
      </w:pPr>
      <w:r>
        <w:t>This study focused on the ways how Unilever and BP integrate HR functions worldwide in order to support the business plans. According to the case analysis, the MNCs with large sizes are capable of nurturing integration and responsiveness throughout the organization through dynamic hybrid structures that are configured based on many contingent factors.</w:t>
      </w:r>
    </w:p>
    <w:p w14:paraId="63464799" w14:textId="08EDAA6E" w:rsidR="008B4D92" w:rsidRDefault="008B4D92" w:rsidP="0043710E">
      <w:pPr>
        <w:spacing w:line="360" w:lineRule="auto"/>
        <w:jc w:val="both"/>
      </w:pPr>
      <w:r>
        <w:t>Some of these findings are the criticality of strategic flexibility in the structuring of the HRM systems. Two firms relied on coordinated HRM infrastructure with central control and local autonomy through regional structures as well as empowering of local decision-makers. The competency models and a talent that was demonstrated to enable respective organi</w:t>
      </w:r>
      <w:r w:rsidR="00FD1118">
        <w:t>s</w:t>
      </w:r>
      <w:r>
        <w:t>ations to use their talent pools as a source of a competitive differentiation was proved to be very efficient. Local programs also happened to be well-tuned to the varied institutional and stakeholder influences and stresses.</w:t>
      </w:r>
    </w:p>
    <w:p w14:paraId="1A359C50" w14:textId="77777777" w:rsidR="008B4D92" w:rsidRDefault="008B4D92" w:rsidP="0043710E">
      <w:pPr>
        <w:spacing w:line="360" w:lineRule="auto"/>
        <w:jc w:val="both"/>
      </w:pPr>
      <w:r>
        <w:t>Integrations of theory, ultimately, showed the multi-faceted character of the interpretations which went beyond the single theoretical perspective. The resource-based view elaborated that competencies of talent can be transformed into a competitive edge when they were employed in an appropriate scale. Institutional theory, which states that both isomorphic pressures that lead to uniformity and the need to adapt to the specifics of the environment should be balanced. Institutional factors, which are parts of the national system, were again proved to be a powerful force in shaping the different national HRMs. The holders of a cultural intelligence perspective were bridging the gaps between the subsidiaries worldwide.</w:t>
      </w:r>
    </w:p>
    <w:p w14:paraId="15BA79D7" w14:textId="77777777" w:rsidR="008B4D92" w:rsidRDefault="008B4D92" w:rsidP="0043710E">
      <w:pPr>
        <w:spacing w:line="360" w:lineRule="auto"/>
        <w:jc w:val="both"/>
      </w:pPr>
      <w:r>
        <w:t>Study had several limitations, which were a heavy dependence on external data source and scope of case studies in the two big companies in a specific industry Future research could continue to look at mixed-methods, broaden sectoral and regional comparisons as well as examine various aspects of digital transformation such as challenges. Another area that might be looked into is in-depth research employing configurational analysis techniques such as qualitative set theory to reveal more fresh outcomes.</w:t>
      </w:r>
    </w:p>
    <w:p w14:paraId="4BEE9E48" w14:textId="7534AB17" w:rsidR="004C6E59" w:rsidRDefault="008B4D92" w:rsidP="0043710E">
      <w:pPr>
        <w:spacing w:line="360" w:lineRule="auto"/>
        <w:jc w:val="both"/>
      </w:pPr>
      <w:r>
        <w:lastRenderedPageBreak/>
        <w:t>In sum</w:t>
      </w:r>
      <w:r w:rsidR="008029B0">
        <w:t>mary</w:t>
      </w:r>
      <w:r>
        <w:t>, the study contributes to the development of academic knowledge on how leading MNCs manage strategic flexibility at the global level by applying empirical deductions to theoretical grounds. Conclusions show the continuing hardness of synchroni</w:t>
      </w:r>
      <w:r w:rsidR="00FD1118">
        <w:t>s</w:t>
      </w:r>
      <w:r>
        <w:t xml:space="preserve">ing the aspect of staff management procedures that ensure a balance between global integration and local responsibility to support the achievement of the objectives of a company in the long run as seen from various management perspectives. Sustained flexibility and quickness in adaptation is what is needed for the global </w:t>
      </w:r>
      <w:proofErr w:type="spellStart"/>
      <w:r>
        <w:t>labor</w:t>
      </w:r>
      <w:proofErr w:type="spellEnd"/>
      <w:r>
        <w:t xml:space="preserve"> resources to be leveraged perfectly in the future</w:t>
      </w:r>
      <w:r w:rsidR="0043710E">
        <w:t>.</w:t>
      </w:r>
    </w:p>
    <w:p w14:paraId="18726947" w14:textId="783D7E70" w:rsidR="005A7D65" w:rsidRDefault="005A7D65" w:rsidP="00A6521C">
      <w:pPr>
        <w:spacing w:line="259" w:lineRule="auto"/>
        <w:jc w:val="both"/>
      </w:pPr>
      <w:r>
        <w:br w:type="page"/>
      </w:r>
    </w:p>
    <w:p w14:paraId="6A2890FC" w14:textId="27C1DB00" w:rsidR="005A7D65" w:rsidRDefault="005A7D65" w:rsidP="009E05B7">
      <w:pPr>
        <w:pStyle w:val="Heading1"/>
        <w:pageBreakBefore/>
      </w:pPr>
      <w:bookmarkStart w:id="32" w:name="_Toc165242053"/>
      <w:r>
        <w:lastRenderedPageBreak/>
        <w:t>References</w:t>
      </w:r>
      <w:bookmarkEnd w:id="32"/>
    </w:p>
    <w:p w14:paraId="6330958D" w14:textId="77777777" w:rsidR="00DF0922" w:rsidRDefault="00DF0922" w:rsidP="007874C5">
      <w:pPr>
        <w:pStyle w:val="ListParagraph"/>
        <w:numPr>
          <w:ilvl w:val="0"/>
          <w:numId w:val="4"/>
        </w:numPr>
        <w:spacing w:line="360" w:lineRule="auto"/>
        <w:jc w:val="both"/>
      </w:pPr>
      <w:r w:rsidRPr="002D72C8">
        <w:t xml:space="preserve">Ababneh, O.M.A., 2021. How do green HRM practices affect employees’ green </w:t>
      </w:r>
      <w:proofErr w:type="spellStart"/>
      <w:r w:rsidRPr="002D72C8">
        <w:t>behaviors</w:t>
      </w:r>
      <w:proofErr w:type="spellEnd"/>
      <w:r w:rsidRPr="002D72C8">
        <w:t>? The role of employee engagement and personality attributes. Journal of Environmental Planning and Management, 64(7), pp.1204-1226.</w:t>
      </w:r>
    </w:p>
    <w:p w14:paraId="59E63CF4" w14:textId="77777777" w:rsidR="00DF0922" w:rsidRDefault="00DF0922" w:rsidP="007874C5">
      <w:pPr>
        <w:pStyle w:val="ListParagraph"/>
        <w:numPr>
          <w:ilvl w:val="0"/>
          <w:numId w:val="4"/>
        </w:numPr>
        <w:spacing w:line="360" w:lineRule="auto"/>
        <w:jc w:val="both"/>
      </w:pPr>
      <w:r>
        <w:t xml:space="preserve">Abrantes, B.F., Preto, M.T. and Antonio, N., 2022. </w:t>
      </w:r>
      <w:proofErr w:type="spellStart"/>
      <w:r>
        <w:t>Unraveling</w:t>
      </w:r>
      <w:proofErr w:type="spellEnd"/>
      <w:r>
        <w:t xml:space="preserve"> collaborative learning stimuli and effective dynamic capability integration on MNCs: the global capabilities administration model (GCAM). Review of International Business and Strategy, (ahead-of-print).</w:t>
      </w:r>
    </w:p>
    <w:p w14:paraId="70BD4AB5" w14:textId="77777777" w:rsidR="00DF0922" w:rsidRDefault="00DF0922" w:rsidP="007874C5">
      <w:pPr>
        <w:pStyle w:val="ListParagraph"/>
        <w:numPr>
          <w:ilvl w:val="0"/>
          <w:numId w:val="4"/>
        </w:numPr>
        <w:spacing w:line="360" w:lineRule="auto"/>
        <w:jc w:val="both"/>
      </w:pPr>
      <w:proofErr w:type="spellStart"/>
      <w:r w:rsidRPr="00DE1B34">
        <w:t>Acciarini</w:t>
      </w:r>
      <w:proofErr w:type="spellEnd"/>
      <w:r w:rsidRPr="00DE1B34">
        <w:t xml:space="preserve">, C., Brunetta, F. and </w:t>
      </w:r>
      <w:proofErr w:type="spellStart"/>
      <w:r w:rsidRPr="00DE1B34">
        <w:t>Boccardelli</w:t>
      </w:r>
      <w:proofErr w:type="spellEnd"/>
      <w:r w:rsidRPr="00DE1B34">
        <w:t>, P., 2021. Cognitive biases and decision-making strategies in times of change: a systematic literature review. Management Decision, 59(3), pp.638-652.</w:t>
      </w:r>
    </w:p>
    <w:p w14:paraId="28E7FB70" w14:textId="77777777" w:rsidR="00DF0922" w:rsidRDefault="00DF0922" w:rsidP="007874C5">
      <w:pPr>
        <w:pStyle w:val="ListParagraph"/>
        <w:numPr>
          <w:ilvl w:val="0"/>
          <w:numId w:val="4"/>
        </w:numPr>
        <w:spacing w:line="360" w:lineRule="auto"/>
        <w:jc w:val="both"/>
      </w:pPr>
      <w:r w:rsidRPr="00EB5896">
        <w:t xml:space="preserve">Ahmad, B. and </w:t>
      </w:r>
      <w:proofErr w:type="spellStart"/>
      <w:r w:rsidRPr="00EB5896">
        <w:t>Erçek</w:t>
      </w:r>
      <w:proofErr w:type="spellEnd"/>
      <w:r w:rsidRPr="00EB5896">
        <w:t>, M., 2020. Linking national business system and firm level innovation: A serial mediation analysis with intellectual capital and absorptive capacity. European Journal of Innovation Management, 23(5), pp.765-788.</w:t>
      </w:r>
    </w:p>
    <w:p w14:paraId="66A5D0ED" w14:textId="77777777" w:rsidR="00DF0922" w:rsidRDefault="00DF0922" w:rsidP="007874C5">
      <w:pPr>
        <w:pStyle w:val="ListParagraph"/>
        <w:numPr>
          <w:ilvl w:val="0"/>
          <w:numId w:val="4"/>
        </w:numPr>
        <w:spacing w:line="360" w:lineRule="auto"/>
        <w:jc w:val="both"/>
      </w:pPr>
      <w:r w:rsidRPr="002D1BE8">
        <w:t xml:space="preserve">Amalu, E.H., Short, M., Chong, P.L., Hughes, D.J., Adebayo, D.S., </w:t>
      </w:r>
      <w:proofErr w:type="spellStart"/>
      <w:r w:rsidRPr="002D1BE8">
        <w:t>Tchuenbou</w:t>
      </w:r>
      <w:proofErr w:type="spellEnd"/>
      <w:r w:rsidRPr="002D1BE8">
        <w:t xml:space="preserve">-Magaia, F., Lähde, P., Kukka, M., Polyzou, O., Oikonomou, T.I. and </w:t>
      </w:r>
      <w:proofErr w:type="spellStart"/>
      <w:r w:rsidRPr="002D1BE8">
        <w:t>Karytsas</w:t>
      </w:r>
      <w:proofErr w:type="spellEnd"/>
      <w:r w:rsidRPr="002D1BE8">
        <w:t>, C., 2023. Critical skills needs and challenges for STEM/STEAM graduates increased employability and entrepreneurship in the solar energy sector. Renewable and Sustainable Energy Reviews, 187, p.113776.</w:t>
      </w:r>
    </w:p>
    <w:p w14:paraId="024CFAC1" w14:textId="77777777" w:rsidR="00DF0922" w:rsidRDefault="00DF0922" w:rsidP="007874C5">
      <w:pPr>
        <w:pStyle w:val="ListParagraph"/>
        <w:numPr>
          <w:ilvl w:val="0"/>
          <w:numId w:val="4"/>
        </w:numPr>
        <w:spacing w:line="360" w:lineRule="auto"/>
        <w:jc w:val="both"/>
      </w:pPr>
      <w:r w:rsidRPr="00BC4B70">
        <w:t>Amulya, R.H. and Raju, J.K., 2021. Smart Convergence for Smart City Mission towards Sustainable Development A study with Special Reference to Karnataka State. OIDA International Journal of Sustainable Development, 14(01), pp.21-34.</w:t>
      </w:r>
    </w:p>
    <w:p w14:paraId="5E3C6BBE" w14:textId="77777777" w:rsidR="00DF0922" w:rsidRDefault="00DF0922" w:rsidP="007874C5">
      <w:pPr>
        <w:pStyle w:val="ListParagraph"/>
        <w:numPr>
          <w:ilvl w:val="0"/>
          <w:numId w:val="4"/>
        </w:numPr>
        <w:spacing w:line="360" w:lineRule="auto"/>
        <w:jc w:val="both"/>
      </w:pPr>
      <w:r w:rsidRPr="004414F4">
        <w:t xml:space="preserve">Andrews, D.S., </w:t>
      </w:r>
      <w:proofErr w:type="spellStart"/>
      <w:r w:rsidRPr="004414F4">
        <w:t>Fainshmidt</w:t>
      </w:r>
      <w:proofErr w:type="spellEnd"/>
      <w:r w:rsidRPr="004414F4">
        <w:t>, S., Gaur, A. and Parente, R., 2022. Configuring knowledge connectivity and strategy conditions for foreign subsidiary innovation. Long Range Planning, 55(1), p.102089.</w:t>
      </w:r>
    </w:p>
    <w:p w14:paraId="4EFE499E" w14:textId="77777777" w:rsidR="00DF0922" w:rsidRDefault="00DF0922" w:rsidP="007874C5">
      <w:pPr>
        <w:pStyle w:val="ListParagraph"/>
        <w:numPr>
          <w:ilvl w:val="0"/>
          <w:numId w:val="4"/>
        </w:numPr>
        <w:spacing w:line="360" w:lineRule="auto"/>
        <w:jc w:val="both"/>
      </w:pPr>
      <w:proofErr w:type="spellStart"/>
      <w:r w:rsidRPr="002D1218">
        <w:t>Bashynska</w:t>
      </w:r>
      <w:proofErr w:type="spellEnd"/>
      <w:r w:rsidRPr="002D1218">
        <w:t xml:space="preserve">, O., 2023. </w:t>
      </w:r>
      <w:proofErr w:type="spellStart"/>
      <w:r w:rsidRPr="002D1218">
        <w:t>Smartization</w:t>
      </w:r>
      <w:proofErr w:type="spellEnd"/>
      <w:r w:rsidRPr="002D1218">
        <w:t xml:space="preserve"> of business processes of an industrial enterprise: theoretical and methodological aspects. </w:t>
      </w:r>
      <w:proofErr w:type="spellStart"/>
      <w:r w:rsidRPr="002D1218">
        <w:t>Teadmus</w:t>
      </w:r>
      <w:proofErr w:type="spellEnd"/>
      <w:r w:rsidRPr="002D1218">
        <w:t xml:space="preserve"> OÜ: Tallinn, Estonia.</w:t>
      </w:r>
    </w:p>
    <w:p w14:paraId="0C5B0AF8" w14:textId="77777777" w:rsidR="00DF0922" w:rsidRDefault="00DF0922" w:rsidP="007874C5">
      <w:pPr>
        <w:pStyle w:val="ListParagraph"/>
        <w:numPr>
          <w:ilvl w:val="0"/>
          <w:numId w:val="4"/>
        </w:numPr>
        <w:spacing w:line="360" w:lineRule="auto"/>
        <w:jc w:val="both"/>
      </w:pPr>
      <w:r w:rsidRPr="00DB0819">
        <w:t xml:space="preserve">Biron, M., De Cieri, H., Fulmer, I., Lin, C.H.V., Mayrhofer, W., </w:t>
      </w:r>
      <w:proofErr w:type="spellStart"/>
      <w:r w:rsidRPr="00DB0819">
        <w:t>Nyfoudi</w:t>
      </w:r>
      <w:proofErr w:type="spellEnd"/>
      <w:r w:rsidRPr="00DB0819">
        <w:t xml:space="preserve">, M., Sanders, K., Shipton, H. and Sun, J.M.J., 2021. Structuring for innovative responses to human resource </w:t>
      </w:r>
      <w:r w:rsidRPr="00DB0819">
        <w:lastRenderedPageBreak/>
        <w:t>challenges: A skunk works approach. Human Resource Management Review, 31(2), p.100768.</w:t>
      </w:r>
    </w:p>
    <w:p w14:paraId="1BC07408" w14:textId="77777777" w:rsidR="00DF0922" w:rsidRDefault="00DF0922" w:rsidP="007874C5">
      <w:pPr>
        <w:pStyle w:val="ListParagraph"/>
        <w:numPr>
          <w:ilvl w:val="0"/>
          <w:numId w:val="4"/>
        </w:numPr>
        <w:spacing w:line="360" w:lineRule="auto"/>
        <w:jc w:val="both"/>
      </w:pPr>
      <w:r w:rsidRPr="00860B5D">
        <w:t>Boudreau, L., Cajal-Grossi, J. and Macchiavello, R., 2023. Global value chains in developing countries: a relational perspective from coffee and garments. Journal of Economic Perspectives, 37(3), pp.59-86.</w:t>
      </w:r>
    </w:p>
    <w:p w14:paraId="413029A1" w14:textId="77777777" w:rsidR="00DF0922" w:rsidRDefault="00DF0922" w:rsidP="007874C5">
      <w:pPr>
        <w:pStyle w:val="ListParagraph"/>
        <w:numPr>
          <w:ilvl w:val="0"/>
          <w:numId w:val="4"/>
        </w:numPr>
        <w:spacing w:line="360" w:lineRule="auto"/>
        <w:jc w:val="both"/>
      </w:pPr>
      <w:r w:rsidRPr="009606D8">
        <w:t>Bresciani, S., Ferraris, A., Romano, M. and Santoro, G., 2021. Building a digital transformation strategy. In Digital transformation management for agile organizations: A compass to sail the digital world (pp. 5-27). Emerald Publishing Limited.</w:t>
      </w:r>
    </w:p>
    <w:p w14:paraId="6FB9CD58" w14:textId="77777777" w:rsidR="00DF0922" w:rsidRDefault="00DF0922" w:rsidP="007874C5">
      <w:pPr>
        <w:pStyle w:val="ListParagraph"/>
        <w:numPr>
          <w:ilvl w:val="0"/>
          <w:numId w:val="4"/>
        </w:numPr>
        <w:spacing w:line="360" w:lineRule="auto"/>
        <w:jc w:val="both"/>
      </w:pPr>
      <w:r w:rsidRPr="00655760">
        <w:t xml:space="preserve">British Petroleum Company (BP) is an oil &amp; gas British multinational with its headquarters in London with over 78 countries and 170,000 employees. The history of this oil company is traced back to the </w:t>
      </w:r>
      <w:proofErr w:type="gramStart"/>
      <w:r w:rsidRPr="00655760">
        <w:t>precursor</w:t>
      </w:r>
      <w:proofErr w:type="gramEnd"/>
    </w:p>
    <w:p w14:paraId="46078A3A" w14:textId="77777777" w:rsidR="00DF0922" w:rsidRDefault="00DF0922" w:rsidP="007874C5">
      <w:pPr>
        <w:pStyle w:val="ListParagraph"/>
        <w:numPr>
          <w:ilvl w:val="0"/>
          <w:numId w:val="4"/>
        </w:numPr>
        <w:spacing w:line="360" w:lineRule="auto"/>
        <w:jc w:val="both"/>
      </w:pPr>
      <w:r>
        <w:t xml:space="preserve">British Petroleum Company (BP) is an oil &amp; gas British multinational with its headquarters in London with over 78 countries and 170,000 employees. The history of this oil company is traced back to the </w:t>
      </w:r>
      <w:proofErr w:type="gramStart"/>
      <w:r>
        <w:t>precursor</w:t>
      </w:r>
      <w:proofErr w:type="gramEnd"/>
    </w:p>
    <w:p w14:paraId="2A4EA438" w14:textId="77777777" w:rsidR="00DF0922" w:rsidRDefault="00DF0922" w:rsidP="007874C5">
      <w:pPr>
        <w:pStyle w:val="ListParagraph"/>
        <w:numPr>
          <w:ilvl w:val="0"/>
          <w:numId w:val="4"/>
        </w:numPr>
        <w:spacing w:line="360" w:lineRule="auto"/>
        <w:jc w:val="both"/>
      </w:pPr>
      <w:r w:rsidRPr="00652F70">
        <w:t>Carpenter, A. and Lozano, R., 2020. Introduction, Chapter Summary, and Conclusions from the Book. European Port Cities in Transition: Moving Towards More Sustainable Sea Transport Hubs, pp.1-17.</w:t>
      </w:r>
    </w:p>
    <w:p w14:paraId="25FEC752" w14:textId="77777777" w:rsidR="00DF0922" w:rsidRDefault="00DF0922" w:rsidP="007874C5">
      <w:pPr>
        <w:pStyle w:val="ListParagraph"/>
        <w:numPr>
          <w:ilvl w:val="0"/>
          <w:numId w:val="4"/>
        </w:numPr>
        <w:spacing w:line="360" w:lineRule="auto"/>
        <w:jc w:val="both"/>
      </w:pPr>
      <w:r w:rsidRPr="00C9218E">
        <w:t>Carter, J., 2021. Principles of Organizational Management.</w:t>
      </w:r>
    </w:p>
    <w:p w14:paraId="3A315980" w14:textId="77777777" w:rsidR="00DF0922" w:rsidRDefault="00DF0922" w:rsidP="007874C5">
      <w:pPr>
        <w:pStyle w:val="ListParagraph"/>
        <w:numPr>
          <w:ilvl w:val="0"/>
          <w:numId w:val="4"/>
        </w:numPr>
        <w:spacing w:line="360" w:lineRule="auto"/>
        <w:jc w:val="both"/>
      </w:pPr>
      <w:r w:rsidRPr="00371911">
        <w:t>Charles, M. and Ochieng, S.B., 2023. Strategic outsourcing and firm performance: a review of literature. International Journal of Social Science and Humanities Research (IJSSHR) ISSN 2959-7056 (o); 2959-7048 (p), 1(1), pp.20-29.</w:t>
      </w:r>
    </w:p>
    <w:p w14:paraId="12434CA2" w14:textId="77777777" w:rsidR="00DF0922" w:rsidRDefault="00DF0922" w:rsidP="007874C5">
      <w:pPr>
        <w:pStyle w:val="ListParagraph"/>
        <w:numPr>
          <w:ilvl w:val="0"/>
          <w:numId w:val="4"/>
        </w:numPr>
        <w:spacing w:line="360" w:lineRule="auto"/>
        <w:jc w:val="both"/>
      </w:pPr>
      <w:proofErr w:type="spellStart"/>
      <w:r w:rsidRPr="00F645C7">
        <w:t>Chedru</w:t>
      </w:r>
      <w:proofErr w:type="spellEnd"/>
      <w:r w:rsidRPr="00F645C7">
        <w:t>, M. and Ostapchuk, M., 2023. The effect of study abroad and personality on cultural intelligence: A deeper understanding using the expanded model of cultural intelligence. International Journal of Intercultural Relations, 92, p.101737.</w:t>
      </w:r>
    </w:p>
    <w:p w14:paraId="3ADFA11E" w14:textId="77777777" w:rsidR="00DF0922" w:rsidRDefault="00DF0922" w:rsidP="007874C5">
      <w:pPr>
        <w:pStyle w:val="ListParagraph"/>
        <w:numPr>
          <w:ilvl w:val="0"/>
          <w:numId w:val="4"/>
        </w:numPr>
        <w:spacing w:line="360" w:lineRule="auto"/>
        <w:jc w:val="both"/>
      </w:pPr>
      <w:r w:rsidRPr="00597E85">
        <w:t xml:space="preserve">Cooke, F.L., Schuler, R. and Varma, A., 2020. Human resource management research and practice in Asia: Past, </w:t>
      </w:r>
      <w:proofErr w:type="gramStart"/>
      <w:r w:rsidRPr="00597E85">
        <w:t>present</w:t>
      </w:r>
      <w:proofErr w:type="gramEnd"/>
      <w:r w:rsidRPr="00597E85">
        <w:t xml:space="preserve"> and future. Human Resource Management Review, 30(4), p.100778.</w:t>
      </w:r>
    </w:p>
    <w:p w14:paraId="3034D391" w14:textId="77777777" w:rsidR="00DF0922" w:rsidRDefault="00DF0922" w:rsidP="007874C5">
      <w:pPr>
        <w:pStyle w:val="ListParagraph"/>
        <w:numPr>
          <w:ilvl w:val="0"/>
          <w:numId w:val="4"/>
        </w:numPr>
        <w:spacing w:line="360" w:lineRule="auto"/>
        <w:jc w:val="both"/>
      </w:pPr>
      <w:r w:rsidRPr="00E3029A">
        <w:t xml:space="preserve">Cooke, F.L., Schuler, R. and Varma, A., 2020. Human resource management research and practice in Asia: Past, </w:t>
      </w:r>
      <w:proofErr w:type="gramStart"/>
      <w:r w:rsidRPr="00E3029A">
        <w:t>present</w:t>
      </w:r>
      <w:proofErr w:type="gramEnd"/>
      <w:r w:rsidRPr="00E3029A">
        <w:t xml:space="preserve"> and future. Human Resource Management Review, 30(4), p.100778.</w:t>
      </w:r>
    </w:p>
    <w:p w14:paraId="75A52914" w14:textId="77777777" w:rsidR="00DF0922" w:rsidRDefault="00DF0922" w:rsidP="007874C5">
      <w:pPr>
        <w:pStyle w:val="ListParagraph"/>
        <w:numPr>
          <w:ilvl w:val="0"/>
          <w:numId w:val="4"/>
        </w:numPr>
        <w:spacing w:line="360" w:lineRule="auto"/>
        <w:jc w:val="both"/>
      </w:pPr>
      <w:r w:rsidRPr="00AC0BC9">
        <w:lastRenderedPageBreak/>
        <w:t>Costa, R.L.D., Pereira, L., Dias, Á., Gonçalves, R., Jerónimo, C. and Santos, R., 2022. Culture influence in international organisations. International Journal of Economics and Business Research, 23(3), pp.389-410.</w:t>
      </w:r>
    </w:p>
    <w:p w14:paraId="5C25E870" w14:textId="77777777" w:rsidR="00DF0922" w:rsidRDefault="00DF0922" w:rsidP="007874C5">
      <w:pPr>
        <w:pStyle w:val="ListParagraph"/>
        <w:numPr>
          <w:ilvl w:val="0"/>
          <w:numId w:val="4"/>
        </w:numPr>
        <w:spacing w:line="360" w:lineRule="auto"/>
        <w:jc w:val="both"/>
      </w:pPr>
      <w:r w:rsidRPr="007C6E96">
        <w:t>Dilyard, J. and Zhao, S., 2023. The inconvenient truth: how business model innovation can trigger global companies to act (</w:t>
      </w:r>
      <w:proofErr w:type="spellStart"/>
      <w:r w:rsidRPr="007C6E96">
        <w:t>ir</w:t>
      </w:r>
      <w:proofErr w:type="spellEnd"/>
      <w:r w:rsidRPr="007C6E96">
        <w:t>) responsibly. In Research Handbook on International Corporate Social Responsibility (pp. 152-167). Edward Elgar Publishing.</w:t>
      </w:r>
    </w:p>
    <w:p w14:paraId="3552FA6A" w14:textId="77777777" w:rsidR="00DF0922" w:rsidRDefault="00DF0922" w:rsidP="007874C5">
      <w:pPr>
        <w:pStyle w:val="ListParagraph"/>
        <w:numPr>
          <w:ilvl w:val="0"/>
          <w:numId w:val="4"/>
        </w:numPr>
        <w:spacing w:line="360" w:lineRule="auto"/>
        <w:jc w:val="both"/>
      </w:pPr>
      <w:proofErr w:type="spellStart"/>
      <w:r w:rsidRPr="007C0128">
        <w:t>Dorasamy</w:t>
      </w:r>
      <w:proofErr w:type="spellEnd"/>
      <w:r w:rsidRPr="007C0128">
        <w:t xml:space="preserve">, N., 2021. The search for talent management competence: incorporating </w:t>
      </w:r>
      <w:proofErr w:type="spellStart"/>
      <w:r w:rsidRPr="007C0128">
        <w:t>digitilization</w:t>
      </w:r>
      <w:proofErr w:type="spellEnd"/>
      <w:r w:rsidRPr="007C0128">
        <w:t>. International Journal of Entrepreneurship, 25(3), pp.1-21.</w:t>
      </w:r>
    </w:p>
    <w:p w14:paraId="4B5D734C" w14:textId="77777777" w:rsidR="00DF0922" w:rsidRDefault="00DF0922" w:rsidP="007874C5">
      <w:pPr>
        <w:pStyle w:val="ListParagraph"/>
        <w:numPr>
          <w:ilvl w:val="0"/>
          <w:numId w:val="4"/>
        </w:numPr>
        <w:spacing w:line="360" w:lineRule="auto"/>
        <w:jc w:val="both"/>
      </w:pPr>
      <w:r w:rsidRPr="007C6233">
        <w:t xml:space="preserve">Edmund, N.N.K., </w:t>
      </w:r>
      <w:proofErr w:type="spellStart"/>
      <w:r w:rsidRPr="007C6233">
        <w:t>Suxia</w:t>
      </w:r>
      <w:proofErr w:type="spellEnd"/>
      <w:r w:rsidRPr="007C6233">
        <w:t xml:space="preserve">, L., Ebenezer, L. and </w:t>
      </w:r>
      <w:proofErr w:type="spellStart"/>
      <w:r w:rsidRPr="007C6233">
        <w:t>Kachie</w:t>
      </w:r>
      <w:proofErr w:type="spellEnd"/>
      <w:r w:rsidRPr="007C6233">
        <w:t>, A.D.T., 2023. Emotional intelligence as a conduit for improved occupational health safety environment in the oil and gas sector. Scientific Reports, 13(1), p.19698.</w:t>
      </w:r>
    </w:p>
    <w:p w14:paraId="5B1D0CB0" w14:textId="77777777" w:rsidR="00DF0922" w:rsidRDefault="00DF0922" w:rsidP="007874C5">
      <w:pPr>
        <w:pStyle w:val="ListParagraph"/>
        <w:numPr>
          <w:ilvl w:val="0"/>
          <w:numId w:val="4"/>
        </w:numPr>
        <w:spacing w:line="360" w:lineRule="auto"/>
        <w:jc w:val="both"/>
      </w:pPr>
      <w:r w:rsidRPr="0025485E">
        <w:t>Eren, Ş.G., 2023. Multi-layered Cities. Historical Stratifications and Multi-layered Cities, p.1.</w:t>
      </w:r>
    </w:p>
    <w:p w14:paraId="047CB33A" w14:textId="77777777" w:rsidR="00DF0922" w:rsidRDefault="00DF0922" w:rsidP="007874C5">
      <w:pPr>
        <w:pStyle w:val="ListParagraph"/>
        <w:numPr>
          <w:ilvl w:val="0"/>
          <w:numId w:val="4"/>
        </w:numPr>
        <w:spacing w:line="360" w:lineRule="auto"/>
        <w:jc w:val="both"/>
      </w:pPr>
      <w:r w:rsidRPr="006C170B">
        <w:t xml:space="preserve">Eren, Y. and </w:t>
      </w:r>
      <w:proofErr w:type="spellStart"/>
      <w:r w:rsidRPr="006C170B">
        <w:t>Küçükdemiral</w:t>
      </w:r>
      <w:proofErr w:type="spellEnd"/>
      <w:r w:rsidRPr="006C170B">
        <w:t>, İ., 2024. A comprehensive review on deep learning approaches for short-term load forecasting. Renewable and Sustainable Energy Reviews, 189, p.114031.</w:t>
      </w:r>
    </w:p>
    <w:p w14:paraId="3EF47224" w14:textId="77777777" w:rsidR="00DF0922" w:rsidRDefault="00DF0922" w:rsidP="007874C5">
      <w:pPr>
        <w:pStyle w:val="ListParagraph"/>
        <w:numPr>
          <w:ilvl w:val="0"/>
          <w:numId w:val="4"/>
        </w:numPr>
        <w:spacing w:line="360" w:lineRule="auto"/>
        <w:jc w:val="both"/>
      </w:pPr>
      <w:r w:rsidRPr="00196DBD">
        <w:t>Feix, T. and Feix, T., 2020. Integration Management. End-to-End M&amp;A Process Design: Resilient Business Model Innovation, pp.173-244.</w:t>
      </w:r>
    </w:p>
    <w:p w14:paraId="42CBA027" w14:textId="77777777" w:rsidR="00DF0922" w:rsidRDefault="00DF0922" w:rsidP="007874C5">
      <w:pPr>
        <w:pStyle w:val="ListParagraph"/>
        <w:numPr>
          <w:ilvl w:val="0"/>
          <w:numId w:val="4"/>
        </w:numPr>
        <w:spacing w:line="360" w:lineRule="auto"/>
        <w:jc w:val="both"/>
      </w:pPr>
      <w:r w:rsidRPr="009E36E2">
        <w:t>Fuchs, M., 2022. The Management of the Multinational Firm. In International Management: The Process of Internationalization and Market Entry Strategies (pp. 269-326). Berlin, Heidelberg: Springer Berlin Heidelberg.</w:t>
      </w:r>
    </w:p>
    <w:p w14:paraId="18CBC02D" w14:textId="77777777" w:rsidR="00DF0922" w:rsidRDefault="00DF0922" w:rsidP="007874C5">
      <w:pPr>
        <w:pStyle w:val="ListParagraph"/>
        <w:numPr>
          <w:ilvl w:val="0"/>
          <w:numId w:val="4"/>
        </w:numPr>
        <w:spacing w:line="360" w:lineRule="auto"/>
        <w:jc w:val="both"/>
      </w:pPr>
      <w:r w:rsidRPr="007B21E5">
        <w:t>Gargano, G., 2021. The bottom-up development model as a governance instrument for the rural areas. The cases of four local action groups (LAGs) in the United Kingdom and in Italy. Sustainability, 13(16), p.9123.</w:t>
      </w:r>
    </w:p>
    <w:p w14:paraId="5B98472D" w14:textId="77777777" w:rsidR="00DF0922" w:rsidRDefault="00DF0922" w:rsidP="007874C5">
      <w:pPr>
        <w:pStyle w:val="ListParagraph"/>
        <w:numPr>
          <w:ilvl w:val="0"/>
          <w:numId w:val="4"/>
        </w:numPr>
        <w:spacing w:line="360" w:lineRule="auto"/>
        <w:jc w:val="both"/>
      </w:pPr>
      <w:r w:rsidRPr="00C94CBD">
        <w:t>Gebert, R., 2024. Transnational trade union strategies in the context of market integration: The case of company union clubs in the Nordic finance sector. European Journal of Industrial Relations, p.09596801241235312.</w:t>
      </w:r>
    </w:p>
    <w:p w14:paraId="7BEF7877" w14:textId="77777777" w:rsidR="00DF0922" w:rsidRDefault="00DF0922" w:rsidP="007874C5">
      <w:pPr>
        <w:pStyle w:val="ListParagraph"/>
        <w:numPr>
          <w:ilvl w:val="0"/>
          <w:numId w:val="4"/>
        </w:numPr>
        <w:spacing w:line="360" w:lineRule="auto"/>
        <w:jc w:val="both"/>
      </w:pPr>
      <w:r w:rsidRPr="00DF7647">
        <w:t>Guo, Y., Yang, Y. and Wang, C., 2021. Global energy networks: Geographies of mergers and acquisitions of worldwide oil companies. Renewable and Sustainable Energy Reviews, 139, p.110698.</w:t>
      </w:r>
    </w:p>
    <w:p w14:paraId="2CED5562" w14:textId="77777777" w:rsidR="00DF0922" w:rsidRDefault="00DF0922" w:rsidP="007874C5">
      <w:pPr>
        <w:pStyle w:val="ListParagraph"/>
        <w:numPr>
          <w:ilvl w:val="0"/>
          <w:numId w:val="4"/>
        </w:numPr>
        <w:spacing w:line="360" w:lineRule="auto"/>
        <w:jc w:val="both"/>
      </w:pPr>
      <w:r w:rsidRPr="00A665FD">
        <w:t>JD, D., 2023. Strategic Planning Processes. Available at SSRN 4409938.</w:t>
      </w:r>
    </w:p>
    <w:p w14:paraId="27F156A9" w14:textId="77777777" w:rsidR="00DF0922" w:rsidRDefault="00DF0922" w:rsidP="007874C5">
      <w:pPr>
        <w:pStyle w:val="ListParagraph"/>
        <w:numPr>
          <w:ilvl w:val="0"/>
          <w:numId w:val="4"/>
        </w:numPr>
        <w:spacing w:line="360" w:lineRule="auto"/>
        <w:jc w:val="both"/>
      </w:pPr>
      <w:proofErr w:type="spellStart"/>
      <w:r w:rsidRPr="00614ED0">
        <w:lastRenderedPageBreak/>
        <w:t>Juurinen</w:t>
      </w:r>
      <w:proofErr w:type="spellEnd"/>
      <w:r w:rsidRPr="00614ED0">
        <w:t>, E., 2023. Identifying the Dimensions of Dynamic Capabilities and Entrepreneurial Orientation for Success and Failure in Organizational Adaptation to Changing Environments.</w:t>
      </w:r>
    </w:p>
    <w:p w14:paraId="709664DD" w14:textId="77777777" w:rsidR="00DF0922" w:rsidRDefault="00DF0922" w:rsidP="007874C5">
      <w:pPr>
        <w:pStyle w:val="ListParagraph"/>
        <w:numPr>
          <w:ilvl w:val="0"/>
          <w:numId w:val="4"/>
        </w:numPr>
        <w:spacing w:line="360" w:lineRule="auto"/>
        <w:jc w:val="both"/>
      </w:pPr>
      <w:r w:rsidRPr="00420BE7">
        <w:t xml:space="preserve">Kalpaka, A., </w:t>
      </w:r>
      <w:proofErr w:type="spellStart"/>
      <w:r w:rsidRPr="00420BE7">
        <w:t>Sörvik</w:t>
      </w:r>
      <w:proofErr w:type="spellEnd"/>
      <w:r w:rsidRPr="00420BE7">
        <w:t xml:space="preserve">, J., </w:t>
      </w:r>
      <w:proofErr w:type="spellStart"/>
      <w:r w:rsidRPr="00420BE7">
        <w:t>Tasigiorgou</w:t>
      </w:r>
      <w:proofErr w:type="spellEnd"/>
      <w:r w:rsidRPr="00420BE7">
        <w:t xml:space="preserve">, A. and </w:t>
      </w:r>
      <w:proofErr w:type="spellStart"/>
      <w:r w:rsidRPr="00420BE7">
        <w:t>Rissola</w:t>
      </w:r>
      <w:proofErr w:type="spellEnd"/>
      <w:r w:rsidRPr="00420BE7">
        <w:t>, G., 2020. Digital Innovation Hubs as policy instruments to boost digitalisation of SMEs.</w:t>
      </w:r>
    </w:p>
    <w:p w14:paraId="54A85976" w14:textId="77777777" w:rsidR="00DF0922" w:rsidRDefault="00DF0922" w:rsidP="007874C5">
      <w:pPr>
        <w:pStyle w:val="ListParagraph"/>
        <w:numPr>
          <w:ilvl w:val="0"/>
          <w:numId w:val="4"/>
        </w:numPr>
        <w:spacing w:line="360" w:lineRule="auto"/>
        <w:jc w:val="both"/>
      </w:pPr>
      <w:r>
        <w:t>Karthikeyan, C. and Director-ASB, M.B.A., 2017. A qualitative study on managing millennial mindsets: Awaiting challenges for HR strategists and recruiters. International Journal of Innovative Research in Engineering &amp; Management, 4(1), pp.601-609.</w:t>
      </w:r>
    </w:p>
    <w:p w14:paraId="597CE25A" w14:textId="77777777" w:rsidR="00DF0922" w:rsidRDefault="00DF0922" w:rsidP="007874C5">
      <w:pPr>
        <w:pStyle w:val="ListParagraph"/>
        <w:numPr>
          <w:ilvl w:val="0"/>
          <w:numId w:val="4"/>
        </w:numPr>
        <w:spacing w:line="360" w:lineRule="auto"/>
        <w:jc w:val="both"/>
      </w:pPr>
      <w:proofErr w:type="spellStart"/>
      <w:r w:rsidRPr="00810FF8">
        <w:t>Kruyen</w:t>
      </w:r>
      <w:proofErr w:type="spellEnd"/>
      <w:r w:rsidRPr="00810FF8">
        <w:t>, P.M. and Sowa, J.E., 2023. Essential but ignored: Including blue-collar government workers into human resource management research. Public Personnel Management, 52(4), pp.521-542.</w:t>
      </w:r>
    </w:p>
    <w:p w14:paraId="27047269" w14:textId="77777777" w:rsidR="00DF0922" w:rsidRDefault="00DF0922" w:rsidP="007874C5">
      <w:pPr>
        <w:pStyle w:val="ListParagraph"/>
        <w:numPr>
          <w:ilvl w:val="0"/>
          <w:numId w:val="4"/>
        </w:numPr>
        <w:spacing w:line="360" w:lineRule="auto"/>
        <w:jc w:val="both"/>
      </w:pPr>
      <w:r w:rsidRPr="003049FC">
        <w:t>Lee, I.H.I., Hong, E. and Makino, S., 2020. The effect of non-conventional outbound foreign direct investment (FDI) on the domestic employment of multinational enterprises (MNEs). International business review, 29(3), p.101671.</w:t>
      </w:r>
    </w:p>
    <w:p w14:paraId="70A5E635" w14:textId="77777777" w:rsidR="00DF0922" w:rsidRDefault="00DF0922" w:rsidP="007874C5">
      <w:pPr>
        <w:pStyle w:val="ListParagraph"/>
        <w:numPr>
          <w:ilvl w:val="0"/>
          <w:numId w:val="4"/>
        </w:numPr>
        <w:spacing w:line="360" w:lineRule="auto"/>
        <w:jc w:val="both"/>
      </w:pPr>
      <w:r w:rsidRPr="00F06380">
        <w:t xml:space="preserve">Liu, H. and Zhao, H., 2022. Upgrading models, evolutionary </w:t>
      </w:r>
      <w:proofErr w:type="gramStart"/>
      <w:r w:rsidRPr="00F06380">
        <w:t>mechanisms</w:t>
      </w:r>
      <w:proofErr w:type="gramEnd"/>
      <w:r w:rsidRPr="00F06380">
        <w:t xml:space="preserve"> and vertical cases of service-oriented manufacturing in SVC leading enterprises: Product-development and service-innovation for industry 4.0. Humanities and Social Sciences Communications, 9(1), pp.1-24.</w:t>
      </w:r>
    </w:p>
    <w:p w14:paraId="277D64B5" w14:textId="77777777" w:rsidR="00DF0922" w:rsidRDefault="00DF0922" w:rsidP="007874C5">
      <w:pPr>
        <w:pStyle w:val="ListParagraph"/>
        <w:numPr>
          <w:ilvl w:val="0"/>
          <w:numId w:val="4"/>
        </w:numPr>
        <w:spacing w:line="360" w:lineRule="auto"/>
        <w:jc w:val="both"/>
      </w:pPr>
      <w:r w:rsidRPr="006901DD">
        <w:t>Liu, W.S.K., 2024. Global Leadership Dynamics: Refining Executive Selection in Multinational Corporations. Journal of the Knowledge Economy, pp.1-45.</w:t>
      </w:r>
    </w:p>
    <w:p w14:paraId="108D4B80" w14:textId="77777777" w:rsidR="00DF0922" w:rsidRDefault="00DF0922" w:rsidP="007874C5">
      <w:pPr>
        <w:pStyle w:val="ListParagraph"/>
        <w:numPr>
          <w:ilvl w:val="0"/>
          <w:numId w:val="4"/>
        </w:numPr>
        <w:spacing w:line="360" w:lineRule="auto"/>
        <w:jc w:val="both"/>
      </w:pPr>
      <w:r w:rsidRPr="004C0248">
        <w:t>Loonam, J. and O'Regan, N., 2022. Global value chains and digital platforms: Implications for strategy. Strategic Change, 31(1), pp.161-177.</w:t>
      </w:r>
    </w:p>
    <w:p w14:paraId="17961584" w14:textId="77777777" w:rsidR="00DF0922" w:rsidRDefault="00DF0922" w:rsidP="007874C5">
      <w:pPr>
        <w:pStyle w:val="ListParagraph"/>
        <w:numPr>
          <w:ilvl w:val="0"/>
          <w:numId w:val="4"/>
        </w:numPr>
        <w:spacing w:line="360" w:lineRule="auto"/>
        <w:jc w:val="both"/>
      </w:pPr>
      <w:r w:rsidRPr="006C67B8">
        <w:t xml:space="preserve">Love, H.R. and Corr, C., 2022. Integrating without </w:t>
      </w:r>
      <w:proofErr w:type="spellStart"/>
      <w:r w:rsidRPr="006C67B8">
        <w:t>quantitizing</w:t>
      </w:r>
      <w:proofErr w:type="spellEnd"/>
      <w:r w:rsidRPr="006C67B8">
        <w:t>: two examples of deductive analysis strategies within qualitatively driven mixed methods research. Journal of mixed methods research, 16(1), pp.64-87.</w:t>
      </w:r>
    </w:p>
    <w:p w14:paraId="73C41C47" w14:textId="77777777" w:rsidR="00DF0922" w:rsidRDefault="00DF0922" w:rsidP="007874C5">
      <w:pPr>
        <w:pStyle w:val="ListParagraph"/>
        <w:numPr>
          <w:ilvl w:val="0"/>
          <w:numId w:val="4"/>
        </w:numPr>
        <w:spacing w:line="360" w:lineRule="auto"/>
        <w:jc w:val="both"/>
      </w:pPr>
      <w:r w:rsidRPr="00143C0D">
        <w:t xml:space="preserve">Ly, B. and Pathak, S., 2024. Sustainable HRM in Action: </w:t>
      </w:r>
      <w:proofErr w:type="gramStart"/>
      <w:r w:rsidRPr="00143C0D">
        <w:t>the</w:t>
      </w:r>
      <w:proofErr w:type="gramEnd"/>
      <w:r w:rsidRPr="00143C0D">
        <w:t xml:space="preserve"> Role of Culture, Training, and Knowledge in Green Employee </w:t>
      </w:r>
      <w:proofErr w:type="spellStart"/>
      <w:r w:rsidRPr="00143C0D">
        <w:t>Behavior</w:t>
      </w:r>
      <w:proofErr w:type="spellEnd"/>
      <w:r w:rsidRPr="00143C0D">
        <w:t xml:space="preserve"> in Cambodia. Journal of the Knowledge Economy, pp.1-28.</w:t>
      </w:r>
    </w:p>
    <w:p w14:paraId="457DB9E4" w14:textId="77777777" w:rsidR="00DF0922" w:rsidRDefault="00DF0922" w:rsidP="007874C5">
      <w:pPr>
        <w:pStyle w:val="ListParagraph"/>
        <w:numPr>
          <w:ilvl w:val="0"/>
          <w:numId w:val="4"/>
        </w:numPr>
        <w:spacing w:line="360" w:lineRule="auto"/>
        <w:jc w:val="both"/>
      </w:pPr>
      <w:r w:rsidRPr="00777E16">
        <w:t xml:space="preserve">Malik, A., </w:t>
      </w:r>
      <w:proofErr w:type="spellStart"/>
      <w:r w:rsidRPr="00777E16">
        <w:t>Budhwar</w:t>
      </w:r>
      <w:proofErr w:type="spellEnd"/>
      <w:r w:rsidRPr="00777E16">
        <w:t xml:space="preserve">, P., Patel, C. and Laker, B., 2021. Holistic indigenous and atomistic modernity: </w:t>
      </w:r>
      <w:proofErr w:type="spellStart"/>
      <w:r w:rsidRPr="00777E16">
        <w:t>Analyzing</w:t>
      </w:r>
      <w:proofErr w:type="spellEnd"/>
      <w:r w:rsidRPr="00777E16">
        <w:t xml:space="preserve"> performance management in two Indian emerging market multinational corporations. Human Resource Management, 60(5), pp.803-823.</w:t>
      </w:r>
    </w:p>
    <w:p w14:paraId="03514177" w14:textId="77777777" w:rsidR="00DF0922" w:rsidRDefault="00DF0922" w:rsidP="007874C5">
      <w:pPr>
        <w:pStyle w:val="ListParagraph"/>
        <w:numPr>
          <w:ilvl w:val="0"/>
          <w:numId w:val="4"/>
        </w:numPr>
        <w:spacing w:line="360" w:lineRule="auto"/>
        <w:jc w:val="both"/>
      </w:pPr>
      <w:r w:rsidRPr="00D671F5">
        <w:lastRenderedPageBreak/>
        <w:t>Melanson, D., 2024. Full-Time Nursing Faculty’s Perceptions of Extrinsic Workload Factors.</w:t>
      </w:r>
    </w:p>
    <w:p w14:paraId="5F491957" w14:textId="77777777" w:rsidR="00DF0922" w:rsidRDefault="00DF0922" w:rsidP="007874C5">
      <w:pPr>
        <w:pStyle w:val="ListParagraph"/>
        <w:numPr>
          <w:ilvl w:val="0"/>
          <w:numId w:val="4"/>
        </w:numPr>
        <w:spacing w:line="360" w:lineRule="auto"/>
        <w:jc w:val="both"/>
      </w:pPr>
      <w:proofErr w:type="spellStart"/>
      <w:r w:rsidRPr="00916181">
        <w:t>Nienabera</w:t>
      </w:r>
      <w:proofErr w:type="spellEnd"/>
      <w:r w:rsidRPr="00916181">
        <w:t xml:space="preserve">, A.M., </w:t>
      </w:r>
      <w:proofErr w:type="spellStart"/>
      <w:r w:rsidRPr="00916181">
        <w:t>Woodcockb</w:t>
      </w:r>
      <w:proofErr w:type="spellEnd"/>
      <w:r w:rsidRPr="00916181">
        <w:t xml:space="preserve">, A. and </w:t>
      </w:r>
      <w:proofErr w:type="spellStart"/>
      <w:r w:rsidRPr="00916181">
        <w:t>Gutc</w:t>
      </w:r>
      <w:proofErr w:type="spellEnd"/>
      <w:r w:rsidRPr="00916181">
        <w:t xml:space="preserve">, K., 2021. Agility and Resilience of Local Authorities–the Covid challenge. In </w:t>
      </w:r>
      <w:proofErr w:type="spellStart"/>
      <w:r w:rsidRPr="00916181">
        <w:t>Infrastructuring</w:t>
      </w:r>
      <w:proofErr w:type="spellEnd"/>
      <w:r w:rsidRPr="00916181">
        <w:t xml:space="preserve"> for Organizational Resilience: A workshop report (pp. 32-42).</w:t>
      </w:r>
    </w:p>
    <w:p w14:paraId="125E17C5" w14:textId="77777777" w:rsidR="00DF0922" w:rsidRDefault="00DF0922" w:rsidP="007874C5">
      <w:pPr>
        <w:pStyle w:val="ListParagraph"/>
        <w:numPr>
          <w:ilvl w:val="0"/>
          <w:numId w:val="4"/>
        </w:numPr>
        <w:spacing w:line="360" w:lineRule="auto"/>
        <w:jc w:val="both"/>
      </w:pPr>
      <w:r w:rsidRPr="00C661BA">
        <w:t>Nowak, S., 2023. Designing for ambiguity in sensemaking: Visual analytics in risk analysis and prediction.</w:t>
      </w:r>
    </w:p>
    <w:p w14:paraId="3EC2A008" w14:textId="77777777" w:rsidR="00DF0922" w:rsidRDefault="00DF0922" w:rsidP="007874C5">
      <w:pPr>
        <w:pStyle w:val="ListParagraph"/>
        <w:numPr>
          <w:ilvl w:val="0"/>
          <w:numId w:val="4"/>
        </w:numPr>
        <w:spacing w:line="360" w:lineRule="auto"/>
        <w:jc w:val="both"/>
      </w:pPr>
      <w:r w:rsidRPr="0029037B">
        <w:t xml:space="preserve">Opara, S. and </w:t>
      </w:r>
      <w:proofErr w:type="spellStart"/>
      <w:r w:rsidRPr="0029037B">
        <w:t>Waheduzzaman</w:t>
      </w:r>
      <w:proofErr w:type="spellEnd"/>
      <w:r w:rsidRPr="0029037B">
        <w:t xml:space="preserve">, W., 2024. The universal, </w:t>
      </w:r>
      <w:proofErr w:type="gramStart"/>
      <w:r w:rsidRPr="0029037B">
        <w:t>contingency</w:t>
      </w:r>
      <w:proofErr w:type="gramEnd"/>
      <w:r w:rsidRPr="0029037B">
        <w:t xml:space="preserve"> or configurational HRM approaches for organizational performance: Lessons from Australian performing arts. German Journal of Human Resource Management, p.23970022241231538.</w:t>
      </w:r>
    </w:p>
    <w:p w14:paraId="4B8226FA" w14:textId="77777777" w:rsidR="00DF0922" w:rsidRDefault="00DF0922" w:rsidP="007874C5">
      <w:pPr>
        <w:pStyle w:val="ListParagraph"/>
        <w:numPr>
          <w:ilvl w:val="0"/>
          <w:numId w:val="4"/>
        </w:numPr>
        <w:spacing w:line="360" w:lineRule="auto"/>
        <w:jc w:val="both"/>
      </w:pPr>
      <w:proofErr w:type="spellStart"/>
      <w:r w:rsidRPr="000542C0">
        <w:t>Prajogo</w:t>
      </w:r>
      <w:proofErr w:type="spellEnd"/>
      <w:r w:rsidRPr="000542C0">
        <w:t xml:space="preserve">, D., Mena, C., Cooper, </w:t>
      </w:r>
      <w:proofErr w:type="gramStart"/>
      <w:r w:rsidRPr="000542C0">
        <w:t>B.</w:t>
      </w:r>
      <w:proofErr w:type="gramEnd"/>
      <w:r w:rsidRPr="000542C0">
        <w:t xml:space="preserve"> and </w:t>
      </w:r>
      <w:proofErr w:type="spellStart"/>
      <w:r w:rsidRPr="000542C0">
        <w:t>Teh</w:t>
      </w:r>
      <w:proofErr w:type="spellEnd"/>
      <w:r w:rsidRPr="000542C0">
        <w:t>, P.L., 2022. The roles of national culture in affecting quality management practices and quality performance-multilevel and multi-country analysis. International Journal of Operations &amp; Production Management, 42(7), pp.877-897.</w:t>
      </w:r>
    </w:p>
    <w:p w14:paraId="5B1E1704" w14:textId="77777777" w:rsidR="00DF0922" w:rsidRDefault="00DF0922" w:rsidP="007874C5">
      <w:pPr>
        <w:pStyle w:val="ListParagraph"/>
        <w:numPr>
          <w:ilvl w:val="0"/>
          <w:numId w:val="4"/>
        </w:numPr>
        <w:spacing w:line="360" w:lineRule="auto"/>
        <w:jc w:val="both"/>
      </w:pPr>
      <w:proofErr w:type="spellStart"/>
      <w:r w:rsidRPr="000B3F3A">
        <w:t>Pucik</w:t>
      </w:r>
      <w:proofErr w:type="spellEnd"/>
      <w:r w:rsidRPr="000B3F3A">
        <w:t>, V., Björkman, I., Evans, P. and Stahl, G., 2023. Managing performance. In The Global Challenge (pp. 209-244). Edward Elgar Publishing.</w:t>
      </w:r>
    </w:p>
    <w:p w14:paraId="2C65D842" w14:textId="77777777" w:rsidR="00DF0922" w:rsidRDefault="00DF0922" w:rsidP="007874C5">
      <w:pPr>
        <w:pStyle w:val="ListParagraph"/>
        <w:numPr>
          <w:ilvl w:val="0"/>
          <w:numId w:val="4"/>
        </w:numPr>
        <w:spacing w:line="360" w:lineRule="auto"/>
        <w:jc w:val="both"/>
      </w:pPr>
      <w:proofErr w:type="spellStart"/>
      <w:r w:rsidRPr="00E71973">
        <w:t>Purgał</w:t>
      </w:r>
      <w:proofErr w:type="spellEnd"/>
      <w:r w:rsidRPr="00E71973">
        <w:t xml:space="preserve">-Popiela, J., Pauli, U. and </w:t>
      </w:r>
      <w:proofErr w:type="spellStart"/>
      <w:r w:rsidRPr="00E71973">
        <w:t>Pocztowski</w:t>
      </w:r>
      <w:proofErr w:type="spellEnd"/>
      <w:r w:rsidRPr="00E71973">
        <w:t>, A., 2023. Human Resource Management in Early Internationalised SMEs. Taylor &amp; Francis.</w:t>
      </w:r>
    </w:p>
    <w:p w14:paraId="5A2633B7" w14:textId="77777777" w:rsidR="00DF0922" w:rsidRDefault="00DF0922" w:rsidP="007874C5">
      <w:pPr>
        <w:pStyle w:val="ListParagraph"/>
        <w:numPr>
          <w:ilvl w:val="0"/>
          <w:numId w:val="4"/>
        </w:numPr>
        <w:spacing w:line="360" w:lineRule="auto"/>
        <w:jc w:val="both"/>
      </w:pPr>
      <w:proofErr w:type="spellStart"/>
      <w:r w:rsidRPr="00C3491F">
        <w:t>Selivanovskikh</w:t>
      </w:r>
      <w:proofErr w:type="spellEnd"/>
      <w:r w:rsidRPr="00C3491F">
        <w:t xml:space="preserve">, L.V., 2020. Global talent management: A view beyond developed markets. </w:t>
      </w:r>
      <w:proofErr w:type="spellStart"/>
      <w:r w:rsidRPr="00C3491F">
        <w:t>Российский</w:t>
      </w:r>
      <w:proofErr w:type="spellEnd"/>
      <w:r w:rsidRPr="00C3491F">
        <w:t xml:space="preserve"> </w:t>
      </w:r>
      <w:proofErr w:type="spellStart"/>
      <w:r w:rsidRPr="00C3491F">
        <w:t>журнал</w:t>
      </w:r>
      <w:proofErr w:type="spellEnd"/>
      <w:r w:rsidRPr="00C3491F">
        <w:t xml:space="preserve"> </w:t>
      </w:r>
      <w:proofErr w:type="spellStart"/>
      <w:r w:rsidRPr="00C3491F">
        <w:t>менеджмента</w:t>
      </w:r>
      <w:proofErr w:type="spellEnd"/>
      <w:r w:rsidRPr="00C3491F">
        <w:t>, 18(3), pp.383-410.</w:t>
      </w:r>
    </w:p>
    <w:p w14:paraId="069AE839" w14:textId="77777777" w:rsidR="00DF0922" w:rsidRDefault="00DF0922" w:rsidP="007874C5">
      <w:pPr>
        <w:pStyle w:val="ListParagraph"/>
        <w:numPr>
          <w:ilvl w:val="0"/>
          <w:numId w:val="4"/>
        </w:numPr>
        <w:spacing w:line="360" w:lineRule="auto"/>
        <w:jc w:val="both"/>
      </w:pPr>
      <w:r w:rsidRPr="003C580F">
        <w:t>Shahani, J., 2020. Limits and Opportunities of a Matrix Organization: A Study of Coordination Mechanisms Within a Multiple Brand Organization (Vol. 149). Springer Nature.</w:t>
      </w:r>
    </w:p>
    <w:p w14:paraId="7FCB8608" w14:textId="77777777" w:rsidR="00DF0922" w:rsidRDefault="00DF0922" w:rsidP="007874C5">
      <w:pPr>
        <w:pStyle w:val="ListParagraph"/>
        <w:numPr>
          <w:ilvl w:val="0"/>
          <w:numId w:val="4"/>
        </w:numPr>
        <w:spacing w:line="360" w:lineRule="auto"/>
        <w:jc w:val="both"/>
      </w:pPr>
      <w:r w:rsidRPr="00B633A8">
        <w:t>Söderblom, C., 2021. Diversity and Inclusion: a mission-critical task for today’s arts managers.</w:t>
      </w:r>
    </w:p>
    <w:p w14:paraId="3DE1CB01" w14:textId="77777777" w:rsidR="00DF0922" w:rsidRDefault="00DF0922" w:rsidP="007874C5">
      <w:pPr>
        <w:pStyle w:val="ListParagraph"/>
        <w:numPr>
          <w:ilvl w:val="0"/>
          <w:numId w:val="4"/>
        </w:numPr>
        <w:spacing w:line="360" w:lineRule="auto"/>
        <w:jc w:val="both"/>
      </w:pPr>
      <w:proofErr w:type="spellStart"/>
      <w:r w:rsidRPr="0062330A">
        <w:t>Svystunova</w:t>
      </w:r>
      <w:proofErr w:type="spellEnd"/>
      <w:r w:rsidRPr="0062330A">
        <w:t xml:space="preserve">, L., </w:t>
      </w:r>
      <w:proofErr w:type="spellStart"/>
      <w:r w:rsidRPr="0062330A">
        <w:t>Muratova</w:t>
      </w:r>
      <w:proofErr w:type="spellEnd"/>
      <w:r w:rsidRPr="0062330A">
        <w:t xml:space="preserve">, Y., </w:t>
      </w:r>
      <w:proofErr w:type="spellStart"/>
      <w:r w:rsidRPr="0062330A">
        <w:t>Fortwengel</w:t>
      </w:r>
      <w:proofErr w:type="spellEnd"/>
      <w:r w:rsidRPr="0062330A">
        <w:t>, J. and Edwards, T., 2023. Multinational Corporations’ Interactions with Host Institutions: Taking Stock and Moving Forward. Management International Review, pp.1-31.</w:t>
      </w:r>
    </w:p>
    <w:p w14:paraId="1A35C6FF" w14:textId="77777777" w:rsidR="00DF0922" w:rsidRDefault="00DF0922" w:rsidP="007874C5">
      <w:pPr>
        <w:pStyle w:val="ListParagraph"/>
        <w:numPr>
          <w:ilvl w:val="0"/>
          <w:numId w:val="4"/>
        </w:numPr>
        <w:spacing w:line="360" w:lineRule="auto"/>
        <w:jc w:val="both"/>
      </w:pPr>
      <w:r w:rsidRPr="0050698B">
        <w:t xml:space="preserve">Tapia, A.T. and </w:t>
      </w:r>
      <w:proofErr w:type="spellStart"/>
      <w:r w:rsidRPr="0050698B">
        <w:t>Kirtzman</w:t>
      </w:r>
      <w:proofErr w:type="spellEnd"/>
      <w:r w:rsidRPr="0050698B">
        <w:t>, F., 2023. The 5 Disciplines of Inclusive Organizations: How Diverse and Equitable Enterprises Will Transform the World. Berrett-Koehler Publishers.</w:t>
      </w:r>
    </w:p>
    <w:p w14:paraId="1C1FF21D" w14:textId="77777777" w:rsidR="00DF0922" w:rsidRDefault="00DF0922" w:rsidP="007874C5">
      <w:pPr>
        <w:pStyle w:val="ListParagraph"/>
        <w:numPr>
          <w:ilvl w:val="0"/>
          <w:numId w:val="4"/>
        </w:numPr>
        <w:spacing w:line="360" w:lineRule="auto"/>
        <w:jc w:val="both"/>
      </w:pPr>
      <w:r w:rsidRPr="00E96DE9">
        <w:lastRenderedPageBreak/>
        <w:t xml:space="preserve">Tippmann, E., Ambos, T.C., Del Giudice, M., Monaghan, S. and </w:t>
      </w:r>
      <w:proofErr w:type="spellStart"/>
      <w:r w:rsidRPr="00E96DE9">
        <w:t>Ringov</w:t>
      </w:r>
      <w:proofErr w:type="spellEnd"/>
      <w:r w:rsidRPr="00E96DE9">
        <w:t>, D., 2023. Scale-ups and scaling in an international business context. Journal of World Business, 58(1), p.101397.</w:t>
      </w:r>
    </w:p>
    <w:p w14:paraId="10981556" w14:textId="77777777" w:rsidR="00DF0922" w:rsidRDefault="00DF0922" w:rsidP="007874C5">
      <w:pPr>
        <w:pStyle w:val="ListParagraph"/>
        <w:numPr>
          <w:ilvl w:val="0"/>
          <w:numId w:val="4"/>
        </w:numPr>
        <w:spacing w:line="360" w:lineRule="auto"/>
        <w:jc w:val="both"/>
      </w:pPr>
      <w:r w:rsidRPr="00DF7B27">
        <w:t>Verma, P., Kumar, V., Mittal, A., Gupta, P. and Hsu, S.C., 2022. Addressing strategic human resource management practices for TQM: the case of an Indian tire manufacturing company. The TQM Journal, 34(1), pp.29-69.</w:t>
      </w:r>
    </w:p>
    <w:p w14:paraId="35772CB4" w14:textId="77777777" w:rsidR="00DF0922" w:rsidRDefault="00DF0922" w:rsidP="007874C5">
      <w:pPr>
        <w:pStyle w:val="ListParagraph"/>
        <w:numPr>
          <w:ilvl w:val="0"/>
          <w:numId w:val="4"/>
        </w:numPr>
        <w:spacing w:line="360" w:lineRule="auto"/>
        <w:jc w:val="both"/>
      </w:pPr>
      <w:r w:rsidRPr="004F2CC0">
        <w:t xml:space="preserve">Xu, K., Hitt, M.A., Brock, D., Pisano, </w:t>
      </w:r>
      <w:proofErr w:type="gramStart"/>
      <w:r w:rsidRPr="004F2CC0">
        <w:t>V.</w:t>
      </w:r>
      <w:proofErr w:type="gramEnd"/>
      <w:r w:rsidRPr="004F2CC0">
        <w:t xml:space="preserve"> and Huang, L.S., 2021. Country institutional environments and international strategy: A review and analysis of the research. Journal of International Management, 27(1), p.100811.</w:t>
      </w:r>
    </w:p>
    <w:p w14:paraId="37FAD287" w14:textId="77777777" w:rsidR="00DF0922" w:rsidRDefault="00DF0922" w:rsidP="007874C5">
      <w:pPr>
        <w:pStyle w:val="ListParagraph"/>
        <w:numPr>
          <w:ilvl w:val="0"/>
          <w:numId w:val="4"/>
        </w:numPr>
        <w:spacing w:line="360" w:lineRule="auto"/>
        <w:jc w:val="both"/>
      </w:pPr>
      <w:r w:rsidRPr="007D634A">
        <w:t xml:space="preserve">Zahoor, N., Khan, Z. and </w:t>
      </w:r>
      <w:proofErr w:type="spellStart"/>
      <w:r w:rsidRPr="007D634A">
        <w:t>Shenkar</w:t>
      </w:r>
      <w:proofErr w:type="spellEnd"/>
      <w:r w:rsidRPr="007D634A">
        <w:t>, O., 2023. International vertical alliances within the international business field: A systematic literature review and future research agenda. Journal of World Business, 58(1), p.101385.</w:t>
      </w:r>
    </w:p>
    <w:p w14:paraId="2C6B566B" w14:textId="77777777" w:rsidR="00DF0922" w:rsidRDefault="00DF0922" w:rsidP="007874C5">
      <w:pPr>
        <w:pStyle w:val="ListParagraph"/>
        <w:numPr>
          <w:ilvl w:val="0"/>
          <w:numId w:val="4"/>
        </w:numPr>
        <w:spacing w:line="360" w:lineRule="auto"/>
        <w:jc w:val="both"/>
      </w:pPr>
      <w:r w:rsidRPr="00F23463">
        <w:t>Zhao, Z. and Yan, Y., 2023. The role of organizational unlearning in manufacturing firms’ sustainable digital innovation: The mechanism of strategic flexibility and organizational slack. Sustainability, 15(13), p.10371.</w:t>
      </w:r>
    </w:p>
    <w:p w14:paraId="2CDF0464" w14:textId="77777777" w:rsidR="00DF0922" w:rsidRDefault="00DF0922" w:rsidP="007874C5">
      <w:pPr>
        <w:pStyle w:val="ListParagraph"/>
        <w:numPr>
          <w:ilvl w:val="0"/>
          <w:numId w:val="4"/>
        </w:numPr>
        <w:spacing w:line="360" w:lineRule="auto"/>
        <w:jc w:val="both"/>
      </w:pPr>
      <w:proofErr w:type="spellStart"/>
      <w:r w:rsidRPr="00804EEC">
        <w:t>Zharikova</w:t>
      </w:r>
      <w:proofErr w:type="spellEnd"/>
      <w:r w:rsidRPr="00804EEC">
        <w:t xml:space="preserve">, О. and </w:t>
      </w:r>
      <w:proofErr w:type="spellStart"/>
      <w:r w:rsidRPr="00804EEC">
        <w:t>Cherkesenko</w:t>
      </w:r>
      <w:proofErr w:type="spellEnd"/>
      <w:r w:rsidRPr="00804EEC">
        <w:t>, K., 2021. Personnel management development issues in multinational corporations of the world economy. Economics &amp; Education, 6(3), pp.45-51.</w:t>
      </w:r>
    </w:p>
    <w:p w14:paraId="55A467B7" w14:textId="77777777" w:rsidR="007F0EA8" w:rsidRDefault="007F0EA8" w:rsidP="00A6521C">
      <w:pPr>
        <w:jc w:val="both"/>
      </w:pPr>
    </w:p>
    <w:p w14:paraId="7603621D" w14:textId="1D4B59F8" w:rsidR="009E05B7" w:rsidRDefault="009E05B7" w:rsidP="009B6876">
      <w:pPr>
        <w:pStyle w:val="Heading1"/>
        <w:pageBreakBefore/>
      </w:pPr>
      <w:bookmarkStart w:id="33" w:name="_Toc165242054"/>
      <w:r>
        <w:lastRenderedPageBreak/>
        <w:t>Appendix</w:t>
      </w:r>
      <w:bookmarkEnd w:id="33"/>
    </w:p>
    <w:p w14:paraId="34C7DBE4" w14:textId="10708062" w:rsidR="009B6876" w:rsidRDefault="009B6876" w:rsidP="009B6876">
      <w:pPr>
        <w:pStyle w:val="Heading2"/>
        <w:spacing w:line="360" w:lineRule="auto"/>
        <w:jc w:val="both"/>
      </w:pPr>
      <w:bookmarkStart w:id="34" w:name="_Toc165242055"/>
      <w:r w:rsidRPr="001E3B2C">
        <w:t>Appendix A:</w:t>
      </w:r>
      <w:r w:rsidR="001E3B2C" w:rsidRPr="001E3B2C">
        <w:t xml:space="preserve"> Application for Ethical Approval</w:t>
      </w:r>
      <w:bookmarkEnd w:id="34"/>
    </w:p>
    <w:p w14:paraId="2003CCB2" w14:textId="54F5D760" w:rsidR="00C007C6" w:rsidRDefault="005123D8" w:rsidP="00C007C6">
      <w:r>
        <w:rPr>
          <w:noProof/>
        </w:rPr>
        <w:drawing>
          <wp:inline distT="0" distB="0" distL="0" distR="0" wp14:anchorId="10550030" wp14:editId="1703F8D5">
            <wp:extent cx="6085490" cy="7330440"/>
            <wp:effectExtent l="0" t="0" r="0" b="3810"/>
            <wp:docPr id="725119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03570" cy="7352219"/>
                    </a:xfrm>
                    <a:prstGeom prst="rect">
                      <a:avLst/>
                    </a:prstGeom>
                    <a:noFill/>
                    <a:ln>
                      <a:noFill/>
                    </a:ln>
                  </pic:spPr>
                </pic:pic>
              </a:graphicData>
            </a:graphic>
          </wp:inline>
        </w:drawing>
      </w:r>
    </w:p>
    <w:p w14:paraId="24098A57" w14:textId="75B7B775" w:rsidR="005123D8" w:rsidRDefault="006B1AC7" w:rsidP="00C007C6">
      <w:r>
        <w:rPr>
          <w:noProof/>
        </w:rPr>
        <w:lastRenderedPageBreak/>
        <w:drawing>
          <wp:inline distT="0" distB="0" distL="0" distR="0" wp14:anchorId="41B76E41" wp14:editId="0070A481">
            <wp:extent cx="6053455" cy="8261131"/>
            <wp:effectExtent l="0" t="0" r="4445" b="6985"/>
            <wp:docPr id="876270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69527" cy="8283064"/>
                    </a:xfrm>
                    <a:prstGeom prst="rect">
                      <a:avLst/>
                    </a:prstGeom>
                    <a:noFill/>
                    <a:ln>
                      <a:noFill/>
                    </a:ln>
                  </pic:spPr>
                </pic:pic>
              </a:graphicData>
            </a:graphic>
          </wp:inline>
        </w:drawing>
      </w:r>
    </w:p>
    <w:p w14:paraId="12831D87" w14:textId="2FD37AA5" w:rsidR="006B1AC7" w:rsidRDefault="00F57393" w:rsidP="00C007C6">
      <w:r>
        <w:rPr>
          <w:noProof/>
        </w:rPr>
        <w:lastRenderedPageBreak/>
        <w:drawing>
          <wp:inline distT="0" distB="0" distL="0" distR="0" wp14:anchorId="3B176535" wp14:editId="44885BC0">
            <wp:extent cx="6148552" cy="8150225"/>
            <wp:effectExtent l="0" t="0" r="5080" b="3175"/>
            <wp:docPr id="8094690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71161" cy="8180194"/>
                    </a:xfrm>
                    <a:prstGeom prst="rect">
                      <a:avLst/>
                    </a:prstGeom>
                    <a:noFill/>
                    <a:ln>
                      <a:noFill/>
                    </a:ln>
                  </pic:spPr>
                </pic:pic>
              </a:graphicData>
            </a:graphic>
          </wp:inline>
        </w:drawing>
      </w:r>
    </w:p>
    <w:p w14:paraId="074E3AB1" w14:textId="162730B2" w:rsidR="00F57393" w:rsidRDefault="00F834A9" w:rsidP="00C007C6">
      <w:r>
        <w:rPr>
          <w:noProof/>
        </w:rPr>
        <w:lastRenderedPageBreak/>
        <w:drawing>
          <wp:inline distT="0" distB="0" distL="0" distR="0" wp14:anchorId="029C4B07" wp14:editId="1D1E4131">
            <wp:extent cx="6179820" cy="8166538"/>
            <wp:effectExtent l="0" t="0" r="0" b="6350"/>
            <wp:docPr id="6645413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9807" cy="8192950"/>
                    </a:xfrm>
                    <a:prstGeom prst="rect">
                      <a:avLst/>
                    </a:prstGeom>
                    <a:noFill/>
                    <a:ln>
                      <a:noFill/>
                    </a:ln>
                  </pic:spPr>
                </pic:pic>
              </a:graphicData>
            </a:graphic>
          </wp:inline>
        </w:drawing>
      </w:r>
    </w:p>
    <w:p w14:paraId="1CB3FDFC" w14:textId="185894B2" w:rsidR="00F834A9" w:rsidRDefault="004B5D6D" w:rsidP="00C007C6">
      <w:r>
        <w:rPr>
          <w:noProof/>
        </w:rPr>
        <w:lastRenderedPageBreak/>
        <w:drawing>
          <wp:inline distT="0" distB="0" distL="0" distR="0" wp14:anchorId="6F0A2C92" wp14:editId="338463A8">
            <wp:extent cx="5895975" cy="8182303"/>
            <wp:effectExtent l="0" t="0" r="0" b="9525"/>
            <wp:docPr id="21319418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9739" cy="8201404"/>
                    </a:xfrm>
                    <a:prstGeom prst="rect">
                      <a:avLst/>
                    </a:prstGeom>
                    <a:noFill/>
                    <a:ln>
                      <a:noFill/>
                    </a:ln>
                  </pic:spPr>
                </pic:pic>
              </a:graphicData>
            </a:graphic>
          </wp:inline>
        </w:drawing>
      </w:r>
    </w:p>
    <w:p w14:paraId="404BABCD" w14:textId="13D31547" w:rsidR="00A9519A" w:rsidRDefault="00191327" w:rsidP="00C007C6">
      <w:r>
        <w:rPr>
          <w:noProof/>
        </w:rPr>
        <w:lastRenderedPageBreak/>
        <w:drawing>
          <wp:inline distT="0" distB="0" distL="0" distR="0" wp14:anchorId="069797E2" wp14:editId="48E5EBD8">
            <wp:extent cx="5722620" cy="8213834"/>
            <wp:effectExtent l="0" t="0" r="0" b="0"/>
            <wp:docPr id="15032240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9494" cy="8238054"/>
                    </a:xfrm>
                    <a:prstGeom prst="rect">
                      <a:avLst/>
                    </a:prstGeom>
                    <a:noFill/>
                    <a:ln>
                      <a:noFill/>
                    </a:ln>
                  </pic:spPr>
                </pic:pic>
              </a:graphicData>
            </a:graphic>
          </wp:inline>
        </w:drawing>
      </w:r>
    </w:p>
    <w:p w14:paraId="7EE09A21" w14:textId="3D53C48D" w:rsidR="00191327" w:rsidRDefault="00A87D27" w:rsidP="00C007C6">
      <w:r>
        <w:rPr>
          <w:noProof/>
        </w:rPr>
        <w:lastRenderedPageBreak/>
        <w:drawing>
          <wp:inline distT="0" distB="0" distL="0" distR="0" wp14:anchorId="6DA7D9EE" wp14:editId="4A38CD3E">
            <wp:extent cx="6085205" cy="8245366"/>
            <wp:effectExtent l="0" t="0" r="0" b="3810"/>
            <wp:docPr id="11858448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01910" cy="8268001"/>
                    </a:xfrm>
                    <a:prstGeom prst="rect">
                      <a:avLst/>
                    </a:prstGeom>
                    <a:noFill/>
                    <a:ln>
                      <a:noFill/>
                    </a:ln>
                  </pic:spPr>
                </pic:pic>
              </a:graphicData>
            </a:graphic>
          </wp:inline>
        </w:drawing>
      </w:r>
    </w:p>
    <w:p w14:paraId="514914D4" w14:textId="3967E2F8" w:rsidR="00A13D77" w:rsidRDefault="00F776B8" w:rsidP="00C007C6">
      <w:r>
        <w:rPr>
          <w:noProof/>
        </w:rPr>
        <w:lastRenderedPageBreak/>
        <w:drawing>
          <wp:inline distT="0" distB="0" distL="0" distR="0" wp14:anchorId="1C29974D" wp14:editId="0293636A">
            <wp:extent cx="6242685" cy="8292662"/>
            <wp:effectExtent l="0" t="0" r="5715" b="0"/>
            <wp:docPr id="3560625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57827" cy="8312776"/>
                    </a:xfrm>
                    <a:prstGeom prst="rect">
                      <a:avLst/>
                    </a:prstGeom>
                    <a:noFill/>
                    <a:ln>
                      <a:noFill/>
                    </a:ln>
                  </pic:spPr>
                </pic:pic>
              </a:graphicData>
            </a:graphic>
          </wp:inline>
        </w:drawing>
      </w:r>
    </w:p>
    <w:p w14:paraId="62FE8E30" w14:textId="4DCF5B09" w:rsidR="00F776B8" w:rsidRDefault="0076792A" w:rsidP="00C007C6">
      <w:r>
        <w:rPr>
          <w:noProof/>
        </w:rPr>
        <w:lastRenderedPageBreak/>
        <w:drawing>
          <wp:inline distT="0" distB="0" distL="0" distR="0" wp14:anchorId="013747CC" wp14:editId="194FB84F">
            <wp:extent cx="6022340" cy="8229600"/>
            <wp:effectExtent l="0" t="0" r="0" b="0"/>
            <wp:docPr id="6945154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41590" cy="8255906"/>
                    </a:xfrm>
                    <a:prstGeom prst="rect">
                      <a:avLst/>
                    </a:prstGeom>
                    <a:noFill/>
                    <a:ln>
                      <a:noFill/>
                    </a:ln>
                  </pic:spPr>
                </pic:pic>
              </a:graphicData>
            </a:graphic>
          </wp:inline>
        </w:drawing>
      </w:r>
    </w:p>
    <w:p w14:paraId="1E33389F" w14:textId="17E05B2E" w:rsidR="0076792A" w:rsidRDefault="00970900" w:rsidP="00C007C6">
      <w:r>
        <w:rPr>
          <w:noProof/>
        </w:rPr>
        <w:lastRenderedPageBreak/>
        <w:drawing>
          <wp:inline distT="0" distB="0" distL="0" distR="0" wp14:anchorId="08C48AA3" wp14:editId="733979B7">
            <wp:extent cx="5943600" cy="8261131"/>
            <wp:effectExtent l="0" t="0" r="0" b="6985"/>
            <wp:docPr id="20894922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61027" cy="8285353"/>
                    </a:xfrm>
                    <a:prstGeom prst="rect">
                      <a:avLst/>
                    </a:prstGeom>
                    <a:noFill/>
                    <a:ln>
                      <a:noFill/>
                    </a:ln>
                  </pic:spPr>
                </pic:pic>
              </a:graphicData>
            </a:graphic>
          </wp:inline>
        </w:drawing>
      </w:r>
    </w:p>
    <w:p w14:paraId="24B83ABE" w14:textId="77534691" w:rsidR="00970900" w:rsidRDefault="0085329C" w:rsidP="00C007C6">
      <w:r>
        <w:rPr>
          <w:noProof/>
        </w:rPr>
        <w:lastRenderedPageBreak/>
        <w:drawing>
          <wp:inline distT="0" distB="0" distL="0" distR="0" wp14:anchorId="37948695" wp14:editId="796594D5">
            <wp:extent cx="5833094" cy="8198069"/>
            <wp:effectExtent l="0" t="0" r="0" b="0"/>
            <wp:docPr id="14824144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50524" cy="8222566"/>
                    </a:xfrm>
                    <a:prstGeom prst="rect">
                      <a:avLst/>
                    </a:prstGeom>
                    <a:noFill/>
                    <a:ln>
                      <a:noFill/>
                    </a:ln>
                  </pic:spPr>
                </pic:pic>
              </a:graphicData>
            </a:graphic>
          </wp:inline>
        </w:drawing>
      </w:r>
    </w:p>
    <w:p w14:paraId="285ECABF" w14:textId="7D42F51B" w:rsidR="009E05B7" w:rsidRPr="005A7D65" w:rsidRDefault="007E10CF" w:rsidP="001F5F07">
      <w:r>
        <w:rPr>
          <w:noProof/>
        </w:rPr>
        <w:lastRenderedPageBreak/>
        <w:drawing>
          <wp:inline distT="0" distB="0" distL="0" distR="0" wp14:anchorId="421BD420" wp14:editId="536F27A5">
            <wp:extent cx="5887720" cy="8298873"/>
            <wp:effectExtent l="0" t="0" r="0" b="6985"/>
            <wp:docPr id="145991227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01660" cy="8318522"/>
                    </a:xfrm>
                    <a:prstGeom prst="rect">
                      <a:avLst/>
                    </a:prstGeom>
                    <a:noFill/>
                    <a:ln>
                      <a:noFill/>
                    </a:ln>
                  </pic:spPr>
                </pic:pic>
              </a:graphicData>
            </a:graphic>
          </wp:inline>
        </w:drawing>
      </w:r>
    </w:p>
    <w:sectPr w:rsidR="009E05B7" w:rsidRPr="005A7D65">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F8621" w14:textId="77777777" w:rsidR="00DB2F7F" w:rsidRDefault="00DB2F7F" w:rsidP="0043710E">
      <w:pPr>
        <w:spacing w:after="0" w:line="240" w:lineRule="auto"/>
      </w:pPr>
      <w:r>
        <w:separator/>
      </w:r>
    </w:p>
  </w:endnote>
  <w:endnote w:type="continuationSeparator" w:id="0">
    <w:p w14:paraId="058C762C" w14:textId="77777777" w:rsidR="00DB2F7F" w:rsidRDefault="00DB2F7F" w:rsidP="00437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925618"/>
      <w:docPartObj>
        <w:docPartGallery w:val="Page Numbers (Bottom of Page)"/>
        <w:docPartUnique/>
      </w:docPartObj>
    </w:sdtPr>
    <w:sdtEndPr>
      <w:rPr>
        <w:noProof/>
      </w:rPr>
    </w:sdtEndPr>
    <w:sdtContent>
      <w:p w14:paraId="745018A9" w14:textId="7A6DC1F4" w:rsidR="0043710E" w:rsidRDefault="004371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C0ACE1" w14:textId="77777777" w:rsidR="0043710E" w:rsidRDefault="00437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94D33" w14:textId="77777777" w:rsidR="00DB2F7F" w:rsidRDefault="00DB2F7F" w:rsidP="0043710E">
      <w:pPr>
        <w:spacing w:after="0" w:line="240" w:lineRule="auto"/>
      </w:pPr>
      <w:r>
        <w:separator/>
      </w:r>
    </w:p>
  </w:footnote>
  <w:footnote w:type="continuationSeparator" w:id="0">
    <w:p w14:paraId="68EAB4FB" w14:textId="77777777" w:rsidR="00DB2F7F" w:rsidRDefault="00DB2F7F" w:rsidP="004371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E23FC"/>
    <w:multiLevelType w:val="hybridMultilevel"/>
    <w:tmpl w:val="6A34E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3C127E"/>
    <w:multiLevelType w:val="hybridMultilevel"/>
    <w:tmpl w:val="6100A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A14E4C"/>
    <w:multiLevelType w:val="hybridMultilevel"/>
    <w:tmpl w:val="FC3C0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0D27D0"/>
    <w:multiLevelType w:val="hybridMultilevel"/>
    <w:tmpl w:val="16728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7330824">
    <w:abstractNumId w:val="2"/>
  </w:num>
  <w:num w:numId="2" w16cid:durableId="645663850">
    <w:abstractNumId w:val="3"/>
  </w:num>
  <w:num w:numId="3" w16cid:durableId="11104634">
    <w:abstractNumId w:val="0"/>
  </w:num>
  <w:num w:numId="4" w16cid:durableId="12335449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C6C"/>
    <w:rsid w:val="00002727"/>
    <w:rsid w:val="00013165"/>
    <w:rsid w:val="0002752F"/>
    <w:rsid w:val="00031FD2"/>
    <w:rsid w:val="000443EB"/>
    <w:rsid w:val="000542FA"/>
    <w:rsid w:val="000547F2"/>
    <w:rsid w:val="00084965"/>
    <w:rsid w:val="00090902"/>
    <w:rsid w:val="000E159B"/>
    <w:rsid w:val="00147329"/>
    <w:rsid w:val="0015364D"/>
    <w:rsid w:val="00157EF5"/>
    <w:rsid w:val="001654A4"/>
    <w:rsid w:val="001874E8"/>
    <w:rsid w:val="00191327"/>
    <w:rsid w:val="001E3B2C"/>
    <w:rsid w:val="001F5F07"/>
    <w:rsid w:val="00206CC0"/>
    <w:rsid w:val="00281C6B"/>
    <w:rsid w:val="00284711"/>
    <w:rsid w:val="002B2821"/>
    <w:rsid w:val="002C401C"/>
    <w:rsid w:val="002E3B2F"/>
    <w:rsid w:val="00317801"/>
    <w:rsid w:val="003259C5"/>
    <w:rsid w:val="0037410E"/>
    <w:rsid w:val="0037584A"/>
    <w:rsid w:val="003F1F0A"/>
    <w:rsid w:val="00413BB7"/>
    <w:rsid w:val="0043710E"/>
    <w:rsid w:val="00447A78"/>
    <w:rsid w:val="004B3956"/>
    <w:rsid w:val="004B5D6D"/>
    <w:rsid w:val="004B630B"/>
    <w:rsid w:val="004C6E59"/>
    <w:rsid w:val="004E4FDD"/>
    <w:rsid w:val="005123D8"/>
    <w:rsid w:val="0052751D"/>
    <w:rsid w:val="00544A70"/>
    <w:rsid w:val="00554519"/>
    <w:rsid w:val="00577743"/>
    <w:rsid w:val="005A7D65"/>
    <w:rsid w:val="005D5768"/>
    <w:rsid w:val="0060182E"/>
    <w:rsid w:val="00681414"/>
    <w:rsid w:val="006B1AC7"/>
    <w:rsid w:val="00702532"/>
    <w:rsid w:val="00710FB7"/>
    <w:rsid w:val="007162F5"/>
    <w:rsid w:val="00733E74"/>
    <w:rsid w:val="007614D5"/>
    <w:rsid w:val="0076792A"/>
    <w:rsid w:val="007874C5"/>
    <w:rsid w:val="007B73CA"/>
    <w:rsid w:val="007D3CA8"/>
    <w:rsid w:val="007E10CF"/>
    <w:rsid w:val="007F0EA8"/>
    <w:rsid w:val="008029B0"/>
    <w:rsid w:val="00832D6C"/>
    <w:rsid w:val="00834F3A"/>
    <w:rsid w:val="0085329C"/>
    <w:rsid w:val="00882D47"/>
    <w:rsid w:val="008B4D92"/>
    <w:rsid w:val="008C239D"/>
    <w:rsid w:val="008D0E47"/>
    <w:rsid w:val="00911F8B"/>
    <w:rsid w:val="009151B5"/>
    <w:rsid w:val="00916110"/>
    <w:rsid w:val="009216A4"/>
    <w:rsid w:val="0095389F"/>
    <w:rsid w:val="00970900"/>
    <w:rsid w:val="009B6876"/>
    <w:rsid w:val="009E05B7"/>
    <w:rsid w:val="009E5146"/>
    <w:rsid w:val="00A13D77"/>
    <w:rsid w:val="00A16406"/>
    <w:rsid w:val="00A23D3E"/>
    <w:rsid w:val="00A45DCA"/>
    <w:rsid w:val="00A6521C"/>
    <w:rsid w:val="00A73CF2"/>
    <w:rsid w:val="00A75BC6"/>
    <w:rsid w:val="00A82328"/>
    <w:rsid w:val="00A87D27"/>
    <w:rsid w:val="00A94579"/>
    <w:rsid w:val="00A9519A"/>
    <w:rsid w:val="00AB1E88"/>
    <w:rsid w:val="00B0135F"/>
    <w:rsid w:val="00B01900"/>
    <w:rsid w:val="00B47359"/>
    <w:rsid w:val="00B51661"/>
    <w:rsid w:val="00B6220E"/>
    <w:rsid w:val="00B84843"/>
    <w:rsid w:val="00B86424"/>
    <w:rsid w:val="00B92499"/>
    <w:rsid w:val="00BC199D"/>
    <w:rsid w:val="00C007C6"/>
    <w:rsid w:val="00C011D3"/>
    <w:rsid w:val="00C02FF7"/>
    <w:rsid w:val="00C83C24"/>
    <w:rsid w:val="00C84322"/>
    <w:rsid w:val="00CF08B8"/>
    <w:rsid w:val="00D02647"/>
    <w:rsid w:val="00D40F6C"/>
    <w:rsid w:val="00D65D91"/>
    <w:rsid w:val="00DB2F7F"/>
    <w:rsid w:val="00DF0922"/>
    <w:rsid w:val="00E14E15"/>
    <w:rsid w:val="00E20C50"/>
    <w:rsid w:val="00E65D2D"/>
    <w:rsid w:val="00E92900"/>
    <w:rsid w:val="00EB48DB"/>
    <w:rsid w:val="00EE5C34"/>
    <w:rsid w:val="00EF524C"/>
    <w:rsid w:val="00F00BE9"/>
    <w:rsid w:val="00F57393"/>
    <w:rsid w:val="00F776B8"/>
    <w:rsid w:val="00F80C6C"/>
    <w:rsid w:val="00F834A9"/>
    <w:rsid w:val="00F96C26"/>
    <w:rsid w:val="00F978E2"/>
    <w:rsid w:val="00FD1118"/>
    <w:rsid w:val="00FD4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5C87B"/>
  <w15:chartTrackingRefBased/>
  <w15:docId w15:val="{9B431ADB-C792-4754-8D3D-7A60BFFA2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59B"/>
    <w:pPr>
      <w:spacing w:line="480" w:lineRule="auto"/>
    </w:pPr>
    <w:rPr>
      <w:rFonts w:ascii="Times New Roman" w:hAnsi="Times New Roman" w:cs="Times New Roman"/>
      <w:sz w:val="24"/>
      <w:szCs w:val="24"/>
    </w:rPr>
  </w:style>
  <w:style w:type="paragraph" w:styleId="Heading1">
    <w:name w:val="heading 1"/>
    <w:basedOn w:val="Heading2"/>
    <w:next w:val="Normal"/>
    <w:link w:val="Heading1Char"/>
    <w:uiPriority w:val="9"/>
    <w:qFormat/>
    <w:rsid w:val="000E159B"/>
    <w:pPr>
      <w:jc w:val="center"/>
      <w:outlineLvl w:val="0"/>
    </w:pPr>
    <w:rPr>
      <w:sz w:val="28"/>
      <w:szCs w:val="28"/>
    </w:rPr>
  </w:style>
  <w:style w:type="paragraph" w:styleId="Heading2">
    <w:name w:val="heading 2"/>
    <w:basedOn w:val="Normal"/>
    <w:next w:val="Normal"/>
    <w:link w:val="Heading2Char"/>
    <w:uiPriority w:val="9"/>
    <w:unhideWhenUsed/>
    <w:qFormat/>
    <w:rsid w:val="000E159B"/>
    <w:pPr>
      <w:outlineLvl w:val="1"/>
    </w:pPr>
    <w:rPr>
      <w:b/>
      <w:bCs/>
    </w:rPr>
  </w:style>
  <w:style w:type="paragraph" w:styleId="Heading3">
    <w:name w:val="heading 3"/>
    <w:basedOn w:val="Normal"/>
    <w:next w:val="Normal"/>
    <w:link w:val="Heading3Char"/>
    <w:uiPriority w:val="9"/>
    <w:unhideWhenUsed/>
    <w:qFormat/>
    <w:rsid w:val="007F0EA8"/>
    <w:pPr>
      <w:keepNext/>
      <w:keepLines/>
      <w:spacing w:before="40" w:after="0" w:line="360" w:lineRule="auto"/>
      <w:outlineLvl w:val="2"/>
    </w:pPr>
    <w:rPr>
      <w:rFonts w:eastAsiaTheme="majorEastAsia"/>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59B"/>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0E159B"/>
    <w:rPr>
      <w:rFonts w:ascii="Times New Roman" w:hAnsi="Times New Roman" w:cs="Times New Roman"/>
      <w:b/>
      <w:bCs/>
      <w:sz w:val="24"/>
      <w:szCs w:val="24"/>
    </w:rPr>
  </w:style>
  <w:style w:type="paragraph" w:styleId="ListParagraph">
    <w:name w:val="List Paragraph"/>
    <w:basedOn w:val="Normal"/>
    <w:uiPriority w:val="34"/>
    <w:qFormat/>
    <w:rsid w:val="000E159B"/>
    <w:pPr>
      <w:ind w:left="720"/>
      <w:contextualSpacing/>
    </w:pPr>
  </w:style>
  <w:style w:type="character" w:customStyle="1" w:styleId="Heading3Char">
    <w:name w:val="Heading 3 Char"/>
    <w:basedOn w:val="DefaultParagraphFont"/>
    <w:link w:val="Heading3"/>
    <w:uiPriority w:val="9"/>
    <w:rsid w:val="007F0EA8"/>
    <w:rPr>
      <w:rFonts w:ascii="Times New Roman" w:eastAsiaTheme="majorEastAsia" w:hAnsi="Times New Roman" w:cs="Times New Roman"/>
      <w:b/>
      <w:bCs/>
      <w:i/>
      <w:iCs/>
      <w:sz w:val="24"/>
      <w:szCs w:val="24"/>
    </w:rPr>
  </w:style>
  <w:style w:type="paragraph" w:styleId="Header">
    <w:name w:val="header"/>
    <w:basedOn w:val="Normal"/>
    <w:link w:val="HeaderChar"/>
    <w:uiPriority w:val="99"/>
    <w:unhideWhenUsed/>
    <w:rsid w:val="004371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10E"/>
    <w:rPr>
      <w:rFonts w:ascii="Times New Roman" w:hAnsi="Times New Roman" w:cs="Times New Roman"/>
      <w:sz w:val="24"/>
      <w:szCs w:val="24"/>
    </w:rPr>
  </w:style>
  <w:style w:type="paragraph" w:styleId="Footer">
    <w:name w:val="footer"/>
    <w:basedOn w:val="Normal"/>
    <w:link w:val="FooterChar"/>
    <w:uiPriority w:val="99"/>
    <w:unhideWhenUsed/>
    <w:rsid w:val="004371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10E"/>
    <w:rPr>
      <w:rFonts w:ascii="Times New Roman" w:hAnsi="Times New Roman" w:cs="Times New Roman"/>
      <w:sz w:val="24"/>
      <w:szCs w:val="24"/>
    </w:rPr>
  </w:style>
  <w:style w:type="paragraph" w:styleId="TOCHeading">
    <w:name w:val="TOC Heading"/>
    <w:basedOn w:val="Heading1"/>
    <w:next w:val="Normal"/>
    <w:uiPriority w:val="39"/>
    <w:unhideWhenUsed/>
    <w:qFormat/>
    <w:rsid w:val="00D65D9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65D91"/>
    <w:pPr>
      <w:spacing w:after="100"/>
    </w:pPr>
  </w:style>
  <w:style w:type="paragraph" w:styleId="TOC2">
    <w:name w:val="toc 2"/>
    <w:basedOn w:val="Normal"/>
    <w:next w:val="Normal"/>
    <w:autoRedefine/>
    <w:uiPriority w:val="39"/>
    <w:unhideWhenUsed/>
    <w:rsid w:val="00D65D91"/>
    <w:pPr>
      <w:spacing w:after="100"/>
      <w:ind w:left="240"/>
    </w:pPr>
  </w:style>
  <w:style w:type="paragraph" w:styleId="TOC3">
    <w:name w:val="toc 3"/>
    <w:basedOn w:val="Normal"/>
    <w:next w:val="Normal"/>
    <w:autoRedefine/>
    <w:uiPriority w:val="39"/>
    <w:unhideWhenUsed/>
    <w:rsid w:val="00D65D91"/>
    <w:pPr>
      <w:spacing w:after="100"/>
      <w:ind w:left="480"/>
    </w:pPr>
  </w:style>
  <w:style w:type="character" w:styleId="Hyperlink">
    <w:name w:val="Hyperlink"/>
    <w:basedOn w:val="DefaultParagraphFont"/>
    <w:uiPriority w:val="99"/>
    <w:unhideWhenUsed/>
    <w:rsid w:val="00D65D91"/>
    <w:rPr>
      <w:color w:val="0563C1" w:themeColor="hyperlink"/>
      <w:u w:val="single"/>
    </w:rPr>
  </w:style>
  <w:style w:type="paragraph" w:styleId="NoSpacing">
    <w:name w:val="No Spacing"/>
    <w:uiPriority w:val="1"/>
    <w:qFormat/>
    <w:rsid w:val="00C83C24"/>
    <w:pPr>
      <w:spacing w:after="0"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3C0C36-1012-486F-864F-A568B8700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8873</Words>
  <Characters>50580</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Flita</dc:creator>
  <cp:keywords/>
  <dc:description/>
  <cp:lastModifiedBy>Iulia Flita</cp:lastModifiedBy>
  <cp:revision>2</cp:revision>
  <dcterms:created xsi:type="dcterms:W3CDTF">2024-04-29T08:00:00Z</dcterms:created>
  <dcterms:modified xsi:type="dcterms:W3CDTF">2024-04-29T08:00:00Z</dcterms:modified>
</cp:coreProperties>
</file>