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2656C9" w14:textId="77777777" w:rsidR="003C4B3C" w:rsidRDefault="00231D51" w:rsidP="00106537">
      <w:pPr>
        <w:pStyle w:val="Heading1"/>
        <w:jc w:val="center"/>
      </w:pPr>
      <w:bookmarkStart w:id="0" w:name="_GoBack"/>
      <w:bookmarkEnd w:id="0"/>
      <w:r>
        <w:t>E</w:t>
      </w:r>
      <w:r w:rsidR="00CF032B">
        <w:t>XCAVATION SUPPORT</w:t>
      </w:r>
      <w:r>
        <w:t xml:space="preserve"> WORK</w:t>
      </w:r>
    </w:p>
    <w:p w14:paraId="192656CA" w14:textId="77777777" w:rsidR="00770C51" w:rsidRDefault="00770C51" w:rsidP="0050706F">
      <w:pPr>
        <w:jc w:val="both"/>
      </w:pPr>
    </w:p>
    <w:p w14:paraId="192656CB" w14:textId="77777777" w:rsidR="00770C51" w:rsidRPr="00CF032B" w:rsidRDefault="00770C51" w:rsidP="0050706F">
      <w:pPr>
        <w:spacing w:line="288" w:lineRule="auto"/>
        <w:jc w:val="both"/>
      </w:pPr>
      <w:r w:rsidRPr="00CF032B">
        <w:t>The Construction (Design and Management) Regulations 2015 (CDM) establishes the following statement:</w:t>
      </w:r>
    </w:p>
    <w:p w14:paraId="192656CC" w14:textId="77777777" w:rsidR="00770C51" w:rsidRPr="00CF032B" w:rsidRDefault="00770C51" w:rsidP="0050706F">
      <w:pPr>
        <w:pStyle w:val="legp1paratext"/>
        <w:shd w:val="clear" w:color="auto" w:fill="FFFFFF"/>
        <w:spacing w:before="0" w:beforeAutospacing="0" w:after="200" w:afterAutospacing="0" w:line="288" w:lineRule="auto"/>
        <w:jc w:val="both"/>
        <w:rPr>
          <w:rFonts w:asciiTheme="minorHAnsi" w:hAnsiTheme="minorHAnsi" w:cs="Arial"/>
          <w:sz w:val="22"/>
          <w:szCs w:val="22"/>
        </w:rPr>
      </w:pPr>
      <w:r w:rsidRPr="00CF032B">
        <w:rPr>
          <w:rFonts w:asciiTheme="minorHAnsi" w:hAnsiTheme="minorHAnsi" w:cs="Arial"/>
          <w:sz w:val="22"/>
          <w:szCs w:val="22"/>
        </w:rPr>
        <w:t>“All practicable steps must be taken to prevent danger to any person, including, where necessary, the provision of supports or battering, to ensure that</w:t>
      </w:r>
      <w:r w:rsidR="00CF032B">
        <w:rPr>
          <w:rFonts w:asciiTheme="minorHAnsi" w:hAnsiTheme="minorHAnsi" w:cs="Arial"/>
          <w:sz w:val="22"/>
          <w:szCs w:val="22"/>
        </w:rPr>
        <w:t>:</w:t>
      </w:r>
      <w:r w:rsidRPr="00CF032B">
        <w:rPr>
          <w:rFonts w:asciiTheme="minorHAnsi" w:hAnsiTheme="minorHAnsi" w:cs="Arial"/>
          <w:sz w:val="22"/>
          <w:szCs w:val="22"/>
        </w:rPr>
        <w:t xml:space="preserve"> </w:t>
      </w:r>
    </w:p>
    <w:p w14:paraId="192656CD" w14:textId="77777777" w:rsidR="00770C51" w:rsidRPr="00CF032B" w:rsidRDefault="00770C51" w:rsidP="0050706F">
      <w:pPr>
        <w:pStyle w:val="ListParagraph"/>
        <w:numPr>
          <w:ilvl w:val="0"/>
          <w:numId w:val="2"/>
        </w:numPr>
        <w:jc w:val="both"/>
      </w:pPr>
      <w:r w:rsidRPr="00CF032B">
        <w:rPr>
          <w:rStyle w:val="legds"/>
          <w:rFonts w:cs="Arial"/>
        </w:rPr>
        <w:t>no excavation or part of an excavation collapses;</w:t>
      </w:r>
    </w:p>
    <w:p w14:paraId="192656CE" w14:textId="77777777" w:rsidR="00770C51" w:rsidRPr="00CF032B" w:rsidRDefault="00770C51" w:rsidP="0050706F">
      <w:pPr>
        <w:pStyle w:val="ListParagraph"/>
        <w:numPr>
          <w:ilvl w:val="0"/>
          <w:numId w:val="2"/>
        </w:numPr>
        <w:jc w:val="both"/>
      </w:pPr>
      <w:r w:rsidRPr="00CF032B">
        <w:rPr>
          <w:rStyle w:val="legds"/>
          <w:rFonts w:cs="Arial"/>
        </w:rPr>
        <w:t>no material forming the walls or roof of, or adjacent to, any excavation is dislodged or falls; and</w:t>
      </w:r>
    </w:p>
    <w:p w14:paraId="192656CF" w14:textId="77777777" w:rsidR="00770C51" w:rsidRPr="00CF032B" w:rsidRDefault="00770C51" w:rsidP="0050706F">
      <w:pPr>
        <w:pStyle w:val="ListParagraph"/>
        <w:numPr>
          <w:ilvl w:val="0"/>
          <w:numId w:val="2"/>
        </w:numPr>
        <w:jc w:val="both"/>
        <w:rPr>
          <w:rStyle w:val="legds"/>
          <w:rFonts w:eastAsiaTheme="majorEastAsia" w:cs="Arial"/>
        </w:rPr>
      </w:pPr>
      <w:r w:rsidRPr="00CF032B">
        <w:rPr>
          <w:rStyle w:val="legds"/>
          <w:rFonts w:cs="Arial"/>
        </w:rPr>
        <w:t>no person is buried or trapped in an excavation by material which is dislodged or falls.</w:t>
      </w:r>
      <w:r w:rsidRPr="00CF032B">
        <w:rPr>
          <w:rStyle w:val="legds"/>
          <w:rFonts w:eastAsiaTheme="majorEastAsia" w:cs="Arial"/>
        </w:rPr>
        <w:t>”</w:t>
      </w:r>
    </w:p>
    <w:p w14:paraId="192656D0" w14:textId="77777777" w:rsidR="00770C51" w:rsidRPr="00CF032B" w:rsidRDefault="00770C51" w:rsidP="0050706F">
      <w:pPr>
        <w:pStyle w:val="legclearfix"/>
        <w:shd w:val="clear" w:color="auto" w:fill="FFFFFF"/>
        <w:spacing w:before="0" w:beforeAutospacing="0" w:after="200" w:afterAutospacing="0" w:line="288" w:lineRule="auto"/>
        <w:jc w:val="both"/>
        <w:rPr>
          <w:rFonts w:asciiTheme="minorHAnsi" w:hAnsiTheme="minorHAnsi" w:cs="Arial"/>
          <w:sz w:val="22"/>
          <w:szCs w:val="22"/>
        </w:rPr>
      </w:pPr>
      <w:r w:rsidRPr="00CF032B">
        <w:rPr>
          <w:rFonts w:asciiTheme="minorHAnsi" w:hAnsiTheme="minorHAnsi" w:cs="Arial"/>
          <w:sz w:val="22"/>
          <w:szCs w:val="22"/>
        </w:rPr>
        <w:t>According to that, it is essential to guarantee proper stability for every excavation.</w:t>
      </w:r>
    </w:p>
    <w:p w14:paraId="192656D1" w14:textId="77777777" w:rsidR="00770C51" w:rsidRPr="00CF032B" w:rsidRDefault="00770C51" w:rsidP="0050706F">
      <w:pPr>
        <w:spacing w:line="288" w:lineRule="auto"/>
        <w:jc w:val="both"/>
      </w:pPr>
      <w:r w:rsidRPr="00CF032B">
        <w:t xml:space="preserve">The excavation can be of different types and conditions, as we could see. </w:t>
      </w:r>
      <w:r w:rsidR="00CF032B" w:rsidRPr="00CF032B">
        <w:t xml:space="preserve">Furthermore, differences can be found depending on the durability of this solution, if it is </w:t>
      </w:r>
      <w:r w:rsidR="0050706F">
        <w:t>temporary</w:t>
      </w:r>
      <w:r w:rsidR="00CF032B" w:rsidRPr="00CF032B">
        <w:t xml:space="preserve"> or permanent. </w:t>
      </w:r>
      <w:r w:rsidRPr="00CF032B">
        <w:t xml:space="preserve">This affects the solutions implemented for excavation support. </w:t>
      </w:r>
    </w:p>
    <w:p w14:paraId="192656D2" w14:textId="77777777" w:rsidR="00CF032B" w:rsidRDefault="00CF032B" w:rsidP="0050706F">
      <w:pPr>
        <w:spacing w:line="288" w:lineRule="auto"/>
        <w:jc w:val="both"/>
      </w:pPr>
      <w:r>
        <w:t xml:space="preserve">In this text, the following </w:t>
      </w:r>
      <w:r w:rsidR="0051663D">
        <w:t>temporary</w:t>
      </w:r>
      <w:r>
        <w:t xml:space="preserve"> solutions are presented:</w:t>
      </w:r>
    </w:p>
    <w:p w14:paraId="192656D3" w14:textId="77777777" w:rsidR="00CF032B" w:rsidRDefault="00CF032B" w:rsidP="0050706F">
      <w:pPr>
        <w:pStyle w:val="ListParagraph"/>
        <w:numPr>
          <w:ilvl w:val="0"/>
          <w:numId w:val="3"/>
        </w:numPr>
        <w:spacing w:line="288" w:lineRule="auto"/>
        <w:jc w:val="both"/>
      </w:pPr>
      <w:r>
        <w:t>Trench support</w:t>
      </w:r>
    </w:p>
    <w:p w14:paraId="192656D4" w14:textId="77777777" w:rsidR="00C314D6" w:rsidRDefault="00C314D6" w:rsidP="0050706F">
      <w:pPr>
        <w:pStyle w:val="ListParagraph"/>
        <w:numPr>
          <w:ilvl w:val="0"/>
          <w:numId w:val="3"/>
        </w:numPr>
        <w:spacing w:line="288" w:lineRule="auto"/>
        <w:jc w:val="both"/>
      </w:pPr>
      <w:r>
        <w:t>Grouting</w:t>
      </w:r>
    </w:p>
    <w:p w14:paraId="192656D5" w14:textId="77777777" w:rsidR="00CF032B" w:rsidRDefault="00CF032B" w:rsidP="0050706F">
      <w:pPr>
        <w:pStyle w:val="ListParagraph"/>
        <w:numPr>
          <w:ilvl w:val="0"/>
          <w:numId w:val="3"/>
        </w:numPr>
        <w:spacing w:line="288" w:lineRule="auto"/>
        <w:jc w:val="both"/>
      </w:pPr>
      <w:r>
        <w:t xml:space="preserve">Anchoring </w:t>
      </w:r>
    </w:p>
    <w:p w14:paraId="192656D6" w14:textId="77777777" w:rsidR="00CF032B" w:rsidRDefault="00CF032B" w:rsidP="0050706F">
      <w:pPr>
        <w:pStyle w:val="ListParagraph"/>
        <w:numPr>
          <w:ilvl w:val="0"/>
          <w:numId w:val="3"/>
        </w:numPr>
        <w:spacing w:line="288" w:lineRule="auto"/>
        <w:jc w:val="both"/>
      </w:pPr>
      <w:r>
        <w:t>Sheet piling</w:t>
      </w:r>
    </w:p>
    <w:p w14:paraId="192656D7" w14:textId="77777777" w:rsidR="00CF032B" w:rsidRDefault="00CF032B" w:rsidP="0050706F">
      <w:pPr>
        <w:pStyle w:val="ListParagraph"/>
        <w:numPr>
          <w:ilvl w:val="0"/>
          <w:numId w:val="3"/>
        </w:numPr>
        <w:spacing w:line="288" w:lineRule="auto"/>
        <w:jc w:val="both"/>
      </w:pPr>
      <w:r>
        <w:t>Cofferdams</w:t>
      </w:r>
    </w:p>
    <w:p w14:paraId="192656D8" w14:textId="77777777" w:rsidR="00CF032B" w:rsidRDefault="00CF032B" w:rsidP="0050706F">
      <w:pPr>
        <w:pStyle w:val="ListParagraph"/>
        <w:numPr>
          <w:ilvl w:val="0"/>
          <w:numId w:val="3"/>
        </w:numPr>
        <w:spacing w:line="288" w:lineRule="auto"/>
        <w:jc w:val="both"/>
      </w:pPr>
      <w:r>
        <w:t>Caissons</w:t>
      </w:r>
    </w:p>
    <w:p w14:paraId="192656D9" w14:textId="77777777" w:rsidR="00CF032B" w:rsidRDefault="00CF032B" w:rsidP="0050706F">
      <w:pPr>
        <w:spacing w:line="288" w:lineRule="auto"/>
        <w:jc w:val="both"/>
      </w:pPr>
      <w:r>
        <w:t>Other permanent solutions are:</w:t>
      </w:r>
    </w:p>
    <w:p w14:paraId="192656DA" w14:textId="77777777" w:rsidR="00CF032B" w:rsidRDefault="00CF032B" w:rsidP="0050706F">
      <w:pPr>
        <w:pStyle w:val="ListParagraph"/>
        <w:numPr>
          <w:ilvl w:val="0"/>
          <w:numId w:val="3"/>
        </w:numPr>
        <w:spacing w:line="288" w:lineRule="auto"/>
        <w:jc w:val="both"/>
      </w:pPr>
      <w:r>
        <w:t>Diaphragm walls</w:t>
      </w:r>
    </w:p>
    <w:p w14:paraId="192656DB" w14:textId="77777777" w:rsidR="00CF032B" w:rsidRDefault="00CF032B" w:rsidP="0050706F">
      <w:pPr>
        <w:pStyle w:val="ListParagraph"/>
        <w:numPr>
          <w:ilvl w:val="0"/>
          <w:numId w:val="3"/>
        </w:numPr>
        <w:spacing w:line="288" w:lineRule="auto"/>
        <w:jc w:val="both"/>
      </w:pPr>
      <w:r>
        <w:t>Piling</w:t>
      </w:r>
    </w:p>
    <w:p w14:paraId="192656DC" w14:textId="77777777" w:rsidR="00231D51" w:rsidRPr="00CF032B" w:rsidRDefault="00231D51" w:rsidP="00231D51">
      <w:pPr>
        <w:spacing w:line="288" w:lineRule="auto"/>
        <w:jc w:val="both"/>
      </w:pPr>
      <w:r>
        <w:t>These last ones are not referred in this text.</w:t>
      </w:r>
    </w:p>
    <w:p w14:paraId="192656DD" w14:textId="77777777" w:rsidR="00770C51" w:rsidRDefault="00770C51" w:rsidP="0050706F">
      <w:pPr>
        <w:pStyle w:val="Heading2"/>
        <w:jc w:val="both"/>
      </w:pPr>
      <w:r>
        <w:t>Trench support</w:t>
      </w:r>
    </w:p>
    <w:p w14:paraId="192656DE" w14:textId="77777777" w:rsidR="00CF032B" w:rsidRDefault="00854F32" w:rsidP="0050706F">
      <w:pPr>
        <w:jc w:val="both"/>
      </w:pPr>
      <w:r>
        <w:t xml:space="preserve">A trench is defined as an excavation when its length greatly exceeds its depth. They are commonly used to allow services, pipelines or foundations (strip foundations). Shallow trenches are usually considered to be less than 6 m deep, whereas deep trenches are greater than 6 m deep. Depending on the dimensions of a trench, excavation can either be carried out by hand or using a mechanical digger. </w:t>
      </w:r>
    </w:p>
    <w:p w14:paraId="192656DF" w14:textId="77777777" w:rsidR="00854F32" w:rsidRDefault="00854F32" w:rsidP="0050706F">
      <w:pPr>
        <w:jc w:val="both"/>
      </w:pPr>
      <w:r>
        <w:t>Over short periods of time for relatively shallow depths, most soil types will stand almost vertically without any problems. However, trenches other than those may require a trench support scheme.</w:t>
      </w:r>
      <w:r w:rsidR="009F4A1B">
        <w:t xml:space="preserve"> </w:t>
      </w:r>
      <w:r w:rsidR="000A546A">
        <w:t>There can be different types of shoring</w:t>
      </w:r>
      <w:r w:rsidR="009F4A1B">
        <w:t>:</w:t>
      </w:r>
    </w:p>
    <w:p w14:paraId="192656E0" w14:textId="77777777" w:rsidR="00854F32" w:rsidRPr="000A546A" w:rsidRDefault="00854F32" w:rsidP="0050706F">
      <w:pPr>
        <w:jc w:val="both"/>
        <w:rPr>
          <w:b/>
        </w:rPr>
      </w:pPr>
      <w:r w:rsidRPr="000A546A">
        <w:rPr>
          <w:b/>
        </w:rPr>
        <w:lastRenderedPageBreak/>
        <w:t>Timber supports</w:t>
      </w:r>
    </w:p>
    <w:p w14:paraId="192656E1" w14:textId="77777777" w:rsidR="009F4A1B" w:rsidRDefault="00854F32" w:rsidP="007137CF">
      <w:pPr>
        <w:jc w:val="both"/>
      </w:pPr>
      <w:r>
        <w:t>Historically, trenching involved the use of timber to support horizontal and vertical soil loads and this technique is still used today. Timber trenching is generally used for low risk, narrow trenches, chafts or headings. The timber solutions require good workmanship and are reasonable labour-intensive, however they are versatile and the equipment required is easy to handle and transport.</w:t>
      </w:r>
    </w:p>
    <w:p w14:paraId="192656E2" w14:textId="77777777" w:rsidR="000A546A" w:rsidRPr="000A546A" w:rsidRDefault="000A546A" w:rsidP="0050706F">
      <w:pPr>
        <w:shd w:val="clear" w:color="auto" w:fill="FFFFFF"/>
        <w:spacing w:line="288" w:lineRule="auto"/>
        <w:jc w:val="both"/>
        <w:outlineLvl w:val="5"/>
        <w:rPr>
          <w:rFonts w:eastAsia="Times New Roman" w:cs="Tahoma"/>
          <w:color w:val="000000"/>
          <w:lang w:eastAsia="en-GB"/>
        </w:rPr>
      </w:pPr>
      <w:r w:rsidRPr="000A546A">
        <w:rPr>
          <w:rFonts w:eastAsia="Times New Roman" w:cs="Tahoma"/>
          <w:b/>
          <w:bCs/>
          <w:color w:val="000000"/>
          <w:lang w:eastAsia="en-GB"/>
        </w:rPr>
        <w:t>Hydraulic Shoring</w:t>
      </w:r>
    </w:p>
    <w:p w14:paraId="192656E3" w14:textId="77777777" w:rsidR="000A546A" w:rsidRPr="000A546A" w:rsidRDefault="000A546A" w:rsidP="0050706F">
      <w:pPr>
        <w:shd w:val="clear" w:color="auto" w:fill="FFFFFF"/>
        <w:spacing w:line="288" w:lineRule="auto"/>
        <w:jc w:val="both"/>
        <w:rPr>
          <w:rFonts w:eastAsia="Times New Roman" w:cs="Tahoma"/>
          <w:color w:val="000000"/>
          <w:lang w:eastAsia="en-GB"/>
        </w:rPr>
      </w:pPr>
      <w:r w:rsidRPr="000A546A">
        <w:rPr>
          <w:rFonts w:eastAsia="Times New Roman" w:cs="Tahoma"/>
          <w:color w:val="000000"/>
          <w:lang w:eastAsia="en-GB"/>
        </w:rPr>
        <w:t xml:space="preserve">The trend today is toward the use of hydraulic shoring, a prefabricated strut and/or wale system manufactured of </w:t>
      </w:r>
      <w:r w:rsidR="00E655FE" w:rsidRPr="000A546A">
        <w:rPr>
          <w:rFonts w:eastAsia="Times New Roman" w:cs="Tahoma"/>
          <w:color w:val="000000"/>
          <w:lang w:eastAsia="en-GB"/>
        </w:rPr>
        <w:t>aluminium</w:t>
      </w:r>
      <w:r w:rsidRPr="000A546A">
        <w:rPr>
          <w:rFonts w:eastAsia="Times New Roman" w:cs="Tahoma"/>
          <w:color w:val="000000"/>
          <w:lang w:eastAsia="en-GB"/>
        </w:rPr>
        <w:t xml:space="preserve"> or steel. Hydraulic shoring provides a critical safety advantage over timber shoring because workers do not have to enter the trench to install or remove hydraulic shoring. Other advantages of most hydraulic systems are that they:</w:t>
      </w:r>
    </w:p>
    <w:p w14:paraId="192656E4" w14:textId="77777777" w:rsidR="000A546A" w:rsidRPr="000A546A" w:rsidRDefault="000A546A" w:rsidP="0050706F">
      <w:pPr>
        <w:numPr>
          <w:ilvl w:val="0"/>
          <w:numId w:val="4"/>
        </w:numPr>
        <w:shd w:val="clear" w:color="auto" w:fill="FFFFFF"/>
        <w:spacing w:line="288" w:lineRule="auto"/>
        <w:ind w:left="375"/>
        <w:jc w:val="both"/>
        <w:rPr>
          <w:rFonts w:eastAsia="Times New Roman" w:cs="Tahoma"/>
          <w:color w:val="000000"/>
          <w:lang w:eastAsia="en-GB"/>
        </w:rPr>
      </w:pPr>
      <w:r w:rsidRPr="000A546A">
        <w:rPr>
          <w:rFonts w:eastAsia="Times New Roman" w:cs="Tahoma"/>
          <w:color w:val="000000"/>
          <w:lang w:eastAsia="en-GB"/>
        </w:rPr>
        <w:t>Are light enough to be installed by one worker;</w:t>
      </w:r>
    </w:p>
    <w:p w14:paraId="192656E5" w14:textId="77777777" w:rsidR="000A546A" w:rsidRPr="000A546A" w:rsidRDefault="000A546A" w:rsidP="0050706F">
      <w:pPr>
        <w:numPr>
          <w:ilvl w:val="0"/>
          <w:numId w:val="4"/>
        </w:numPr>
        <w:shd w:val="clear" w:color="auto" w:fill="FFFFFF"/>
        <w:spacing w:line="288" w:lineRule="auto"/>
        <w:ind w:left="375"/>
        <w:jc w:val="both"/>
        <w:rPr>
          <w:rFonts w:eastAsia="Times New Roman" w:cs="Tahoma"/>
          <w:color w:val="000000"/>
          <w:lang w:eastAsia="en-GB"/>
        </w:rPr>
      </w:pPr>
      <w:r w:rsidRPr="000A546A">
        <w:rPr>
          <w:rFonts w:eastAsia="Times New Roman" w:cs="Tahoma"/>
          <w:color w:val="000000"/>
          <w:lang w:eastAsia="en-GB"/>
        </w:rPr>
        <w:t>Are gauge-regulated to ensure even distribution of pressure along the trench line;</w:t>
      </w:r>
    </w:p>
    <w:p w14:paraId="192656E6" w14:textId="77777777" w:rsidR="000A546A" w:rsidRPr="000A546A" w:rsidRDefault="000A546A" w:rsidP="0050706F">
      <w:pPr>
        <w:numPr>
          <w:ilvl w:val="0"/>
          <w:numId w:val="4"/>
        </w:numPr>
        <w:shd w:val="clear" w:color="auto" w:fill="FFFFFF"/>
        <w:spacing w:line="288" w:lineRule="auto"/>
        <w:ind w:left="375"/>
        <w:jc w:val="both"/>
        <w:rPr>
          <w:rFonts w:eastAsia="Times New Roman" w:cs="Tahoma"/>
          <w:color w:val="000000"/>
          <w:lang w:eastAsia="en-GB"/>
        </w:rPr>
      </w:pPr>
      <w:r w:rsidRPr="000A546A">
        <w:rPr>
          <w:rFonts w:eastAsia="Times New Roman" w:cs="Tahoma"/>
          <w:color w:val="000000"/>
          <w:lang w:eastAsia="en-GB"/>
        </w:rPr>
        <w:t>Can have their trench faces "preloaded" to use the soil's natural c</w:t>
      </w:r>
      <w:r>
        <w:rPr>
          <w:rFonts w:eastAsia="Times New Roman" w:cs="Tahoma"/>
          <w:color w:val="000000"/>
          <w:lang w:eastAsia="en-GB"/>
        </w:rPr>
        <w:t xml:space="preserve">ohesion to prevent movement; </w:t>
      </w:r>
    </w:p>
    <w:p w14:paraId="192656E7" w14:textId="77777777" w:rsidR="000A546A" w:rsidRPr="000A546A" w:rsidRDefault="000A546A" w:rsidP="0050706F">
      <w:pPr>
        <w:numPr>
          <w:ilvl w:val="0"/>
          <w:numId w:val="4"/>
        </w:numPr>
        <w:shd w:val="clear" w:color="auto" w:fill="FFFFFF"/>
        <w:spacing w:line="288" w:lineRule="auto"/>
        <w:ind w:left="375"/>
        <w:jc w:val="both"/>
        <w:rPr>
          <w:rFonts w:eastAsia="Times New Roman" w:cs="Tahoma"/>
          <w:color w:val="000000"/>
          <w:lang w:eastAsia="en-GB"/>
        </w:rPr>
      </w:pPr>
      <w:r w:rsidRPr="000A546A">
        <w:rPr>
          <w:rFonts w:eastAsia="Times New Roman" w:cs="Tahoma"/>
          <w:color w:val="000000"/>
          <w:lang w:eastAsia="en-GB"/>
        </w:rPr>
        <w:t>Can be adapted easily to various trench depths and widths.</w:t>
      </w:r>
    </w:p>
    <w:p w14:paraId="192656E8" w14:textId="77777777" w:rsidR="000A546A" w:rsidRPr="000A546A" w:rsidRDefault="000A546A" w:rsidP="0050706F">
      <w:pPr>
        <w:shd w:val="clear" w:color="auto" w:fill="FFFFFF"/>
        <w:spacing w:line="288" w:lineRule="auto"/>
        <w:jc w:val="both"/>
        <w:rPr>
          <w:rFonts w:eastAsia="Times New Roman" w:cs="Tahoma"/>
          <w:color w:val="000000"/>
          <w:lang w:eastAsia="en-GB"/>
        </w:rPr>
      </w:pPr>
      <w:r w:rsidRPr="000A546A">
        <w:rPr>
          <w:rFonts w:eastAsia="Times New Roman" w:cs="Tahoma"/>
          <w:color w:val="000000"/>
          <w:lang w:eastAsia="en-GB"/>
        </w:rPr>
        <w:t>All shoring should be installed from the top down and removed from the bottom up. Hydraulic shoring should be checked at least once per shift for leaking hoses and/or cylinders, broken connections, cracked nipples, bent bases, and any other damaged or defective parts.</w:t>
      </w:r>
    </w:p>
    <w:p w14:paraId="192656E9" w14:textId="77777777" w:rsidR="000A546A" w:rsidRPr="000A546A" w:rsidRDefault="000A546A" w:rsidP="0050706F">
      <w:pPr>
        <w:shd w:val="clear" w:color="auto" w:fill="FFFFFF"/>
        <w:spacing w:line="288" w:lineRule="auto"/>
        <w:jc w:val="both"/>
        <w:rPr>
          <w:rFonts w:eastAsia="Times New Roman" w:cs="Tahoma"/>
          <w:color w:val="000000"/>
          <w:lang w:eastAsia="en-GB"/>
        </w:rPr>
      </w:pPr>
      <w:r w:rsidRPr="000A546A">
        <w:rPr>
          <w:rFonts w:eastAsia="Times New Roman" w:cs="Tahoma"/>
          <w:b/>
          <w:bCs/>
          <w:color w:val="000000"/>
          <w:lang w:eastAsia="en-GB"/>
        </w:rPr>
        <w:t>Pneumatic Shoring</w:t>
      </w:r>
    </w:p>
    <w:p w14:paraId="192656EA" w14:textId="77777777" w:rsidR="000A546A" w:rsidRPr="000A546A" w:rsidRDefault="000A546A" w:rsidP="0050706F">
      <w:pPr>
        <w:spacing w:line="288" w:lineRule="auto"/>
        <w:jc w:val="both"/>
        <w:rPr>
          <w:rFonts w:eastAsia="Times New Roman" w:cs="Times New Roman"/>
          <w:lang w:eastAsia="en-GB"/>
        </w:rPr>
      </w:pPr>
      <w:r>
        <w:rPr>
          <w:rFonts w:eastAsia="Times New Roman" w:cs="Tahoma"/>
          <w:color w:val="000000"/>
          <w:shd w:val="clear" w:color="auto" w:fill="FFFFFF"/>
          <w:lang w:eastAsia="en-GB"/>
        </w:rPr>
        <w:t xml:space="preserve">It </w:t>
      </w:r>
      <w:r w:rsidRPr="000A546A">
        <w:rPr>
          <w:rFonts w:eastAsia="Times New Roman" w:cs="Tahoma"/>
          <w:color w:val="000000"/>
          <w:shd w:val="clear" w:color="auto" w:fill="FFFFFF"/>
          <w:lang w:eastAsia="en-GB"/>
        </w:rPr>
        <w:t>works in a similar manner to hydraulic shoring. The primary difference is that pneumatic shoring uses air pressure in place of hydraulic pressure. A disadvantage to the use of pneumatic shoring is that an air compressor must be on site.</w:t>
      </w:r>
    </w:p>
    <w:p w14:paraId="192656EB" w14:textId="77777777" w:rsidR="008A23F8" w:rsidRDefault="000A546A" w:rsidP="008A23F8">
      <w:pPr>
        <w:shd w:val="clear" w:color="auto" w:fill="FFFFFF"/>
        <w:spacing w:line="288" w:lineRule="auto"/>
        <w:jc w:val="both"/>
        <w:rPr>
          <w:rFonts w:eastAsia="Times New Roman" w:cs="Tahoma"/>
          <w:b/>
          <w:bCs/>
          <w:color w:val="000000"/>
          <w:lang w:eastAsia="en-GB"/>
        </w:rPr>
      </w:pPr>
      <w:r w:rsidRPr="000A546A">
        <w:rPr>
          <w:rFonts w:eastAsia="Times New Roman" w:cs="Tahoma"/>
          <w:b/>
          <w:bCs/>
          <w:color w:val="000000"/>
          <w:lang w:eastAsia="en-GB"/>
        </w:rPr>
        <w:t>Screw Jacks</w:t>
      </w:r>
    </w:p>
    <w:p w14:paraId="192656EC" w14:textId="77777777" w:rsidR="000A546A" w:rsidRPr="000A546A" w:rsidRDefault="000A546A" w:rsidP="008A23F8">
      <w:pPr>
        <w:shd w:val="clear" w:color="auto" w:fill="FFFFFF"/>
        <w:spacing w:line="288" w:lineRule="auto"/>
        <w:jc w:val="both"/>
        <w:rPr>
          <w:rFonts w:eastAsia="Times New Roman" w:cs="Tahoma"/>
          <w:color w:val="000000"/>
          <w:lang w:eastAsia="en-GB"/>
        </w:rPr>
      </w:pPr>
      <w:r w:rsidRPr="000A546A">
        <w:rPr>
          <w:rFonts w:eastAsia="Times New Roman" w:cs="Tahoma"/>
          <w:color w:val="000000"/>
          <w:lang w:eastAsia="en-GB"/>
        </w:rPr>
        <w:t>Screw jack systems differ from hydraulic and pneumatic systems in that the struts of a screw jack system must be adjusted manually. This creates a hazard because the worker is required to be in the trench in order to adjust the strut. In addition, uniform "preloading" cannot be achieved with screw jacks, and their weight creates handling difficulties.</w:t>
      </w:r>
    </w:p>
    <w:p w14:paraId="192656ED" w14:textId="77777777" w:rsidR="008A23F8" w:rsidRDefault="000A546A" w:rsidP="008A23F8">
      <w:pPr>
        <w:shd w:val="clear" w:color="auto" w:fill="FFFFFF"/>
        <w:spacing w:line="288" w:lineRule="auto"/>
        <w:jc w:val="both"/>
        <w:rPr>
          <w:rFonts w:eastAsia="Times New Roman" w:cs="Tahoma"/>
          <w:b/>
          <w:bCs/>
          <w:color w:val="000000"/>
          <w:lang w:eastAsia="en-GB"/>
        </w:rPr>
      </w:pPr>
      <w:r w:rsidRPr="000A546A">
        <w:rPr>
          <w:rFonts w:eastAsia="Times New Roman" w:cs="Tahoma"/>
          <w:b/>
          <w:bCs/>
          <w:color w:val="000000"/>
          <w:lang w:eastAsia="en-GB"/>
        </w:rPr>
        <w:t>S</w:t>
      </w:r>
      <w:r w:rsidR="008A23F8">
        <w:rPr>
          <w:rFonts w:eastAsia="Times New Roman" w:cs="Tahoma"/>
          <w:b/>
          <w:bCs/>
          <w:color w:val="000000"/>
          <w:lang w:eastAsia="en-GB"/>
        </w:rPr>
        <w:t>ingle-Cylinder Hydraulic Shores</w:t>
      </w:r>
    </w:p>
    <w:p w14:paraId="192656EE" w14:textId="77777777" w:rsidR="000A546A" w:rsidRPr="000A546A" w:rsidRDefault="000A546A" w:rsidP="008A23F8">
      <w:pPr>
        <w:shd w:val="clear" w:color="auto" w:fill="FFFFFF"/>
        <w:spacing w:line="288" w:lineRule="auto"/>
        <w:jc w:val="both"/>
        <w:rPr>
          <w:rFonts w:eastAsia="Times New Roman" w:cs="Tahoma"/>
          <w:color w:val="000000"/>
          <w:lang w:eastAsia="en-GB"/>
        </w:rPr>
      </w:pPr>
      <w:r w:rsidRPr="000A546A">
        <w:rPr>
          <w:rFonts w:eastAsia="Times New Roman" w:cs="Tahoma"/>
          <w:color w:val="000000"/>
          <w:lang w:eastAsia="en-GB"/>
        </w:rPr>
        <w:t>Shores of this type are generally used in a water system, as an assist to timber shoring systems, and in shallow trenches where face stability is required.</w:t>
      </w:r>
    </w:p>
    <w:p w14:paraId="192656EF" w14:textId="77777777" w:rsidR="000A546A" w:rsidRDefault="00C314D6" w:rsidP="0050706F">
      <w:pPr>
        <w:jc w:val="both"/>
      </w:pPr>
      <w:r>
        <w:t>Besides, shielding can also be used in combination with shoring. Sheets made of timber or aluminium (commonly) cover the verti</w:t>
      </w:r>
      <w:r w:rsidR="00EB6024">
        <w:t>cal surface of the excavation. T</w:t>
      </w:r>
      <w:r>
        <w:t xml:space="preserve">hey are intended primarily to protect workers from cave-ins and similar accidents. </w:t>
      </w:r>
    </w:p>
    <w:p w14:paraId="192656F0" w14:textId="77777777" w:rsidR="00EB6024" w:rsidRPr="00C314D6" w:rsidRDefault="00EB6024" w:rsidP="0050706F">
      <w:pPr>
        <w:jc w:val="both"/>
      </w:pPr>
    </w:p>
    <w:p w14:paraId="192656F1" w14:textId="77777777" w:rsidR="00854F32" w:rsidRPr="000A546A" w:rsidRDefault="00854F32" w:rsidP="0050706F">
      <w:pPr>
        <w:jc w:val="both"/>
        <w:rPr>
          <w:b/>
        </w:rPr>
      </w:pPr>
      <w:r w:rsidRPr="000A546A">
        <w:rPr>
          <w:b/>
        </w:rPr>
        <w:lastRenderedPageBreak/>
        <w:t>Trench boxes</w:t>
      </w:r>
    </w:p>
    <w:p w14:paraId="192656F2" w14:textId="77777777" w:rsidR="000A546A" w:rsidRDefault="00C314D6" w:rsidP="007137CF">
      <w:pPr>
        <w:jc w:val="both"/>
      </w:pPr>
      <w:r>
        <w:t>They</w:t>
      </w:r>
      <w:r w:rsidR="00854F32">
        <w:t xml:space="preserve"> can be placed in pre-excavated trenches or installed using the “dig and push” technique. </w:t>
      </w:r>
      <w:r>
        <w:t xml:space="preserve">The space between the trench boxes and the excavation side is backfilled to prevent lateral movement of the box. </w:t>
      </w:r>
      <w:r w:rsidR="00854F32">
        <w:t>The system requires at least two struts at each panel for stability which must be considered when access is required for construction work or piping.</w:t>
      </w:r>
    </w:p>
    <w:p w14:paraId="192656F3" w14:textId="77777777" w:rsidR="00CF032B" w:rsidRDefault="00CF032B" w:rsidP="0050706F">
      <w:pPr>
        <w:pStyle w:val="Heading2"/>
        <w:jc w:val="both"/>
      </w:pPr>
      <w:r>
        <w:t>Anchoring</w:t>
      </w:r>
    </w:p>
    <w:p w14:paraId="192656F4" w14:textId="77777777" w:rsidR="00CF032B" w:rsidRDefault="003277E9" w:rsidP="0050706F">
      <w:pPr>
        <w:jc w:val="both"/>
      </w:pPr>
      <w:r>
        <w:t xml:space="preserve">Anchoring is used to tie back </w:t>
      </w:r>
      <w:r w:rsidR="009F5240">
        <w:t xml:space="preserve">the temporary sheet protecting the excavation. </w:t>
      </w:r>
      <w:r>
        <w:t xml:space="preserve">This method of supporting trenches and large excavations provide a working area free of struts and shores. </w:t>
      </w:r>
    </w:p>
    <w:p w14:paraId="192656F5" w14:textId="77777777" w:rsidR="00514EE1" w:rsidRDefault="009F5240" w:rsidP="0050706F">
      <w:pPr>
        <w:jc w:val="both"/>
      </w:pPr>
      <w:r>
        <w:t xml:space="preserve">A ground anchor is basically a pre-stressing </w:t>
      </w:r>
      <w:r w:rsidR="00EB6024">
        <w:t>tendon</w:t>
      </w:r>
      <w:r>
        <w:t xml:space="preserve"> embedded and anchored into soil or rock to provide resistance to structural movements.</w:t>
      </w:r>
      <w:r w:rsidR="00514EE1">
        <w:t xml:space="preserve"> A hole is predrilled on soil or rock in position carefully calculated. The anchorage is developed in two ways, depending on the kind of soil:</w:t>
      </w:r>
    </w:p>
    <w:p w14:paraId="192656F6" w14:textId="77777777" w:rsidR="009F5240" w:rsidRDefault="00514EE1" w:rsidP="0050706F">
      <w:pPr>
        <w:pStyle w:val="ListParagraph"/>
        <w:numPr>
          <w:ilvl w:val="0"/>
          <w:numId w:val="6"/>
        </w:numPr>
        <w:jc w:val="both"/>
      </w:pPr>
      <w:r>
        <w:t>For rock anchor, an anchor bar with expanded sleeves at the end is inserted into the hole. A dense high strength grout is injected over a required length to develop sufficient resistance to hold the bar when it is stressed. Stressing is by hydraulic mean and when the stress is developed, the head of the bar is hold by an end plate and nut.</w:t>
      </w:r>
    </w:p>
    <w:p w14:paraId="192656F7" w14:textId="77777777" w:rsidR="00514EE1" w:rsidRDefault="00514EE1" w:rsidP="0050706F">
      <w:pPr>
        <w:pStyle w:val="ListParagraph"/>
        <w:numPr>
          <w:ilvl w:val="0"/>
          <w:numId w:val="6"/>
        </w:numPr>
        <w:jc w:val="both"/>
      </w:pPr>
      <w:r>
        <w:t>For injection anchor, a hole should be bored usually with and expanded end to increase anchorage ability. The pre-stressing bar is placed into the bore hole and pressure grouted over the anchorage length.</w:t>
      </w:r>
    </w:p>
    <w:p w14:paraId="192656F8" w14:textId="77777777" w:rsidR="00941869" w:rsidRDefault="00941869" w:rsidP="00941869">
      <w:pPr>
        <w:keepNext/>
        <w:jc w:val="center"/>
      </w:pPr>
      <w:r>
        <w:rPr>
          <w:noProof/>
          <w:lang w:eastAsia="en-GB"/>
        </w:rPr>
        <w:drawing>
          <wp:inline distT="0" distB="0" distL="0" distR="0" wp14:anchorId="19265722" wp14:editId="19265723">
            <wp:extent cx="2867025" cy="3448622"/>
            <wp:effectExtent l="0" t="0" r="0" b="0"/>
            <wp:docPr id="10" name="Picture 10" descr="http://www.p3planningengineer.com/productivity/soil%20improvement/ground%20anchor/ground%20anchor%20concep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p3planningengineer.com/productivity/soil%20improvement/ground%20anchor/ground%20anchor%20concept.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025" cy="3448622"/>
                    </a:xfrm>
                    <a:prstGeom prst="rect">
                      <a:avLst/>
                    </a:prstGeom>
                    <a:noFill/>
                    <a:ln>
                      <a:noFill/>
                    </a:ln>
                  </pic:spPr>
                </pic:pic>
              </a:graphicData>
            </a:graphic>
          </wp:inline>
        </w:drawing>
      </w:r>
    </w:p>
    <w:p w14:paraId="192656F9" w14:textId="77777777" w:rsidR="00941869" w:rsidRDefault="00941869" w:rsidP="00941869">
      <w:pPr>
        <w:pStyle w:val="Caption"/>
        <w:jc w:val="center"/>
      </w:pPr>
      <w:r>
        <w:t xml:space="preserve">Figure </w:t>
      </w:r>
      <w:fldSimple w:instr=" SEQ Figure \* ARABIC ">
        <w:r w:rsidR="000345FA">
          <w:rPr>
            <w:noProof/>
          </w:rPr>
          <w:t>1</w:t>
        </w:r>
      </w:fldSimple>
      <w:r>
        <w:t xml:space="preserve">. </w:t>
      </w:r>
      <w:r w:rsidR="0026774D">
        <w:t>(</w:t>
      </w:r>
      <w:r w:rsidR="0026774D" w:rsidRPr="0026774D">
        <w:t>http://naavaay.com</w:t>
      </w:r>
      <w:r w:rsidR="0026774D">
        <w:t>).</w:t>
      </w:r>
    </w:p>
    <w:p w14:paraId="192656FA" w14:textId="77777777" w:rsidR="0026774D" w:rsidRPr="0026774D" w:rsidRDefault="0026774D" w:rsidP="0026774D">
      <w:pPr>
        <w:jc w:val="both"/>
      </w:pPr>
      <w:r>
        <w:t xml:space="preserve">Gravel placement ground anchor can also be used in clay soils for lighter loading. In this method, irregular gravel is injected into the borehole over the anchorage length to form an end plug. The gravel plug is then forced into soil using percussion method through casing, forming an enlarged </w:t>
      </w:r>
      <w:r>
        <w:lastRenderedPageBreak/>
        <w:t>end. A stressing bar is inserted into the casing and pressure grouted over the anchorage length as the casing is removed.</w:t>
      </w:r>
    </w:p>
    <w:p w14:paraId="192656FB" w14:textId="77777777" w:rsidR="00CF032B" w:rsidRDefault="00CF032B" w:rsidP="0050706F">
      <w:pPr>
        <w:pStyle w:val="Heading2"/>
        <w:jc w:val="both"/>
      </w:pPr>
      <w:r>
        <w:t>Sheet piling</w:t>
      </w:r>
    </w:p>
    <w:p w14:paraId="192656FC" w14:textId="77777777" w:rsidR="00CF032B" w:rsidRDefault="006A4F7A" w:rsidP="0050706F">
      <w:pPr>
        <w:jc w:val="both"/>
      </w:pPr>
      <w:r>
        <w:t xml:space="preserve">This system is used for permanent and temporary work to control ground water and support excavations. It consists of closely-set piles driven into the ground to keep earth and water out of an excavation. Although reinforced and pre-stressed concrete sheet piles are available, steel sheet piling is by far the most common form of sheet piling used in civil engineering works. </w:t>
      </w:r>
    </w:p>
    <w:p w14:paraId="192656FD" w14:textId="77777777" w:rsidR="006A4F7A" w:rsidRDefault="006A4F7A" w:rsidP="0050706F">
      <w:pPr>
        <w:jc w:val="both"/>
      </w:pPr>
      <w:r>
        <w:t>Steel piles are usually hammered into the ground</w:t>
      </w:r>
      <w:r w:rsidR="009F225D">
        <w:t xml:space="preserve"> (other systems are pushed in or vibrated into position)</w:t>
      </w:r>
      <w:r>
        <w:t>. To keep the piles in position during driving, it is essential to erect temporary guide walings; to assist stability of the driving frame, the distance apart of the two se</w:t>
      </w:r>
      <w:r w:rsidR="009F225D">
        <w:t>ts of walings should be as large as practicable. O</w:t>
      </w:r>
      <w:r>
        <w:t xml:space="preserve">nce in the ground are held stable by either cantilever action or are propped across the excavation. </w:t>
      </w:r>
    </w:p>
    <w:p w14:paraId="192656FE" w14:textId="77777777" w:rsidR="006A4F7A" w:rsidRDefault="006A4F7A" w:rsidP="0050706F">
      <w:pPr>
        <w:jc w:val="both"/>
      </w:pPr>
      <w:r>
        <w:t>They are used for permanent retaining walls in docks, harbours and embankments. They are also used in the temporary case to support the sides of trenches and in cofferdam construction.</w:t>
      </w:r>
    </w:p>
    <w:p w14:paraId="192656FF" w14:textId="77777777" w:rsidR="006A4F7A" w:rsidRDefault="009F225D" w:rsidP="0050706F">
      <w:pPr>
        <w:jc w:val="both"/>
      </w:pPr>
      <w:r>
        <w:t>The two main types of steel sheet piles used in the UK are Frodingham and Larsen; the difference is in the position of interlock. They are both available in lengths between 9 and 30 metres.</w:t>
      </w:r>
    </w:p>
    <w:p w14:paraId="19265700" w14:textId="77777777" w:rsidR="00B50680" w:rsidRDefault="00F07C85" w:rsidP="00B50680">
      <w:pPr>
        <w:keepNext/>
        <w:jc w:val="center"/>
      </w:pPr>
      <w:r>
        <w:rPr>
          <w:noProof/>
          <w:lang w:eastAsia="en-GB"/>
        </w:rPr>
        <w:drawing>
          <wp:inline distT="0" distB="0" distL="0" distR="0" wp14:anchorId="19265724" wp14:editId="19265725">
            <wp:extent cx="3653028" cy="2253996"/>
            <wp:effectExtent l="19050" t="0" r="4572" b="0"/>
            <wp:docPr id="5" name="4 Imagen" descr="sheet pi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eet piles.jpg"/>
                    <pic:cNvPicPr/>
                  </pic:nvPicPr>
                  <pic:blipFill>
                    <a:blip r:embed="rId9" cstate="print"/>
                    <a:stretch>
                      <a:fillRect/>
                    </a:stretch>
                  </pic:blipFill>
                  <pic:spPr>
                    <a:xfrm>
                      <a:off x="0" y="0"/>
                      <a:ext cx="3653028" cy="2253996"/>
                    </a:xfrm>
                    <a:prstGeom prst="rect">
                      <a:avLst/>
                    </a:prstGeom>
                  </pic:spPr>
                </pic:pic>
              </a:graphicData>
            </a:graphic>
          </wp:inline>
        </w:drawing>
      </w:r>
    </w:p>
    <w:p w14:paraId="19265701" w14:textId="77777777" w:rsidR="009F225D" w:rsidRDefault="00B50680" w:rsidP="00B50680">
      <w:pPr>
        <w:pStyle w:val="Caption"/>
        <w:jc w:val="center"/>
      </w:pPr>
      <w:r>
        <w:t xml:space="preserve">Figure </w:t>
      </w:r>
      <w:fldSimple w:instr=" SEQ Figure \* ARABIC ">
        <w:r w:rsidR="000345FA">
          <w:rPr>
            <w:noProof/>
          </w:rPr>
          <w:t>2</w:t>
        </w:r>
      </w:fldSimple>
      <w:r>
        <w:t>. (Warren, 1996)</w:t>
      </w:r>
    </w:p>
    <w:p w14:paraId="19265702" w14:textId="77777777" w:rsidR="00CF032B" w:rsidRDefault="00CF032B" w:rsidP="0050706F">
      <w:pPr>
        <w:pStyle w:val="Heading2"/>
        <w:jc w:val="both"/>
      </w:pPr>
      <w:r>
        <w:t>Cofferdams</w:t>
      </w:r>
    </w:p>
    <w:p w14:paraId="19265703" w14:textId="77777777" w:rsidR="00E655FE" w:rsidRDefault="00E655FE" w:rsidP="0050706F">
      <w:pPr>
        <w:jc w:val="both"/>
      </w:pPr>
      <w:r>
        <w:t>Cofferdams are temporary structures used for deep confined excavation in poor ground or in open water. It can be built with steel sheet piles. When it is built in open water, it forms a watertight rectangle that is then dewatered to allow excavation works inside.</w:t>
      </w:r>
    </w:p>
    <w:p w14:paraId="19265704" w14:textId="77777777" w:rsidR="00B50680" w:rsidRDefault="00AF35E2" w:rsidP="00B50680">
      <w:pPr>
        <w:keepNext/>
        <w:jc w:val="center"/>
      </w:pPr>
      <w:r>
        <w:rPr>
          <w:noProof/>
          <w:lang w:eastAsia="en-GB"/>
        </w:rPr>
        <w:lastRenderedPageBreak/>
        <w:drawing>
          <wp:inline distT="0" distB="0" distL="0" distR="0" wp14:anchorId="19265726" wp14:editId="19265727">
            <wp:extent cx="2258568" cy="1275588"/>
            <wp:effectExtent l="19050" t="0" r="8382" b="0"/>
            <wp:docPr id="6" name="5 Imagen" descr="cofferdam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fferdam 3.jpg"/>
                    <pic:cNvPicPr/>
                  </pic:nvPicPr>
                  <pic:blipFill>
                    <a:blip r:embed="rId10" cstate="print"/>
                    <a:stretch>
                      <a:fillRect/>
                    </a:stretch>
                  </pic:blipFill>
                  <pic:spPr>
                    <a:xfrm>
                      <a:off x="0" y="0"/>
                      <a:ext cx="2258568" cy="1275588"/>
                    </a:xfrm>
                    <a:prstGeom prst="rect">
                      <a:avLst/>
                    </a:prstGeom>
                  </pic:spPr>
                </pic:pic>
              </a:graphicData>
            </a:graphic>
          </wp:inline>
        </w:drawing>
      </w:r>
    </w:p>
    <w:p w14:paraId="19265705" w14:textId="77777777" w:rsidR="00AF35E2" w:rsidRDefault="00B50680" w:rsidP="00B50680">
      <w:pPr>
        <w:pStyle w:val="Caption"/>
        <w:jc w:val="center"/>
      </w:pPr>
      <w:r>
        <w:t xml:space="preserve">Figure </w:t>
      </w:r>
      <w:fldSimple w:instr=" SEQ Figure \* ARABIC ">
        <w:r w:rsidR="000345FA">
          <w:rPr>
            <w:noProof/>
          </w:rPr>
          <w:t>3</w:t>
        </w:r>
      </w:fldSimple>
      <w:r>
        <w:t>. (Warren, 1996)</w:t>
      </w:r>
    </w:p>
    <w:p w14:paraId="19265706" w14:textId="77777777" w:rsidR="00F07C85" w:rsidRDefault="00F07C85" w:rsidP="0050706F">
      <w:pPr>
        <w:jc w:val="both"/>
      </w:pPr>
      <w:r>
        <w:t>Cofferdams can be considered under two headings:</w:t>
      </w:r>
    </w:p>
    <w:p w14:paraId="19265707" w14:textId="77777777" w:rsidR="00F07C85" w:rsidRPr="00AF35E2" w:rsidRDefault="00F07C85" w:rsidP="0050706F">
      <w:pPr>
        <w:jc w:val="both"/>
        <w:rPr>
          <w:b/>
        </w:rPr>
      </w:pPr>
      <w:r w:rsidRPr="00AF35E2">
        <w:rPr>
          <w:b/>
        </w:rPr>
        <w:t>Single-skin cofferdams</w:t>
      </w:r>
    </w:p>
    <w:p w14:paraId="19265708" w14:textId="77777777" w:rsidR="00F07C85" w:rsidRDefault="00F07C85" w:rsidP="0050706F">
      <w:pPr>
        <w:jc w:val="both"/>
      </w:pPr>
      <w:r>
        <w:t>These consist of a suitably supported single enclosing row of sheet piles and may be suitable for excavation depths of up to 15 m. Single-skin cofferdams constructed to act as cantilevers are possible in all soils but the maximum amount of excavation height will be low relative to the required penetration of the toe of the pile and this is particularly true in cohesive soils.</w:t>
      </w:r>
    </w:p>
    <w:p w14:paraId="19265709" w14:textId="77777777" w:rsidR="00941869" w:rsidRDefault="00AF35E2" w:rsidP="00941869">
      <w:pPr>
        <w:keepNext/>
        <w:jc w:val="center"/>
      </w:pPr>
      <w:r>
        <w:rPr>
          <w:noProof/>
          <w:lang w:eastAsia="en-GB"/>
        </w:rPr>
        <w:drawing>
          <wp:inline distT="0" distB="0" distL="0" distR="0" wp14:anchorId="19265728" wp14:editId="19265729">
            <wp:extent cx="4544568" cy="4480560"/>
            <wp:effectExtent l="19050" t="0" r="8382" b="0"/>
            <wp:docPr id="7" name="6 Imagen" descr="cofferd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fferdam.jpg"/>
                    <pic:cNvPicPr/>
                  </pic:nvPicPr>
                  <pic:blipFill>
                    <a:blip r:embed="rId11" cstate="print"/>
                    <a:stretch>
                      <a:fillRect/>
                    </a:stretch>
                  </pic:blipFill>
                  <pic:spPr>
                    <a:xfrm>
                      <a:off x="0" y="0"/>
                      <a:ext cx="4544568" cy="4480560"/>
                    </a:xfrm>
                    <a:prstGeom prst="rect">
                      <a:avLst/>
                    </a:prstGeom>
                  </pic:spPr>
                </pic:pic>
              </a:graphicData>
            </a:graphic>
          </wp:inline>
        </w:drawing>
      </w:r>
    </w:p>
    <w:p w14:paraId="1926570A" w14:textId="77777777" w:rsidR="00AF35E2" w:rsidRDefault="00941869" w:rsidP="00941869">
      <w:pPr>
        <w:pStyle w:val="Caption"/>
        <w:jc w:val="center"/>
      </w:pPr>
      <w:r>
        <w:t xml:space="preserve">Figure </w:t>
      </w:r>
      <w:fldSimple w:instr=" SEQ Figure \* ARABIC ">
        <w:r w:rsidR="000345FA">
          <w:rPr>
            <w:noProof/>
          </w:rPr>
          <w:t>4</w:t>
        </w:r>
      </w:fldSimple>
      <w:r>
        <w:t xml:space="preserve">. </w:t>
      </w:r>
      <w:r w:rsidR="0026774D">
        <w:t>(John</w:t>
      </w:r>
      <w:r w:rsidR="00CC0C0B">
        <w:t xml:space="preserve"> Greville’s notes</w:t>
      </w:r>
      <w:r w:rsidR="00AE6ED3">
        <w:t>, UWTSD</w:t>
      </w:r>
      <w:r w:rsidR="0026774D">
        <w:t>)</w:t>
      </w:r>
      <w:r w:rsidR="00CC0C0B">
        <w:t>.</w:t>
      </w:r>
    </w:p>
    <w:p w14:paraId="1926570B" w14:textId="77777777" w:rsidR="00F07C85" w:rsidRPr="00AF35E2" w:rsidRDefault="00F07C85" w:rsidP="0050706F">
      <w:pPr>
        <w:jc w:val="both"/>
        <w:rPr>
          <w:b/>
        </w:rPr>
      </w:pPr>
      <w:r w:rsidRPr="00AF35E2">
        <w:rPr>
          <w:b/>
        </w:rPr>
        <w:t>Double-skin cofferdams</w:t>
      </w:r>
    </w:p>
    <w:p w14:paraId="1926570C" w14:textId="77777777" w:rsidR="00F07C85" w:rsidRDefault="00AF35E2" w:rsidP="0050706F">
      <w:pPr>
        <w:jc w:val="both"/>
      </w:pPr>
      <w:r>
        <w:t xml:space="preserve">Double-skin cofferdams are used to exclude water from construction areas in rivers and waters where large structures are to be built. </w:t>
      </w:r>
      <w:r w:rsidR="00F07C85">
        <w:t xml:space="preserve">These are self-supporting gravity structures constructed by </w:t>
      </w:r>
      <w:r w:rsidR="00F07C85">
        <w:lastRenderedPageBreak/>
        <w:t>using two parallel rows of piles with a filling material placed in the void created. The type of double-skin cofferdam has the inner wall, design as a retaining wall which is suitably driven into the sub-strata, whereas the outer wall acts primarily as an anchor wall. The two parallel rows of piles are tied together with one or two rows of tie rods acting against external steel walings. Inner walls should have a series of low level weep holes.</w:t>
      </w:r>
    </w:p>
    <w:p w14:paraId="1926570D" w14:textId="77777777" w:rsidR="00F07C85" w:rsidRDefault="00F07C85" w:rsidP="0050706F">
      <w:pPr>
        <w:jc w:val="both"/>
      </w:pPr>
      <w:r>
        <w:t>Gravity-type cofferdams can also be formed by using pile sections arranged as a cellular construction. They are entirely sel-supporting and do not require any other form of support such as struts, braces and tie rods. The pile, with its interlocking joint, is capable of resisting</w:t>
      </w:r>
      <w:r w:rsidR="00AF35E2">
        <w:t xml:space="preserve"> the high circumferential tensile forces set up by the non-cohesive filling materials.</w:t>
      </w:r>
    </w:p>
    <w:p w14:paraId="1926570E" w14:textId="77777777" w:rsidR="00941869" w:rsidRDefault="00AF35E2" w:rsidP="00941869">
      <w:pPr>
        <w:keepNext/>
        <w:jc w:val="center"/>
      </w:pPr>
      <w:r>
        <w:rPr>
          <w:noProof/>
          <w:lang w:eastAsia="en-GB"/>
        </w:rPr>
        <w:drawing>
          <wp:inline distT="0" distB="0" distL="0" distR="0" wp14:anchorId="1926572A" wp14:editId="1926572B">
            <wp:extent cx="5731510" cy="5142865"/>
            <wp:effectExtent l="19050" t="0" r="2540" b="0"/>
            <wp:docPr id="8" name="7 Imagen" descr="cofferdam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fferdam 2.jpg"/>
                    <pic:cNvPicPr/>
                  </pic:nvPicPr>
                  <pic:blipFill>
                    <a:blip r:embed="rId12" cstate="print"/>
                    <a:stretch>
                      <a:fillRect/>
                    </a:stretch>
                  </pic:blipFill>
                  <pic:spPr>
                    <a:xfrm>
                      <a:off x="0" y="0"/>
                      <a:ext cx="5731510" cy="5142865"/>
                    </a:xfrm>
                    <a:prstGeom prst="rect">
                      <a:avLst/>
                    </a:prstGeom>
                  </pic:spPr>
                </pic:pic>
              </a:graphicData>
            </a:graphic>
          </wp:inline>
        </w:drawing>
      </w:r>
    </w:p>
    <w:p w14:paraId="1926570F" w14:textId="77777777" w:rsidR="00CF032B" w:rsidRDefault="00941869" w:rsidP="00941869">
      <w:pPr>
        <w:pStyle w:val="Caption"/>
        <w:jc w:val="center"/>
      </w:pPr>
      <w:r>
        <w:t xml:space="preserve">Figure </w:t>
      </w:r>
      <w:fldSimple w:instr=" SEQ Figure \* ARABIC ">
        <w:r w:rsidR="000345FA">
          <w:rPr>
            <w:noProof/>
          </w:rPr>
          <w:t>5</w:t>
        </w:r>
      </w:fldSimple>
      <w:r>
        <w:t xml:space="preserve">. </w:t>
      </w:r>
      <w:r w:rsidR="0026774D">
        <w:t>(</w:t>
      </w:r>
      <w:r w:rsidR="00CC0C0B">
        <w:t>John Greville’s notes</w:t>
      </w:r>
      <w:r w:rsidR="00AE6ED3">
        <w:t>, UWTSD</w:t>
      </w:r>
      <w:r w:rsidR="0026774D">
        <w:t>)</w:t>
      </w:r>
      <w:r w:rsidR="00CC0C0B">
        <w:t>.</w:t>
      </w:r>
    </w:p>
    <w:p w14:paraId="19265710" w14:textId="77777777" w:rsidR="00CF032B" w:rsidRDefault="00CF032B" w:rsidP="0050706F">
      <w:pPr>
        <w:pStyle w:val="Heading2"/>
        <w:jc w:val="both"/>
      </w:pPr>
      <w:r>
        <w:t>Caissons</w:t>
      </w:r>
    </w:p>
    <w:p w14:paraId="19265711" w14:textId="77777777" w:rsidR="00071842" w:rsidRDefault="00071842" w:rsidP="0050706F">
      <w:pPr>
        <w:jc w:val="both"/>
      </w:pPr>
      <w:r>
        <w:t xml:space="preserve">These structures can be used to construct foundations in open water and bad ground conditions. </w:t>
      </w:r>
      <w:r w:rsidR="00664454">
        <w:t xml:space="preserve">They are economically constructed where the depth below the water table exceeds 18 m. </w:t>
      </w:r>
      <w:r>
        <w:t xml:space="preserve">They consist of a thick concrete box or cylinder between 3 and 15 m in diameter. As ground is removed, the caisson will drop down into the excavation, providing support and water control. Additional rings of concrete wall can be added to the top to keep the water out. </w:t>
      </w:r>
    </w:p>
    <w:p w14:paraId="19265712" w14:textId="77777777" w:rsidR="007137CF" w:rsidRDefault="00664454" w:rsidP="007137CF">
      <w:pPr>
        <w:keepNext/>
        <w:jc w:val="center"/>
      </w:pPr>
      <w:r>
        <w:rPr>
          <w:noProof/>
          <w:lang w:eastAsia="en-GB"/>
        </w:rPr>
        <w:lastRenderedPageBreak/>
        <w:drawing>
          <wp:inline distT="0" distB="0" distL="0" distR="0" wp14:anchorId="1926572C" wp14:editId="1926572D">
            <wp:extent cx="4009644" cy="1600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issons.jpg"/>
                    <pic:cNvPicPr/>
                  </pic:nvPicPr>
                  <pic:blipFill>
                    <a:blip r:embed="rId13">
                      <a:extLst>
                        <a:ext uri="{28A0092B-C50C-407E-A947-70E740481C1C}">
                          <a14:useLocalDpi xmlns:a14="http://schemas.microsoft.com/office/drawing/2010/main" val="0"/>
                        </a:ext>
                      </a:extLst>
                    </a:blip>
                    <a:stretch>
                      <a:fillRect/>
                    </a:stretch>
                  </pic:blipFill>
                  <pic:spPr>
                    <a:xfrm>
                      <a:off x="0" y="0"/>
                      <a:ext cx="4009644" cy="1600200"/>
                    </a:xfrm>
                    <a:prstGeom prst="rect">
                      <a:avLst/>
                    </a:prstGeom>
                  </pic:spPr>
                </pic:pic>
              </a:graphicData>
            </a:graphic>
          </wp:inline>
        </w:drawing>
      </w:r>
    </w:p>
    <w:p w14:paraId="19265713" w14:textId="77777777" w:rsidR="00664454" w:rsidRDefault="007137CF" w:rsidP="007137CF">
      <w:pPr>
        <w:pStyle w:val="Caption"/>
        <w:jc w:val="center"/>
      </w:pPr>
      <w:r>
        <w:t xml:space="preserve">Figure </w:t>
      </w:r>
      <w:fldSimple w:instr=" SEQ Figure \* ARABIC ">
        <w:r w:rsidR="000345FA">
          <w:rPr>
            <w:noProof/>
          </w:rPr>
          <w:t>6</w:t>
        </w:r>
      </w:fldSimple>
      <w:r>
        <w:t>. (Warren, 1996)</w:t>
      </w:r>
    </w:p>
    <w:p w14:paraId="19265714" w14:textId="77777777" w:rsidR="00AF35E2" w:rsidRDefault="00AF35E2" w:rsidP="0050706F">
      <w:pPr>
        <w:jc w:val="both"/>
      </w:pPr>
      <w:r>
        <w:t>There are four basic types of caisson:</w:t>
      </w:r>
    </w:p>
    <w:p w14:paraId="19265715" w14:textId="77777777" w:rsidR="00AF35E2" w:rsidRDefault="00AF35E2" w:rsidP="0050706F">
      <w:pPr>
        <w:jc w:val="both"/>
      </w:pPr>
      <w:r w:rsidRPr="002E301C">
        <w:rPr>
          <w:b/>
        </w:rPr>
        <w:t>Box caissons</w:t>
      </w:r>
      <w:r>
        <w:t>: They are usually constructed on land and designed to be launched and floated to the desired position where they are sunk onto a previously dredged or rock blanket foundation.</w:t>
      </w:r>
    </w:p>
    <w:p w14:paraId="19265716" w14:textId="77777777" w:rsidR="00AF35E2" w:rsidRDefault="00AF35E2" w:rsidP="0050706F">
      <w:pPr>
        <w:jc w:val="both"/>
      </w:pPr>
      <w:r w:rsidRPr="002E301C">
        <w:rPr>
          <w:b/>
        </w:rPr>
        <w:t>Open caissons</w:t>
      </w:r>
      <w:r>
        <w:t xml:space="preserve">: Precast concrete open at both top and bottom ends with a cutting edge to the bottom rim. They are suitable for installation in soft subsoils </w:t>
      </w:r>
      <w:r w:rsidR="00071842">
        <w:t xml:space="preserve">(i.e. clay or lime) </w:t>
      </w:r>
      <w:r>
        <w:t>where the excavation can be carried out by grabs enabling the caisson to sink under its own weight. When the desired depth has been reached a concrete pile in the form of a slab is placed in the bottom. The cell void can then be pumped dry.</w:t>
      </w:r>
    </w:p>
    <w:p w14:paraId="19265717" w14:textId="77777777" w:rsidR="00AF35E2" w:rsidRDefault="00AF35E2" w:rsidP="0050706F">
      <w:pPr>
        <w:jc w:val="both"/>
      </w:pPr>
      <w:r>
        <w:t>Open caissons can also be installed in land if the sub-soil conditions are suitable. Benitonite slurry can be pumped to act as a lubricant. The excavation operation is usually carried out simultaneously with the construction of the caisson above ground level.</w:t>
      </w:r>
    </w:p>
    <w:p w14:paraId="19265718" w14:textId="77777777" w:rsidR="00AF35E2" w:rsidRDefault="00AF35E2" w:rsidP="0050706F">
      <w:pPr>
        <w:jc w:val="both"/>
      </w:pPr>
      <w:r w:rsidRPr="002E301C">
        <w:rPr>
          <w:b/>
        </w:rPr>
        <w:t>Monolithic caissons</w:t>
      </w:r>
      <w:r>
        <w:t>: Similar to open caissons but have greater self weight and wall thickness making them suitable for structures liable to impact.</w:t>
      </w:r>
    </w:p>
    <w:p w14:paraId="19265719" w14:textId="77777777" w:rsidR="00AF35E2" w:rsidRDefault="00AF35E2" w:rsidP="0050706F">
      <w:pPr>
        <w:jc w:val="both"/>
      </w:pPr>
      <w:r w:rsidRPr="002E301C">
        <w:rPr>
          <w:b/>
        </w:rPr>
        <w:t>Pneumatic or compressed-air caissons</w:t>
      </w:r>
      <w:r>
        <w:t xml:space="preserve">: </w:t>
      </w:r>
      <w:r w:rsidR="00071842">
        <w:t xml:space="preserve">Compressed air caissons maintain a positive air pressure at the bottom of the caisson. The air pressure is always maintained at a level higher than the water pressure trying to flood the caisson and so keeps the excavation area free from water whilst the sides of the caisson support the sides of the excavation. </w:t>
      </w:r>
      <w:r>
        <w:t>They are used when difficult sub-soils exist and where land excavation in dry working conditions is necessary. When the required depth has been reached the floor of the working chamber can be sealed over with a thick layer of concrete. This is followed by further concrete and pressure grouted to finally seal the working chamber.</w:t>
      </w:r>
    </w:p>
    <w:p w14:paraId="1926571A" w14:textId="77777777" w:rsidR="00941869" w:rsidRDefault="00664454" w:rsidP="00941869">
      <w:pPr>
        <w:keepNext/>
        <w:jc w:val="center"/>
      </w:pPr>
      <w:r>
        <w:rPr>
          <w:noProof/>
          <w:lang w:eastAsia="en-GB"/>
        </w:rPr>
        <w:drawing>
          <wp:inline distT="0" distB="0" distL="0" distR="0" wp14:anchorId="1926572E" wp14:editId="1926572F">
            <wp:extent cx="2523744" cy="1600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issons air compressed.jpg"/>
                    <pic:cNvPicPr/>
                  </pic:nvPicPr>
                  <pic:blipFill>
                    <a:blip r:embed="rId14">
                      <a:extLst>
                        <a:ext uri="{28A0092B-C50C-407E-A947-70E740481C1C}">
                          <a14:useLocalDpi xmlns:a14="http://schemas.microsoft.com/office/drawing/2010/main" val="0"/>
                        </a:ext>
                      </a:extLst>
                    </a:blip>
                    <a:stretch>
                      <a:fillRect/>
                    </a:stretch>
                  </pic:blipFill>
                  <pic:spPr>
                    <a:xfrm>
                      <a:off x="0" y="0"/>
                      <a:ext cx="2523744" cy="1600200"/>
                    </a:xfrm>
                    <a:prstGeom prst="rect">
                      <a:avLst/>
                    </a:prstGeom>
                  </pic:spPr>
                </pic:pic>
              </a:graphicData>
            </a:graphic>
          </wp:inline>
        </w:drawing>
      </w:r>
    </w:p>
    <w:p w14:paraId="1926571B" w14:textId="77777777" w:rsidR="0050706F" w:rsidRDefault="00941869" w:rsidP="00941869">
      <w:pPr>
        <w:pStyle w:val="Caption"/>
        <w:jc w:val="center"/>
      </w:pPr>
      <w:r>
        <w:t xml:space="preserve">Figure </w:t>
      </w:r>
      <w:fldSimple w:instr=" SEQ Figure \* ARABIC ">
        <w:r w:rsidR="000345FA">
          <w:rPr>
            <w:noProof/>
          </w:rPr>
          <w:t>7</w:t>
        </w:r>
      </w:fldSimple>
      <w:r>
        <w:t>. (Warren, 1996)</w:t>
      </w:r>
    </w:p>
    <w:p w14:paraId="1926571C" w14:textId="77777777" w:rsidR="00AE6ED3" w:rsidRPr="008600B3" w:rsidRDefault="00AE6ED3" w:rsidP="00AE6ED3">
      <w:pPr>
        <w:rPr>
          <w:b/>
        </w:rPr>
      </w:pPr>
      <w:r w:rsidRPr="008600B3">
        <w:rPr>
          <w:b/>
        </w:rPr>
        <w:lastRenderedPageBreak/>
        <w:t>REFERENCES</w:t>
      </w:r>
    </w:p>
    <w:p w14:paraId="1926571D" w14:textId="77777777" w:rsidR="00261C34" w:rsidRPr="00AE6ED3" w:rsidRDefault="00261C34" w:rsidP="00261C34">
      <w:r>
        <w:t xml:space="preserve">Harris, F. (1994) </w:t>
      </w:r>
      <w:r w:rsidRPr="001148D9">
        <w:rPr>
          <w:i/>
        </w:rPr>
        <w:t>Modern Construction and Ground Engineering Equipment and Methods</w:t>
      </w:r>
      <w:r>
        <w:t>. 2</w:t>
      </w:r>
      <w:r w:rsidRPr="00CB6500">
        <w:rPr>
          <w:vertAlign w:val="superscript"/>
        </w:rPr>
        <w:t>nd</w:t>
      </w:r>
      <w:r>
        <w:t xml:space="preserve"> Ed. Essex: Longman Group UK Ltd.</w:t>
      </w:r>
    </w:p>
    <w:p w14:paraId="1926571E" w14:textId="77777777" w:rsidR="00261C34" w:rsidRDefault="00261C34" w:rsidP="00261C34">
      <w:r>
        <w:t xml:space="preserve">Nunnally, S.W. (2007) </w:t>
      </w:r>
      <w:r w:rsidRPr="001148D9">
        <w:rPr>
          <w:i/>
        </w:rPr>
        <w:t>Construction Methods and Management</w:t>
      </w:r>
      <w:r>
        <w:t>. 7</w:t>
      </w:r>
      <w:r w:rsidRPr="00CB6500">
        <w:rPr>
          <w:vertAlign w:val="superscript"/>
        </w:rPr>
        <w:t>th</w:t>
      </w:r>
      <w:r>
        <w:t xml:space="preserve"> Ed. New Jersey: Pearson Education Ltd.</w:t>
      </w:r>
    </w:p>
    <w:p w14:paraId="1926571F" w14:textId="77777777" w:rsidR="00261C34" w:rsidRDefault="00261C34" w:rsidP="00261C34">
      <w:pPr>
        <w:jc w:val="both"/>
      </w:pPr>
      <w:r>
        <w:t xml:space="preserve">Urban Brotons, P. (1993) </w:t>
      </w:r>
      <w:r w:rsidRPr="001148D9">
        <w:rPr>
          <w:i/>
        </w:rPr>
        <w:t>Construction Technology Notes</w:t>
      </w:r>
      <w:r>
        <w:t>. Alicante: University of Alicante.</w:t>
      </w:r>
    </w:p>
    <w:p w14:paraId="19265720" w14:textId="77777777" w:rsidR="00261C34" w:rsidRDefault="00261C34" w:rsidP="00261C34">
      <w:r>
        <w:t xml:space="preserve">Warren, D.R. (1996) </w:t>
      </w:r>
      <w:r w:rsidRPr="001148D9">
        <w:rPr>
          <w:i/>
        </w:rPr>
        <w:t>Civil Engineering Construction Design and Management</w:t>
      </w:r>
      <w:r>
        <w:t xml:space="preserve">. London: MacMillan Press Ltd. </w:t>
      </w:r>
    </w:p>
    <w:p w14:paraId="19265721" w14:textId="77777777" w:rsidR="00AE6ED3" w:rsidRPr="00AE6ED3" w:rsidRDefault="00AE6ED3" w:rsidP="00261C34"/>
    <w:sectPr w:rsidR="00AE6ED3" w:rsidRPr="00AE6ED3" w:rsidSect="00A83A1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265732" w14:textId="77777777" w:rsidR="00FE41AB" w:rsidRDefault="00FE41AB" w:rsidP="0050706F">
      <w:pPr>
        <w:spacing w:after="0" w:line="240" w:lineRule="auto"/>
      </w:pPr>
      <w:r>
        <w:separator/>
      </w:r>
    </w:p>
  </w:endnote>
  <w:endnote w:type="continuationSeparator" w:id="0">
    <w:p w14:paraId="19265733" w14:textId="77777777" w:rsidR="00FE41AB" w:rsidRDefault="00FE41AB" w:rsidP="00507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8077256"/>
      <w:docPartObj>
        <w:docPartGallery w:val="Page Numbers (Bottom of Page)"/>
        <w:docPartUnique/>
      </w:docPartObj>
    </w:sdtPr>
    <w:sdtEndPr>
      <w:rPr>
        <w:noProof/>
      </w:rPr>
    </w:sdtEndPr>
    <w:sdtContent>
      <w:p w14:paraId="19265734" w14:textId="17CF9E35" w:rsidR="0026774D" w:rsidRDefault="0026774D">
        <w:pPr>
          <w:pStyle w:val="Footer"/>
          <w:jc w:val="right"/>
        </w:pPr>
        <w:r>
          <w:fldChar w:fldCharType="begin"/>
        </w:r>
        <w:r>
          <w:instrText xml:space="preserve"> PAGE   \* MERGEFORMAT </w:instrText>
        </w:r>
        <w:r>
          <w:fldChar w:fldCharType="separate"/>
        </w:r>
        <w:r w:rsidR="00106537">
          <w:rPr>
            <w:noProof/>
          </w:rPr>
          <w:t>1</w:t>
        </w:r>
        <w:r>
          <w:rPr>
            <w:noProof/>
          </w:rPr>
          <w:fldChar w:fldCharType="end"/>
        </w:r>
      </w:p>
    </w:sdtContent>
  </w:sdt>
  <w:p w14:paraId="19265735" w14:textId="77777777" w:rsidR="0050706F" w:rsidRDefault="00507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265730" w14:textId="77777777" w:rsidR="00FE41AB" w:rsidRDefault="00FE41AB" w:rsidP="0050706F">
      <w:pPr>
        <w:spacing w:after="0" w:line="240" w:lineRule="auto"/>
      </w:pPr>
      <w:r>
        <w:separator/>
      </w:r>
    </w:p>
  </w:footnote>
  <w:footnote w:type="continuationSeparator" w:id="0">
    <w:p w14:paraId="19265731" w14:textId="77777777" w:rsidR="00FE41AB" w:rsidRDefault="00FE41AB" w:rsidP="005070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DE74DE"/>
    <w:multiLevelType w:val="hybridMultilevel"/>
    <w:tmpl w:val="404E6774"/>
    <w:lvl w:ilvl="0" w:tplc="6F880C5C">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A256E"/>
    <w:multiLevelType w:val="hybridMultilevel"/>
    <w:tmpl w:val="9CC83D1C"/>
    <w:lvl w:ilvl="0" w:tplc="6F880C5C">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947F34"/>
    <w:multiLevelType w:val="multilevel"/>
    <w:tmpl w:val="7FAED314"/>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 w15:restartNumberingAfterBreak="0">
    <w:nsid w:val="382A6E5E"/>
    <w:multiLevelType w:val="multilevel"/>
    <w:tmpl w:val="A33A50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C140D5"/>
    <w:multiLevelType w:val="hybridMultilevel"/>
    <w:tmpl w:val="F318752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074EEA"/>
    <w:multiLevelType w:val="multilevel"/>
    <w:tmpl w:val="6D2A5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4"/>
  </w:num>
  <w:num w:numId="3">
    <w:abstractNumId w:val="1"/>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770C51"/>
    <w:rsid w:val="000345FA"/>
    <w:rsid w:val="00036647"/>
    <w:rsid w:val="00071842"/>
    <w:rsid w:val="00095604"/>
    <w:rsid w:val="000A546A"/>
    <w:rsid w:val="00106537"/>
    <w:rsid w:val="001148D9"/>
    <w:rsid w:val="00191E9F"/>
    <w:rsid w:val="00216A4D"/>
    <w:rsid w:val="00231D51"/>
    <w:rsid w:val="00261C34"/>
    <w:rsid w:val="0026774D"/>
    <w:rsid w:val="002C2CE1"/>
    <w:rsid w:val="002E301C"/>
    <w:rsid w:val="003277E9"/>
    <w:rsid w:val="0033457A"/>
    <w:rsid w:val="003C4B3C"/>
    <w:rsid w:val="0050706F"/>
    <w:rsid w:val="00514EE1"/>
    <w:rsid w:val="0051663D"/>
    <w:rsid w:val="005625DB"/>
    <w:rsid w:val="006045F1"/>
    <w:rsid w:val="0062615D"/>
    <w:rsid w:val="00664454"/>
    <w:rsid w:val="006A4F7A"/>
    <w:rsid w:val="006E4A60"/>
    <w:rsid w:val="007137CF"/>
    <w:rsid w:val="00770C51"/>
    <w:rsid w:val="007A35BE"/>
    <w:rsid w:val="00854F32"/>
    <w:rsid w:val="008600B3"/>
    <w:rsid w:val="008A23F8"/>
    <w:rsid w:val="008C0798"/>
    <w:rsid w:val="00941869"/>
    <w:rsid w:val="00972501"/>
    <w:rsid w:val="00995D5D"/>
    <w:rsid w:val="009F225D"/>
    <w:rsid w:val="009F4A1B"/>
    <w:rsid w:val="009F5240"/>
    <w:rsid w:val="00A83A1A"/>
    <w:rsid w:val="00A8601F"/>
    <w:rsid w:val="00A96EA4"/>
    <w:rsid w:val="00AE67BF"/>
    <w:rsid w:val="00AE6ED3"/>
    <w:rsid w:val="00AF35E2"/>
    <w:rsid w:val="00B43252"/>
    <w:rsid w:val="00B50680"/>
    <w:rsid w:val="00BC4ACF"/>
    <w:rsid w:val="00BC61FD"/>
    <w:rsid w:val="00C314D6"/>
    <w:rsid w:val="00CC0C0B"/>
    <w:rsid w:val="00CE69E8"/>
    <w:rsid w:val="00CF032B"/>
    <w:rsid w:val="00DB6708"/>
    <w:rsid w:val="00E655FE"/>
    <w:rsid w:val="00EB6024"/>
    <w:rsid w:val="00F07C85"/>
    <w:rsid w:val="00F62428"/>
    <w:rsid w:val="00FB2512"/>
    <w:rsid w:val="00FE41AB"/>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656C9"/>
  <w15:docId w15:val="{516D3576-4D73-4E9D-B5F7-173AE672F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3A1A"/>
  </w:style>
  <w:style w:type="paragraph" w:styleId="Heading1">
    <w:name w:val="heading 1"/>
    <w:basedOn w:val="Normal"/>
    <w:next w:val="Normal"/>
    <w:link w:val="Heading1Char"/>
    <w:uiPriority w:val="9"/>
    <w:qFormat/>
    <w:rsid w:val="00770C51"/>
    <w:pPr>
      <w:keepNext/>
      <w:keepLines/>
      <w:numPr>
        <w:numId w:val="1"/>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70C51"/>
    <w:pPr>
      <w:keepNext/>
      <w:keepLines/>
      <w:numPr>
        <w:ilvl w:val="1"/>
        <w:numId w:val="1"/>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70C51"/>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70C51"/>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770C51"/>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770C51"/>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770C51"/>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70C51"/>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70C51"/>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C5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70C5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770C51"/>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770C51"/>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770C51"/>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770C51"/>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770C5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70C5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70C51"/>
    <w:rPr>
      <w:rFonts w:asciiTheme="majorHAnsi" w:eastAsiaTheme="majorEastAsia" w:hAnsiTheme="majorHAnsi" w:cstheme="majorBidi"/>
      <w:i/>
      <w:iCs/>
      <w:color w:val="404040" w:themeColor="text1" w:themeTint="BF"/>
      <w:sz w:val="20"/>
      <w:szCs w:val="20"/>
    </w:rPr>
  </w:style>
  <w:style w:type="paragraph" w:customStyle="1" w:styleId="legp1paratext">
    <w:name w:val="legp1paratext"/>
    <w:basedOn w:val="Normal"/>
    <w:rsid w:val="00770C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770C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770C51"/>
  </w:style>
  <w:style w:type="paragraph" w:styleId="ListParagraph">
    <w:name w:val="List Paragraph"/>
    <w:basedOn w:val="Normal"/>
    <w:uiPriority w:val="34"/>
    <w:qFormat/>
    <w:rsid w:val="00CF032B"/>
    <w:pPr>
      <w:ind w:left="720"/>
      <w:contextualSpacing/>
    </w:pPr>
  </w:style>
  <w:style w:type="paragraph" w:styleId="BalloonText">
    <w:name w:val="Balloon Text"/>
    <w:basedOn w:val="Normal"/>
    <w:link w:val="BalloonTextChar"/>
    <w:uiPriority w:val="99"/>
    <w:semiHidden/>
    <w:unhideWhenUsed/>
    <w:rsid w:val="009F4A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4A1B"/>
    <w:rPr>
      <w:rFonts w:ascii="Tahoma" w:hAnsi="Tahoma" w:cs="Tahoma"/>
      <w:sz w:val="16"/>
      <w:szCs w:val="16"/>
    </w:rPr>
  </w:style>
  <w:style w:type="paragraph" w:styleId="Header">
    <w:name w:val="header"/>
    <w:basedOn w:val="Normal"/>
    <w:link w:val="HeaderChar"/>
    <w:uiPriority w:val="99"/>
    <w:unhideWhenUsed/>
    <w:rsid w:val="005070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06F"/>
  </w:style>
  <w:style w:type="paragraph" w:styleId="Footer">
    <w:name w:val="footer"/>
    <w:basedOn w:val="Normal"/>
    <w:link w:val="FooterChar"/>
    <w:uiPriority w:val="99"/>
    <w:unhideWhenUsed/>
    <w:rsid w:val="005070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06F"/>
  </w:style>
  <w:style w:type="paragraph" w:styleId="Caption">
    <w:name w:val="caption"/>
    <w:basedOn w:val="Normal"/>
    <w:next w:val="Normal"/>
    <w:uiPriority w:val="35"/>
    <w:unhideWhenUsed/>
    <w:qFormat/>
    <w:rsid w:val="00B50680"/>
    <w:pPr>
      <w:spacing w:line="240" w:lineRule="auto"/>
    </w:pPr>
    <w:rPr>
      <w:b/>
      <w:bCs/>
      <w:color w:val="4F81BD" w:themeColor="accent1"/>
      <w:sz w:val="18"/>
      <w:szCs w:val="18"/>
    </w:rPr>
  </w:style>
  <w:style w:type="character" w:styleId="Hyperlink">
    <w:name w:val="Hyperlink"/>
    <w:basedOn w:val="DefaultParagraphFont"/>
    <w:uiPriority w:val="99"/>
    <w:unhideWhenUsed/>
    <w:rsid w:val="0026774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2665853">
      <w:bodyDiv w:val="1"/>
      <w:marLeft w:val="0"/>
      <w:marRight w:val="0"/>
      <w:marTop w:val="0"/>
      <w:marBottom w:val="0"/>
      <w:divBdr>
        <w:top w:val="none" w:sz="0" w:space="0" w:color="auto"/>
        <w:left w:val="none" w:sz="0" w:space="0" w:color="auto"/>
        <w:bottom w:val="none" w:sz="0" w:space="0" w:color="auto"/>
        <w:right w:val="none" w:sz="0" w:space="0" w:color="auto"/>
      </w:divBdr>
    </w:div>
    <w:div w:id="1615402291">
      <w:bodyDiv w:val="1"/>
      <w:marLeft w:val="0"/>
      <w:marRight w:val="0"/>
      <w:marTop w:val="0"/>
      <w:marBottom w:val="0"/>
      <w:divBdr>
        <w:top w:val="none" w:sz="0" w:space="0" w:color="auto"/>
        <w:left w:val="none" w:sz="0" w:space="0" w:color="auto"/>
        <w:bottom w:val="none" w:sz="0" w:space="0" w:color="auto"/>
        <w:right w:val="none" w:sz="0" w:space="0" w:color="auto"/>
      </w:divBdr>
    </w:div>
    <w:div w:id="2001156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DDFF86-C3DB-44D3-A739-EF0BF2000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8</Pages>
  <Words>1780</Words>
  <Characters>10149</Characters>
  <Application>Microsoft Office Word</Application>
  <DocSecurity>0</DocSecurity>
  <Lines>84</Lines>
  <Paragraphs>23</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Ferriz-Papi, Juan</dc:creator>
  <cp:lastModifiedBy>Juan Ferriz-Papi</cp:lastModifiedBy>
  <cp:revision>22</cp:revision>
  <cp:lastPrinted>2016-10-12T14:40:00Z</cp:lastPrinted>
  <dcterms:created xsi:type="dcterms:W3CDTF">2015-08-24T12:37:00Z</dcterms:created>
  <dcterms:modified xsi:type="dcterms:W3CDTF">2019-10-08T11:28:00Z</dcterms:modified>
</cp:coreProperties>
</file>