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6526" w:rsidRPr="00A64184" w:rsidRDefault="008C0758" w:rsidP="007E017E">
      <w:pPr>
        <w:spacing w:after="100" w:line="480" w:lineRule="auto"/>
        <w:jc w:val="center"/>
        <w:rPr>
          <w:sz w:val="30"/>
          <w:szCs w:val="30"/>
        </w:rPr>
      </w:pPr>
      <w:r>
        <w:br/>
      </w:r>
      <w:r w:rsidR="004E6526" w:rsidRPr="00A64184">
        <w:rPr>
          <w:sz w:val="30"/>
          <w:szCs w:val="30"/>
        </w:rPr>
        <w:t>BA (Hons) Business Management</w:t>
      </w:r>
    </w:p>
    <w:p w:rsidR="00057049" w:rsidRPr="00A64184" w:rsidRDefault="004E6526" w:rsidP="00C056DA">
      <w:pPr>
        <w:spacing w:after="600" w:line="480" w:lineRule="auto"/>
        <w:jc w:val="center"/>
        <w:rPr>
          <w:sz w:val="30"/>
          <w:szCs w:val="30"/>
        </w:rPr>
      </w:pPr>
      <w:r w:rsidRPr="007E017E">
        <w:rPr>
          <w:b/>
          <w:sz w:val="30"/>
          <w:szCs w:val="30"/>
        </w:rPr>
        <w:t>Module:</w:t>
      </w:r>
      <w:r w:rsidRPr="00A64184">
        <w:rPr>
          <w:sz w:val="30"/>
          <w:szCs w:val="30"/>
        </w:rPr>
        <w:t xml:space="preserve"> Leadership and Management Theory and Practice (LCBB6022)</w:t>
      </w:r>
    </w:p>
    <w:p w:rsidR="004E6526" w:rsidRDefault="004E6526" w:rsidP="007E017E">
      <w:pPr>
        <w:spacing w:after="600" w:line="480" w:lineRule="auto"/>
        <w:jc w:val="center"/>
        <w:rPr>
          <w:b/>
          <w:bCs/>
          <w:color w:val="0070C0"/>
          <w:sz w:val="30"/>
          <w:szCs w:val="30"/>
        </w:rPr>
      </w:pPr>
      <w:r w:rsidRPr="00A64184">
        <w:rPr>
          <w:b/>
          <w:bCs/>
          <w:color w:val="0070C0"/>
          <w:sz w:val="30"/>
          <w:szCs w:val="30"/>
        </w:rPr>
        <w:t>The Essential Role of Controlling in Organizational Management:</w:t>
      </w:r>
      <w:r w:rsidR="00A64184" w:rsidRPr="00A64184">
        <w:rPr>
          <w:color w:val="0070C0"/>
          <w:sz w:val="30"/>
          <w:szCs w:val="30"/>
        </w:rPr>
        <w:t xml:space="preserve"> </w:t>
      </w:r>
      <w:r w:rsidRPr="00A64184">
        <w:rPr>
          <w:b/>
          <w:bCs/>
          <w:color w:val="0070C0"/>
          <w:sz w:val="30"/>
          <w:szCs w:val="30"/>
        </w:rPr>
        <w:t>Challenges and Mitigation Strategies</w:t>
      </w:r>
    </w:p>
    <w:p w:rsidR="00057049" w:rsidRPr="006B3828" w:rsidRDefault="006B3828" w:rsidP="006B3828">
      <w:pPr>
        <w:spacing w:after="600" w:line="480" w:lineRule="auto"/>
        <w:jc w:val="center"/>
        <w:rPr>
          <w:color w:val="0070C0"/>
          <w:sz w:val="30"/>
          <w:szCs w:val="30"/>
        </w:rPr>
      </w:pPr>
      <w:r>
        <w:rPr>
          <w:noProof/>
          <w:color w:val="0070C0"/>
          <w:sz w:val="30"/>
          <w:szCs w:val="30"/>
        </w:rPr>
        <w:drawing>
          <wp:inline distT="0" distB="0" distL="0" distR="0">
            <wp:extent cx="5731510" cy="31451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Aug 18, 2026, 07_34_34 PM.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145155"/>
                    </a:xfrm>
                    <a:prstGeom prst="rect">
                      <a:avLst/>
                    </a:prstGeom>
                  </pic:spPr>
                </pic:pic>
              </a:graphicData>
            </a:graphic>
          </wp:inline>
        </w:drawing>
      </w:r>
    </w:p>
    <w:p w:rsidR="007E017E" w:rsidRDefault="007E017E" w:rsidP="00057049">
      <w:pPr>
        <w:spacing w:after="100" w:line="480" w:lineRule="auto"/>
        <w:jc w:val="left"/>
        <w:rPr>
          <w:b/>
          <w:sz w:val="30"/>
          <w:szCs w:val="30"/>
        </w:rPr>
      </w:pPr>
      <w:r>
        <w:rPr>
          <w:b/>
          <w:sz w:val="30"/>
          <w:szCs w:val="30"/>
        </w:rPr>
        <w:t>Student Name:</w:t>
      </w:r>
      <w:r w:rsidR="00283670">
        <w:rPr>
          <w:b/>
          <w:sz w:val="30"/>
          <w:szCs w:val="30"/>
        </w:rPr>
        <w:t xml:space="preserve"> </w:t>
      </w:r>
      <w:r w:rsidR="00283670" w:rsidRPr="00283670">
        <w:rPr>
          <w:sz w:val="30"/>
          <w:szCs w:val="30"/>
        </w:rPr>
        <w:t>Denisa Delia Gurau</w:t>
      </w:r>
    </w:p>
    <w:p w:rsidR="007E017E" w:rsidRDefault="007E017E" w:rsidP="00057049">
      <w:pPr>
        <w:spacing w:after="100" w:line="480" w:lineRule="auto"/>
        <w:jc w:val="left"/>
        <w:rPr>
          <w:b/>
          <w:sz w:val="30"/>
          <w:szCs w:val="30"/>
        </w:rPr>
      </w:pPr>
      <w:r>
        <w:rPr>
          <w:b/>
          <w:sz w:val="30"/>
          <w:szCs w:val="30"/>
        </w:rPr>
        <w:t>Student ID:</w:t>
      </w:r>
      <w:r w:rsidR="00283670">
        <w:rPr>
          <w:b/>
          <w:sz w:val="30"/>
          <w:szCs w:val="30"/>
        </w:rPr>
        <w:t xml:space="preserve"> </w:t>
      </w:r>
      <w:r w:rsidR="00283670" w:rsidRPr="00283670">
        <w:rPr>
          <w:sz w:val="30"/>
          <w:szCs w:val="30"/>
        </w:rPr>
        <w:t>2325349</w:t>
      </w:r>
    </w:p>
    <w:p w:rsidR="004E6526" w:rsidRPr="00A64184" w:rsidRDefault="004E6526" w:rsidP="00057049">
      <w:pPr>
        <w:spacing w:after="100" w:line="480" w:lineRule="auto"/>
        <w:jc w:val="left"/>
        <w:rPr>
          <w:sz w:val="30"/>
          <w:szCs w:val="30"/>
        </w:rPr>
      </w:pPr>
      <w:r w:rsidRPr="00A64184">
        <w:rPr>
          <w:b/>
          <w:sz w:val="30"/>
          <w:szCs w:val="30"/>
        </w:rPr>
        <w:t>Component 2:</w:t>
      </w:r>
      <w:r w:rsidRPr="00A64184">
        <w:rPr>
          <w:sz w:val="30"/>
          <w:szCs w:val="30"/>
        </w:rPr>
        <w:t xml:space="preserve"> Coursework Essay</w:t>
      </w:r>
    </w:p>
    <w:p w:rsidR="004E6526" w:rsidRPr="00A64184" w:rsidRDefault="00A64184" w:rsidP="00057049">
      <w:pPr>
        <w:spacing w:after="100" w:line="480" w:lineRule="auto"/>
        <w:jc w:val="left"/>
        <w:rPr>
          <w:sz w:val="30"/>
          <w:szCs w:val="30"/>
        </w:rPr>
      </w:pPr>
      <w:r w:rsidRPr="00A64184">
        <w:rPr>
          <w:b/>
          <w:sz w:val="30"/>
          <w:szCs w:val="30"/>
        </w:rPr>
        <w:t>Word count:</w:t>
      </w:r>
      <w:r w:rsidRPr="00A64184">
        <w:rPr>
          <w:sz w:val="30"/>
          <w:szCs w:val="30"/>
        </w:rPr>
        <w:t xml:space="preserve"> 2,000 </w:t>
      </w:r>
      <w:r w:rsidR="004E6526" w:rsidRPr="00A64184">
        <w:rPr>
          <w:sz w:val="30"/>
          <w:szCs w:val="30"/>
        </w:rPr>
        <w:t>words</w:t>
      </w:r>
    </w:p>
    <w:p w:rsidR="00791961" w:rsidRDefault="00791961" w:rsidP="004E6526">
      <w:pPr>
        <w:spacing w:after="0"/>
        <w:sectPr w:rsidR="00791961">
          <w:footerReference w:type="default" r:id="rId9"/>
          <w:pgSz w:w="11906" w:h="16838"/>
          <w:pgMar w:top="1247" w:right="1440" w:bottom="1247" w:left="1440" w:header="567" w:footer="567" w:gutter="0"/>
          <w:cols w:space="720"/>
          <w:docGrid w:linePitch="360"/>
        </w:sectPr>
      </w:pPr>
    </w:p>
    <w:p w:rsidR="00791961" w:rsidRDefault="008C0758" w:rsidP="00E74897">
      <w:pPr>
        <w:pStyle w:val="Heading1"/>
        <w:spacing w:after="280"/>
        <w:jc w:val="center"/>
        <w:rPr>
          <w:rFonts w:ascii="Arial" w:hAnsi="Arial" w:cs="Arial"/>
          <w:sz w:val="24"/>
          <w:szCs w:val="24"/>
        </w:rPr>
      </w:pPr>
      <w:r w:rsidRPr="006B3828">
        <w:rPr>
          <w:rFonts w:ascii="Arial" w:hAnsi="Arial" w:cs="Arial"/>
          <w:sz w:val="24"/>
          <w:szCs w:val="24"/>
        </w:rPr>
        <w:lastRenderedPageBreak/>
        <w:t>Table of Contents</w:t>
      </w:r>
    </w:p>
    <w:p w:rsidR="006B3828" w:rsidRPr="006B3828" w:rsidRDefault="006B3828" w:rsidP="006B3828"/>
    <w:p w:rsidR="00791961" w:rsidRPr="006B3828" w:rsidRDefault="00BD10BA" w:rsidP="00E74897">
      <w:pPr>
        <w:pStyle w:val="TOC11"/>
        <w:tabs>
          <w:tab w:val="right" w:leader="dot" w:pos="9014"/>
        </w:tabs>
        <w:spacing w:after="60" w:line="360" w:lineRule="auto"/>
        <w:rPr>
          <w:rFonts w:ascii="Arial" w:hAnsi="Arial" w:cs="Arial"/>
          <w:b/>
        </w:rPr>
      </w:pPr>
      <w:hyperlink w:anchor="intro">
        <w:r w:rsidR="008C0758" w:rsidRPr="006B3828">
          <w:rPr>
            <w:rFonts w:ascii="Arial" w:hAnsi="Arial" w:cs="Arial"/>
            <w:b/>
          </w:rPr>
          <w:t>1. Introduction</w:t>
        </w:r>
      </w:hyperlink>
      <w:r w:rsidR="008C0758" w:rsidRPr="006B3828">
        <w:rPr>
          <w:rFonts w:ascii="Arial" w:hAnsi="Arial" w:cs="Arial"/>
          <w:b/>
        </w:rPr>
        <w:tab/>
        <w:t>1</w:t>
      </w:r>
    </w:p>
    <w:p w:rsidR="00791961" w:rsidRPr="006B3828" w:rsidRDefault="00BD10BA" w:rsidP="00E74897">
      <w:pPr>
        <w:pStyle w:val="TOC11"/>
        <w:tabs>
          <w:tab w:val="right" w:leader="dot" w:pos="9014"/>
        </w:tabs>
        <w:spacing w:after="60" w:line="360" w:lineRule="auto"/>
        <w:rPr>
          <w:rFonts w:ascii="Arial" w:hAnsi="Arial" w:cs="Arial"/>
          <w:b/>
        </w:rPr>
      </w:pPr>
      <w:hyperlink w:anchor="functions">
        <w:r w:rsidR="008C0758" w:rsidRPr="006B3828">
          <w:rPr>
            <w:rFonts w:ascii="Arial" w:hAnsi="Arial" w:cs="Arial"/>
            <w:b/>
          </w:rPr>
          <w:t>2. Managerial functions and the position of control</w:t>
        </w:r>
      </w:hyperlink>
      <w:r w:rsidR="008C0758" w:rsidRPr="006B3828">
        <w:rPr>
          <w:rFonts w:ascii="Arial" w:hAnsi="Arial" w:cs="Arial"/>
          <w:b/>
        </w:rPr>
        <w:tab/>
      </w:r>
      <w:r w:rsidR="005C5D7F">
        <w:rPr>
          <w:rFonts w:ascii="Arial" w:hAnsi="Arial" w:cs="Arial"/>
          <w:b/>
        </w:rPr>
        <w:t>2</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functions_1">
        <w:r w:rsidR="008C0758" w:rsidRPr="006B3828">
          <w:rPr>
            <w:rFonts w:ascii="Arial" w:hAnsi="Arial" w:cs="Arial"/>
            <w:sz w:val="22"/>
          </w:rPr>
          <w:t>2.1 The four functions as a connected cycle</w:t>
        </w:r>
      </w:hyperlink>
      <w:r w:rsidR="008C0758" w:rsidRPr="006B3828">
        <w:rPr>
          <w:rFonts w:ascii="Arial" w:hAnsi="Arial" w:cs="Arial"/>
          <w:sz w:val="22"/>
        </w:rPr>
        <w:tab/>
      </w:r>
      <w:r w:rsidR="005C5D7F">
        <w:rPr>
          <w:rFonts w:ascii="Arial" w:hAnsi="Arial" w:cs="Arial"/>
          <w:sz w:val="22"/>
        </w:rPr>
        <w:t>2</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functions_2">
        <w:r w:rsidR="008C0758" w:rsidRPr="006B3828">
          <w:rPr>
            <w:rFonts w:ascii="Arial" w:hAnsi="Arial" w:cs="Arial"/>
            <w:sz w:val="22"/>
          </w:rPr>
          <w:t>2.2 The Balanced Scorecard within broader strategic control</w:t>
        </w:r>
      </w:hyperlink>
      <w:r w:rsidR="008C0758" w:rsidRPr="006B3828">
        <w:rPr>
          <w:rFonts w:ascii="Arial" w:hAnsi="Arial" w:cs="Arial"/>
          <w:sz w:val="22"/>
        </w:rPr>
        <w:tab/>
      </w:r>
      <w:r w:rsidR="00001904">
        <w:rPr>
          <w:rFonts w:ascii="Arial" w:hAnsi="Arial" w:cs="Arial"/>
          <w:sz w:val="22"/>
        </w:rPr>
        <w:t>3</w:t>
      </w:r>
    </w:p>
    <w:p w:rsidR="00791961" w:rsidRPr="006B3828" w:rsidRDefault="00BD10BA" w:rsidP="00E74897">
      <w:pPr>
        <w:pStyle w:val="TOC11"/>
        <w:tabs>
          <w:tab w:val="right" w:leader="dot" w:pos="9014"/>
        </w:tabs>
        <w:spacing w:after="60" w:line="360" w:lineRule="auto"/>
        <w:rPr>
          <w:rFonts w:ascii="Arial" w:hAnsi="Arial" w:cs="Arial"/>
          <w:b/>
        </w:rPr>
      </w:pPr>
      <w:hyperlink w:anchor="essential">
        <w:r w:rsidR="008C0758" w:rsidRPr="006B3828">
          <w:rPr>
            <w:rFonts w:ascii="Arial" w:hAnsi="Arial" w:cs="Arial"/>
            <w:b/>
          </w:rPr>
          <w:t xml:space="preserve">3. Why controlling is essential in all </w:t>
        </w:r>
        <w:r w:rsidR="006B3828" w:rsidRPr="006B3828">
          <w:rPr>
            <w:rFonts w:ascii="Arial" w:hAnsi="Arial" w:cs="Arial"/>
            <w:b/>
          </w:rPr>
          <w:t>organizations</w:t>
        </w:r>
      </w:hyperlink>
      <w:r w:rsidR="008C0758" w:rsidRPr="006B3828">
        <w:rPr>
          <w:rFonts w:ascii="Arial" w:hAnsi="Arial" w:cs="Arial"/>
          <w:b/>
        </w:rPr>
        <w:tab/>
      </w:r>
      <w:r w:rsidR="00001904">
        <w:rPr>
          <w:rFonts w:ascii="Arial" w:hAnsi="Arial" w:cs="Arial"/>
          <w:b/>
        </w:rPr>
        <w:t>4</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essential_1">
        <w:r w:rsidR="008C0758" w:rsidRPr="006B3828">
          <w:rPr>
            <w:rFonts w:ascii="Arial" w:hAnsi="Arial" w:cs="Arial"/>
            <w:sz w:val="22"/>
          </w:rPr>
          <w:t>3.1 Alignment, accountability and learning</w:t>
        </w:r>
      </w:hyperlink>
      <w:r w:rsidR="008C0758" w:rsidRPr="006B3828">
        <w:rPr>
          <w:rFonts w:ascii="Arial" w:hAnsi="Arial" w:cs="Arial"/>
          <w:sz w:val="22"/>
        </w:rPr>
        <w:tab/>
      </w:r>
      <w:r w:rsidR="00001904">
        <w:rPr>
          <w:rFonts w:ascii="Arial" w:hAnsi="Arial" w:cs="Arial"/>
          <w:sz w:val="22"/>
        </w:rPr>
        <w:t>4</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essential_2">
        <w:r w:rsidR="008C0758" w:rsidRPr="006B3828">
          <w:rPr>
            <w:rFonts w:ascii="Arial" w:hAnsi="Arial" w:cs="Arial"/>
            <w:sz w:val="22"/>
          </w:rPr>
          <w:t>3.2 Evidence from Boeing and healthcare</w:t>
        </w:r>
      </w:hyperlink>
      <w:r w:rsidR="008C0758" w:rsidRPr="006B3828">
        <w:rPr>
          <w:rFonts w:ascii="Arial" w:hAnsi="Arial" w:cs="Arial"/>
          <w:sz w:val="22"/>
        </w:rPr>
        <w:tab/>
      </w:r>
      <w:r w:rsidR="00001904">
        <w:rPr>
          <w:rFonts w:ascii="Arial" w:hAnsi="Arial" w:cs="Arial"/>
          <w:sz w:val="22"/>
        </w:rPr>
        <w:t>4</w:t>
      </w:r>
    </w:p>
    <w:p w:rsidR="00791961" w:rsidRPr="006B3828" w:rsidRDefault="00BD10BA" w:rsidP="00E74897">
      <w:pPr>
        <w:pStyle w:val="TOC11"/>
        <w:tabs>
          <w:tab w:val="right" w:leader="dot" w:pos="9014"/>
        </w:tabs>
        <w:spacing w:after="60" w:line="360" w:lineRule="auto"/>
        <w:rPr>
          <w:rFonts w:ascii="Arial" w:hAnsi="Arial" w:cs="Arial"/>
          <w:b/>
        </w:rPr>
      </w:pPr>
      <w:hyperlink w:anchor="challenges">
        <w:r w:rsidR="008C0758" w:rsidRPr="006B3828">
          <w:rPr>
            <w:rFonts w:ascii="Arial" w:hAnsi="Arial" w:cs="Arial"/>
            <w:b/>
          </w:rPr>
          <w:t>4. Challenges associated with controlling</w:t>
        </w:r>
      </w:hyperlink>
      <w:r w:rsidR="008C0758" w:rsidRPr="006B3828">
        <w:rPr>
          <w:rFonts w:ascii="Arial" w:hAnsi="Arial" w:cs="Arial"/>
          <w:b/>
        </w:rPr>
        <w:tab/>
      </w:r>
      <w:r w:rsidR="00001904">
        <w:rPr>
          <w:rFonts w:ascii="Arial" w:hAnsi="Arial" w:cs="Arial"/>
          <w:b/>
        </w:rPr>
        <w:t>5</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challenges_1">
        <w:r w:rsidR="008C0758" w:rsidRPr="006B3828">
          <w:rPr>
            <w:rFonts w:ascii="Arial" w:hAnsi="Arial" w:cs="Arial"/>
            <w:sz w:val="22"/>
          </w:rPr>
          <w:t>4.1 Measurement, context and cost</w:t>
        </w:r>
      </w:hyperlink>
      <w:r w:rsidR="008C0758" w:rsidRPr="006B3828">
        <w:rPr>
          <w:rFonts w:ascii="Arial" w:hAnsi="Arial" w:cs="Arial"/>
          <w:sz w:val="22"/>
        </w:rPr>
        <w:tab/>
      </w:r>
      <w:r w:rsidR="00001904">
        <w:rPr>
          <w:rFonts w:ascii="Arial" w:hAnsi="Arial" w:cs="Arial"/>
          <w:sz w:val="22"/>
        </w:rPr>
        <w:t>5</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challenges_2">
        <w:r w:rsidR="008C0758" w:rsidRPr="006B3828">
          <w:rPr>
            <w:rFonts w:ascii="Arial" w:hAnsi="Arial" w:cs="Arial"/>
            <w:sz w:val="22"/>
          </w:rPr>
          <w:t>4.2 Gaming, rigidity and legitimacy</w:t>
        </w:r>
      </w:hyperlink>
      <w:r w:rsidR="008C0758" w:rsidRPr="006B3828">
        <w:rPr>
          <w:rFonts w:ascii="Arial" w:hAnsi="Arial" w:cs="Arial"/>
          <w:sz w:val="22"/>
        </w:rPr>
        <w:tab/>
      </w:r>
      <w:r w:rsidR="00001904">
        <w:rPr>
          <w:rFonts w:ascii="Arial" w:hAnsi="Arial" w:cs="Arial"/>
          <w:sz w:val="22"/>
        </w:rPr>
        <w:t>5</w:t>
      </w:r>
    </w:p>
    <w:p w:rsidR="00791961" w:rsidRPr="006B3828" w:rsidRDefault="00BD10BA" w:rsidP="00E74897">
      <w:pPr>
        <w:pStyle w:val="TOC11"/>
        <w:tabs>
          <w:tab w:val="right" w:leader="dot" w:pos="9014"/>
        </w:tabs>
        <w:spacing w:after="60" w:line="360" w:lineRule="auto"/>
        <w:rPr>
          <w:rFonts w:ascii="Arial" w:hAnsi="Arial" w:cs="Arial"/>
          <w:b/>
        </w:rPr>
      </w:pPr>
      <w:hyperlink w:anchor="mitigation">
        <w:r w:rsidR="008C0758" w:rsidRPr="006B3828">
          <w:rPr>
            <w:rFonts w:ascii="Arial" w:hAnsi="Arial" w:cs="Arial"/>
            <w:b/>
          </w:rPr>
          <w:t>5. How managers can mitigate these challenges</w:t>
        </w:r>
      </w:hyperlink>
      <w:r w:rsidR="008C0758" w:rsidRPr="006B3828">
        <w:rPr>
          <w:rFonts w:ascii="Arial" w:hAnsi="Arial" w:cs="Arial"/>
          <w:b/>
        </w:rPr>
        <w:tab/>
      </w:r>
      <w:r w:rsidR="00001904">
        <w:rPr>
          <w:rFonts w:ascii="Arial" w:hAnsi="Arial" w:cs="Arial"/>
          <w:b/>
        </w:rPr>
        <w:t>7</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mitigation_1">
        <w:r w:rsidR="008C0758" w:rsidRPr="006B3828">
          <w:rPr>
            <w:rFonts w:ascii="Arial" w:hAnsi="Arial" w:cs="Arial"/>
            <w:sz w:val="22"/>
          </w:rPr>
          <w:t>5.1 Contingent design, participation and fair incentives</w:t>
        </w:r>
      </w:hyperlink>
      <w:r w:rsidR="008C0758" w:rsidRPr="006B3828">
        <w:rPr>
          <w:rFonts w:ascii="Arial" w:hAnsi="Arial" w:cs="Arial"/>
          <w:sz w:val="22"/>
        </w:rPr>
        <w:tab/>
      </w:r>
      <w:r w:rsidR="00001904">
        <w:rPr>
          <w:rFonts w:ascii="Arial" w:hAnsi="Arial" w:cs="Arial"/>
          <w:sz w:val="22"/>
        </w:rPr>
        <w:t>7</w:t>
      </w:r>
    </w:p>
    <w:p w:rsidR="00791961" w:rsidRPr="006B3828" w:rsidRDefault="00BD10BA" w:rsidP="00E74897">
      <w:pPr>
        <w:pStyle w:val="TOC21"/>
        <w:tabs>
          <w:tab w:val="right" w:leader="dot" w:pos="9014"/>
        </w:tabs>
        <w:spacing w:after="40" w:line="360" w:lineRule="auto"/>
        <w:ind w:left="369"/>
        <w:rPr>
          <w:rFonts w:ascii="Arial" w:hAnsi="Arial" w:cs="Arial"/>
          <w:sz w:val="22"/>
        </w:rPr>
      </w:pPr>
      <w:hyperlink w:anchor="mitigation_2">
        <w:r w:rsidR="008C0758" w:rsidRPr="006B3828">
          <w:rPr>
            <w:rFonts w:ascii="Arial" w:hAnsi="Arial" w:cs="Arial"/>
            <w:sz w:val="22"/>
          </w:rPr>
          <w:t>5.2 Interactive review, assurance and Boeing’s response</w:t>
        </w:r>
      </w:hyperlink>
      <w:r w:rsidR="008C0758" w:rsidRPr="006B3828">
        <w:rPr>
          <w:rFonts w:ascii="Arial" w:hAnsi="Arial" w:cs="Arial"/>
          <w:sz w:val="22"/>
        </w:rPr>
        <w:tab/>
      </w:r>
      <w:r w:rsidR="00001904">
        <w:rPr>
          <w:rFonts w:ascii="Arial" w:hAnsi="Arial" w:cs="Arial"/>
          <w:sz w:val="22"/>
        </w:rPr>
        <w:t>7</w:t>
      </w:r>
    </w:p>
    <w:p w:rsidR="00791961" w:rsidRPr="006B3828" w:rsidRDefault="00BD10BA" w:rsidP="00E74897">
      <w:pPr>
        <w:pStyle w:val="TOC11"/>
        <w:tabs>
          <w:tab w:val="right" w:leader="dot" w:pos="9014"/>
        </w:tabs>
        <w:spacing w:after="60" w:line="360" w:lineRule="auto"/>
        <w:rPr>
          <w:rFonts w:ascii="Arial" w:hAnsi="Arial" w:cs="Arial"/>
          <w:b/>
        </w:rPr>
      </w:pPr>
      <w:hyperlink w:anchor="conclusion">
        <w:r w:rsidR="008C0758" w:rsidRPr="006B3828">
          <w:rPr>
            <w:rFonts w:ascii="Arial" w:hAnsi="Arial" w:cs="Arial"/>
            <w:b/>
          </w:rPr>
          <w:t>6. Conclusion</w:t>
        </w:r>
      </w:hyperlink>
      <w:r w:rsidR="008C0758" w:rsidRPr="006B3828">
        <w:rPr>
          <w:rFonts w:ascii="Arial" w:hAnsi="Arial" w:cs="Arial"/>
          <w:b/>
        </w:rPr>
        <w:tab/>
      </w:r>
      <w:r w:rsidR="00001904">
        <w:rPr>
          <w:rFonts w:ascii="Arial" w:hAnsi="Arial" w:cs="Arial"/>
          <w:b/>
        </w:rPr>
        <w:t>9</w:t>
      </w:r>
    </w:p>
    <w:p w:rsidR="00791961" w:rsidRPr="006B3828" w:rsidRDefault="00BD10BA" w:rsidP="00E74897">
      <w:pPr>
        <w:pStyle w:val="TOC11"/>
        <w:tabs>
          <w:tab w:val="right" w:leader="dot" w:pos="9014"/>
        </w:tabs>
        <w:spacing w:after="60" w:line="360" w:lineRule="auto"/>
        <w:rPr>
          <w:rFonts w:ascii="Arial" w:hAnsi="Arial" w:cs="Arial"/>
          <w:b/>
        </w:rPr>
      </w:pPr>
      <w:hyperlink w:anchor="references">
        <w:r w:rsidR="008C0758" w:rsidRPr="006B3828">
          <w:rPr>
            <w:rFonts w:ascii="Arial" w:hAnsi="Arial" w:cs="Arial"/>
            <w:b/>
          </w:rPr>
          <w:t>Reference list</w:t>
        </w:r>
      </w:hyperlink>
      <w:r w:rsidR="008C0758" w:rsidRPr="006B3828">
        <w:rPr>
          <w:rFonts w:ascii="Arial" w:hAnsi="Arial" w:cs="Arial"/>
          <w:b/>
        </w:rPr>
        <w:tab/>
      </w:r>
      <w:r w:rsidR="00001904">
        <w:rPr>
          <w:rFonts w:ascii="Arial" w:hAnsi="Arial" w:cs="Arial"/>
          <w:b/>
        </w:rPr>
        <w:t>10</w:t>
      </w:r>
    </w:p>
    <w:p w:rsidR="00791961" w:rsidRPr="006B3828" w:rsidRDefault="00BD10BA" w:rsidP="00E74897">
      <w:pPr>
        <w:pStyle w:val="TOC11"/>
        <w:tabs>
          <w:tab w:val="right" w:leader="dot" w:pos="9014"/>
        </w:tabs>
        <w:spacing w:after="60" w:line="360" w:lineRule="auto"/>
        <w:rPr>
          <w:rFonts w:ascii="Arial" w:hAnsi="Arial" w:cs="Arial"/>
          <w:b/>
        </w:rPr>
      </w:pPr>
      <w:hyperlink w:anchor="appendix">
        <w:r w:rsidR="008C0758" w:rsidRPr="006B3828">
          <w:rPr>
            <w:rFonts w:ascii="Arial" w:hAnsi="Arial" w:cs="Arial"/>
            <w:b/>
          </w:rPr>
          <w:t>Appendix A: Strategic-control diagnostic for Boeing</w:t>
        </w:r>
      </w:hyperlink>
      <w:r w:rsidR="008C0758" w:rsidRPr="006B3828">
        <w:rPr>
          <w:rFonts w:ascii="Arial" w:hAnsi="Arial" w:cs="Arial"/>
          <w:b/>
        </w:rPr>
        <w:tab/>
      </w:r>
      <w:r w:rsidR="00001904">
        <w:rPr>
          <w:rFonts w:ascii="Arial" w:hAnsi="Arial" w:cs="Arial"/>
          <w:b/>
        </w:rPr>
        <w:t>12</w:t>
      </w:r>
    </w:p>
    <w:p w:rsidR="00791961" w:rsidRPr="00E74897" w:rsidRDefault="00791961" w:rsidP="00E74897">
      <w:pPr>
        <w:rPr>
          <w:rFonts w:ascii="Arial" w:hAnsi="Arial" w:cs="Arial"/>
          <w:sz w:val="22"/>
        </w:rPr>
        <w:sectPr w:rsidR="00791961" w:rsidRPr="00E74897">
          <w:footerReference w:type="default" r:id="rId10"/>
          <w:pgSz w:w="11906" w:h="16838"/>
          <w:pgMar w:top="1247" w:right="1440" w:bottom="1247" w:left="1440" w:header="567" w:footer="567" w:gutter="0"/>
          <w:pgNumType w:fmt="lowerRoman" w:start="1"/>
          <w:cols w:space="720"/>
          <w:docGrid w:linePitch="360"/>
        </w:sectPr>
      </w:pPr>
    </w:p>
    <w:p w:rsidR="00791961" w:rsidRPr="003B3F20" w:rsidRDefault="008C0758" w:rsidP="00E74897">
      <w:pPr>
        <w:pStyle w:val="Heading1"/>
        <w:rPr>
          <w:rFonts w:ascii="Arial" w:hAnsi="Arial" w:cs="Arial"/>
          <w:sz w:val="24"/>
          <w:szCs w:val="24"/>
        </w:rPr>
      </w:pPr>
      <w:bookmarkStart w:id="0" w:name="intro"/>
      <w:r w:rsidRPr="003B3F20">
        <w:rPr>
          <w:rFonts w:ascii="Arial" w:hAnsi="Arial" w:cs="Arial"/>
          <w:sz w:val="24"/>
          <w:szCs w:val="24"/>
        </w:rPr>
        <w:lastRenderedPageBreak/>
        <w:t>1. Introduction</w:t>
      </w:r>
      <w:bookmarkEnd w:id="0"/>
    </w:p>
    <w:p w:rsidR="003B3F20" w:rsidRDefault="003B3F20" w:rsidP="00287122">
      <w:pPr>
        <w:pStyle w:val="Heading1"/>
        <w:jc w:val="left"/>
        <w:rPr>
          <w:rFonts w:ascii="Arial" w:eastAsia="Times New Roman" w:hAnsi="Arial" w:cs="Arial"/>
          <w:b w:val="0"/>
          <w:bCs w:val="0"/>
          <w:sz w:val="22"/>
          <w:szCs w:val="22"/>
        </w:rPr>
      </w:pPr>
      <w:bookmarkStart w:id="1" w:name="functions"/>
      <w:r w:rsidRPr="003B3F20">
        <w:rPr>
          <w:rFonts w:ascii="Arial" w:eastAsia="Times New Roman" w:hAnsi="Arial" w:cs="Arial"/>
          <w:b w:val="0"/>
          <w:bCs w:val="0"/>
          <w:sz w:val="22"/>
          <w:szCs w:val="22"/>
        </w:rPr>
        <w:t>Management means organizing individuals and resources to accomplish a goal. While digital changes, regulations, and stakeholder pressure may have made managing more unpredictable, managers still plan, organize, lead, and control. The degree of control exerted sometimes boils down to checking budgets after the event or surveillance. However, control has a more crucial function than this. It establishes impressions, collects evidence, and explains significant gaps in order to encourage either learning or corrective adjustments. Without control, a goal remains an aspiration, and leaders will not know whether the goals advanced by employees are in line with the organization’s interests. This essay will examine control in different spheres of the economy, but will argue that the value of control is determined by the design and application of control systems. The Balanced Scorecard (BSC) is the most diagrammatic and influential system used to connect financial outcomes to customers and processes in organizations and to foster learning and growth. It is one of many elements in a control system, rather than a universal control panel. Boeing is the main case discussed and illustrated with examples from Wells Fargo and healthcare. The case illustrates that the best control systems balance accountability with discretion, employee voice and the need to modify the control system based on the evidence that challenges the original plan. Control systems empower managers to interpret the data rather than be passive recipients of data.</w:t>
      </w:r>
    </w:p>
    <w:p w:rsidR="00716FF5" w:rsidRDefault="00716FF5" w:rsidP="00716FF5"/>
    <w:p w:rsidR="00716FF5" w:rsidRDefault="00716FF5" w:rsidP="00716FF5"/>
    <w:p w:rsidR="00716FF5" w:rsidRDefault="00716FF5" w:rsidP="00716FF5"/>
    <w:p w:rsidR="00716FF5" w:rsidRDefault="00716FF5" w:rsidP="00716FF5"/>
    <w:p w:rsidR="00716FF5" w:rsidRDefault="00716FF5" w:rsidP="00716FF5"/>
    <w:p w:rsidR="00716FF5" w:rsidRDefault="00716FF5" w:rsidP="00716FF5"/>
    <w:p w:rsidR="00716FF5" w:rsidRDefault="00716FF5" w:rsidP="00716FF5"/>
    <w:p w:rsidR="00716FF5" w:rsidRDefault="00716FF5" w:rsidP="00716FF5"/>
    <w:p w:rsidR="00716FF5" w:rsidRDefault="00716FF5" w:rsidP="00716FF5"/>
    <w:p w:rsidR="00716FF5" w:rsidRPr="00716FF5" w:rsidRDefault="00716FF5" w:rsidP="00716FF5"/>
    <w:p w:rsidR="00791961" w:rsidRPr="00C052D7" w:rsidRDefault="008C0758" w:rsidP="00287122">
      <w:pPr>
        <w:pStyle w:val="Heading1"/>
        <w:jc w:val="left"/>
        <w:rPr>
          <w:rFonts w:ascii="Arial" w:hAnsi="Arial" w:cs="Arial"/>
          <w:sz w:val="24"/>
          <w:szCs w:val="24"/>
        </w:rPr>
      </w:pPr>
      <w:r w:rsidRPr="00C052D7">
        <w:rPr>
          <w:rFonts w:ascii="Arial" w:hAnsi="Arial" w:cs="Arial"/>
          <w:sz w:val="24"/>
          <w:szCs w:val="24"/>
        </w:rPr>
        <w:lastRenderedPageBreak/>
        <w:t>2. Managerial functions and the position of control</w:t>
      </w:r>
      <w:bookmarkEnd w:id="1"/>
    </w:p>
    <w:p w:rsidR="00791961" w:rsidRPr="00E74897" w:rsidRDefault="008C0758" w:rsidP="00287122">
      <w:pPr>
        <w:pStyle w:val="Heading2"/>
        <w:jc w:val="left"/>
        <w:rPr>
          <w:rFonts w:ascii="Arial" w:hAnsi="Arial" w:cs="Arial"/>
          <w:sz w:val="22"/>
          <w:szCs w:val="22"/>
        </w:rPr>
      </w:pPr>
      <w:bookmarkStart w:id="2" w:name="functions_1"/>
      <w:r w:rsidRPr="00E74897">
        <w:rPr>
          <w:rFonts w:ascii="Arial" w:hAnsi="Arial" w:cs="Arial"/>
          <w:sz w:val="22"/>
          <w:szCs w:val="22"/>
        </w:rPr>
        <w:t>2.1 The four functions as a connected cycle</w:t>
      </w:r>
      <w:bookmarkEnd w:id="2"/>
    </w:p>
    <w:p w:rsidR="0035303A" w:rsidRPr="0035303A" w:rsidRDefault="0035303A" w:rsidP="00287122">
      <w:pPr>
        <w:spacing w:before="100" w:after="150"/>
        <w:jc w:val="left"/>
        <w:rPr>
          <w:rFonts w:ascii="Arial" w:hAnsi="Arial" w:cs="Arial"/>
          <w:sz w:val="22"/>
        </w:rPr>
      </w:pPr>
      <w:r w:rsidRPr="0035303A">
        <w:rPr>
          <w:rFonts w:ascii="Arial" w:hAnsi="Arial" w:cs="Arial"/>
          <w:sz w:val="22"/>
        </w:rPr>
        <w:t>Planning involves setting an objective and anticipating the unanticipated and selecting a path. Organizing means assigning authority and allocating work and resources. Leading means giving direction and commitment and assisting people to accommodate change. Control involves comparing the expected and the actual, and deciding on the required course of action (Robbins and Coulter, 2021). Data on control could show that a target was unrealistic, the work was poorly organized, or the lack of successful conditions was due to a lack of leadership. Managers would then re-plan, move resources, or change their people practices. Thus, control closes the management cycle and provides feedback to it.</w:t>
      </w:r>
    </w:p>
    <w:p w:rsidR="0035303A" w:rsidRPr="0035303A" w:rsidRDefault="0035303A" w:rsidP="00287122">
      <w:pPr>
        <w:spacing w:before="100" w:after="150"/>
        <w:jc w:val="left"/>
        <w:rPr>
          <w:rFonts w:ascii="Arial" w:hAnsi="Arial" w:cs="Arial"/>
          <w:sz w:val="22"/>
        </w:rPr>
      </w:pPr>
      <w:r w:rsidRPr="0035303A">
        <w:rPr>
          <w:rFonts w:ascii="Arial" w:hAnsi="Arial" w:cs="Arial"/>
          <w:sz w:val="22"/>
        </w:rPr>
        <w:t>Control can be performed before, during or after work. Feedforward controls test capacity, inputs and risks prior to work. Concurrent controls assess work as it is being performed, and feedback controls assess results that have been accomplished. In addition, managers use result controls and behavior controls to assess the effects and processes of work, respectively. Stable, visible work may suit targets and</w:t>
      </w:r>
      <w:r w:rsidR="003919E7">
        <w:rPr>
          <w:rFonts w:ascii="Arial" w:hAnsi="Arial" w:cs="Arial"/>
          <w:sz w:val="22"/>
        </w:rPr>
        <w:t xml:space="preserve"> standard operating procedures.</w:t>
      </w:r>
    </w:p>
    <w:p w:rsidR="0035303A" w:rsidRDefault="0035303A" w:rsidP="00287122">
      <w:pPr>
        <w:spacing w:before="100" w:after="150"/>
        <w:jc w:val="left"/>
        <w:rPr>
          <w:rFonts w:ascii="Arial" w:hAnsi="Arial" w:cs="Arial"/>
          <w:sz w:val="22"/>
        </w:rPr>
      </w:pPr>
      <w:r w:rsidRPr="0035303A">
        <w:rPr>
          <w:rFonts w:ascii="Arial" w:hAnsi="Arial" w:cs="Arial"/>
          <w:sz w:val="22"/>
        </w:rPr>
        <w:t xml:space="preserve">Knowledge work requires </w:t>
      </w:r>
      <w:r w:rsidR="00D82BC2" w:rsidRPr="0035303A">
        <w:rPr>
          <w:rFonts w:ascii="Arial" w:hAnsi="Arial" w:cs="Arial"/>
          <w:sz w:val="22"/>
        </w:rPr>
        <w:t>judgment that is more professional</w:t>
      </w:r>
      <w:r w:rsidRPr="0035303A">
        <w:rPr>
          <w:rFonts w:ascii="Arial" w:hAnsi="Arial" w:cs="Arial"/>
          <w:sz w:val="22"/>
        </w:rPr>
        <w:t xml:space="preserve">. Safety-critical work requires </w:t>
      </w:r>
      <w:r w:rsidR="00D82BC2" w:rsidRPr="0035303A">
        <w:rPr>
          <w:rFonts w:ascii="Arial" w:hAnsi="Arial" w:cs="Arial"/>
          <w:sz w:val="22"/>
        </w:rPr>
        <w:t>boundaries that are more rigid</w:t>
      </w:r>
      <w:r w:rsidRPr="0035303A">
        <w:rPr>
          <w:rFonts w:ascii="Arial" w:hAnsi="Arial" w:cs="Arial"/>
          <w:sz w:val="22"/>
        </w:rPr>
        <w:t xml:space="preserve"> even when output targets seem to have been achieved. </w:t>
      </w:r>
      <w:r w:rsidR="008E29A5">
        <w:rPr>
          <w:rFonts w:ascii="Arial" w:hAnsi="Arial" w:cs="Arial"/>
          <w:sz w:val="22"/>
        </w:rPr>
        <w:t xml:space="preserve">                  </w:t>
      </w:r>
      <w:r w:rsidRPr="0035303A">
        <w:rPr>
          <w:rFonts w:ascii="Arial" w:hAnsi="Arial" w:cs="Arial"/>
          <w:sz w:val="22"/>
        </w:rPr>
        <w:t>This broader view is important because a scorecard is not a substitute for the governance, risk management, or ethical leadership.</w:t>
      </w:r>
    </w:p>
    <w:p w:rsidR="00C2537E" w:rsidRPr="00E74897" w:rsidRDefault="00C2537E" w:rsidP="0035303A">
      <w:pPr>
        <w:spacing w:before="100" w:after="150"/>
        <w:jc w:val="center"/>
        <w:rPr>
          <w:rFonts w:ascii="Arial" w:hAnsi="Arial" w:cs="Arial"/>
          <w:sz w:val="22"/>
        </w:rPr>
      </w:pPr>
      <w:r w:rsidRPr="00E74897">
        <w:rPr>
          <w:rFonts w:ascii="Arial" w:hAnsi="Arial" w:cs="Arial"/>
          <w:b/>
          <w:bCs/>
          <w:iCs/>
          <w:sz w:val="22"/>
        </w:rPr>
        <w:t>Table 1: The Four Managerial Functions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04"/>
        <w:gridCol w:w="3822"/>
        <w:gridCol w:w="4140"/>
      </w:tblGrid>
      <w:tr w:rsidR="00C2537E" w:rsidRPr="00E74897" w:rsidTr="005C0E7D">
        <w:trPr>
          <w:tblHeader/>
        </w:trPr>
        <w:tc>
          <w:tcPr>
            <w:tcW w:w="0" w:type="auto"/>
            <w:shd w:val="clear" w:color="auto" w:fill="2E5EAA"/>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b/>
                <w:bCs/>
                <w:color w:val="FFFFFF"/>
                <w:sz w:val="22"/>
              </w:rPr>
              <w:t>Function</w:t>
            </w:r>
          </w:p>
        </w:tc>
        <w:tc>
          <w:tcPr>
            <w:tcW w:w="0" w:type="auto"/>
            <w:shd w:val="clear" w:color="auto" w:fill="2E5EAA"/>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b/>
                <w:bCs/>
                <w:color w:val="FFFFFF"/>
                <w:sz w:val="22"/>
              </w:rPr>
              <w:t>Focus</w:t>
            </w:r>
          </w:p>
        </w:tc>
        <w:tc>
          <w:tcPr>
            <w:tcW w:w="0" w:type="auto"/>
            <w:shd w:val="clear" w:color="auto" w:fill="2E5EAA"/>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b/>
                <w:bCs/>
                <w:color w:val="FFFFFF"/>
                <w:sz w:val="22"/>
              </w:rPr>
              <w:t>Example Activity</w:t>
            </w:r>
          </w:p>
        </w:tc>
      </w:tr>
      <w:tr w:rsidR="00C2537E" w:rsidRPr="00E74897" w:rsidTr="005C0E7D">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Planning</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Setting objectives and the means to achieve them</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Defining next year's sales and revenue targets</w:t>
            </w:r>
          </w:p>
        </w:tc>
      </w:tr>
      <w:tr w:rsidR="00C2537E" w:rsidRPr="00E74897" w:rsidTr="005C0E7D">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Organizing</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Structuring resources, tasks and reporting lines</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Designing a departmental structure and delegating authority</w:t>
            </w:r>
          </w:p>
        </w:tc>
      </w:tr>
      <w:tr w:rsidR="00C2537E" w:rsidRPr="00E74897" w:rsidTr="005C0E7D">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Leading</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Directing, motivating and communicating with people</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Coaching a team toward a shared objective</w:t>
            </w:r>
          </w:p>
        </w:tc>
      </w:tr>
      <w:tr w:rsidR="00C2537E" w:rsidRPr="00E74897" w:rsidTr="005C0E7D">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Controlling</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Monitoring performance and correcting deviation</w:t>
            </w:r>
          </w:p>
        </w:tc>
        <w:tc>
          <w:tcPr>
            <w:tcW w:w="0" w:type="auto"/>
            <w:tcMar>
              <w:top w:w="100" w:type="dxa"/>
              <w:left w:w="120" w:type="dxa"/>
              <w:bottom w:w="100" w:type="dxa"/>
              <w:right w:w="120" w:type="dxa"/>
            </w:tcMar>
            <w:vAlign w:val="center"/>
          </w:tcPr>
          <w:p w:rsidR="00C2537E" w:rsidRPr="00E74897" w:rsidRDefault="00C2537E" w:rsidP="00C052D7">
            <w:pPr>
              <w:jc w:val="center"/>
              <w:rPr>
                <w:rFonts w:ascii="Arial" w:hAnsi="Arial" w:cs="Arial"/>
                <w:sz w:val="22"/>
              </w:rPr>
            </w:pPr>
            <w:r w:rsidRPr="00E74897">
              <w:rPr>
                <w:rFonts w:ascii="Arial" w:hAnsi="Arial" w:cs="Arial"/>
                <w:sz w:val="22"/>
              </w:rPr>
              <w:t>Comparing actual costs against the approved budget</w:t>
            </w:r>
          </w:p>
        </w:tc>
      </w:tr>
    </w:tbl>
    <w:p w:rsidR="00C2537E" w:rsidRPr="00E74897" w:rsidRDefault="00C2537E" w:rsidP="00E74897">
      <w:pPr>
        <w:rPr>
          <w:rFonts w:ascii="Arial" w:hAnsi="Arial" w:cs="Arial"/>
          <w:sz w:val="22"/>
        </w:rPr>
      </w:pPr>
    </w:p>
    <w:p w:rsidR="00791961" w:rsidRPr="00E74897" w:rsidRDefault="008C0758" w:rsidP="00E74897">
      <w:pPr>
        <w:pStyle w:val="Heading2"/>
        <w:rPr>
          <w:rFonts w:ascii="Arial" w:hAnsi="Arial" w:cs="Arial"/>
          <w:sz w:val="22"/>
          <w:szCs w:val="22"/>
        </w:rPr>
      </w:pPr>
      <w:bookmarkStart w:id="3" w:name="functions_2"/>
      <w:r w:rsidRPr="00E74897">
        <w:rPr>
          <w:rFonts w:ascii="Arial" w:hAnsi="Arial" w:cs="Arial"/>
          <w:sz w:val="22"/>
          <w:szCs w:val="22"/>
        </w:rPr>
        <w:lastRenderedPageBreak/>
        <w:t>2.2 The Balanced Scorecard within broader strategic control</w:t>
      </w:r>
      <w:bookmarkEnd w:id="3"/>
    </w:p>
    <w:p w:rsidR="003919E7" w:rsidRPr="00491E85" w:rsidRDefault="00491E85" w:rsidP="00491E85">
      <w:pPr>
        <w:spacing w:before="100" w:after="150"/>
        <w:jc w:val="left"/>
        <w:rPr>
          <w:rFonts w:ascii="Arial" w:hAnsi="Arial" w:cs="Arial"/>
          <w:sz w:val="22"/>
        </w:rPr>
      </w:pPr>
      <w:r w:rsidRPr="00491E85">
        <w:rPr>
          <w:rFonts w:ascii="Arial" w:hAnsi="Arial" w:cs="Arial"/>
          <w:sz w:val="22"/>
        </w:rPr>
        <w:t>The BSC converts strategies into coherent financial and non-financial goals. It does so from four observable frameworks of finances, customers, processes, and learning and growth (Madsen, 2025). Financial measures display results that have already been accomplished, but customer, process and capability measures may illustrate the result that is yet to be completed. It is the strategy map behind them: managers describe how actions are meant to result in particular outcomes, assess the links, and change them to reflect evidence. Studies have shown that BSC research has expanded to incorporate sustainability and integrated reporting and systems thinking which makes it adaptable to various purposes (Kumar et al., 2024). Nevertheless, other studies have noted that organizations tend to use it primarily in measurement rather than strategy and learning (Kumar, Prince and Baker, 2022).</w:t>
      </w:r>
    </w:p>
    <w:p w:rsidR="00C2537E" w:rsidRDefault="00491E85" w:rsidP="004E6371">
      <w:pPr>
        <w:spacing w:before="100" w:after="150"/>
        <w:jc w:val="left"/>
        <w:rPr>
          <w:rFonts w:ascii="Arial" w:hAnsi="Arial" w:cs="Arial"/>
          <w:sz w:val="22"/>
        </w:rPr>
      </w:pPr>
      <w:r w:rsidRPr="00491E85">
        <w:rPr>
          <w:rFonts w:ascii="Arial" w:hAnsi="Arial" w:cs="Arial"/>
          <w:sz w:val="22"/>
        </w:rPr>
        <w:t>A more advanced level of strategic control strikes a more effective balance of diagnostic and interactive use. Diagnostic controls are effected when the results do not meet the goals. Uncertainty, assumptions, and new information are discu</w:t>
      </w:r>
      <w:r w:rsidR="00716FF5">
        <w:rPr>
          <w:rFonts w:ascii="Arial" w:hAnsi="Arial" w:cs="Arial"/>
          <w:sz w:val="22"/>
        </w:rPr>
        <w:t>ssed in an interactive control.</w:t>
      </w:r>
      <w:r w:rsidR="00195FBF">
        <w:rPr>
          <w:rFonts w:ascii="Arial" w:hAnsi="Arial" w:cs="Arial"/>
          <w:sz w:val="22"/>
        </w:rPr>
        <w:t xml:space="preserve">                  </w:t>
      </w:r>
      <w:r w:rsidRPr="00491E85">
        <w:rPr>
          <w:rFonts w:ascii="Arial" w:hAnsi="Arial" w:cs="Arial"/>
          <w:sz w:val="22"/>
        </w:rPr>
        <w:t>A useful BSC should bring focus and should not end the discussion. It should promote pay attention, rather than clarify, in routine practice.</w:t>
      </w:r>
    </w:p>
    <w:p w:rsidR="00195FBF" w:rsidRPr="00E74897" w:rsidRDefault="00195FBF" w:rsidP="004E6371">
      <w:pPr>
        <w:spacing w:before="100" w:after="150"/>
        <w:jc w:val="left"/>
        <w:rPr>
          <w:rFonts w:ascii="Arial" w:hAnsi="Arial" w:cs="Arial"/>
          <w:sz w:val="22"/>
        </w:rPr>
      </w:pPr>
    </w:p>
    <w:p w:rsidR="004E6371" w:rsidRDefault="00C2537E" w:rsidP="00716FF5">
      <w:pPr>
        <w:spacing w:before="100" w:after="150"/>
        <w:jc w:val="center"/>
        <w:rPr>
          <w:rFonts w:ascii="Arial" w:hAnsi="Arial" w:cs="Arial"/>
          <w:sz w:val="22"/>
        </w:rPr>
      </w:pPr>
      <w:r w:rsidRPr="00E74897">
        <w:rPr>
          <w:rFonts w:ascii="Arial" w:hAnsi="Arial" w:cs="Arial"/>
          <w:noProof/>
          <w:sz w:val="22"/>
        </w:rPr>
        <w:drawing>
          <wp:inline distT="0" distB="0" distL="0" distR="0" wp14:anchorId="6A7A651B" wp14:editId="7485B36B">
            <wp:extent cx="5638800" cy="3371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638800" cy="3371850"/>
                    </a:xfrm>
                    <a:prstGeom prst="rect">
                      <a:avLst/>
                    </a:prstGeom>
                  </pic:spPr>
                </pic:pic>
              </a:graphicData>
            </a:graphic>
          </wp:inline>
        </w:drawing>
      </w:r>
      <w:bookmarkStart w:id="4" w:name="essential"/>
      <w:r w:rsidR="004E6371" w:rsidRPr="004E6371">
        <w:rPr>
          <w:rFonts w:ascii="Arial" w:hAnsi="Arial" w:cs="Arial"/>
          <w:b/>
          <w:bCs/>
          <w:iCs/>
          <w:sz w:val="22"/>
        </w:rPr>
        <w:t xml:space="preserve">Figure 1: </w:t>
      </w:r>
      <w:r w:rsidR="004E6371" w:rsidRPr="004E6371">
        <w:rPr>
          <w:rFonts w:ascii="Arial" w:hAnsi="Arial" w:cs="Arial"/>
          <w:bCs/>
          <w:iCs/>
          <w:sz w:val="22"/>
        </w:rPr>
        <w:t>The Balanced Scorecard's Four Control Perspectives</w:t>
      </w:r>
    </w:p>
    <w:p w:rsidR="00791961" w:rsidRPr="00997B10" w:rsidRDefault="008C0758" w:rsidP="00E74897">
      <w:pPr>
        <w:pStyle w:val="Heading1"/>
        <w:rPr>
          <w:rFonts w:ascii="Arial" w:hAnsi="Arial" w:cs="Arial"/>
          <w:sz w:val="24"/>
          <w:szCs w:val="24"/>
        </w:rPr>
      </w:pPr>
      <w:r w:rsidRPr="00997B10">
        <w:rPr>
          <w:rFonts w:ascii="Arial" w:hAnsi="Arial" w:cs="Arial"/>
          <w:sz w:val="24"/>
          <w:szCs w:val="24"/>
        </w:rPr>
        <w:lastRenderedPageBreak/>
        <w:t xml:space="preserve">3. Why controlling is essential in all </w:t>
      </w:r>
      <w:bookmarkEnd w:id="4"/>
      <w:r w:rsidR="009C25F0" w:rsidRPr="00997B10">
        <w:rPr>
          <w:rFonts w:ascii="Arial" w:hAnsi="Arial" w:cs="Arial"/>
          <w:sz w:val="24"/>
          <w:szCs w:val="24"/>
        </w:rPr>
        <w:t>organizations</w:t>
      </w:r>
    </w:p>
    <w:p w:rsidR="00791961" w:rsidRPr="00E74897" w:rsidRDefault="008C0758" w:rsidP="00E74897">
      <w:pPr>
        <w:pStyle w:val="Heading2"/>
        <w:rPr>
          <w:rFonts w:ascii="Arial" w:hAnsi="Arial" w:cs="Arial"/>
          <w:sz w:val="22"/>
          <w:szCs w:val="22"/>
        </w:rPr>
      </w:pPr>
      <w:bookmarkStart w:id="5" w:name="essential_1"/>
      <w:r w:rsidRPr="00E74897">
        <w:rPr>
          <w:rFonts w:ascii="Arial" w:hAnsi="Arial" w:cs="Arial"/>
          <w:sz w:val="22"/>
          <w:szCs w:val="22"/>
        </w:rPr>
        <w:t>3.1 Alignment, accountability and learning</w:t>
      </w:r>
      <w:bookmarkEnd w:id="5"/>
    </w:p>
    <w:p w:rsidR="00997B10" w:rsidRPr="00997B10" w:rsidRDefault="00997B10" w:rsidP="00B37973">
      <w:pPr>
        <w:pStyle w:val="Heading1"/>
        <w:jc w:val="left"/>
        <w:rPr>
          <w:rFonts w:ascii="Arial" w:eastAsia="Times New Roman" w:hAnsi="Arial" w:cs="Arial"/>
          <w:b w:val="0"/>
          <w:bCs w:val="0"/>
          <w:sz w:val="22"/>
          <w:szCs w:val="22"/>
        </w:rPr>
      </w:pPr>
      <w:bookmarkStart w:id="6" w:name="challenges"/>
      <w:r w:rsidRPr="00997B10">
        <w:rPr>
          <w:rFonts w:ascii="Arial" w:eastAsia="Times New Roman" w:hAnsi="Arial" w:cs="Arial"/>
          <w:b w:val="0"/>
          <w:bCs w:val="0"/>
          <w:sz w:val="22"/>
          <w:szCs w:val="22"/>
        </w:rPr>
        <w:t>First, strategic control is required for transformation of operational strategy into operational priorities. A series of aligned metrics that link each task with outcomes demonstrates the most efficient priorities and reveals the specialized cost-benefit analysis. Without such control, it is possible the trade-offs May not be apparent and short-term gains may result in adverse long-term effects on quality, customer confidence, or employee capabilities. Second, control guarantees accountability. Boards, regulators, donors, clientele, and citizens examine the effectiveness and efficiency of the delegated authority and resources. Third, control promotes the learning organization. Weak signals may be imperceptible without control. Likewise, control can direct the focus of the organization toward the adjustment of a nervous plan.</w:t>
      </w:r>
      <w:r w:rsidR="005242A9">
        <w:rPr>
          <w:rFonts w:ascii="Arial" w:eastAsia="Times New Roman" w:hAnsi="Arial" w:cs="Arial"/>
          <w:b w:val="0"/>
          <w:bCs w:val="0"/>
          <w:sz w:val="22"/>
          <w:szCs w:val="22"/>
        </w:rPr>
        <w:t xml:space="preserve"> </w:t>
      </w:r>
      <w:r w:rsidRPr="00997B10">
        <w:rPr>
          <w:rFonts w:ascii="Arial" w:eastAsia="Times New Roman" w:hAnsi="Arial" w:cs="Arial"/>
          <w:b w:val="0"/>
          <w:bCs w:val="0"/>
          <w:sz w:val="22"/>
          <w:szCs w:val="22"/>
        </w:rPr>
        <w:t>Resources are constrained, and control is necessary. Despite the benefits of trend, variance and risk information, a prudent manager will respond early and reallocate resources to a more effective alternative. However, not all results should be forced to return to the target. The plan may require alteration based on innovative external factors. Strategic control is of greater value to management when the focus is on the unexplained variance. Rigorous strategic control can be a waste of time and effort if the resources are too constrained. A small business may waste time on unnecessary control, while a government agency may report a great deal and still provide activities that have little impact on social value.</w:t>
      </w:r>
    </w:p>
    <w:p w:rsidR="00997B10" w:rsidRPr="00DE3008" w:rsidRDefault="00997B10" w:rsidP="00B37973">
      <w:pPr>
        <w:pStyle w:val="Heading1"/>
        <w:jc w:val="left"/>
        <w:rPr>
          <w:rFonts w:ascii="Arial" w:eastAsia="Times New Roman" w:hAnsi="Arial" w:cs="Arial"/>
          <w:bCs w:val="0"/>
          <w:sz w:val="22"/>
          <w:szCs w:val="22"/>
        </w:rPr>
      </w:pPr>
      <w:r w:rsidRPr="00DE3008">
        <w:rPr>
          <w:rFonts w:ascii="Arial" w:eastAsia="Times New Roman" w:hAnsi="Arial" w:cs="Arial"/>
          <w:bCs w:val="0"/>
          <w:sz w:val="22"/>
          <w:szCs w:val="22"/>
        </w:rPr>
        <w:t>3.2 Evidence from Boeing and Healthcare</w:t>
      </w:r>
    </w:p>
    <w:p w:rsidR="005242A9" w:rsidRPr="005242A9" w:rsidRDefault="00997B10" w:rsidP="00F65E6A">
      <w:pPr>
        <w:pStyle w:val="Heading1"/>
        <w:jc w:val="left"/>
        <w:rPr>
          <w:rFonts w:ascii="Arial" w:eastAsia="Times New Roman" w:hAnsi="Arial" w:cs="Arial"/>
          <w:b w:val="0"/>
          <w:bCs w:val="0"/>
          <w:sz w:val="22"/>
          <w:szCs w:val="22"/>
        </w:rPr>
      </w:pPr>
      <w:r w:rsidRPr="00997B10">
        <w:rPr>
          <w:rFonts w:ascii="Arial" w:eastAsia="Times New Roman" w:hAnsi="Arial" w:cs="Arial"/>
          <w:b w:val="0"/>
          <w:bCs w:val="0"/>
          <w:sz w:val="22"/>
          <w:szCs w:val="22"/>
        </w:rPr>
        <w:t xml:space="preserve">Boeing serves as an example. A federal expert panel found a gap between senior managers and employees, a system of complex safety procedures and weak general safety within the organization (Federal Aviation Administration, 2024). </w:t>
      </w:r>
      <w:r w:rsidR="00B37973" w:rsidRPr="00997B10">
        <w:rPr>
          <w:rFonts w:ascii="Arial" w:eastAsia="Times New Roman" w:hAnsi="Arial" w:cs="Arial"/>
          <w:b w:val="0"/>
          <w:bCs w:val="0"/>
          <w:sz w:val="22"/>
          <w:szCs w:val="22"/>
        </w:rPr>
        <w:t>Because</w:t>
      </w:r>
      <w:r w:rsidRPr="00997B10">
        <w:rPr>
          <w:rFonts w:ascii="Arial" w:eastAsia="Times New Roman" w:hAnsi="Arial" w:cs="Arial"/>
          <w:b w:val="0"/>
          <w:bCs w:val="0"/>
          <w:sz w:val="22"/>
          <w:szCs w:val="22"/>
        </w:rPr>
        <w:t xml:space="preserve"> of their investigation into the January 2024 separation of a 737-9 door plug, there was no record that the plug had been opened, so the quality inspection was not performed, four securing bolts were missing (National Transportation Safety Board, 2025). Formal processes </w:t>
      </w:r>
      <w:r w:rsidR="00B37973" w:rsidRPr="00997B10">
        <w:rPr>
          <w:rFonts w:ascii="Arial" w:eastAsia="Times New Roman" w:hAnsi="Arial" w:cs="Arial"/>
          <w:b w:val="0"/>
          <w:bCs w:val="0"/>
          <w:sz w:val="22"/>
          <w:szCs w:val="22"/>
        </w:rPr>
        <w:t>existed;</w:t>
      </w:r>
      <w:r w:rsidRPr="00997B10">
        <w:rPr>
          <w:rFonts w:ascii="Arial" w:eastAsia="Times New Roman" w:hAnsi="Arial" w:cs="Arial"/>
          <w:b w:val="0"/>
          <w:bCs w:val="0"/>
          <w:sz w:val="22"/>
          <w:szCs w:val="22"/>
        </w:rPr>
        <w:t xml:space="preserve"> however, there was a lack of integration of information, traceability and checking. In high-reliability </w:t>
      </w:r>
      <w:r w:rsidR="00B37973" w:rsidRPr="00997B10">
        <w:rPr>
          <w:rFonts w:ascii="Arial" w:eastAsia="Times New Roman" w:hAnsi="Arial" w:cs="Arial"/>
          <w:b w:val="0"/>
          <w:bCs w:val="0"/>
          <w:sz w:val="22"/>
          <w:szCs w:val="22"/>
        </w:rPr>
        <w:t>organizations,</w:t>
      </w:r>
      <w:r w:rsidRPr="00997B10">
        <w:rPr>
          <w:rFonts w:ascii="Arial" w:eastAsia="Times New Roman" w:hAnsi="Arial" w:cs="Arial"/>
          <w:b w:val="0"/>
          <w:bCs w:val="0"/>
          <w:sz w:val="22"/>
          <w:szCs w:val="22"/>
        </w:rPr>
        <w:t xml:space="preserve"> safety and learning measures must be designed to restrain production goals rather than be adjacent to production goals.</w:t>
      </w:r>
      <w:r w:rsidR="005242A9">
        <w:rPr>
          <w:rFonts w:ascii="Arial" w:eastAsia="Times New Roman" w:hAnsi="Arial" w:cs="Arial"/>
          <w:b w:val="0"/>
          <w:bCs w:val="0"/>
          <w:sz w:val="22"/>
          <w:szCs w:val="22"/>
        </w:rPr>
        <w:t xml:space="preserve"> </w:t>
      </w:r>
      <w:r w:rsidR="005242A9" w:rsidRPr="00997B10">
        <w:rPr>
          <w:rFonts w:ascii="Arial" w:eastAsia="Times New Roman" w:hAnsi="Arial" w:cs="Arial"/>
          <w:b w:val="0"/>
          <w:bCs w:val="0"/>
          <w:sz w:val="22"/>
          <w:szCs w:val="22"/>
        </w:rPr>
        <w:t>All healthcare organizations need to balance access, clinical outcomes, patient experience, workforce capacity and cost. A charity must show mission impact and stewardship. One healthcare review noted the articulation of a BSC, although varying perspectives and in the context of leadership, culture and communication, there were issues observed during implementation (Betto et al., 2022).</w:t>
      </w:r>
    </w:p>
    <w:p w:rsidR="005242A9" w:rsidRPr="005242A9" w:rsidRDefault="005242A9" w:rsidP="00F65E6A">
      <w:pPr>
        <w:jc w:val="left"/>
      </w:pPr>
    </w:p>
    <w:p w:rsidR="00791961" w:rsidRPr="005242A9" w:rsidRDefault="008C0758" w:rsidP="00997B10">
      <w:pPr>
        <w:pStyle w:val="Heading1"/>
        <w:rPr>
          <w:rFonts w:ascii="Arial" w:hAnsi="Arial" w:cs="Arial"/>
          <w:sz w:val="24"/>
          <w:szCs w:val="24"/>
        </w:rPr>
      </w:pPr>
      <w:r w:rsidRPr="005242A9">
        <w:rPr>
          <w:rFonts w:ascii="Arial" w:hAnsi="Arial" w:cs="Arial"/>
          <w:sz w:val="24"/>
          <w:szCs w:val="24"/>
        </w:rPr>
        <w:lastRenderedPageBreak/>
        <w:t>4. Challenges associated with controlling</w:t>
      </w:r>
      <w:bookmarkEnd w:id="6"/>
    </w:p>
    <w:p w:rsidR="004A62AA" w:rsidRPr="004A62AA" w:rsidRDefault="004A62AA" w:rsidP="004A62AA">
      <w:pPr>
        <w:spacing w:before="100" w:after="150"/>
        <w:rPr>
          <w:rFonts w:ascii="Arial" w:eastAsiaTheme="majorEastAsia" w:hAnsi="Arial" w:cs="Arial"/>
          <w:b/>
          <w:bCs/>
          <w:sz w:val="22"/>
        </w:rPr>
      </w:pPr>
      <w:r w:rsidRPr="004A62AA">
        <w:rPr>
          <w:rFonts w:ascii="Arial" w:eastAsiaTheme="majorEastAsia" w:hAnsi="Arial" w:cs="Arial"/>
          <w:b/>
          <w:bCs/>
          <w:sz w:val="22"/>
        </w:rPr>
        <w:t>4.</w:t>
      </w:r>
      <w:r>
        <w:rPr>
          <w:rFonts w:ascii="Arial" w:eastAsiaTheme="majorEastAsia" w:hAnsi="Arial" w:cs="Arial"/>
          <w:b/>
          <w:bCs/>
          <w:sz w:val="22"/>
        </w:rPr>
        <w:t>1 Measurement, context and cost</w:t>
      </w:r>
    </w:p>
    <w:p w:rsidR="004A62AA" w:rsidRPr="004A62AA" w:rsidRDefault="004A62AA" w:rsidP="00F555D4">
      <w:pPr>
        <w:spacing w:before="100" w:after="150"/>
        <w:jc w:val="left"/>
        <w:rPr>
          <w:rFonts w:ascii="Arial" w:eastAsiaTheme="majorEastAsia" w:hAnsi="Arial" w:cs="Arial"/>
          <w:bCs/>
          <w:sz w:val="22"/>
        </w:rPr>
      </w:pPr>
      <w:r w:rsidRPr="004A62AA">
        <w:rPr>
          <w:rFonts w:ascii="Arial" w:eastAsiaTheme="majorEastAsia" w:hAnsi="Arial" w:cs="Arial"/>
          <w:bCs/>
          <w:sz w:val="22"/>
        </w:rPr>
        <w:t>Measurement of trust, innovation, public value and safety culture is difficult. Although a strategy map may generate reasonable cause and effect relationships, this does not prove the relationships. Having too many measures can lead to a lack of focus, and having too few can lead to an over focus. In their research on French middle-market enterprises, Bouamama, Basly, and Zian, (2021), noted that the elements of scorecards are impacted by the strategy, structure and environment, and thus a generic scorecard is difficult to justify. Managers can believe that a full dashboard is control and measure and create a false sense of assurance.</w:t>
      </w:r>
    </w:p>
    <w:p w:rsidR="004A62AA" w:rsidRDefault="004A62AA" w:rsidP="00F555D4">
      <w:pPr>
        <w:spacing w:before="100" w:after="150"/>
        <w:jc w:val="left"/>
        <w:rPr>
          <w:rFonts w:ascii="Arial" w:eastAsiaTheme="majorEastAsia" w:hAnsi="Arial" w:cs="Arial"/>
          <w:bCs/>
          <w:sz w:val="22"/>
        </w:rPr>
      </w:pPr>
      <w:r w:rsidRPr="004A62AA">
        <w:rPr>
          <w:rFonts w:ascii="Arial" w:eastAsiaTheme="majorEastAsia" w:hAnsi="Arial" w:cs="Arial"/>
          <w:bCs/>
          <w:sz w:val="22"/>
        </w:rPr>
        <w:t xml:space="preserve">Goals also conflict. Stakeholders value different outcomes and employees can be assessed on results over which they have little control such as suppliers, markets or decisions made elsewhere. It is seen as unfair to give someone a large goal with little control over the variables. Weighting the elements of BSC is a management and ethical dilemma. Control carries a cost and having </w:t>
      </w:r>
      <w:r w:rsidR="00F555D4" w:rsidRPr="004A62AA">
        <w:rPr>
          <w:rFonts w:ascii="Arial" w:eastAsiaTheme="majorEastAsia" w:hAnsi="Arial" w:cs="Arial"/>
          <w:bCs/>
          <w:sz w:val="22"/>
        </w:rPr>
        <w:t>weak,</w:t>
      </w:r>
      <w:r w:rsidRPr="004A62AA">
        <w:rPr>
          <w:rFonts w:ascii="Arial" w:eastAsiaTheme="majorEastAsia" w:hAnsi="Arial" w:cs="Arial"/>
          <w:bCs/>
          <w:sz w:val="22"/>
        </w:rPr>
        <w:t xml:space="preserve"> data can lead to a loss in focus on customer, clinical or production work. Measuring more can lead to a false sense of accountability.</w:t>
      </w:r>
    </w:p>
    <w:p w:rsidR="005E3BA3" w:rsidRPr="004A62AA" w:rsidRDefault="005E3BA3" w:rsidP="00F555D4">
      <w:pPr>
        <w:spacing w:before="100" w:after="150"/>
        <w:jc w:val="left"/>
        <w:rPr>
          <w:rFonts w:ascii="Arial" w:eastAsiaTheme="majorEastAsia" w:hAnsi="Arial" w:cs="Arial"/>
          <w:bCs/>
          <w:sz w:val="22"/>
        </w:rPr>
      </w:pPr>
    </w:p>
    <w:p w:rsidR="004A62AA" w:rsidRPr="004A62AA" w:rsidRDefault="004A62AA" w:rsidP="004A62AA">
      <w:pPr>
        <w:spacing w:before="100" w:after="150"/>
        <w:rPr>
          <w:rFonts w:ascii="Arial" w:eastAsiaTheme="majorEastAsia" w:hAnsi="Arial" w:cs="Arial"/>
          <w:b/>
          <w:bCs/>
          <w:sz w:val="22"/>
        </w:rPr>
      </w:pPr>
      <w:r w:rsidRPr="004A62AA">
        <w:rPr>
          <w:rFonts w:ascii="Arial" w:eastAsiaTheme="majorEastAsia" w:hAnsi="Arial" w:cs="Arial"/>
          <w:b/>
          <w:bCs/>
          <w:sz w:val="22"/>
        </w:rPr>
        <w:t xml:space="preserve">4.2 </w:t>
      </w:r>
      <w:r>
        <w:rPr>
          <w:rFonts w:ascii="Arial" w:eastAsiaTheme="majorEastAsia" w:hAnsi="Arial" w:cs="Arial"/>
          <w:b/>
          <w:bCs/>
          <w:sz w:val="22"/>
        </w:rPr>
        <w:t>Gaming, rigidity and legitimacy</w:t>
      </w:r>
    </w:p>
    <w:p w:rsidR="004A62AA" w:rsidRPr="004A62AA" w:rsidRDefault="004A62AA" w:rsidP="00F65E6A">
      <w:pPr>
        <w:spacing w:before="100" w:after="150"/>
        <w:jc w:val="left"/>
        <w:rPr>
          <w:rFonts w:ascii="Arial" w:eastAsiaTheme="majorEastAsia" w:hAnsi="Arial" w:cs="Arial"/>
          <w:bCs/>
          <w:sz w:val="22"/>
        </w:rPr>
      </w:pPr>
      <w:r w:rsidRPr="004A62AA">
        <w:rPr>
          <w:rFonts w:ascii="Arial" w:eastAsiaTheme="majorEastAsia" w:hAnsi="Arial" w:cs="Arial"/>
          <w:bCs/>
          <w:sz w:val="22"/>
        </w:rPr>
        <w:t>Measures change behavior. When people are rewarded for achieving a particular goal, they may lose sight of the rest of their responsibilities or, worst case, game the system. This tends to be the unintended outcome of performance management (Franco-Santos and Otley, 2018; Welter and Ensslin, 2022). This is further evidenced by employees of British universities behaving in this manner in response to their university’s performance management system (Aboubichr and Conway, 2023). Wells Fargo had to learn this the hard way after significant growth restrictions on the bank were imposed by the Federal Reserve in 2018 due to multiple governance failures resulting in consumer abuse, violation of compliance, poor control over risks, and weak governance over the entire bank (Board of Governors of the Federal Reserve System, 2018). The deficiencies in governance led to the need for redress totaling $3.7 billion and penalties for 16 million consumer accounts in 2022 as ordered by the Consumer Financial Protection Bureau (Consumer Financial Protection Bureau, 2022). This case shows that growth targets and sales numbers do not reflect adequate performance when customer protection is lack</w:t>
      </w:r>
      <w:r>
        <w:rPr>
          <w:rFonts w:ascii="Arial" w:eastAsiaTheme="majorEastAsia" w:hAnsi="Arial" w:cs="Arial"/>
          <w:bCs/>
          <w:sz w:val="22"/>
        </w:rPr>
        <w:t>ing and risks are uncontrolled.</w:t>
      </w:r>
    </w:p>
    <w:p w:rsidR="005E3BA3" w:rsidRDefault="005E3BA3" w:rsidP="00F65E6A">
      <w:pPr>
        <w:spacing w:before="100" w:after="150"/>
        <w:jc w:val="left"/>
        <w:rPr>
          <w:rFonts w:ascii="Arial" w:eastAsiaTheme="majorEastAsia" w:hAnsi="Arial" w:cs="Arial"/>
          <w:bCs/>
          <w:sz w:val="22"/>
        </w:rPr>
      </w:pPr>
    </w:p>
    <w:p w:rsidR="005E3BA3" w:rsidRDefault="005E3BA3" w:rsidP="00F65E6A">
      <w:pPr>
        <w:spacing w:before="100" w:after="150"/>
        <w:jc w:val="left"/>
        <w:rPr>
          <w:rFonts w:ascii="Arial" w:eastAsiaTheme="majorEastAsia" w:hAnsi="Arial" w:cs="Arial"/>
          <w:bCs/>
          <w:sz w:val="22"/>
        </w:rPr>
      </w:pPr>
    </w:p>
    <w:p w:rsidR="00F72945" w:rsidRDefault="004A62AA" w:rsidP="00F65E6A">
      <w:pPr>
        <w:spacing w:before="100" w:after="150"/>
        <w:jc w:val="left"/>
        <w:rPr>
          <w:rFonts w:ascii="Arial" w:eastAsiaTheme="majorEastAsia" w:hAnsi="Arial" w:cs="Arial"/>
          <w:bCs/>
          <w:sz w:val="22"/>
        </w:rPr>
      </w:pPr>
      <w:r w:rsidRPr="004A62AA">
        <w:rPr>
          <w:rFonts w:ascii="Arial" w:eastAsiaTheme="majorEastAsia" w:hAnsi="Arial" w:cs="Arial"/>
          <w:bCs/>
          <w:sz w:val="22"/>
        </w:rPr>
        <w:lastRenderedPageBreak/>
        <w:t xml:space="preserve">Rigid control are signs of out of control systems. Control is delayed when no action is taken on archaic, obsolete, or irrelevant data. Automated monitoring is prone to bias. Digital systems provide information, but flexible design, digital skills, and ethics are required (Cosa and Torelli, 2024). </w:t>
      </w:r>
    </w:p>
    <w:p w:rsidR="005E3BA3" w:rsidRDefault="005E3BA3" w:rsidP="00F65E6A">
      <w:pPr>
        <w:spacing w:before="100" w:after="150"/>
        <w:jc w:val="left"/>
        <w:rPr>
          <w:rFonts w:ascii="Arial" w:eastAsiaTheme="majorEastAsia" w:hAnsi="Arial" w:cs="Arial"/>
          <w:bCs/>
          <w:sz w:val="22"/>
        </w:rPr>
      </w:pPr>
    </w:p>
    <w:p w:rsidR="004A62AA" w:rsidRDefault="004A62AA" w:rsidP="00F65E6A">
      <w:pPr>
        <w:spacing w:before="100" w:after="150"/>
        <w:jc w:val="left"/>
        <w:rPr>
          <w:rFonts w:ascii="Arial" w:eastAsiaTheme="majorEastAsia" w:hAnsi="Arial" w:cs="Arial"/>
          <w:bCs/>
          <w:sz w:val="22"/>
        </w:rPr>
      </w:pPr>
      <w:r w:rsidRPr="004A62AA">
        <w:rPr>
          <w:rFonts w:ascii="Arial" w:eastAsiaTheme="majorEastAsia" w:hAnsi="Arial" w:cs="Arial"/>
          <w:bCs/>
          <w:sz w:val="22"/>
        </w:rPr>
        <w:t>There is a human problem. An absence of participation in the creation of measures leads to distrust and a refusal to communicate problems to management. The system designed at Boeing to enable non-retaliatory safety communication illustrates that the failure of a complex system can still be attributed to an absence of trust (Federal Aviation Administration, 2024). Control loses its legitimacy when employees do not understand it, do not believe it is fair, or are unable to challenge it.</w:t>
      </w:r>
    </w:p>
    <w:p w:rsidR="005E3BA3" w:rsidRPr="004A62AA" w:rsidRDefault="005E3BA3" w:rsidP="00F65E6A">
      <w:pPr>
        <w:spacing w:before="100" w:after="150"/>
        <w:jc w:val="left"/>
        <w:rPr>
          <w:rFonts w:ascii="Arial" w:eastAsiaTheme="majorEastAsia" w:hAnsi="Arial" w:cs="Arial"/>
          <w:bCs/>
          <w:sz w:val="22"/>
        </w:rPr>
      </w:pPr>
    </w:p>
    <w:p w:rsidR="007C5B10" w:rsidRPr="00E74897" w:rsidRDefault="007C5B10" w:rsidP="004056C2">
      <w:pPr>
        <w:spacing w:before="100" w:after="150"/>
        <w:jc w:val="center"/>
        <w:rPr>
          <w:rFonts w:ascii="Arial" w:hAnsi="Arial" w:cs="Arial"/>
          <w:sz w:val="22"/>
        </w:rPr>
      </w:pPr>
      <w:r w:rsidRPr="00E74897">
        <w:rPr>
          <w:rFonts w:ascii="Arial" w:hAnsi="Arial" w:cs="Arial"/>
          <w:b/>
          <w:bCs/>
          <w:i/>
          <w:iCs/>
          <w:sz w:val="22"/>
        </w:rPr>
        <w:t>Table 2: Key Challenges of Controlling</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43"/>
        <w:gridCol w:w="4534"/>
        <w:gridCol w:w="2589"/>
      </w:tblGrid>
      <w:tr w:rsidR="007C5B10" w:rsidRPr="00E74897" w:rsidTr="005C0E7D">
        <w:trPr>
          <w:tblHeader/>
        </w:trPr>
        <w:tc>
          <w:tcPr>
            <w:tcW w:w="0" w:type="auto"/>
            <w:shd w:val="clear" w:color="auto" w:fill="A13D3D"/>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b/>
                <w:bCs/>
                <w:color w:val="FFFFFF"/>
                <w:sz w:val="22"/>
              </w:rPr>
              <w:t>Challenge</w:t>
            </w:r>
          </w:p>
        </w:tc>
        <w:tc>
          <w:tcPr>
            <w:tcW w:w="0" w:type="auto"/>
            <w:shd w:val="clear" w:color="auto" w:fill="A13D3D"/>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b/>
                <w:bCs/>
                <w:color w:val="FFFFFF"/>
                <w:sz w:val="22"/>
              </w:rPr>
              <w:t>Description</w:t>
            </w:r>
          </w:p>
        </w:tc>
        <w:tc>
          <w:tcPr>
            <w:tcW w:w="0" w:type="auto"/>
            <w:shd w:val="clear" w:color="auto" w:fill="A13D3D"/>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b/>
                <w:bCs/>
                <w:color w:val="FFFFFF"/>
                <w:sz w:val="22"/>
              </w:rPr>
              <w:t>Illustrative Evidence</w:t>
            </w:r>
          </w:p>
        </w:tc>
      </w:tr>
      <w:tr w:rsidR="007C5B10" w:rsidRPr="00E74897" w:rsidTr="005C0E7D">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Goal displacement</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 xml:space="preserve">Narrow, high-pressure metrics drive dysfunctional employee </w:t>
            </w:r>
            <w:r w:rsidR="004056C2" w:rsidRPr="00E74897">
              <w:rPr>
                <w:rFonts w:ascii="Arial" w:hAnsi="Arial" w:cs="Arial"/>
                <w:sz w:val="22"/>
              </w:rPr>
              <w:t>behavior</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Wells Fargo cross-selling scandal (CFPB, 2016)</w:t>
            </w:r>
          </w:p>
        </w:tc>
      </w:tr>
      <w:tr w:rsidR="007C5B10" w:rsidRPr="00E74897" w:rsidTr="005C0E7D">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Contested causal assumptions</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Multidimensional frameworks assume cause-effect links between measures that are hard to prove</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Tawse and Tabesh (2023); Madsen (2025)</w:t>
            </w:r>
          </w:p>
        </w:tc>
      </w:tr>
      <w:tr w:rsidR="007C5B10" w:rsidRPr="00E74897" w:rsidTr="005C0E7D">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Human resistance</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Staff resist standards imposed without consultation; HR and engagement issues dominate</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Lambovska and Angelova-Stanimirova (2025)</w:t>
            </w:r>
          </w:p>
        </w:tc>
      </w:tr>
      <w:tr w:rsidR="007C5B10" w:rsidRPr="00E74897" w:rsidTr="005C0E7D">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Cost and obsolescence</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 xml:space="preserve">Standards date quickly; sophisticated systems are costly, especially for smaller </w:t>
            </w:r>
            <w:r w:rsidR="004056C2" w:rsidRPr="00E74897">
              <w:rPr>
                <w:rFonts w:ascii="Arial" w:hAnsi="Arial" w:cs="Arial"/>
                <w:sz w:val="22"/>
              </w:rPr>
              <w:t>organizations</w:t>
            </w:r>
          </w:p>
        </w:tc>
        <w:tc>
          <w:tcPr>
            <w:tcW w:w="0" w:type="auto"/>
            <w:tcMar>
              <w:top w:w="100" w:type="dxa"/>
              <w:left w:w="120" w:type="dxa"/>
              <w:bottom w:w="100" w:type="dxa"/>
              <w:right w:w="120" w:type="dxa"/>
            </w:tcMar>
            <w:vAlign w:val="center"/>
          </w:tcPr>
          <w:p w:rsidR="007C5B10" w:rsidRPr="00E74897" w:rsidRDefault="007C5B10" w:rsidP="004056C2">
            <w:pPr>
              <w:jc w:val="center"/>
              <w:rPr>
                <w:rFonts w:ascii="Arial" w:hAnsi="Arial" w:cs="Arial"/>
                <w:sz w:val="22"/>
              </w:rPr>
            </w:pPr>
            <w:r w:rsidRPr="00E74897">
              <w:rPr>
                <w:rFonts w:ascii="Arial" w:hAnsi="Arial" w:cs="Arial"/>
                <w:sz w:val="22"/>
              </w:rPr>
              <w:t>Lambovska and Angelova-Stanimirova (2025)</w:t>
            </w:r>
          </w:p>
        </w:tc>
      </w:tr>
    </w:tbl>
    <w:p w:rsidR="007C5B10" w:rsidRDefault="007C5B10" w:rsidP="00E74897">
      <w:pPr>
        <w:ind w:firstLine="425"/>
        <w:rPr>
          <w:rFonts w:ascii="Arial" w:hAnsi="Arial" w:cs="Arial"/>
          <w:sz w:val="22"/>
        </w:rPr>
      </w:pPr>
    </w:p>
    <w:p w:rsidR="00336A0A" w:rsidRDefault="00336A0A" w:rsidP="00E74897">
      <w:pPr>
        <w:ind w:firstLine="425"/>
        <w:rPr>
          <w:rFonts w:ascii="Arial" w:hAnsi="Arial" w:cs="Arial"/>
          <w:sz w:val="22"/>
        </w:rPr>
      </w:pPr>
    </w:p>
    <w:p w:rsidR="00336A0A" w:rsidRDefault="00336A0A" w:rsidP="00E74897">
      <w:pPr>
        <w:ind w:firstLine="425"/>
        <w:rPr>
          <w:rFonts w:ascii="Arial" w:hAnsi="Arial" w:cs="Arial"/>
          <w:sz w:val="22"/>
        </w:rPr>
      </w:pPr>
    </w:p>
    <w:p w:rsidR="00336A0A" w:rsidRPr="00E74897" w:rsidRDefault="00336A0A" w:rsidP="00B42958">
      <w:pPr>
        <w:rPr>
          <w:rFonts w:ascii="Arial" w:hAnsi="Arial" w:cs="Arial"/>
          <w:sz w:val="22"/>
        </w:rPr>
      </w:pPr>
    </w:p>
    <w:p w:rsidR="00791961" w:rsidRPr="00423AAC" w:rsidRDefault="008C0758" w:rsidP="00E74897">
      <w:pPr>
        <w:pStyle w:val="Heading1"/>
        <w:rPr>
          <w:rFonts w:ascii="Arial" w:hAnsi="Arial" w:cs="Arial"/>
          <w:sz w:val="24"/>
          <w:szCs w:val="24"/>
        </w:rPr>
      </w:pPr>
      <w:bookmarkStart w:id="7" w:name="mitigation"/>
      <w:r w:rsidRPr="00423AAC">
        <w:rPr>
          <w:rFonts w:ascii="Arial" w:hAnsi="Arial" w:cs="Arial"/>
          <w:sz w:val="24"/>
          <w:szCs w:val="24"/>
        </w:rPr>
        <w:lastRenderedPageBreak/>
        <w:t>5. How managers can mitigate these challenges</w:t>
      </w:r>
      <w:bookmarkEnd w:id="7"/>
    </w:p>
    <w:p w:rsidR="00791961" w:rsidRPr="00E74897" w:rsidRDefault="008C0758" w:rsidP="00E74897">
      <w:pPr>
        <w:pStyle w:val="Heading2"/>
        <w:rPr>
          <w:rFonts w:ascii="Arial" w:hAnsi="Arial" w:cs="Arial"/>
          <w:sz w:val="22"/>
          <w:szCs w:val="22"/>
        </w:rPr>
      </w:pPr>
      <w:bookmarkStart w:id="8" w:name="mitigation_1"/>
      <w:r w:rsidRPr="00E74897">
        <w:rPr>
          <w:rFonts w:ascii="Arial" w:hAnsi="Arial" w:cs="Arial"/>
          <w:sz w:val="22"/>
          <w:szCs w:val="22"/>
        </w:rPr>
        <w:t>5.1 Contingent design, participation and fair incentives</w:t>
      </w:r>
      <w:bookmarkEnd w:id="8"/>
    </w:p>
    <w:p w:rsidR="00913BCE" w:rsidRPr="00913BCE" w:rsidRDefault="00913BCE" w:rsidP="005E3BA3">
      <w:pPr>
        <w:pStyle w:val="Heading2"/>
        <w:jc w:val="left"/>
        <w:rPr>
          <w:rFonts w:ascii="Arial" w:eastAsia="Times New Roman" w:hAnsi="Arial" w:cs="Arial"/>
          <w:b w:val="0"/>
          <w:bCs w:val="0"/>
          <w:sz w:val="22"/>
          <w:szCs w:val="22"/>
        </w:rPr>
      </w:pPr>
      <w:bookmarkStart w:id="9" w:name="mitigation_2"/>
      <w:r w:rsidRPr="00913BCE">
        <w:rPr>
          <w:rFonts w:ascii="Arial" w:eastAsia="Times New Roman" w:hAnsi="Arial" w:cs="Arial"/>
          <w:b w:val="0"/>
          <w:bCs w:val="0"/>
          <w:sz w:val="22"/>
          <w:szCs w:val="22"/>
        </w:rPr>
        <w:t>Managers must begin with context and not just copy another organization's dashboard. Begin by understanding the mission and outlining the goals of customers, levels of risk tolerance, and major uncertainties, and begin to think about how these goals may be connected. Each of these goals must have an owner and a definition of the data, along with a deadline for review and both leading and lagging evidence. Financial results must be balanced against customer or beneficiary results, process consistency, person talent, safety, and significant risks. Healthcare and contingency evidence support the adaptive use of the BSC (balance scorecard) as opposed to a rigid template (Betto et al., 2022; Bouamama, Basly and Zian, 2021).</w:t>
      </w:r>
    </w:p>
    <w:p w:rsidR="00913BCE" w:rsidRDefault="00913BCE" w:rsidP="005E3BA3">
      <w:pPr>
        <w:pStyle w:val="Heading2"/>
        <w:jc w:val="left"/>
        <w:rPr>
          <w:rFonts w:ascii="Arial" w:eastAsia="Times New Roman" w:hAnsi="Arial" w:cs="Arial"/>
          <w:b w:val="0"/>
          <w:bCs w:val="0"/>
          <w:sz w:val="22"/>
          <w:szCs w:val="22"/>
        </w:rPr>
      </w:pPr>
      <w:r w:rsidRPr="00913BCE">
        <w:rPr>
          <w:rFonts w:ascii="Arial" w:eastAsia="Times New Roman" w:hAnsi="Arial" w:cs="Arial"/>
          <w:b w:val="0"/>
          <w:bCs w:val="0"/>
          <w:sz w:val="22"/>
          <w:szCs w:val="22"/>
        </w:rPr>
        <w:t xml:space="preserve">Design needs to include the people who do the work. Those on the front lines, as well as professional and workarounds. Evidence from private banks has been demonstrated to have a positive association with the engagement and performance of staff, which is a good case, although the study's national and sector scope results in a very limited generalization. Managers also need to answer the 'why' of each measure and should support a protected system for reporting concerns. Rewards should not be tied to a singular goal. Threshold safety would drive less </w:t>
      </w:r>
      <w:r w:rsidR="00244C2A" w:rsidRPr="00913BCE">
        <w:rPr>
          <w:rFonts w:ascii="Arial" w:eastAsia="Times New Roman" w:hAnsi="Arial" w:cs="Arial"/>
          <w:b w:val="0"/>
          <w:bCs w:val="0"/>
          <w:sz w:val="22"/>
          <w:szCs w:val="22"/>
        </w:rPr>
        <w:t>game playing</w:t>
      </w:r>
      <w:r w:rsidRPr="00913BCE">
        <w:rPr>
          <w:rFonts w:ascii="Arial" w:eastAsia="Times New Roman" w:hAnsi="Arial" w:cs="Arial"/>
          <w:b w:val="0"/>
          <w:bCs w:val="0"/>
          <w:sz w:val="22"/>
          <w:szCs w:val="22"/>
        </w:rPr>
        <w:t xml:space="preserve"> with longer-term and safety goals achieved as a result of informed decision making. Independent auditors can examine the data and the controls along with looking at the integrity of the evidence and the systems.</w:t>
      </w:r>
    </w:p>
    <w:p w:rsidR="00791961" w:rsidRPr="00E74897" w:rsidRDefault="008C0758" w:rsidP="00913BCE">
      <w:pPr>
        <w:pStyle w:val="Heading2"/>
        <w:rPr>
          <w:rFonts w:ascii="Arial" w:hAnsi="Arial" w:cs="Arial"/>
          <w:sz w:val="22"/>
          <w:szCs w:val="22"/>
        </w:rPr>
      </w:pPr>
      <w:r w:rsidRPr="00E74897">
        <w:rPr>
          <w:rFonts w:ascii="Arial" w:hAnsi="Arial" w:cs="Arial"/>
          <w:sz w:val="22"/>
          <w:szCs w:val="22"/>
        </w:rPr>
        <w:t>5.2 Interactive review, assurance and Boeing’s response</w:t>
      </w:r>
      <w:bookmarkEnd w:id="9"/>
    </w:p>
    <w:p w:rsidR="005E3BA3" w:rsidRPr="005E3BA3" w:rsidRDefault="005E3BA3" w:rsidP="00EC79C2">
      <w:pPr>
        <w:spacing w:before="100" w:after="150"/>
        <w:jc w:val="left"/>
        <w:rPr>
          <w:rFonts w:ascii="Arial" w:hAnsi="Arial" w:cs="Arial"/>
          <w:sz w:val="22"/>
        </w:rPr>
      </w:pPr>
      <w:r w:rsidRPr="005E3BA3">
        <w:rPr>
          <w:rFonts w:ascii="Arial" w:hAnsi="Arial" w:cs="Arial"/>
          <w:sz w:val="22"/>
        </w:rPr>
        <w:t xml:space="preserve">Dealing with exceptions is a routine part of agreements and a source of continuous improvement for strategies. However, some meetings require even more critical thinking to assess if the objectives, causal assumptions and/or the strategy itself is still appropriate. </w:t>
      </w:r>
      <w:r w:rsidR="00BD37DE">
        <w:rPr>
          <w:rFonts w:ascii="Arial" w:hAnsi="Arial" w:cs="Arial"/>
          <w:sz w:val="22"/>
        </w:rPr>
        <w:t xml:space="preserve">              </w:t>
      </w:r>
      <w:r w:rsidRPr="005E3BA3">
        <w:rPr>
          <w:rFonts w:ascii="Arial" w:hAnsi="Arial" w:cs="Arial"/>
          <w:sz w:val="22"/>
        </w:rPr>
        <w:t xml:space="preserve">A synthesis of diagnostic tracking and engaged discussions helps to build resilience because it combines a focus on outcomes with learning. Becoming more adaptive often requires a combination of tools such as rolling forecasts, scenarios and dashboards. However, the human element of critical review is required to provide necessary checks to ongoing updates. Managers must also combine the results of scorecards with complaints, interviews, personal observations and </w:t>
      </w:r>
      <w:r w:rsidR="00EC79C2">
        <w:rPr>
          <w:rFonts w:ascii="Arial" w:hAnsi="Arial" w:cs="Arial"/>
          <w:sz w:val="22"/>
        </w:rPr>
        <w:t>other external sources of data.</w:t>
      </w:r>
    </w:p>
    <w:p w:rsidR="00644C20" w:rsidRDefault="005E3BA3" w:rsidP="00EC79C2">
      <w:pPr>
        <w:spacing w:before="100" w:after="150"/>
        <w:jc w:val="left"/>
        <w:rPr>
          <w:rFonts w:ascii="Arial" w:hAnsi="Arial" w:cs="Arial"/>
          <w:sz w:val="22"/>
        </w:rPr>
      </w:pPr>
      <w:r w:rsidRPr="005E3BA3">
        <w:rPr>
          <w:rFonts w:ascii="Arial" w:hAnsi="Arial" w:cs="Arial"/>
          <w:sz w:val="22"/>
        </w:rPr>
        <w:t xml:space="preserve">As an example of a broader control package, Boeing's required action plan helps to illustrate some of the key elements. These include elements of employee training and voice, increased control and oversight of both suppliers and processes, simplifying work, and installing more technology along with six production health indicators and continuous external inspection (U.S. Department of Transportation, 2024). </w:t>
      </w:r>
    </w:p>
    <w:p w:rsidR="00AC5970" w:rsidRDefault="00AC5970" w:rsidP="00EC79C2">
      <w:pPr>
        <w:spacing w:before="100" w:after="150"/>
        <w:jc w:val="left"/>
        <w:rPr>
          <w:rFonts w:ascii="Arial" w:hAnsi="Arial" w:cs="Arial"/>
          <w:sz w:val="22"/>
        </w:rPr>
      </w:pPr>
    </w:p>
    <w:p w:rsidR="005E3BA3" w:rsidRDefault="005E3BA3" w:rsidP="00EC79C2">
      <w:pPr>
        <w:spacing w:before="100" w:after="150"/>
        <w:jc w:val="left"/>
        <w:rPr>
          <w:rFonts w:ascii="Arial" w:hAnsi="Arial" w:cs="Arial"/>
          <w:sz w:val="22"/>
        </w:rPr>
      </w:pPr>
      <w:r w:rsidRPr="005E3BA3">
        <w:rPr>
          <w:rFonts w:ascii="Arial" w:hAnsi="Arial" w:cs="Arial"/>
          <w:sz w:val="22"/>
        </w:rPr>
        <w:t>As illustrated in Appendix A, these elements help also to integrate learning and quality of processes and help to improve stakeholder safety and production. They also provide an example of a risk-adjusted balanced scorecard integrated with both operational and regulatory controls. However, a required action plan is not evidence of improvement. Boeing and their regulators must ensure data integrity and assess if there are changes to staff behavior and safety outcomes over time. This helps to better understand the difference between simply documenting requirements and exercising control.</w:t>
      </w:r>
    </w:p>
    <w:p w:rsidR="00AC5970" w:rsidRDefault="00AC5970" w:rsidP="00EC79C2">
      <w:pPr>
        <w:spacing w:before="100" w:after="150"/>
        <w:jc w:val="left"/>
        <w:rPr>
          <w:rFonts w:ascii="Arial" w:hAnsi="Arial" w:cs="Arial"/>
          <w:sz w:val="22"/>
        </w:rPr>
      </w:pPr>
    </w:p>
    <w:p w:rsidR="00651304" w:rsidRPr="008420E9" w:rsidRDefault="00EB7CDD" w:rsidP="008420E9">
      <w:pPr>
        <w:spacing w:before="100" w:after="150"/>
        <w:jc w:val="center"/>
        <w:rPr>
          <w:rFonts w:ascii="Arial" w:hAnsi="Arial" w:cs="Arial"/>
          <w:bCs/>
          <w:iCs/>
          <w:sz w:val="22"/>
        </w:rPr>
      </w:pPr>
      <w:r w:rsidRPr="00FE4114">
        <w:rPr>
          <w:rFonts w:ascii="Arial" w:hAnsi="Arial" w:cs="Arial"/>
          <w:b/>
          <w:bCs/>
          <w:iCs/>
          <w:sz w:val="22"/>
        </w:rPr>
        <w:t xml:space="preserve">Table 3: </w:t>
      </w:r>
      <w:r w:rsidRPr="00FE4114">
        <w:rPr>
          <w:rFonts w:ascii="Arial" w:hAnsi="Arial" w:cs="Arial"/>
          <w:bCs/>
          <w:iCs/>
          <w:sz w:val="22"/>
        </w:rPr>
        <w:t>Mitigation Strategies Mapped to Challenges</w:t>
      </w:r>
      <w:r w:rsidR="00651304">
        <w:rPr>
          <w:rFonts w:ascii="Arial" w:hAnsi="Arial" w:cs="Arial"/>
          <w:bCs/>
          <w:iCs/>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422"/>
        <w:gridCol w:w="5844"/>
      </w:tblGrid>
      <w:tr w:rsidR="00EB7CDD" w:rsidRPr="00E74897" w:rsidTr="005C0E7D">
        <w:trPr>
          <w:tblHeader/>
        </w:trPr>
        <w:tc>
          <w:tcPr>
            <w:tcW w:w="0" w:type="auto"/>
            <w:shd w:val="clear" w:color="auto" w:fill="4C8C4A"/>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b/>
                <w:bCs/>
                <w:color w:val="FFFFFF"/>
                <w:sz w:val="22"/>
              </w:rPr>
              <w:t>Mitigation Strategy</w:t>
            </w:r>
          </w:p>
        </w:tc>
        <w:tc>
          <w:tcPr>
            <w:tcW w:w="0" w:type="auto"/>
            <w:shd w:val="clear" w:color="auto" w:fill="4C8C4A"/>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b/>
                <w:bCs/>
                <w:color w:val="FFFFFF"/>
                <w:sz w:val="22"/>
              </w:rPr>
              <w:t>How It Addresses the Challenge</w:t>
            </w:r>
          </w:p>
        </w:tc>
      </w:tr>
      <w:tr w:rsidR="00EB7CDD" w:rsidRPr="00E74897" w:rsidTr="005C0E7D">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Balanced financial and non-financial measures</w:t>
            </w:r>
          </w:p>
        </w:tc>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Prevents a single metric from dominating and being gamed (Kaplan and Norton, 1996)</w:t>
            </w:r>
          </w:p>
        </w:tc>
      </w:tr>
      <w:tr w:rsidR="00EB7CDD" w:rsidRPr="00E74897" w:rsidTr="005C0E7D">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Participative standard-setting</w:t>
            </w:r>
          </w:p>
        </w:tc>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Increases perceived fairness and ownership, reducing resistance (Pervaiz, Li and He, 2021)</w:t>
            </w:r>
          </w:p>
        </w:tc>
      </w:tr>
      <w:tr w:rsidR="00EB7CDD" w:rsidRPr="00E74897" w:rsidTr="005C0E7D">
        <w:tc>
          <w:tcPr>
            <w:tcW w:w="0" w:type="auto"/>
            <w:tcMar>
              <w:top w:w="100" w:type="dxa"/>
              <w:left w:w="120" w:type="dxa"/>
              <w:bottom w:w="100" w:type="dxa"/>
              <w:right w:w="120" w:type="dxa"/>
            </w:tcMar>
            <w:vAlign w:val="center"/>
          </w:tcPr>
          <w:p w:rsidR="00EB7CDD" w:rsidRPr="00E74897" w:rsidRDefault="004B7209" w:rsidP="00E74897">
            <w:pPr>
              <w:rPr>
                <w:rFonts w:ascii="Arial" w:hAnsi="Arial" w:cs="Arial"/>
                <w:sz w:val="22"/>
              </w:rPr>
            </w:pPr>
            <w:r w:rsidRPr="00E74897">
              <w:rPr>
                <w:rFonts w:ascii="Arial" w:hAnsi="Arial" w:cs="Arial"/>
                <w:sz w:val="22"/>
              </w:rPr>
              <w:t>Decentralized</w:t>
            </w:r>
            <w:r w:rsidR="00EB7CDD" w:rsidRPr="00E74897">
              <w:rPr>
                <w:rFonts w:ascii="Arial" w:hAnsi="Arial" w:cs="Arial"/>
                <w:sz w:val="22"/>
              </w:rPr>
              <w:t xml:space="preserve"> control (e.g. Jidoka/Andon)</w:t>
            </w:r>
          </w:p>
        </w:tc>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Combines bureaucratic standards with clan-style shared responsibility (Ouchi, 1979)</w:t>
            </w:r>
          </w:p>
        </w:tc>
      </w:tr>
      <w:tr w:rsidR="00EB7CDD" w:rsidRPr="00E74897" w:rsidTr="005C0E7D">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Digital, real-time monitoring</w:t>
            </w:r>
          </w:p>
        </w:tc>
        <w:tc>
          <w:tcPr>
            <w:tcW w:w="0" w:type="auto"/>
            <w:tcMar>
              <w:top w:w="100" w:type="dxa"/>
              <w:left w:w="120" w:type="dxa"/>
              <w:bottom w:w="100" w:type="dxa"/>
              <w:right w:w="120" w:type="dxa"/>
            </w:tcMar>
            <w:vAlign w:val="center"/>
          </w:tcPr>
          <w:p w:rsidR="00EB7CDD" w:rsidRPr="00E74897" w:rsidRDefault="00EB7CDD" w:rsidP="00E74897">
            <w:pPr>
              <w:rPr>
                <w:rFonts w:ascii="Arial" w:hAnsi="Arial" w:cs="Arial"/>
                <w:sz w:val="22"/>
              </w:rPr>
            </w:pPr>
            <w:r w:rsidRPr="00E74897">
              <w:rPr>
                <w:rFonts w:ascii="Arial" w:hAnsi="Arial" w:cs="Arial"/>
                <w:sz w:val="22"/>
              </w:rPr>
              <w:t>Shortens the feedback loop and eases updating of standards (Li and Zhang, 2025)</w:t>
            </w:r>
          </w:p>
        </w:tc>
      </w:tr>
    </w:tbl>
    <w:p w:rsidR="00EB7CDD" w:rsidRPr="00E74897" w:rsidRDefault="00EB7CDD" w:rsidP="00E74897">
      <w:pPr>
        <w:spacing w:after="200"/>
        <w:rPr>
          <w:rFonts w:ascii="Arial" w:hAnsi="Arial" w:cs="Arial"/>
          <w:sz w:val="22"/>
        </w:rPr>
      </w:pPr>
    </w:p>
    <w:p w:rsidR="00EB7CDD" w:rsidRDefault="00EB7CDD"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Default="004B7209" w:rsidP="00E74897">
      <w:pPr>
        <w:ind w:firstLine="425"/>
        <w:rPr>
          <w:rFonts w:ascii="Arial" w:hAnsi="Arial" w:cs="Arial"/>
          <w:sz w:val="22"/>
        </w:rPr>
      </w:pPr>
    </w:p>
    <w:p w:rsidR="004B7209" w:rsidRPr="00E74897" w:rsidRDefault="004B7209" w:rsidP="00E74897">
      <w:pPr>
        <w:ind w:firstLine="425"/>
        <w:rPr>
          <w:rFonts w:ascii="Arial" w:hAnsi="Arial" w:cs="Arial"/>
          <w:sz w:val="22"/>
        </w:rPr>
      </w:pPr>
    </w:p>
    <w:p w:rsidR="00791961" w:rsidRPr="004B7209" w:rsidRDefault="008C0758" w:rsidP="00E74897">
      <w:pPr>
        <w:pStyle w:val="Heading1"/>
        <w:rPr>
          <w:rFonts w:ascii="Arial" w:hAnsi="Arial" w:cs="Arial"/>
          <w:sz w:val="24"/>
          <w:szCs w:val="24"/>
        </w:rPr>
      </w:pPr>
      <w:bookmarkStart w:id="10" w:name="conclusion"/>
      <w:r w:rsidRPr="004B7209">
        <w:rPr>
          <w:rFonts w:ascii="Arial" w:hAnsi="Arial" w:cs="Arial"/>
          <w:sz w:val="24"/>
          <w:szCs w:val="24"/>
        </w:rPr>
        <w:lastRenderedPageBreak/>
        <w:t>6. Conclusion</w:t>
      </w:r>
      <w:bookmarkEnd w:id="10"/>
    </w:p>
    <w:p w:rsidR="00791961" w:rsidRPr="00E74897" w:rsidRDefault="004B7209" w:rsidP="00743AB3">
      <w:pPr>
        <w:jc w:val="left"/>
        <w:rPr>
          <w:rFonts w:ascii="Arial" w:hAnsi="Arial" w:cs="Arial"/>
          <w:sz w:val="22"/>
        </w:rPr>
      </w:pPr>
      <w:r w:rsidRPr="004B7209">
        <w:rPr>
          <w:rFonts w:ascii="Arial" w:hAnsi="Arial" w:cs="Arial"/>
          <w:sz w:val="22"/>
        </w:rPr>
        <w:t>The relationship between managerial intention and organizational performance is stru</w:t>
      </w:r>
      <w:bookmarkStart w:id="11" w:name="_GoBack"/>
      <w:bookmarkEnd w:id="11"/>
      <w:r w:rsidRPr="004B7209">
        <w:rPr>
          <w:rFonts w:ascii="Arial" w:hAnsi="Arial" w:cs="Arial"/>
          <w:sz w:val="22"/>
        </w:rPr>
        <w:t xml:space="preserve">ctured by control. This structure integrates strategy, determines responsibility in delegated actions, identifies risk and supports learning in businesses, public services and charities. The BSC integrates financial outcomes with customers, processes and capabilities; however, an appearance of balance is insufficient. Weak measures, assumptions that are not tested, inflexible systems and rewards linked to targets create gaming, silence and a false sense of control. The story of Wells Fargo illustrates the phenomenon where visible growth can occur in the context of weak customer and risk controls. </w:t>
      </w:r>
      <w:r w:rsidR="005B3325" w:rsidRPr="005B3325">
        <w:rPr>
          <w:rFonts w:ascii="Arial" w:hAnsi="Arial" w:cs="Arial"/>
          <w:sz w:val="22"/>
        </w:rPr>
        <w:t>The story of Boeing shows how detailed processes and procedures will fail and lead to a disconnected culture and no checks and balances in reporting.</w:t>
      </w:r>
      <w:r w:rsidR="005B3325">
        <w:rPr>
          <w:rFonts w:ascii="Arial" w:hAnsi="Arial" w:cs="Arial"/>
          <w:sz w:val="22"/>
        </w:rPr>
        <w:t xml:space="preserve"> </w:t>
      </w:r>
      <w:r w:rsidRPr="004B7209">
        <w:rPr>
          <w:rFonts w:ascii="Arial" w:hAnsi="Arial" w:cs="Arial"/>
          <w:sz w:val="22"/>
        </w:rPr>
        <w:t>Managers should see each scorecard as an account, which will be tested and changed in the future. Contextual measures, appropriate rewards, assurance, an open channel for employee voices, and an integration of diagnostic discipline and discussion are more preferable to more control and more dashboards. Control is a necessity for all organizations. The key is the control of outcomes to ensure accountability and questioning of assumptions to ensure adaptability. The balance of control ensures accountability without fear and without burdening organizations with bureaucracy and red tape.</w:t>
      </w:r>
      <w:r w:rsidR="008C0758" w:rsidRPr="00E74897">
        <w:rPr>
          <w:rFonts w:ascii="Arial" w:hAnsi="Arial" w:cs="Arial"/>
          <w:sz w:val="22"/>
        </w:rPr>
        <w:br w:type="page"/>
      </w:r>
    </w:p>
    <w:p w:rsidR="00791961" w:rsidRPr="00743AB3" w:rsidRDefault="008C0758" w:rsidP="00E74897">
      <w:pPr>
        <w:pStyle w:val="Heading1"/>
        <w:rPr>
          <w:rFonts w:ascii="Arial" w:hAnsi="Arial" w:cs="Arial"/>
          <w:sz w:val="24"/>
          <w:szCs w:val="24"/>
        </w:rPr>
      </w:pPr>
      <w:bookmarkStart w:id="12" w:name="references"/>
      <w:r w:rsidRPr="00743AB3">
        <w:rPr>
          <w:rFonts w:ascii="Arial" w:hAnsi="Arial" w:cs="Arial"/>
          <w:sz w:val="24"/>
          <w:szCs w:val="24"/>
        </w:rPr>
        <w:lastRenderedPageBreak/>
        <w:t>Reference list</w:t>
      </w:r>
      <w:bookmarkEnd w:id="12"/>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Aboubichr, B. and Conway, N. (2023) ‘The gaming of performance management systems in British universities’, Human Relations, 76(4), pp. 602–628. Available at: </w:t>
      </w:r>
      <w:r w:rsidR="00743AB3" w:rsidRPr="00CB5B9A">
        <w:rPr>
          <w:rFonts w:ascii="Arial" w:hAnsi="Arial" w:cs="Arial"/>
          <w:sz w:val="22"/>
        </w:rPr>
        <w:t xml:space="preserve"> </w:t>
      </w:r>
      <w:hyperlink r:id="rId12" w:history="1">
        <w:r w:rsidR="00743AB3" w:rsidRPr="00CB5B9A">
          <w:rPr>
            <w:rStyle w:val="Hyperlink"/>
            <w:rFonts w:ascii="Arial" w:hAnsi="Arial" w:cs="Arial"/>
            <w:sz w:val="22"/>
          </w:rPr>
          <w:t>https://doi.org/10.1177/00187267211052827</w:t>
        </w:r>
      </w:hyperlink>
      <w:r w:rsidR="00FB3E34">
        <w:rPr>
          <w:rFonts w:ascii="Arial" w:hAnsi="Arial" w:cs="Arial"/>
          <w:sz w:val="22"/>
        </w:rPr>
        <w:t xml:space="preserve"> (Accessed: 16</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Awan, S.H., Habib, N., Akhtar, C.S. and Naveed, S. (2020) ‘Effectiveness of performance management system for employee performance through engagement’, SAGE Open, 10(4). Available at: </w:t>
      </w:r>
      <w:hyperlink r:id="rId13" w:history="1">
        <w:r w:rsidR="00743AB3" w:rsidRPr="00CB5B9A">
          <w:rPr>
            <w:rStyle w:val="Hyperlink"/>
            <w:rFonts w:ascii="Arial" w:hAnsi="Arial" w:cs="Arial"/>
            <w:sz w:val="22"/>
          </w:rPr>
          <w:t>https://doi.org/10.1177/2158244020969383</w:t>
        </w:r>
      </w:hyperlink>
      <w:r w:rsidR="00743AB3" w:rsidRPr="00CB5B9A">
        <w:rPr>
          <w:rFonts w:ascii="Arial" w:hAnsi="Arial" w:cs="Arial"/>
          <w:sz w:val="22"/>
          <w:u w:val="single"/>
        </w:rPr>
        <w:t xml:space="preserve"> </w:t>
      </w:r>
      <w:r w:rsidR="00FB3E34">
        <w:rPr>
          <w:rFonts w:ascii="Arial" w:hAnsi="Arial" w:cs="Arial"/>
          <w:sz w:val="22"/>
        </w:rPr>
        <w:t>(Accessed: 16</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Baird, K., Su, S. and Munir, R. (2023) ‘The mediating role of levers of controls on the association between sustainable leadership and </w:t>
      </w:r>
      <w:r w:rsidR="0001143C" w:rsidRPr="00CB5B9A">
        <w:rPr>
          <w:rFonts w:ascii="Arial" w:hAnsi="Arial" w:cs="Arial"/>
          <w:sz w:val="22"/>
        </w:rPr>
        <w:t>organizational</w:t>
      </w:r>
      <w:r w:rsidRPr="00CB5B9A">
        <w:rPr>
          <w:rFonts w:ascii="Arial" w:hAnsi="Arial" w:cs="Arial"/>
          <w:sz w:val="22"/>
        </w:rPr>
        <w:t xml:space="preserve"> resilience’, Journal of Management Control, 34, pp. 167–200. Available at: </w:t>
      </w:r>
      <w:hyperlink r:id="rId14" w:history="1">
        <w:r w:rsidR="00743AB3" w:rsidRPr="00CB5B9A">
          <w:rPr>
            <w:rStyle w:val="Hyperlink"/>
            <w:rFonts w:ascii="Arial" w:hAnsi="Arial" w:cs="Arial"/>
            <w:sz w:val="22"/>
          </w:rPr>
          <w:t>https://doi.org/10.1007/s00187-023-00354-1</w:t>
        </w:r>
      </w:hyperlink>
      <w:r w:rsidR="00FB3E34">
        <w:rPr>
          <w:rFonts w:ascii="Arial" w:hAnsi="Arial" w:cs="Arial"/>
          <w:sz w:val="22"/>
        </w:rPr>
        <w:t xml:space="preserve"> (Accessed: 16</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Betto, F., Sardi, A., Garengo, P. and Sorano, E. (2022) ‘The evolution of Balanced Scorecard in healthcare: A systematic review of its design, implementation, use, and review’, International Journal of Environmental Research and Public Health, 19(16), 10291. Available at: </w:t>
      </w:r>
      <w:hyperlink r:id="rId15" w:history="1">
        <w:r w:rsidR="00743AB3" w:rsidRPr="00CB5B9A">
          <w:rPr>
            <w:rStyle w:val="Hyperlink"/>
            <w:rFonts w:ascii="Arial" w:hAnsi="Arial" w:cs="Arial"/>
            <w:sz w:val="22"/>
          </w:rPr>
          <w:t>https://doi.org/10.3390/ijerph191610291</w:t>
        </w:r>
      </w:hyperlink>
      <w:r w:rsidR="00FB3E34">
        <w:rPr>
          <w:rFonts w:ascii="Arial" w:hAnsi="Arial" w:cs="Arial"/>
          <w:sz w:val="22"/>
        </w:rPr>
        <w:t xml:space="preserve"> (Accessed: 16</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Board of Governors of the Federal Reserve System (2018) Responding to widespread consumer abuses and compliance breakdowns by Wells Fargo, Federal Reserve restricts Wells’ growth until firm improves governance and controls. Available at: </w:t>
      </w:r>
      <w:hyperlink r:id="rId16" w:history="1">
        <w:r w:rsidR="00743AB3" w:rsidRPr="00CB5B9A">
          <w:rPr>
            <w:rStyle w:val="Hyperlink"/>
            <w:rFonts w:ascii="Arial" w:hAnsi="Arial" w:cs="Arial"/>
            <w:sz w:val="22"/>
          </w:rPr>
          <w:t>https://www.federalreserve.gov/newsevents/pressreleases/enforcement20180202a.htm</w:t>
        </w:r>
      </w:hyperlink>
      <w:r w:rsidR="00743AB3" w:rsidRPr="00CB5B9A">
        <w:rPr>
          <w:rFonts w:ascii="Arial" w:hAnsi="Arial" w:cs="Arial"/>
          <w:sz w:val="22"/>
          <w:u w:val="single"/>
        </w:rPr>
        <w:t xml:space="preserve">  </w:t>
      </w:r>
      <w:r w:rsidR="00FB3E34">
        <w:rPr>
          <w:rFonts w:ascii="Arial" w:hAnsi="Arial" w:cs="Arial"/>
          <w:sz w:val="22"/>
        </w:rPr>
        <w:t xml:space="preserve"> (Accessed: 16</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Bouamama, M., Basly, S. and Zian, H. (2021) ‘How do contingency factors influence the content of balanced scorecards? An empirical study of French intermediate-sized enterprises’, Journal of Accounting &amp; Organizational Change, 17(3), pp. 373–393. Available at: </w:t>
      </w:r>
      <w:hyperlink r:id="rId17" w:history="1">
        <w:r w:rsidR="00CB5B9A" w:rsidRPr="00CB5B9A">
          <w:rPr>
            <w:rStyle w:val="Hyperlink"/>
            <w:rFonts w:ascii="Arial" w:hAnsi="Arial" w:cs="Arial"/>
            <w:sz w:val="22"/>
          </w:rPr>
          <w:t>https://doi.org/10.1108/JAOC-04-2020-0048</w:t>
        </w:r>
      </w:hyperlink>
      <w:r w:rsidR="00FB3E34">
        <w:rPr>
          <w:rFonts w:ascii="Arial" w:hAnsi="Arial" w:cs="Arial"/>
          <w:sz w:val="22"/>
        </w:rPr>
        <w:t xml:space="preserve"> (Accessed: 17 </w:t>
      </w:r>
      <w:r w:rsidRPr="00CB5B9A">
        <w:rPr>
          <w:rFonts w:ascii="Arial" w:hAnsi="Arial" w:cs="Arial"/>
          <w:sz w:val="22"/>
        </w:rPr>
        <w:t>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Consumer Financial Protection Bureau (2022) CFPB orders Wells Fargo to pay $3.7 billion for widespread mismanagement of auto loans, mortgages, and deposit accounts. Available at: </w:t>
      </w:r>
      <w:hyperlink r:id="rId18" w:history="1">
        <w:r w:rsidR="00CB5B9A" w:rsidRPr="00CB5B9A">
          <w:rPr>
            <w:rStyle w:val="Hyperlink"/>
            <w:rFonts w:ascii="Arial" w:hAnsi="Arial" w:cs="Arial"/>
            <w:sz w:val="22"/>
          </w:rPr>
          <w:t>https://www.consumerfinance.gov/archive/newsroom/cfpb-orders-wells-fargo-to-pay-37-billion-for-widespread-mismanagement-of-auto-loans-mortgages-and-deposit-accounts/</w:t>
        </w:r>
      </w:hyperlink>
      <w:r w:rsidR="00FB3E34">
        <w:rPr>
          <w:rFonts w:ascii="Arial" w:hAnsi="Arial" w:cs="Arial"/>
          <w:sz w:val="22"/>
        </w:rPr>
        <w:t xml:space="preserve"> (Accessed: 17</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Cosa, M. and Torelli, R. (2024) ‘Digital transformation and flexible performance management: A systematic literature review of the evolution of performance measurement systems’, Global Journal of Flexible Systems Management, 25, pp. </w:t>
      </w:r>
      <w:r w:rsidRPr="00CB5B9A">
        <w:rPr>
          <w:rFonts w:ascii="Arial" w:hAnsi="Arial" w:cs="Arial"/>
          <w:sz w:val="22"/>
        </w:rPr>
        <w:lastRenderedPageBreak/>
        <w:t xml:space="preserve">445–466. Available at: </w:t>
      </w:r>
      <w:hyperlink r:id="rId19" w:history="1">
        <w:r w:rsidR="00CB5B9A" w:rsidRPr="00CB5B9A">
          <w:rPr>
            <w:rStyle w:val="Hyperlink"/>
            <w:rFonts w:ascii="Arial" w:hAnsi="Arial" w:cs="Arial"/>
            <w:sz w:val="22"/>
          </w:rPr>
          <w:t>https://doi.org/10.1007/s40171-024-00409-9</w:t>
        </w:r>
      </w:hyperlink>
      <w:r w:rsidR="00FB3E34">
        <w:rPr>
          <w:rFonts w:ascii="Arial" w:hAnsi="Arial" w:cs="Arial"/>
          <w:sz w:val="22"/>
        </w:rPr>
        <w:t xml:space="preserve"> (Accessed: 17 </w:t>
      </w:r>
      <w:r w:rsidRPr="00CB5B9A">
        <w:rPr>
          <w:rFonts w:ascii="Arial" w:hAnsi="Arial" w:cs="Arial"/>
          <w:sz w:val="22"/>
        </w:rPr>
        <w:t>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Federal Aviation Administration (2024) Section 103 Organization Designation Authorizations (ODA) for Transport Airplanes Expert Panel Review Report. Washington, DC: Federal Aviation Administration. Available at: </w:t>
      </w:r>
      <w:hyperlink r:id="rId20" w:history="1">
        <w:r w:rsidR="00CB5B9A" w:rsidRPr="00CB5B9A">
          <w:rPr>
            <w:rStyle w:val="Hyperlink"/>
            <w:rFonts w:ascii="Arial" w:hAnsi="Arial" w:cs="Arial"/>
            <w:sz w:val="22"/>
          </w:rPr>
          <w:t>https://www.faa.gov/newsroom/Sec103_ExpertPanelReview_Report_Final.pdf</w:t>
        </w:r>
      </w:hyperlink>
      <w:r w:rsidR="00FB3E34">
        <w:rPr>
          <w:rFonts w:ascii="Arial" w:hAnsi="Arial" w:cs="Arial"/>
          <w:sz w:val="22"/>
        </w:rPr>
        <w:t xml:space="preserve"> (Accessed: 17</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Franco-Santos, M. and Otley, D. (2018) ‘Reviewing and theorizing the unintended consequences of performance management systems’, International Journal of Management Reviews, 20(3), pp. 696–730. Available at: </w:t>
      </w:r>
      <w:hyperlink r:id="rId21" w:history="1">
        <w:r w:rsidR="00BC6BE3" w:rsidRPr="008356D2">
          <w:rPr>
            <w:rStyle w:val="Hyperlink"/>
            <w:rFonts w:ascii="Arial" w:hAnsi="Arial" w:cs="Arial"/>
            <w:sz w:val="22"/>
          </w:rPr>
          <w:t>https://doi.org/10.1111/ijmr.12183</w:t>
        </w:r>
      </w:hyperlink>
      <w:r w:rsidRPr="00CB5B9A">
        <w:rPr>
          <w:rFonts w:ascii="Arial" w:hAnsi="Arial" w:cs="Arial"/>
          <w:sz w:val="22"/>
        </w:rPr>
        <w:t xml:space="preserve"> (Accessed: 18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Kumar, J., Prince, N. and Baker, H.K. (2022) ‘Balanced Scorecard: A systematic literature review and future research issues’, FIIB Business Review, 11(2), pp. 147–161. Available at: </w:t>
      </w:r>
      <w:hyperlink r:id="rId22" w:history="1">
        <w:r w:rsidR="00CB5B9A" w:rsidRPr="00CB5B9A">
          <w:rPr>
            <w:rStyle w:val="Hyperlink"/>
            <w:rFonts w:ascii="Arial" w:hAnsi="Arial" w:cs="Arial"/>
            <w:sz w:val="22"/>
          </w:rPr>
          <w:t>https://doi.org/10.1177/23197145211049625</w:t>
        </w:r>
      </w:hyperlink>
      <w:r w:rsidR="00FB3E34">
        <w:rPr>
          <w:rFonts w:ascii="Arial" w:hAnsi="Arial" w:cs="Arial"/>
          <w:sz w:val="22"/>
        </w:rPr>
        <w:t xml:space="preserve"> (Accessed: 17</w:t>
      </w:r>
      <w:r w:rsidRPr="00CB5B9A">
        <w:rPr>
          <w:rFonts w:ascii="Arial" w:hAnsi="Arial" w:cs="Arial"/>
          <w:sz w:val="22"/>
        </w:rPr>
        <w:t xml:space="preserve">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Kumar, S., Lim, W.M., Sureka, R., Jabbou</w:t>
      </w:r>
      <w:r w:rsidR="00B13432">
        <w:rPr>
          <w:rFonts w:ascii="Arial" w:hAnsi="Arial" w:cs="Arial"/>
          <w:sz w:val="22"/>
        </w:rPr>
        <w:t xml:space="preserve">r, C.J.C. and Bamel, U. (2024) </w:t>
      </w:r>
      <w:r w:rsidRPr="00CB5B9A">
        <w:rPr>
          <w:rFonts w:ascii="Arial" w:hAnsi="Arial" w:cs="Arial"/>
          <w:sz w:val="22"/>
        </w:rPr>
        <w:t xml:space="preserve">Review of Managerial Science, 18, pp. 2397–2439. Available at: </w:t>
      </w:r>
      <w:hyperlink r:id="rId23" w:history="1">
        <w:r w:rsidR="00CB5B9A" w:rsidRPr="00CB5B9A">
          <w:rPr>
            <w:rStyle w:val="Hyperlink"/>
            <w:rFonts w:ascii="Arial" w:hAnsi="Arial" w:cs="Arial"/>
            <w:sz w:val="22"/>
          </w:rPr>
          <w:t>https://doi.org/10.1007/s11846-023-00700-6</w:t>
        </w:r>
      </w:hyperlink>
      <w:r w:rsidRPr="00CB5B9A">
        <w:rPr>
          <w:rFonts w:ascii="Arial" w:hAnsi="Arial" w:cs="Arial"/>
          <w:sz w:val="22"/>
        </w:rPr>
        <w:t xml:space="preserve"> (Accessed: 18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Madsen, D.Ø. (2025) ‘Balanced Scorecard: History, implementation, and impact’, Encyclopedia, 5(1), 39. Available at: </w:t>
      </w:r>
      <w:hyperlink r:id="rId24" w:history="1">
        <w:r w:rsidR="00CB5B9A" w:rsidRPr="00CB5B9A">
          <w:rPr>
            <w:rStyle w:val="Hyperlink"/>
            <w:rFonts w:ascii="Arial" w:hAnsi="Arial" w:cs="Arial"/>
            <w:sz w:val="22"/>
          </w:rPr>
          <w:t>https://doi.org/10.3390/encyclopedia5010039</w:t>
        </w:r>
      </w:hyperlink>
      <w:r w:rsidRPr="00CB5B9A">
        <w:rPr>
          <w:rFonts w:ascii="Arial" w:hAnsi="Arial" w:cs="Arial"/>
          <w:sz w:val="22"/>
        </w:rPr>
        <w:t xml:space="preserve"> (Accessed: 18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National Transportation Safety Board (2025) In-flight separation of left mid exit door plug, Alaska Airl</w:t>
      </w:r>
      <w:r w:rsidR="00B13432">
        <w:rPr>
          <w:rFonts w:ascii="Arial" w:hAnsi="Arial" w:cs="Arial"/>
          <w:sz w:val="22"/>
        </w:rPr>
        <w:t xml:space="preserve">ines Flight 1282, Boeing 737-9. </w:t>
      </w:r>
      <w:r w:rsidRPr="00CB5B9A">
        <w:rPr>
          <w:rFonts w:ascii="Arial" w:hAnsi="Arial" w:cs="Arial"/>
          <w:sz w:val="22"/>
        </w:rPr>
        <w:t xml:space="preserve">National Transportation Safety Board. Available at: </w:t>
      </w:r>
      <w:hyperlink r:id="rId25" w:history="1">
        <w:r w:rsidR="00CB5B9A" w:rsidRPr="00CB5B9A">
          <w:rPr>
            <w:rStyle w:val="Hyperlink"/>
            <w:rFonts w:ascii="Arial" w:hAnsi="Arial" w:cs="Arial"/>
            <w:sz w:val="22"/>
          </w:rPr>
          <w:t>https://www.ntsb.gov/investigations/AccidentReports/Reports/AIR2504.pdf</w:t>
        </w:r>
      </w:hyperlink>
      <w:r w:rsidRPr="00CB5B9A">
        <w:rPr>
          <w:rFonts w:ascii="Arial" w:hAnsi="Arial" w:cs="Arial"/>
          <w:sz w:val="22"/>
        </w:rPr>
        <w:t xml:space="preserve"> (Accessed: 18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Robbins, S.P. and Coulter, M. (2021) Management. 15th edn. Harlow: Pearson. Available at: </w:t>
      </w:r>
      <w:hyperlink r:id="rId26" w:history="1">
        <w:r w:rsidR="00CB5B9A" w:rsidRPr="00CB5B9A">
          <w:rPr>
            <w:rStyle w:val="Hyperlink"/>
            <w:rFonts w:ascii="Arial" w:hAnsi="Arial" w:cs="Arial"/>
            <w:sz w:val="22"/>
          </w:rPr>
          <w:t>https://www.pearson.com/nl/en_NL/higher-education/subject-catalogue/business-and-management/Management-15e-Robbins-Coulter.html</w:t>
        </w:r>
      </w:hyperlink>
      <w:r w:rsidRPr="00CB5B9A">
        <w:rPr>
          <w:rFonts w:ascii="Arial" w:hAnsi="Arial" w:cs="Arial"/>
          <w:sz w:val="22"/>
        </w:rPr>
        <w:t xml:space="preserve"> (Accessed: 18 August 2026).</w:t>
      </w:r>
    </w:p>
    <w:p w:rsidR="00791961" w:rsidRPr="00CB5B9A" w:rsidRDefault="008C0758" w:rsidP="00CB5B9A">
      <w:pPr>
        <w:pStyle w:val="ListParagraph"/>
        <w:numPr>
          <w:ilvl w:val="0"/>
          <w:numId w:val="10"/>
        </w:numPr>
        <w:spacing w:after="100"/>
        <w:jc w:val="left"/>
        <w:rPr>
          <w:rFonts w:ascii="Arial" w:hAnsi="Arial" w:cs="Arial"/>
          <w:sz w:val="22"/>
        </w:rPr>
      </w:pPr>
      <w:r w:rsidRPr="00CB5B9A">
        <w:rPr>
          <w:rFonts w:ascii="Arial" w:hAnsi="Arial" w:cs="Arial"/>
          <w:sz w:val="22"/>
        </w:rPr>
        <w:t xml:space="preserve">US Department of Transportation (2024) Implementation of Boeing’s comprehensive action plan. Available at: </w:t>
      </w:r>
      <w:hyperlink r:id="rId27" w:history="1">
        <w:r w:rsidR="00CB5B9A" w:rsidRPr="00CB5B9A">
          <w:rPr>
            <w:rStyle w:val="Hyperlink"/>
            <w:rFonts w:ascii="Arial" w:hAnsi="Arial" w:cs="Arial"/>
            <w:sz w:val="22"/>
          </w:rPr>
          <w:t>https://www.transportation.gov/implementation-boeings-comprehensive-action-plan</w:t>
        </w:r>
      </w:hyperlink>
      <w:r w:rsidRPr="00CB5B9A">
        <w:rPr>
          <w:rFonts w:ascii="Arial" w:hAnsi="Arial" w:cs="Arial"/>
          <w:sz w:val="22"/>
        </w:rPr>
        <w:t xml:space="preserve"> (Accessed: 18 August 2026).</w:t>
      </w:r>
    </w:p>
    <w:p w:rsidR="00791961" w:rsidRPr="00B13432" w:rsidRDefault="008C0758" w:rsidP="00E74897">
      <w:pPr>
        <w:pStyle w:val="ListParagraph"/>
        <w:numPr>
          <w:ilvl w:val="0"/>
          <w:numId w:val="10"/>
        </w:numPr>
        <w:spacing w:after="100"/>
        <w:jc w:val="left"/>
        <w:rPr>
          <w:rFonts w:ascii="Arial" w:hAnsi="Arial" w:cs="Arial"/>
          <w:sz w:val="22"/>
        </w:rPr>
      </w:pPr>
      <w:r w:rsidRPr="00CB5B9A">
        <w:rPr>
          <w:rFonts w:ascii="Arial" w:hAnsi="Arial" w:cs="Arial"/>
          <w:sz w:val="22"/>
        </w:rPr>
        <w:t xml:space="preserve">Welter, L.M. and Ensslin, S.R. (2022) ‘How do the unintended consequences of performance evaluation systems manifest themselves?’, Journal of Accounting &amp; Organizational Change, 18(4), pp. 509–528. Available at: </w:t>
      </w:r>
      <w:hyperlink r:id="rId28" w:history="1">
        <w:r w:rsidR="00783E4F" w:rsidRPr="008356D2">
          <w:rPr>
            <w:rStyle w:val="Hyperlink"/>
            <w:rFonts w:ascii="Arial" w:hAnsi="Arial" w:cs="Arial"/>
            <w:sz w:val="22"/>
          </w:rPr>
          <w:t>https://doi.org/10.1108/JAOC-07-2020-0087</w:t>
        </w:r>
      </w:hyperlink>
      <w:r w:rsidRPr="00CB5B9A">
        <w:rPr>
          <w:rFonts w:ascii="Arial" w:hAnsi="Arial" w:cs="Arial"/>
          <w:sz w:val="22"/>
        </w:rPr>
        <w:t xml:space="preserve"> (Accessed: 18 August 2026).</w:t>
      </w:r>
    </w:p>
    <w:p w:rsidR="00791961" w:rsidRPr="00E74897" w:rsidRDefault="008C0758" w:rsidP="00E74897">
      <w:pPr>
        <w:pStyle w:val="Heading1"/>
        <w:rPr>
          <w:rFonts w:ascii="Arial" w:hAnsi="Arial" w:cs="Arial"/>
          <w:sz w:val="22"/>
          <w:szCs w:val="22"/>
        </w:rPr>
      </w:pPr>
      <w:bookmarkStart w:id="13" w:name="appendix"/>
      <w:r w:rsidRPr="00E74897">
        <w:rPr>
          <w:rFonts w:ascii="Arial" w:hAnsi="Arial" w:cs="Arial"/>
          <w:sz w:val="22"/>
          <w:szCs w:val="22"/>
        </w:rPr>
        <w:lastRenderedPageBreak/>
        <w:t>Appendix A: Strategic-control diagnostic for Boeing</w:t>
      </w:r>
      <w:bookmarkEnd w:id="13"/>
    </w:p>
    <w:p w:rsidR="00791961" w:rsidRPr="00E74897" w:rsidRDefault="008C0758" w:rsidP="00E74897">
      <w:pPr>
        <w:spacing w:after="160"/>
        <w:rPr>
          <w:rFonts w:ascii="Arial" w:hAnsi="Arial" w:cs="Arial"/>
          <w:sz w:val="22"/>
        </w:rPr>
      </w:pPr>
      <w:r w:rsidRPr="00E74897">
        <w:rPr>
          <w:rFonts w:ascii="Arial" w:hAnsi="Arial" w:cs="Arial"/>
          <w:sz w:val="22"/>
        </w:rPr>
        <w:t xml:space="preserve">This diagnostic </w:t>
      </w:r>
      <w:r w:rsidR="00346F7D" w:rsidRPr="00E74897">
        <w:rPr>
          <w:rFonts w:ascii="Arial" w:hAnsi="Arial" w:cs="Arial"/>
          <w:sz w:val="22"/>
        </w:rPr>
        <w:t>summarizes</w:t>
      </w:r>
      <w:r w:rsidRPr="00E74897">
        <w:rPr>
          <w:rFonts w:ascii="Arial" w:hAnsi="Arial" w:cs="Arial"/>
          <w:sz w:val="22"/>
        </w:rPr>
        <w:t xml:space="preserve"> how the case evidence maps onto the wider strategic-control package used in the essay.</w:t>
      </w:r>
    </w:p>
    <w:tbl>
      <w:tblPr>
        <w:tblStyle w:val="TableGrid"/>
        <w:tblW w:w="0" w:type="auto"/>
        <w:tblLayout w:type="fixed"/>
        <w:tblLook w:val="04A0" w:firstRow="1" w:lastRow="0" w:firstColumn="1" w:lastColumn="0" w:noHBand="0" w:noVBand="1"/>
      </w:tblPr>
      <w:tblGrid>
        <w:gridCol w:w="1701"/>
        <w:gridCol w:w="2608"/>
        <w:gridCol w:w="2721"/>
        <w:gridCol w:w="1984"/>
      </w:tblGrid>
      <w:tr w:rsidR="00791961" w:rsidRPr="00E74897">
        <w:trPr>
          <w:tblHeader/>
        </w:trPr>
        <w:tc>
          <w:tcPr>
            <w:tcW w:w="1701" w:type="dxa"/>
            <w:shd w:val="clear" w:color="auto" w:fill="D9E2F3"/>
            <w:tcMar>
              <w:top w:w="80" w:type="dxa"/>
              <w:left w:w="90" w:type="dxa"/>
              <w:bottom w:w="80" w:type="dxa"/>
              <w:right w:w="90" w:type="dxa"/>
            </w:tcMar>
            <w:vAlign w:val="center"/>
          </w:tcPr>
          <w:p w:rsidR="00791961" w:rsidRPr="00E74897" w:rsidRDefault="008C0758" w:rsidP="00E74897">
            <w:pPr>
              <w:spacing w:after="0"/>
              <w:jc w:val="center"/>
              <w:rPr>
                <w:rFonts w:ascii="Arial" w:hAnsi="Arial" w:cs="Arial"/>
                <w:sz w:val="22"/>
              </w:rPr>
            </w:pPr>
            <w:r w:rsidRPr="00E74897">
              <w:rPr>
                <w:rFonts w:ascii="Arial" w:hAnsi="Arial" w:cs="Arial"/>
                <w:b/>
                <w:sz w:val="22"/>
              </w:rPr>
              <w:t>Control area</w:t>
            </w:r>
          </w:p>
        </w:tc>
        <w:tc>
          <w:tcPr>
            <w:tcW w:w="2608" w:type="dxa"/>
            <w:shd w:val="clear" w:color="auto" w:fill="D9E2F3"/>
            <w:tcMar>
              <w:top w:w="80" w:type="dxa"/>
              <w:left w:w="90" w:type="dxa"/>
              <w:bottom w:w="80" w:type="dxa"/>
              <w:right w:w="90" w:type="dxa"/>
            </w:tcMar>
            <w:vAlign w:val="center"/>
          </w:tcPr>
          <w:p w:rsidR="00791961" w:rsidRPr="00E74897" w:rsidRDefault="008C0758" w:rsidP="00E74897">
            <w:pPr>
              <w:spacing w:after="0"/>
              <w:jc w:val="center"/>
              <w:rPr>
                <w:rFonts w:ascii="Arial" w:hAnsi="Arial" w:cs="Arial"/>
                <w:sz w:val="22"/>
              </w:rPr>
            </w:pPr>
            <w:r w:rsidRPr="00E74897">
              <w:rPr>
                <w:rFonts w:ascii="Arial" w:hAnsi="Arial" w:cs="Arial"/>
                <w:b/>
                <w:sz w:val="22"/>
              </w:rPr>
              <w:t>Verified evidence</w:t>
            </w:r>
          </w:p>
        </w:tc>
        <w:tc>
          <w:tcPr>
            <w:tcW w:w="2721" w:type="dxa"/>
            <w:shd w:val="clear" w:color="auto" w:fill="D9E2F3"/>
            <w:tcMar>
              <w:top w:w="80" w:type="dxa"/>
              <w:left w:w="90" w:type="dxa"/>
              <w:bottom w:w="80" w:type="dxa"/>
              <w:right w:w="90" w:type="dxa"/>
            </w:tcMar>
            <w:vAlign w:val="center"/>
          </w:tcPr>
          <w:p w:rsidR="00791961" w:rsidRPr="00E74897" w:rsidRDefault="008C0758" w:rsidP="00E74897">
            <w:pPr>
              <w:spacing w:after="0"/>
              <w:jc w:val="center"/>
              <w:rPr>
                <w:rFonts w:ascii="Arial" w:hAnsi="Arial" w:cs="Arial"/>
                <w:sz w:val="22"/>
              </w:rPr>
            </w:pPr>
            <w:r w:rsidRPr="00E74897">
              <w:rPr>
                <w:rFonts w:ascii="Arial" w:hAnsi="Arial" w:cs="Arial"/>
                <w:b/>
                <w:sz w:val="22"/>
              </w:rPr>
              <w:t>Control implication</w:t>
            </w:r>
          </w:p>
        </w:tc>
        <w:tc>
          <w:tcPr>
            <w:tcW w:w="1984" w:type="dxa"/>
            <w:shd w:val="clear" w:color="auto" w:fill="D9E2F3"/>
            <w:tcMar>
              <w:top w:w="80" w:type="dxa"/>
              <w:left w:w="90" w:type="dxa"/>
              <w:bottom w:w="80" w:type="dxa"/>
              <w:right w:w="90" w:type="dxa"/>
            </w:tcMar>
            <w:vAlign w:val="center"/>
          </w:tcPr>
          <w:p w:rsidR="00791961" w:rsidRPr="00E74897" w:rsidRDefault="008C0758" w:rsidP="00E74897">
            <w:pPr>
              <w:spacing w:after="0"/>
              <w:jc w:val="center"/>
              <w:rPr>
                <w:rFonts w:ascii="Arial" w:hAnsi="Arial" w:cs="Arial"/>
                <w:sz w:val="22"/>
              </w:rPr>
            </w:pPr>
            <w:r w:rsidRPr="00E74897">
              <w:rPr>
                <w:rFonts w:ascii="Arial" w:hAnsi="Arial" w:cs="Arial"/>
                <w:b/>
                <w:sz w:val="22"/>
              </w:rPr>
              <w:t>Relevant BSC perspective</w:t>
            </w:r>
          </w:p>
        </w:tc>
      </w:tr>
      <w:tr w:rsidR="00791961" w:rsidRPr="00E74897">
        <w:tc>
          <w:tcPr>
            <w:tcW w:w="1701"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Strategic balance</w:t>
            </w:r>
          </w:p>
        </w:tc>
        <w:tc>
          <w:tcPr>
            <w:tcW w:w="2608"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Employees lacked clear awareness of safety metrics; senior and front-line views were disconnected (FAA, 2024).</w:t>
            </w:r>
          </w:p>
        </w:tc>
        <w:tc>
          <w:tcPr>
            <w:tcW w:w="2721"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Safety indicators must constrain production and financial goals, not merely accompany them.</w:t>
            </w:r>
          </w:p>
        </w:tc>
        <w:tc>
          <w:tcPr>
            <w:tcW w:w="1984"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Stakeholder; learning and growth</w:t>
            </w:r>
          </w:p>
        </w:tc>
      </w:tr>
      <w:tr w:rsidR="00791961" w:rsidRPr="00E74897">
        <w:tc>
          <w:tcPr>
            <w:tcW w:w="1701"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Process traceability</w:t>
            </w:r>
          </w:p>
        </w:tc>
        <w:tc>
          <w:tcPr>
            <w:tcW w:w="2608"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Door-plug opening was not recorded, so quality inspection was not triggered; securing bolts were missing (NTSB, 2025).</w:t>
            </w:r>
          </w:p>
        </w:tc>
        <w:tc>
          <w:tcPr>
            <w:tcW w:w="2721"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Concurrent process controls need traceable work records, stop points and independent sign-off.</w:t>
            </w:r>
          </w:p>
        </w:tc>
        <w:tc>
          <w:tcPr>
            <w:tcW w:w="1984"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Internal process</w:t>
            </w:r>
          </w:p>
        </w:tc>
      </w:tr>
      <w:tr w:rsidR="00791961" w:rsidRPr="00E74897">
        <w:tc>
          <w:tcPr>
            <w:tcW w:w="1701"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Culture and voice</w:t>
            </w:r>
          </w:p>
        </w:tc>
        <w:tc>
          <w:tcPr>
            <w:tcW w:w="2608"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The expert panel identified confusing procedures and concerns about non-retaliatory reporting (FAA, 2024).</w:t>
            </w:r>
          </w:p>
        </w:tc>
        <w:tc>
          <w:tcPr>
            <w:tcW w:w="2721"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Protected reporting and qualitative evidence are needed to test whether formal controls work in practice.</w:t>
            </w:r>
          </w:p>
        </w:tc>
        <w:tc>
          <w:tcPr>
            <w:tcW w:w="1984" w:type="dxa"/>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Learning and growth</w:t>
            </w:r>
          </w:p>
        </w:tc>
      </w:tr>
      <w:tr w:rsidR="00791961" w:rsidRPr="00E74897">
        <w:tc>
          <w:tcPr>
            <w:tcW w:w="1701"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Corrective package</w:t>
            </w:r>
          </w:p>
        </w:tc>
        <w:tc>
          <w:tcPr>
            <w:tcW w:w="2608"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The improvement plan combines training, voice, supplier oversight, simplified processes, six KPIs with control limits and external inspection (US DOT, 2024).</w:t>
            </w:r>
          </w:p>
        </w:tc>
        <w:tc>
          <w:tcPr>
            <w:tcW w:w="2721"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Diagnostic measures should be joined to interactive review, operating controls and independent assurance.</w:t>
            </w:r>
          </w:p>
        </w:tc>
        <w:tc>
          <w:tcPr>
            <w:tcW w:w="1984" w:type="dxa"/>
            <w:shd w:val="clear" w:color="auto" w:fill="F2F2F2"/>
            <w:tcMar>
              <w:top w:w="80" w:type="dxa"/>
              <w:left w:w="90" w:type="dxa"/>
              <w:bottom w:w="80" w:type="dxa"/>
              <w:right w:w="90" w:type="dxa"/>
            </w:tcMar>
          </w:tcPr>
          <w:p w:rsidR="00791961" w:rsidRPr="00E74897" w:rsidRDefault="008C0758" w:rsidP="00A1683C">
            <w:pPr>
              <w:spacing w:after="0"/>
              <w:jc w:val="center"/>
              <w:rPr>
                <w:rFonts w:ascii="Arial" w:hAnsi="Arial" w:cs="Arial"/>
                <w:sz w:val="22"/>
              </w:rPr>
            </w:pPr>
            <w:r w:rsidRPr="00E74897">
              <w:rPr>
                <w:rFonts w:ascii="Arial" w:hAnsi="Arial" w:cs="Arial"/>
                <w:sz w:val="22"/>
              </w:rPr>
              <w:t>All four perspectives</w:t>
            </w:r>
          </w:p>
        </w:tc>
      </w:tr>
    </w:tbl>
    <w:p w:rsidR="002E484B" w:rsidRPr="002E484B" w:rsidRDefault="002E484B" w:rsidP="002E484B">
      <w:pPr>
        <w:spacing w:before="120"/>
        <w:jc w:val="center"/>
        <w:rPr>
          <w:rFonts w:ascii="Arial" w:hAnsi="Arial" w:cs="Arial"/>
          <w:sz w:val="22"/>
        </w:rPr>
      </w:pPr>
    </w:p>
    <w:p w:rsidR="00791961" w:rsidRPr="00E74897" w:rsidRDefault="008C0758" w:rsidP="002E484B">
      <w:pPr>
        <w:spacing w:before="120"/>
        <w:jc w:val="center"/>
        <w:rPr>
          <w:rFonts w:ascii="Arial" w:hAnsi="Arial" w:cs="Arial"/>
          <w:sz w:val="22"/>
        </w:rPr>
      </w:pPr>
      <w:r w:rsidRPr="002E484B">
        <w:rPr>
          <w:rFonts w:ascii="Arial" w:hAnsi="Arial" w:cs="Arial"/>
          <w:b/>
          <w:sz w:val="22"/>
        </w:rPr>
        <w:t>Sources:</w:t>
      </w:r>
      <w:r w:rsidRPr="00E74897">
        <w:rPr>
          <w:rFonts w:ascii="Arial" w:hAnsi="Arial" w:cs="Arial"/>
          <w:i/>
          <w:sz w:val="22"/>
        </w:rPr>
        <w:t xml:space="preserve"> </w:t>
      </w:r>
      <w:r w:rsidRPr="002E484B">
        <w:rPr>
          <w:rFonts w:ascii="Arial" w:hAnsi="Arial" w:cs="Arial"/>
          <w:sz w:val="22"/>
        </w:rPr>
        <w:t>Federal Aviation Administration (2024); National Transportation Safety Board (2025); US Department of Transportation (2024). Full links appear in the reference list.</w:t>
      </w:r>
    </w:p>
    <w:sectPr w:rsidR="00791961" w:rsidRPr="00E74897" w:rsidSect="00034616">
      <w:footerReference w:type="default" r:id="rId29"/>
      <w:pgSz w:w="11906" w:h="16838"/>
      <w:pgMar w:top="1247" w:right="1440" w:bottom="1247" w:left="1440" w:header="567" w:footer="567"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10BA" w:rsidRDefault="00BD10BA">
      <w:pPr>
        <w:spacing w:after="0" w:line="240" w:lineRule="auto"/>
      </w:pPr>
      <w:r>
        <w:separator/>
      </w:r>
    </w:p>
  </w:endnote>
  <w:endnote w:type="continuationSeparator" w:id="0">
    <w:p w:rsidR="00BD10BA" w:rsidRDefault="00BD10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1961" w:rsidRDefault="007919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1961" w:rsidRDefault="008C0758">
    <w:pPr>
      <w:pStyle w:val="Footer"/>
      <w:jc w:val="center"/>
    </w:pPr>
    <w:r>
      <w:rPr>
        <w:sz w:val="18"/>
      </w:rPr>
      <w:fldChar w:fldCharType="begin"/>
    </w:r>
    <w:r>
      <w:rPr>
        <w:sz w:val="18"/>
      </w:rPr>
      <w:instrText xml:space="preserve"> PAGE </w:instrText>
    </w:r>
    <w:r>
      <w:rPr>
        <w:sz w:val="18"/>
      </w:rPr>
      <w:fldChar w:fldCharType="separate"/>
    </w:r>
    <w:r w:rsidR="005B3325">
      <w:rPr>
        <w:noProof/>
        <w:sz w:val="18"/>
      </w:rPr>
      <w:t>i</w:t>
    </w:r>
    <w:r>
      <w:rPr>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1961" w:rsidRDefault="008C0758">
    <w:pPr>
      <w:pStyle w:val="Footer"/>
      <w:jc w:val="center"/>
    </w:pPr>
    <w:r>
      <w:rPr>
        <w:sz w:val="18"/>
      </w:rPr>
      <w:fldChar w:fldCharType="begin"/>
    </w:r>
    <w:r>
      <w:rPr>
        <w:sz w:val="18"/>
      </w:rPr>
      <w:instrText xml:space="preserve"> PAGE </w:instrText>
    </w:r>
    <w:r>
      <w:rPr>
        <w:sz w:val="18"/>
      </w:rPr>
      <w:fldChar w:fldCharType="separate"/>
    </w:r>
    <w:r w:rsidR="005B3325">
      <w:rPr>
        <w:noProof/>
        <w:sz w:val="18"/>
      </w:rPr>
      <w:t>9</w:t>
    </w:r>
    <w:r>
      <w:rPr>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10BA" w:rsidRDefault="00BD10BA">
      <w:pPr>
        <w:spacing w:after="0" w:line="240" w:lineRule="auto"/>
      </w:pPr>
      <w:r>
        <w:separator/>
      </w:r>
    </w:p>
  </w:footnote>
  <w:footnote w:type="continuationSeparator" w:id="0">
    <w:p w:rsidR="00BD10BA" w:rsidRDefault="00BD10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0DB2CFB"/>
    <w:multiLevelType w:val="hybridMultilevel"/>
    <w:tmpl w:val="265887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1904"/>
    <w:rsid w:val="0001143C"/>
    <w:rsid w:val="0003096B"/>
    <w:rsid w:val="00034616"/>
    <w:rsid w:val="00057049"/>
    <w:rsid w:val="0006063C"/>
    <w:rsid w:val="00082A9C"/>
    <w:rsid w:val="000A5B63"/>
    <w:rsid w:val="001361C7"/>
    <w:rsid w:val="00141FF9"/>
    <w:rsid w:val="0015074B"/>
    <w:rsid w:val="00155C04"/>
    <w:rsid w:val="00155E04"/>
    <w:rsid w:val="00160F00"/>
    <w:rsid w:val="00164FFB"/>
    <w:rsid w:val="00195FBF"/>
    <w:rsid w:val="001F0733"/>
    <w:rsid w:val="00244C2A"/>
    <w:rsid w:val="00283670"/>
    <w:rsid w:val="00286DE9"/>
    <w:rsid w:val="00287122"/>
    <w:rsid w:val="0029639D"/>
    <w:rsid w:val="002B70EB"/>
    <w:rsid w:val="002C429B"/>
    <w:rsid w:val="002E484B"/>
    <w:rsid w:val="002F0B80"/>
    <w:rsid w:val="002F15B6"/>
    <w:rsid w:val="002F1EC0"/>
    <w:rsid w:val="00306D39"/>
    <w:rsid w:val="00326F90"/>
    <w:rsid w:val="00336A0A"/>
    <w:rsid w:val="00346F7D"/>
    <w:rsid w:val="0035303A"/>
    <w:rsid w:val="00354B5B"/>
    <w:rsid w:val="003919E7"/>
    <w:rsid w:val="0039770D"/>
    <w:rsid w:val="003B3F20"/>
    <w:rsid w:val="003D305C"/>
    <w:rsid w:val="004056C2"/>
    <w:rsid w:val="00414ABA"/>
    <w:rsid w:val="00423AAC"/>
    <w:rsid w:val="00457013"/>
    <w:rsid w:val="004578EB"/>
    <w:rsid w:val="004660B4"/>
    <w:rsid w:val="0048659B"/>
    <w:rsid w:val="00491E85"/>
    <w:rsid w:val="004A62AA"/>
    <w:rsid w:val="004B7209"/>
    <w:rsid w:val="004E6371"/>
    <w:rsid w:val="004E6526"/>
    <w:rsid w:val="005134AF"/>
    <w:rsid w:val="005242A9"/>
    <w:rsid w:val="0053106F"/>
    <w:rsid w:val="00531ADF"/>
    <w:rsid w:val="005A11C4"/>
    <w:rsid w:val="005B3325"/>
    <w:rsid w:val="005C5D7F"/>
    <w:rsid w:val="005E3BA3"/>
    <w:rsid w:val="005E4B04"/>
    <w:rsid w:val="005F3078"/>
    <w:rsid w:val="005F7F89"/>
    <w:rsid w:val="00644C20"/>
    <w:rsid w:val="00651304"/>
    <w:rsid w:val="006830A2"/>
    <w:rsid w:val="00697C5B"/>
    <w:rsid w:val="006B3828"/>
    <w:rsid w:val="006D6C0C"/>
    <w:rsid w:val="00705008"/>
    <w:rsid w:val="00716FF5"/>
    <w:rsid w:val="00743AB3"/>
    <w:rsid w:val="00746917"/>
    <w:rsid w:val="0075261D"/>
    <w:rsid w:val="00783E4F"/>
    <w:rsid w:val="00791961"/>
    <w:rsid w:val="007A5219"/>
    <w:rsid w:val="007C0C79"/>
    <w:rsid w:val="007C2457"/>
    <w:rsid w:val="007C479A"/>
    <w:rsid w:val="007C5B10"/>
    <w:rsid w:val="007E017E"/>
    <w:rsid w:val="007E1280"/>
    <w:rsid w:val="0081619E"/>
    <w:rsid w:val="0082412E"/>
    <w:rsid w:val="008420E9"/>
    <w:rsid w:val="00854ACE"/>
    <w:rsid w:val="00864F59"/>
    <w:rsid w:val="00896697"/>
    <w:rsid w:val="008C0758"/>
    <w:rsid w:val="008E147A"/>
    <w:rsid w:val="008E29A5"/>
    <w:rsid w:val="008F0A0A"/>
    <w:rsid w:val="00913BCE"/>
    <w:rsid w:val="00923850"/>
    <w:rsid w:val="00997B10"/>
    <w:rsid w:val="009C25F0"/>
    <w:rsid w:val="009D7F01"/>
    <w:rsid w:val="009E270D"/>
    <w:rsid w:val="00A03DD0"/>
    <w:rsid w:val="00A1683C"/>
    <w:rsid w:val="00A305FF"/>
    <w:rsid w:val="00A6122B"/>
    <w:rsid w:val="00A64184"/>
    <w:rsid w:val="00AA1D8D"/>
    <w:rsid w:val="00AB4B8B"/>
    <w:rsid w:val="00AC5970"/>
    <w:rsid w:val="00B13432"/>
    <w:rsid w:val="00B37973"/>
    <w:rsid w:val="00B42958"/>
    <w:rsid w:val="00B47730"/>
    <w:rsid w:val="00B50CC2"/>
    <w:rsid w:val="00B53328"/>
    <w:rsid w:val="00B95E66"/>
    <w:rsid w:val="00BC6BE3"/>
    <w:rsid w:val="00BD10BA"/>
    <w:rsid w:val="00BD37DE"/>
    <w:rsid w:val="00BD4B5F"/>
    <w:rsid w:val="00C052D7"/>
    <w:rsid w:val="00C056DA"/>
    <w:rsid w:val="00C14E72"/>
    <w:rsid w:val="00C2537E"/>
    <w:rsid w:val="00C45705"/>
    <w:rsid w:val="00C70FA8"/>
    <w:rsid w:val="00CB0664"/>
    <w:rsid w:val="00CB1737"/>
    <w:rsid w:val="00CB5B9A"/>
    <w:rsid w:val="00D82BC2"/>
    <w:rsid w:val="00DC4371"/>
    <w:rsid w:val="00DD0939"/>
    <w:rsid w:val="00DE0966"/>
    <w:rsid w:val="00DE0AF7"/>
    <w:rsid w:val="00DE3008"/>
    <w:rsid w:val="00DF5BE5"/>
    <w:rsid w:val="00E056C9"/>
    <w:rsid w:val="00E74897"/>
    <w:rsid w:val="00E961C6"/>
    <w:rsid w:val="00E9750F"/>
    <w:rsid w:val="00E97A8A"/>
    <w:rsid w:val="00EB6138"/>
    <w:rsid w:val="00EB7CDD"/>
    <w:rsid w:val="00EC79C2"/>
    <w:rsid w:val="00ED19D2"/>
    <w:rsid w:val="00EF24C8"/>
    <w:rsid w:val="00EF6518"/>
    <w:rsid w:val="00F1586D"/>
    <w:rsid w:val="00F41550"/>
    <w:rsid w:val="00F43761"/>
    <w:rsid w:val="00F4472C"/>
    <w:rsid w:val="00F54461"/>
    <w:rsid w:val="00F555D4"/>
    <w:rsid w:val="00F65E6A"/>
    <w:rsid w:val="00F72945"/>
    <w:rsid w:val="00F837DE"/>
    <w:rsid w:val="00FB0F2A"/>
    <w:rsid w:val="00FB3E34"/>
    <w:rsid w:val="00FC693F"/>
    <w:rsid w:val="00FE41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A053DA"/>
  <w14:defaultImageDpi w14:val="300"/>
  <w15:docId w15:val="{04BC1095-5CA6-4B24-AD0C-D4D29F32F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line="360" w:lineRule="auto"/>
      <w:jc w:val="both"/>
    </w:pPr>
    <w:rPr>
      <w:rFonts w:ascii="Times New Roman" w:eastAsia="Times New Roman" w:hAnsi="Times New Roman"/>
      <w:color w:val="000000"/>
      <w:sz w:val="24"/>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160" w:after="8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OC11">
    <w:name w:val="TOC 11"/>
    <w:rPr>
      <w:rFonts w:ascii="Times New Roman" w:eastAsia="Times New Roman" w:hAnsi="Times New Roman"/>
      <w:color w:val="000000"/>
    </w:rPr>
  </w:style>
  <w:style w:type="paragraph" w:customStyle="1" w:styleId="TOC21">
    <w:name w:val="TOC 21"/>
    <w:rPr>
      <w:rFonts w:ascii="Times New Roman" w:eastAsia="Times New Roman" w:hAnsi="Times New Roman"/>
      <w:color w:val="000000"/>
      <w:sz w:val="20"/>
    </w:rPr>
  </w:style>
  <w:style w:type="paragraph" w:customStyle="1" w:styleId="CoverTitle">
    <w:name w:val="Cover Title"/>
    <w:pPr>
      <w:spacing w:after="240"/>
      <w:jc w:val="center"/>
    </w:pPr>
    <w:rPr>
      <w:rFonts w:ascii="Times New Roman" w:eastAsia="Times New Roman" w:hAnsi="Times New Roman"/>
      <w:b/>
      <w:color w:val="000000"/>
      <w:sz w:val="40"/>
    </w:rPr>
  </w:style>
  <w:style w:type="character" w:styleId="Hyperlink">
    <w:name w:val="Hyperlink"/>
    <w:basedOn w:val="DefaultParagraphFont"/>
    <w:uiPriority w:val="99"/>
    <w:unhideWhenUsed/>
    <w:rsid w:val="00743AB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2158244020969383" TargetMode="External"/><Relationship Id="rId18" Type="http://schemas.openxmlformats.org/officeDocument/2006/relationships/hyperlink" Target="https://www.consumerfinance.gov/archive/newsroom/cfpb-orders-wells-fargo-to-pay-37-billion-for-widespread-mismanagement-of-auto-loans-mortgages-and-deposit-accounts/" TargetMode="External"/><Relationship Id="rId26" Type="http://schemas.openxmlformats.org/officeDocument/2006/relationships/hyperlink" Target="https://www.pearson.com/nl/en_NL/higher-education/subject-catalogue/business-and-management/Management-15e-Robbins-Coulter.html" TargetMode="External"/><Relationship Id="rId3" Type="http://schemas.openxmlformats.org/officeDocument/2006/relationships/styles" Target="styles.xml"/><Relationship Id="rId21" Type="http://schemas.openxmlformats.org/officeDocument/2006/relationships/hyperlink" Target="https://doi.org/10.1111/ijmr.12183" TargetMode="External"/><Relationship Id="rId7" Type="http://schemas.openxmlformats.org/officeDocument/2006/relationships/endnotes" Target="endnotes.xml"/><Relationship Id="rId12" Type="http://schemas.openxmlformats.org/officeDocument/2006/relationships/hyperlink" Target="https://doi.org/10.1177/00187267211052827" TargetMode="External"/><Relationship Id="rId17" Type="http://schemas.openxmlformats.org/officeDocument/2006/relationships/hyperlink" Target="https://doi.org/10.1108/JAOC-04-2020-0048" TargetMode="External"/><Relationship Id="rId25" Type="http://schemas.openxmlformats.org/officeDocument/2006/relationships/hyperlink" Target="https://www.ntsb.gov/investigations/AccidentReports/Reports/AIR2504.pdf" TargetMode="External"/><Relationship Id="rId2" Type="http://schemas.openxmlformats.org/officeDocument/2006/relationships/numbering" Target="numbering.xml"/><Relationship Id="rId16" Type="http://schemas.openxmlformats.org/officeDocument/2006/relationships/hyperlink" Target="https://www.federalreserve.gov/newsevents/pressreleases/enforcement20180202a.htm" TargetMode="External"/><Relationship Id="rId20" Type="http://schemas.openxmlformats.org/officeDocument/2006/relationships/hyperlink" Target="https://www.faa.gov/newsroom/Sec103_ExpertPanelReview_Report_Final.pdf"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doi.org/10.3390/encyclopedia5010039" TargetMode="External"/><Relationship Id="rId5" Type="http://schemas.openxmlformats.org/officeDocument/2006/relationships/webSettings" Target="webSettings.xml"/><Relationship Id="rId15" Type="http://schemas.openxmlformats.org/officeDocument/2006/relationships/hyperlink" Target="https://doi.org/10.3390/ijerph191610291" TargetMode="External"/><Relationship Id="rId23" Type="http://schemas.openxmlformats.org/officeDocument/2006/relationships/hyperlink" Target="https://doi.org/10.1007/s11846-023-00700-6" TargetMode="External"/><Relationship Id="rId28" Type="http://schemas.openxmlformats.org/officeDocument/2006/relationships/hyperlink" Target="https://doi.org/10.1108/JAOC-07-2020-0087" TargetMode="External"/><Relationship Id="rId10" Type="http://schemas.openxmlformats.org/officeDocument/2006/relationships/footer" Target="footer2.xml"/><Relationship Id="rId19" Type="http://schemas.openxmlformats.org/officeDocument/2006/relationships/hyperlink" Target="https://doi.org/10.1007/s40171-024-00409-9"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07/s00187-023-00354-1" TargetMode="External"/><Relationship Id="rId22" Type="http://schemas.openxmlformats.org/officeDocument/2006/relationships/hyperlink" Target="https://doi.org/10.1177/23197145211049625" TargetMode="External"/><Relationship Id="rId27" Type="http://schemas.openxmlformats.org/officeDocument/2006/relationships/hyperlink" Target="https://www.transportation.gov/implementation-boeings-comprehensive-action-pla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A619A9-5977-4B42-A305-EF75C2E0B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14</Pages>
  <Words>3964</Words>
  <Characters>22600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26511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Controlling Is Essential in Organisations: A critical evaluation through the Balanced Scorecard and broader strategic control</dc:title>
  <dc:subject>LCBB6022 Component 2 coursework essay</dc:subject>
  <dc:creator/>
  <cp:keywords>management control; Balanced Scorecard; strategic control; Boeing</cp:keywords>
  <dc:description>Main-body word count: 2,000 words.</dc:description>
  <cp:lastModifiedBy>Digital laptop</cp:lastModifiedBy>
  <cp:revision>175</cp:revision>
  <dcterms:created xsi:type="dcterms:W3CDTF">2013-12-23T23:15:00Z</dcterms:created>
  <dcterms:modified xsi:type="dcterms:W3CDTF">2026-08-18T15:20:00Z</dcterms:modified>
  <cp:category/>
</cp:coreProperties>
</file>