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BC707" w14:textId="3243A6B7" w:rsidR="00607903" w:rsidRPr="001D3629" w:rsidRDefault="00607903" w:rsidP="001D3629">
      <w:pPr>
        <w:jc w:val="center"/>
        <w:rPr>
          <w:sz w:val="36"/>
          <w:szCs w:val="36"/>
        </w:rPr>
      </w:pPr>
      <w:r w:rsidRPr="001D3629">
        <w:rPr>
          <w:sz w:val="36"/>
          <w:szCs w:val="36"/>
        </w:rPr>
        <w:t>ECGE7008Q Assignment 1</w:t>
      </w:r>
    </w:p>
    <w:p w14:paraId="34C72B1A" w14:textId="5BA61D67" w:rsidR="00607903" w:rsidRPr="001D3629" w:rsidRDefault="00607903" w:rsidP="001D3629">
      <w:pPr>
        <w:jc w:val="center"/>
        <w:rPr>
          <w:sz w:val="36"/>
          <w:szCs w:val="36"/>
        </w:rPr>
      </w:pPr>
      <w:r w:rsidRPr="001D3629">
        <w:rPr>
          <w:sz w:val="36"/>
          <w:szCs w:val="36"/>
        </w:rPr>
        <w:t>Student ID: 2105356</w:t>
      </w:r>
      <w:r w:rsidR="001D3629" w:rsidRPr="001D3629">
        <w:rPr>
          <w:sz w:val="36"/>
          <w:szCs w:val="36"/>
        </w:rPr>
        <w:br/>
      </w:r>
      <w:r w:rsidR="001D3629" w:rsidRPr="001D3629">
        <w:rPr>
          <w:sz w:val="36"/>
          <w:szCs w:val="36"/>
        </w:rPr>
        <w:t>Critical Evaluation of a Journal article.</w:t>
      </w:r>
    </w:p>
    <w:p w14:paraId="6644DA67" w14:textId="77777777" w:rsidR="001D3629" w:rsidRDefault="001D3629" w:rsidP="001D3629"/>
    <w:p w14:paraId="6E7F2149" w14:textId="77777777" w:rsidR="001D3629" w:rsidRDefault="001D3629" w:rsidP="001D3629"/>
    <w:p w14:paraId="3808593D" w14:textId="77777777" w:rsidR="001D3629" w:rsidRDefault="001D3629" w:rsidP="001D3629"/>
    <w:p w14:paraId="41B6BE91" w14:textId="77777777" w:rsidR="001D3629" w:rsidRDefault="001D3629" w:rsidP="001D3629"/>
    <w:p w14:paraId="5A530F30" w14:textId="77777777" w:rsidR="001D3629" w:rsidRDefault="001D3629" w:rsidP="001D3629"/>
    <w:p w14:paraId="5C56386B" w14:textId="77777777" w:rsidR="001D3629" w:rsidRDefault="001D3629" w:rsidP="001D3629"/>
    <w:p w14:paraId="2C8711F0" w14:textId="77777777" w:rsidR="001D3629" w:rsidRDefault="001D3629" w:rsidP="001D3629"/>
    <w:p w14:paraId="1604B441" w14:textId="77777777" w:rsidR="001D3629" w:rsidRDefault="001D3629" w:rsidP="001D3629"/>
    <w:p w14:paraId="5758D098" w14:textId="77777777" w:rsidR="001D3629" w:rsidRDefault="001D3629" w:rsidP="001D3629"/>
    <w:p w14:paraId="1748DD17" w14:textId="77777777" w:rsidR="001D3629" w:rsidRDefault="001D3629" w:rsidP="001D3629"/>
    <w:p w14:paraId="4CA46A84" w14:textId="77777777" w:rsidR="001D3629" w:rsidRDefault="001D3629" w:rsidP="001D3629"/>
    <w:p w14:paraId="72AF7B24" w14:textId="77777777" w:rsidR="001D3629" w:rsidRDefault="001D3629" w:rsidP="001D3629"/>
    <w:p w14:paraId="07E83C1A" w14:textId="77777777" w:rsidR="001D3629" w:rsidRDefault="001D3629" w:rsidP="001D3629"/>
    <w:p w14:paraId="520BFEB1" w14:textId="77777777" w:rsidR="001D3629" w:rsidRDefault="001D3629" w:rsidP="001D3629"/>
    <w:p w14:paraId="1C56594D" w14:textId="77777777" w:rsidR="001D3629" w:rsidRDefault="001D3629" w:rsidP="001D3629"/>
    <w:p w14:paraId="71DFDE6E" w14:textId="77777777" w:rsidR="001D3629" w:rsidRDefault="001D3629" w:rsidP="001D3629"/>
    <w:p w14:paraId="25A604F9" w14:textId="77777777" w:rsidR="001D3629" w:rsidRDefault="001D3629" w:rsidP="001D3629"/>
    <w:p w14:paraId="098A4A6A" w14:textId="77777777" w:rsidR="001D3629" w:rsidRDefault="001D3629" w:rsidP="001D3629"/>
    <w:p w14:paraId="021EEB3C" w14:textId="77777777" w:rsidR="001D3629" w:rsidRDefault="001D3629" w:rsidP="001D3629"/>
    <w:p w14:paraId="7E8B0D83" w14:textId="77777777" w:rsidR="001D3629" w:rsidRDefault="001D3629" w:rsidP="001D3629"/>
    <w:p w14:paraId="049530CA" w14:textId="77777777" w:rsidR="001D3629" w:rsidRDefault="001D3629" w:rsidP="001D3629"/>
    <w:p w14:paraId="6993E16D" w14:textId="77777777" w:rsidR="001D3629" w:rsidRDefault="001D3629" w:rsidP="001D3629"/>
    <w:p w14:paraId="15CC3DBE" w14:textId="77777777" w:rsidR="001D3629" w:rsidRPr="001D3629" w:rsidRDefault="001D3629" w:rsidP="001D3629"/>
    <w:p w14:paraId="3E23513E" w14:textId="77777777" w:rsidR="001D3629" w:rsidRDefault="001D3629">
      <w:pPr>
        <w:rPr>
          <w:b/>
        </w:rPr>
      </w:pPr>
    </w:p>
    <w:sdt>
      <w:sdtPr>
        <w:id w:val="-281958526"/>
        <w:docPartObj>
          <w:docPartGallery w:val="Table of Contents"/>
          <w:docPartUnique/>
        </w:docPartObj>
      </w:sdtPr>
      <w:sdtEndPr>
        <w:rPr>
          <w:rFonts w:asciiTheme="minorHAnsi" w:eastAsiaTheme="minorEastAsia" w:hAnsiTheme="minorHAnsi" w:cs="Times New Roman"/>
          <w:color w:val="auto"/>
          <w:sz w:val="22"/>
          <w:szCs w:val="22"/>
        </w:rPr>
      </w:sdtEndPr>
      <w:sdtContent>
        <w:p w14:paraId="1A0D7D42" w14:textId="40E3A0B7" w:rsidR="001D3629" w:rsidRDefault="001D3629">
          <w:pPr>
            <w:pStyle w:val="TOCHeading"/>
          </w:pPr>
          <w:r>
            <w:t>Table of Contents</w:t>
          </w:r>
        </w:p>
        <w:p w14:paraId="128B0D91" w14:textId="213125F0" w:rsidR="001D3629" w:rsidRDefault="008819D6">
          <w:pPr>
            <w:pStyle w:val="TOC1"/>
          </w:pPr>
          <w:r>
            <w:rPr>
              <w:b/>
              <w:bCs/>
            </w:rPr>
            <w:t>Introduction</w:t>
          </w:r>
          <w:r w:rsidR="001D3629">
            <w:ptab w:relativeTo="margin" w:alignment="right" w:leader="dot"/>
          </w:r>
          <w:r>
            <w:rPr>
              <w:b/>
              <w:bCs/>
            </w:rPr>
            <w:t>3</w:t>
          </w:r>
        </w:p>
        <w:p w14:paraId="5C05B159" w14:textId="0EA6D467" w:rsidR="001D3629" w:rsidRDefault="008819D6">
          <w:pPr>
            <w:pStyle w:val="TOC1"/>
            <w:rPr>
              <w:b/>
              <w:bCs/>
            </w:rPr>
          </w:pPr>
          <w:r>
            <w:rPr>
              <w:b/>
              <w:bCs/>
            </w:rPr>
            <w:t>Literature Review</w:t>
          </w:r>
          <w:r w:rsidR="001D3629">
            <w:ptab w:relativeTo="margin" w:alignment="right" w:leader="dot"/>
          </w:r>
          <w:r>
            <w:rPr>
              <w:b/>
              <w:bCs/>
            </w:rPr>
            <w:t>3</w:t>
          </w:r>
        </w:p>
        <w:p w14:paraId="37D263BE" w14:textId="1D493E8D" w:rsidR="008819D6" w:rsidRDefault="008819D6" w:rsidP="008819D6">
          <w:r>
            <w:t>Methodology…………………………………………………………………………………………………….4</w:t>
          </w:r>
        </w:p>
        <w:p w14:paraId="51423EE7" w14:textId="68B34075" w:rsidR="008819D6" w:rsidRDefault="008819D6" w:rsidP="008819D6">
          <w:r>
            <w:t>Data Collection Methods……………………………………………………………………………………5</w:t>
          </w:r>
        </w:p>
        <w:p w14:paraId="43259636" w14:textId="629E74D4" w:rsidR="008819D6" w:rsidRDefault="008819D6" w:rsidP="008819D6">
          <w:r>
            <w:t>Contribution to the Field…………………………………………………………………………………….5</w:t>
          </w:r>
        </w:p>
        <w:p w14:paraId="10F810D2" w14:textId="7720FC07" w:rsidR="008819D6" w:rsidRDefault="008819D6" w:rsidP="008819D6">
          <w:r>
            <w:t>Ethical Considerations……………………………………………………………………………………….7</w:t>
          </w:r>
        </w:p>
        <w:p w14:paraId="6CD81F4D" w14:textId="6DE13EC1" w:rsidR="008819D6" w:rsidRDefault="008819D6" w:rsidP="008819D6">
          <w:r>
            <w:t>Conclusion………………………………………………………………………………………………………7</w:t>
          </w:r>
        </w:p>
        <w:p w14:paraId="03DECBE8" w14:textId="2483D3DC" w:rsidR="008819D6" w:rsidRPr="008819D6" w:rsidRDefault="008819D6" w:rsidP="008819D6">
          <w:r>
            <w:t>References……………………………………………………………………………………………………11</w:t>
          </w:r>
        </w:p>
        <w:p w14:paraId="5D20587C" w14:textId="1D541250" w:rsidR="001D3629" w:rsidRDefault="001D3629" w:rsidP="008819D6">
          <w:pPr>
            <w:pStyle w:val="TOC3"/>
          </w:pPr>
        </w:p>
      </w:sdtContent>
    </w:sdt>
    <w:p w14:paraId="07EE43FC" w14:textId="77777777" w:rsidR="001D3629" w:rsidRDefault="001D3629">
      <w:pPr>
        <w:rPr>
          <w:b/>
        </w:rPr>
      </w:pPr>
    </w:p>
    <w:p w14:paraId="45EF6E35" w14:textId="77777777" w:rsidR="001D3629" w:rsidRDefault="001D3629">
      <w:pPr>
        <w:rPr>
          <w:b/>
        </w:rPr>
      </w:pPr>
    </w:p>
    <w:p w14:paraId="1194B3F8" w14:textId="77777777" w:rsidR="001D3629" w:rsidRDefault="001D3629">
      <w:pPr>
        <w:rPr>
          <w:b/>
        </w:rPr>
      </w:pPr>
    </w:p>
    <w:p w14:paraId="69E6C50C" w14:textId="77777777" w:rsidR="001D3629" w:rsidRDefault="001D3629">
      <w:pPr>
        <w:rPr>
          <w:b/>
        </w:rPr>
      </w:pPr>
    </w:p>
    <w:p w14:paraId="67F5FE7D" w14:textId="77777777" w:rsidR="001D3629" w:rsidRDefault="001D3629">
      <w:pPr>
        <w:rPr>
          <w:b/>
        </w:rPr>
      </w:pPr>
    </w:p>
    <w:p w14:paraId="24FB63F1" w14:textId="77777777" w:rsidR="001D3629" w:rsidRDefault="001D3629">
      <w:pPr>
        <w:rPr>
          <w:b/>
        </w:rPr>
      </w:pPr>
    </w:p>
    <w:p w14:paraId="432592CB" w14:textId="77777777" w:rsidR="001D3629" w:rsidRDefault="001D3629">
      <w:pPr>
        <w:rPr>
          <w:b/>
        </w:rPr>
      </w:pPr>
    </w:p>
    <w:p w14:paraId="5EAE2D3D" w14:textId="77777777" w:rsidR="001D3629" w:rsidRDefault="001D3629">
      <w:pPr>
        <w:rPr>
          <w:b/>
        </w:rPr>
      </w:pPr>
    </w:p>
    <w:p w14:paraId="2A21C11E" w14:textId="77777777" w:rsidR="001D3629" w:rsidRDefault="001D3629">
      <w:pPr>
        <w:rPr>
          <w:b/>
        </w:rPr>
      </w:pPr>
    </w:p>
    <w:p w14:paraId="6F0EE9F4" w14:textId="77777777" w:rsidR="001D3629" w:rsidRDefault="001D3629">
      <w:pPr>
        <w:rPr>
          <w:b/>
        </w:rPr>
      </w:pPr>
    </w:p>
    <w:p w14:paraId="30D7B0EB" w14:textId="77777777" w:rsidR="001D3629" w:rsidRDefault="001D3629">
      <w:pPr>
        <w:rPr>
          <w:b/>
        </w:rPr>
      </w:pPr>
    </w:p>
    <w:p w14:paraId="23D9B447" w14:textId="77777777" w:rsidR="001D3629" w:rsidRDefault="001D3629">
      <w:pPr>
        <w:rPr>
          <w:b/>
        </w:rPr>
      </w:pPr>
    </w:p>
    <w:p w14:paraId="4692DB2F" w14:textId="77777777" w:rsidR="001D3629" w:rsidRDefault="001D3629">
      <w:pPr>
        <w:rPr>
          <w:b/>
        </w:rPr>
      </w:pPr>
    </w:p>
    <w:p w14:paraId="6C888828" w14:textId="77777777" w:rsidR="001D3629" w:rsidRDefault="001D3629">
      <w:pPr>
        <w:rPr>
          <w:b/>
        </w:rPr>
      </w:pPr>
    </w:p>
    <w:p w14:paraId="7A957EDF" w14:textId="77777777" w:rsidR="001D3629" w:rsidRDefault="001D3629">
      <w:pPr>
        <w:rPr>
          <w:b/>
        </w:rPr>
      </w:pPr>
    </w:p>
    <w:p w14:paraId="680E97F3" w14:textId="77777777" w:rsidR="001D3629" w:rsidRDefault="001D3629">
      <w:pPr>
        <w:rPr>
          <w:b/>
        </w:rPr>
      </w:pPr>
    </w:p>
    <w:p w14:paraId="726E007C" w14:textId="77777777" w:rsidR="001D3629" w:rsidRDefault="001D3629">
      <w:pPr>
        <w:rPr>
          <w:b/>
        </w:rPr>
      </w:pPr>
    </w:p>
    <w:p w14:paraId="317F0748" w14:textId="77777777" w:rsidR="001D3629" w:rsidRDefault="001D3629">
      <w:pPr>
        <w:rPr>
          <w:b/>
        </w:rPr>
      </w:pPr>
    </w:p>
    <w:p w14:paraId="4490FE50" w14:textId="77777777" w:rsidR="001D3629" w:rsidRDefault="001D3629">
      <w:pPr>
        <w:rPr>
          <w:b/>
        </w:rPr>
      </w:pPr>
    </w:p>
    <w:p w14:paraId="65B09603" w14:textId="77777777" w:rsidR="008819D6" w:rsidRDefault="008819D6">
      <w:pPr>
        <w:rPr>
          <w:b/>
        </w:rPr>
      </w:pPr>
    </w:p>
    <w:p w14:paraId="0BFDF81D" w14:textId="77777777" w:rsidR="008819D6" w:rsidRDefault="008819D6">
      <w:pPr>
        <w:rPr>
          <w:b/>
        </w:rPr>
      </w:pPr>
    </w:p>
    <w:p w14:paraId="6CDC3DDC" w14:textId="77777777" w:rsidR="008819D6" w:rsidRDefault="008819D6">
      <w:pPr>
        <w:rPr>
          <w:b/>
        </w:rPr>
      </w:pPr>
    </w:p>
    <w:p w14:paraId="607E71E8" w14:textId="77777777" w:rsidR="008819D6" w:rsidRDefault="008819D6">
      <w:pPr>
        <w:rPr>
          <w:b/>
        </w:rPr>
      </w:pPr>
    </w:p>
    <w:p w14:paraId="518619C1" w14:textId="4F481353" w:rsidR="00A11055" w:rsidRDefault="001D3629" w:rsidP="001D3629">
      <w:pPr>
        <w:pStyle w:val="Heading2"/>
      </w:pPr>
      <w:r>
        <w:t>1.</w:t>
      </w:r>
      <w:r w:rsidR="00607903" w:rsidRPr="00607903">
        <w:t>Int</w:t>
      </w:r>
      <w:r>
        <w:t>roduction</w:t>
      </w:r>
      <w:r w:rsidR="00607903" w:rsidRPr="00607903">
        <w:t xml:space="preserve"> </w:t>
      </w:r>
    </w:p>
    <w:p w14:paraId="292771E1" w14:textId="16B7EE66" w:rsidR="004F7890" w:rsidRDefault="00A11055">
      <w:r w:rsidRPr="00DB31D6">
        <w:t xml:space="preserve">Within the body of this paper I will carry out a critical </w:t>
      </w:r>
      <w:proofErr w:type="spellStart"/>
      <w:r w:rsidRPr="00DB31D6">
        <w:t>annalyis</w:t>
      </w:r>
      <w:proofErr w:type="spellEnd"/>
      <w:r w:rsidRPr="00DB31D6">
        <w:t xml:space="preserve"> of a research article, the chosen article is ‘Identity work and the unemployed worker: age, disability and the lived experience of the older unemployed’ (2009) by Loretto and Riach, the article describes the finding of a study carried out with </w:t>
      </w:r>
      <w:r w:rsidR="00DB31D6" w:rsidRPr="00DB31D6">
        <w:t>focus groups of ‘</w:t>
      </w:r>
      <w:proofErr w:type="spellStart"/>
      <w:r w:rsidR="00DB31D6" w:rsidRPr="00DB31D6">
        <w:t>non working</w:t>
      </w:r>
      <w:proofErr w:type="spellEnd"/>
      <w:r w:rsidR="00DB31D6" w:rsidRPr="00DB31D6">
        <w:t xml:space="preserve">’ adults of age 50+ </w:t>
      </w:r>
      <w:r w:rsidR="00DB31D6">
        <w:t xml:space="preserve">and was commissioned by Scottish Enterprise, I will assess and evaluate the strengths and limitations of the article, with a focus on the researchers methodology, data collection methods, ethical considerations and broader contribution to the field. </w:t>
      </w:r>
      <w:r w:rsidR="00DB31D6">
        <w:br/>
      </w:r>
      <w:r w:rsidR="00DB31D6">
        <w:br/>
        <w:t xml:space="preserve">Using a range of appropriate academic sources, I will carry out a brief literature review, to explore supporting and contrasting information from the data available, and to explore if the subject area is bloated or if further research may be valuable. </w:t>
      </w:r>
      <w:r w:rsidR="00607903" w:rsidRPr="00DB31D6">
        <w:br/>
      </w:r>
      <w:r w:rsidR="00607903" w:rsidRPr="00607903">
        <w:rPr>
          <w:u w:val="single"/>
        </w:rPr>
        <w:br/>
      </w:r>
      <w:r w:rsidR="001D3629" w:rsidRPr="001D3629">
        <w:rPr>
          <w:rStyle w:val="Heading2Char"/>
        </w:rPr>
        <w:t xml:space="preserve">2. </w:t>
      </w:r>
      <w:r w:rsidR="00607903" w:rsidRPr="001D3629">
        <w:rPr>
          <w:rStyle w:val="Heading2Char"/>
        </w:rPr>
        <w:t>Literature review</w:t>
      </w:r>
      <w:r w:rsidR="000C44F0">
        <w:rPr>
          <w:u w:val="single"/>
        </w:rPr>
        <w:t xml:space="preserve"> </w:t>
      </w:r>
      <w:r w:rsidR="0005271E">
        <w:rPr>
          <w:u w:val="single"/>
        </w:rPr>
        <w:br/>
      </w:r>
      <w:r w:rsidR="0005271E" w:rsidRPr="0005271E">
        <w:t xml:space="preserve">The research paper seeks to explore the phenomenon of how older individuals manage and negotiate their sense of self identity, specifically how it relates to the personal </w:t>
      </w:r>
      <w:r w:rsidR="00BB756C" w:rsidRPr="0005271E">
        <w:t>narratives</w:t>
      </w:r>
      <w:r w:rsidR="0005271E" w:rsidRPr="0005271E">
        <w:t xml:space="preserve"> they have created around themselves as ‘workers, whilst not being in paid work, either due to illness or unemployment, the researchers carried out a comprehensive literature review, and identified research which discusses that older workers may suffer from multiple disadvantage, due to their age and potential disability, and that the over 5</w:t>
      </w:r>
      <w:r w:rsidR="00BB756C">
        <w:t>0</w:t>
      </w:r>
      <w:r w:rsidR="0005271E" w:rsidRPr="0005271E">
        <w:t xml:space="preserve"> years group are more likely to suffer from ill health or disability</w:t>
      </w:r>
      <w:r w:rsidR="0005271E">
        <w:rPr>
          <w:u w:val="single"/>
        </w:rPr>
        <w:t xml:space="preserve"> </w:t>
      </w:r>
      <w:r w:rsidR="00BB756C" w:rsidRPr="00BB756C">
        <w:t>(Loretto, 2010). A research report commissioned by the DWP in 2007 identified the difference between employment gaps and employment penalties, employment penalties including “unmeasured characteristics such as discrimination, aspiration and constraints” this is an area that is explored further by the research article we are critiquing, as they identify that several of the participants have been offered work opportunities that do not match with their self-image</w:t>
      </w:r>
      <w:r w:rsidR="00BB756C">
        <w:t xml:space="preserve">, the DWP study found that ethnic minorities and individuals from minority religious groups were also more likely to be at an economic disadvantage in the employment market </w:t>
      </w:r>
      <w:r w:rsidR="004F7890" w:rsidRPr="004F7890">
        <w:t xml:space="preserve">(Berthoud and </w:t>
      </w:r>
      <w:proofErr w:type="spellStart"/>
      <w:r w:rsidR="004F7890" w:rsidRPr="004F7890">
        <w:t>Blakesoune</w:t>
      </w:r>
      <w:proofErr w:type="spellEnd"/>
      <w:r w:rsidR="004F7890" w:rsidRPr="004F7890">
        <w:t>, 2007)</w:t>
      </w:r>
      <w:r w:rsidR="004F7890">
        <w:t>.</w:t>
      </w:r>
    </w:p>
    <w:p w14:paraId="71102834" w14:textId="77777777" w:rsidR="00FC479D" w:rsidRDefault="004F7890">
      <w:r>
        <w:t xml:space="preserve">Conversely, a research paper by </w:t>
      </w:r>
      <w:r w:rsidRPr="004F7890">
        <w:t>Axelrad, H., Malul, M. and Luski, I. (2018)</w:t>
      </w:r>
      <w:r>
        <w:t xml:space="preserve"> attempted to draw parallels and identify differences in unemployment cause between the ‘young’ and </w:t>
      </w:r>
      <w:r>
        <w:lastRenderedPageBreak/>
        <w:t xml:space="preserve">‘old’ – focusing on the reasons under 25s may be out of work, as compared to the over 50s, the paper identified that </w:t>
      </w:r>
      <w:r w:rsidR="00FC479D">
        <w:t>“</w:t>
      </w:r>
      <w:r w:rsidR="00FC479D" w:rsidRPr="00FC479D">
        <w:t>youth unemployment stems mainly from the characteristics of the labo</w:t>
      </w:r>
      <w:r w:rsidR="00FC479D">
        <w:t>u</w:t>
      </w:r>
      <w:r w:rsidR="00FC479D" w:rsidRPr="00FC479D">
        <w:t>r market, not from specific attributes of young people. In contrast, the unemployment of older individuals is more related to their specific characteristics, such as higher salary expectations, higher labo</w:t>
      </w:r>
      <w:r w:rsidR="00FC479D">
        <w:t>u</w:t>
      </w:r>
      <w:r w:rsidR="00FC479D" w:rsidRPr="00FC479D">
        <w:t>r costs and stereotypes about being less productive</w:t>
      </w:r>
      <w:r w:rsidR="00FC479D">
        <w:t xml:space="preserve">” </w:t>
      </w:r>
      <w:r w:rsidR="00FC479D" w:rsidRPr="00FC479D">
        <w:t>(Axelrad, Malul and Luski, 2018)</w:t>
      </w:r>
      <w:r w:rsidR="00FC479D">
        <w:t xml:space="preserve">. The article also identifies that while the hiring rate among over 50s is much lower than in the 21-35 age group, retention is generally much greater, with increased job security and higher wages. </w:t>
      </w:r>
    </w:p>
    <w:p w14:paraId="14A9EED3" w14:textId="0DAA8114" w:rsidR="00607903" w:rsidRDefault="005E051F">
      <w:r>
        <w:t xml:space="preserve">A research paper by SCEPTA (Schwartz centre for economic policy analysis) identified the phenomenon of ‘marginally attached’ and discouraged workers, these being workers who state they want to work but have not actively sought employment within the last twelve weeks, due to fatigue caused by the lack of appropriate opportunities </w:t>
      </w:r>
      <w:r w:rsidRPr="005E051F">
        <w:t>(Lavecchia, 2023)</w:t>
      </w:r>
      <w:r>
        <w:t>.</w:t>
      </w:r>
      <w:r w:rsidR="00607903" w:rsidRPr="00607903">
        <w:rPr>
          <w:u w:val="single"/>
        </w:rPr>
        <w:br/>
      </w:r>
      <w:r w:rsidR="00607903" w:rsidRPr="00607903">
        <w:rPr>
          <w:u w:val="single"/>
        </w:rPr>
        <w:br/>
      </w:r>
      <w:r w:rsidR="001D3629">
        <w:rPr>
          <w:rStyle w:val="Heading2Char"/>
        </w:rPr>
        <w:t xml:space="preserve">3. </w:t>
      </w:r>
      <w:r w:rsidR="00607903" w:rsidRPr="001D3629">
        <w:rPr>
          <w:rStyle w:val="Heading2Char"/>
        </w:rPr>
        <w:t xml:space="preserve">Methodology </w:t>
      </w:r>
      <w:r w:rsidR="00607903">
        <w:rPr>
          <w:u w:val="single"/>
        </w:rPr>
        <w:br/>
      </w:r>
      <w:r w:rsidR="00984516" w:rsidRPr="00984516">
        <w:t xml:space="preserve">The authors of this paper appear to take an interpretivist stance, </w:t>
      </w:r>
      <w:r w:rsidR="00984516">
        <w:t>using qualitative research methods to obtain their data. The researchers</w:t>
      </w:r>
      <w:r w:rsidR="002E024D">
        <w:t>’</w:t>
      </w:r>
      <w:r w:rsidR="00984516">
        <w:t xml:space="preserve"> aim was to explore the paradigm and ‘lived experience’ of the older unemployed with a specific focus on how the older unemployed manage their self-identity in relation to work, while being in receipt of unemployment or incapacity benefits. </w:t>
      </w:r>
    </w:p>
    <w:p w14:paraId="1AED1CD2" w14:textId="4EC7B37B" w:rsidR="0072305F" w:rsidRDefault="0072305F">
      <w:r>
        <w:t xml:space="preserve">Statistics from </w:t>
      </w:r>
      <w:r w:rsidR="002E024D">
        <w:t>the Department of Work and Pensions (DWP) were used to provide background to the target participation group, as well as research from Beatty and Fothergill (2007)</w:t>
      </w:r>
      <w:r w:rsidR="00BD4B71">
        <w:t>.</w:t>
      </w:r>
      <w:r w:rsidR="002E024D">
        <w:t xml:space="preserve"> </w:t>
      </w:r>
      <w:r w:rsidR="00BD4B71">
        <w:t>P</w:t>
      </w:r>
      <w:r w:rsidR="002E024D">
        <w:t xml:space="preserve">olicy initiatives and attempts to get individuals back into work are identified and explored, and it is </w:t>
      </w:r>
      <w:r w:rsidR="00BD4B71">
        <w:t xml:space="preserve">explained that almost 50% of Incapacity Benefit claimants are over the age of 50, which leads us to believe there are additional barriers to employment for this group (Jobcentre Plus, 2007) </w:t>
      </w:r>
    </w:p>
    <w:p w14:paraId="4578BF9C" w14:textId="090FAF32" w:rsidR="00984516" w:rsidRDefault="00984516">
      <w:r>
        <w:t xml:space="preserve">The researchers used focus group interviews </w:t>
      </w:r>
      <w:proofErr w:type="gramStart"/>
      <w:r>
        <w:t>in order to</w:t>
      </w:r>
      <w:proofErr w:type="gramEnd"/>
      <w:r>
        <w:t xml:space="preserve"> gather their </w:t>
      </w:r>
      <w:r w:rsidR="0072305F">
        <w:t>data and</w:t>
      </w:r>
      <w:r>
        <w:t xml:space="preserve"> obtained participants by </w:t>
      </w:r>
      <w:r w:rsidR="00A40307">
        <w:t>placing adverts in settings such as libraries and community centres, the authors note that adverts were not placed in jobcentres</w:t>
      </w:r>
      <w:r w:rsidR="00F9505B">
        <w:t>. I</w:t>
      </w:r>
      <w:r w:rsidR="00A40307">
        <w:t>t is not stated if adverts were placed in doctors</w:t>
      </w:r>
      <w:r w:rsidR="002E024D">
        <w:t>’</w:t>
      </w:r>
      <w:r w:rsidR="00A40307">
        <w:t xml:space="preserve"> </w:t>
      </w:r>
      <w:r w:rsidR="00A11055">
        <w:t>surgeries</w:t>
      </w:r>
      <w:r w:rsidR="00A40307">
        <w:t xml:space="preserve"> or mental health drop-in centres</w:t>
      </w:r>
      <w:r w:rsidR="00BD4B71">
        <w:t xml:space="preserve">, which leads us to identify that the self-selecting group of participants may not be a true reflection of the target demographic. </w:t>
      </w:r>
      <w:r w:rsidR="00A40307">
        <w:br/>
      </w:r>
      <w:r w:rsidR="003A33B1">
        <w:t xml:space="preserve">focus groups were chosen due to the </w:t>
      </w:r>
      <w:r w:rsidR="00A40307" w:rsidRPr="003A33B1">
        <w:t>“relatively naturalistic setting in which to study attitudes, but also allows us to explore how individuals’ accounts are ‘articulated, censured, opposed and challenged through social interaction”</w:t>
      </w:r>
      <w:r w:rsidR="003A33B1" w:rsidRPr="003A33B1">
        <w:t xml:space="preserve"> (Loretto and Riach, 2009)</w:t>
      </w:r>
      <w:r w:rsidR="008C522C">
        <w:t xml:space="preserve"> the group discussions (which were facilitated, </w:t>
      </w:r>
      <w:r w:rsidR="00F9505B">
        <w:t xml:space="preserve">although it is </w:t>
      </w:r>
      <w:r w:rsidR="008C522C">
        <w:t>unclear if they were facilitated by one of the researchers or by a</w:t>
      </w:r>
      <w:r w:rsidR="00F9505B">
        <w:t>n independent</w:t>
      </w:r>
      <w:r w:rsidR="008C522C">
        <w:t xml:space="preserve"> third party) were audio recorded, and then transcribed, following which thematic analysis was carried out </w:t>
      </w:r>
      <w:r w:rsidR="008C522C">
        <w:lastRenderedPageBreak/>
        <w:t xml:space="preserve">independently by both researchers, to allow a comparison of identified themes, experiences and subject positions within the data. </w:t>
      </w:r>
    </w:p>
    <w:p w14:paraId="2C1B0823" w14:textId="6F68F81F" w:rsidR="00E71C07" w:rsidRPr="00607903" w:rsidRDefault="00E71C07">
      <w:pPr>
        <w:rPr>
          <w:u w:val="single"/>
        </w:rPr>
      </w:pPr>
      <w:r>
        <w:t xml:space="preserve">The </w:t>
      </w:r>
      <w:r w:rsidR="00C034A5">
        <w:t>research</w:t>
      </w:r>
      <w:r>
        <w:t xml:space="preserve"> focused on identifying the self-identifying characteristics of the group, it was found that all participants identified themselves as ‘workers’ and found it difficult to accept the labels imposed on them due to their age and/or health issues. </w:t>
      </w:r>
      <w:r w:rsidR="00C034A5">
        <w:t xml:space="preserve">The research identified tension between working and </w:t>
      </w:r>
      <w:r w:rsidR="00A21C66">
        <w:t>non-working</w:t>
      </w:r>
      <w:r w:rsidR="00C034A5">
        <w:t xml:space="preserve"> identities, and that the participants reject ‘external gatekeeping’ which categorises them as non-workers or economically inactive </w:t>
      </w:r>
      <w:bookmarkStart w:id="0" w:name="_Hlk194672622"/>
      <w:r w:rsidR="00C034A5" w:rsidRPr="00C034A5">
        <w:t>(Loretto and Riach, 2009)</w:t>
      </w:r>
      <w:bookmarkEnd w:id="0"/>
      <w:r w:rsidR="00F3465F">
        <w:t>.</w:t>
      </w:r>
    </w:p>
    <w:p w14:paraId="4BE7A930" w14:textId="524D7720" w:rsidR="000C44F0" w:rsidRDefault="001D3629" w:rsidP="001D3629">
      <w:pPr>
        <w:pStyle w:val="Heading2"/>
        <w:rPr>
          <w:color w:val="FF0000"/>
        </w:rPr>
      </w:pPr>
      <w:r>
        <w:t xml:space="preserve">4. </w:t>
      </w:r>
      <w:r w:rsidR="00607903" w:rsidRPr="00A11055">
        <w:t>Data collection methods</w:t>
      </w:r>
    </w:p>
    <w:p w14:paraId="4AEC394B" w14:textId="33916257" w:rsidR="00C40A15" w:rsidRPr="00C40A15" w:rsidRDefault="00C40A15" w:rsidP="000C44F0">
      <w:r>
        <w:t xml:space="preserve">The data was collected through focus groups, transcribed and then then thematically analysed, with discourse analysis carried out. Discourse analysis is required due to the group nature of the data capture, although there are concerns as to the integrity of data collected in this way </w:t>
      </w:r>
      <w:r w:rsidRPr="00C40A15">
        <w:t>(Braun and Clarke, 2006)</w:t>
      </w:r>
      <w:r>
        <w:t xml:space="preserve">. There remains a risk </w:t>
      </w:r>
      <w:proofErr w:type="gramStart"/>
      <w:r>
        <w:t>of  more</w:t>
      </w:r>
      <w:proofErr w:type="gramEnd"/>
      <w:r>
        <w:t xml:space="preserve"> dominant personalities overshadowing more reserved participants </w:t>
      </w:r>
      <w:r w:rsidRPr="00C40A15">
        <w:t>(Montell, 1999)</w:t>
      </w:r>
      <w:r>
        <w:t xml:space="preserve"> and the fact that the discourse was transcribed as a whole, without annotation to identify individual contributors could also lead to errors in analysis, where despite there being </w:t>
      </w:r>
      <w:r w:rsidR="00F9505B">
        <w:t>sixty-six</w:t>
      </w:r>
      <w:r>
        <w:t xml:space="preserve"> participants, it is unclear how many ‘voices’ are truly contained within the thematic analysis and results. We cannot state that there were any errors made in analysis, although we must be wary that </w:t>
      </w:r>
      <w:r w:rsidR="00582436">
        <w:t xml:space="preserve">the results may not be a true reflection of the participants views and identity formation </w:t>
      </w:r>
      <w:r w:rsidR="00582436" w:rsidRPr="00582436">
        <w:t>(Arksey and O’Malley, 2005)</w:t>
      </w:r>
      <w:r w:rsidR="00582436">
        <w:t>.</w:t>
      </w:r>
    </w:p>
    <w:p w14:paraId="7A2EBF76" w14:textId="601D1459" w:rsidR="000C44F0" w:rsidRPr="00923FA4" w:rsidRDefault="00582436" w:rsidP="000C44F0">
      <w:r w:rsidRPr="00582436">
        <w:t>When we consider the method of data collection, and the interpretation of the results we must query if the conclusions drawn from the data are justified, or if there is an issue of researcher bias and pre-conceived ideas of</w:t>
      </w:r>
      <w:r>
        <w:t xml:space="preserve"> the participants views. We must also consider that the study was commissioned by Scottish Government, and therefore the</w:t>
      </w:r>
      <w:r w:rsidR="00F9505B">
        <w:t>re</w:t>
      </w:r>
      <w:r>
        <w:t xml:space="preserve"> may be issues of </w:t>
      </w:r>
      <w:r w:rsidR="00923FA4">
        <w:t xml:space="preserve">selective coding, the researchers have not detailed any action they took to mitigate selective coding or confirmation bias, for example transparent documentation of transcripts, coding and </w:t>
      </w:r>
      <w:r w:rsidR="00F9505B">
        <w:t xml:space="preserve">their </w:t>
      </w:r>
      <w:r w:rsidR="00923FA4">
        <w:t xml:space="preserve">results </w:t>
      </w:r>
      <w:r w:rsidR="00923FA4" w:rsidRPr="00923FA4">
        <w:t>(Dumont et al., 2003)</w:t>
      </w:r>
      <w:r w:rsidR="00923FA4">
        <w:t>.</w:t>
      </w:r>
    </w:p>
    <w:p w14:paraId="7CBB6BC0" w14:textId="2566E096" w:rsidR="00E419B6" w:rsidRPr="005E051F" w:rsidRDefault="000C44F0" w:rsidP="000C44F0">
      <w:r w:rsidRPr="001D3629">
        <w:rPr>
          <w:rStyle w:val="Heading2Char"/>
        </w:rPr>
        <w:t xml:space="preserve"> </w:t>
      </w:r>
      <w:r w:rsidR="001D3629">
        <w:rPr>
          <w:rStyle w:val="Heading2Char"/>
        </w:rPr>
        <w:t xml:space="preserve">5. </w:t>
      </w:r>
      <w:r w:rsidRPr="001D3629">
        <w:rPr>
          <w:rStyle w:val="Heading2Char"/>
        </w:rPr>
        <w:t>Contribution to the field</w:t>
      </w:r>
      <w:r w:rsidR="00A61D28">
        <w:rPr>
          <w:u w:val="single"/>
        </w:rPr>
        <w:br/>
      </w:r>
      <w:r w:rsidR="00A61D28">
        <w:rPr>
          <w:u w:val="single"/>
        </w:rPr>
        <w:br/>
      </w:r>
      <w:r w:rsidR="00A61D28" w:rsidRPr="00A61D28">
        <w:t>The researchers provide details of their literature review, and acknowledge that there is limited research available that focuses on the specific phenomenon of the construction and maintenance of professional identity, especially a</w:t>
      </w:r>
      <w:r w:rsidR="00F9505B">
        <w:t>m</w:t>
      </w:r>
      <w:r w:rsidR="00A61D28" w:rsidRPr="00A61D28">
        <w:t>ong those who are not currently in paid employment</w:t>
      </w:r>
      <w:r w:rsidR="00CD4E94">
        <w:t xml:space="preserve">, they reference Gallie and Marsh (1998) who identified that psychological tenets are important to individuals in relation the their self-visualised identity, and that identifying one-self as unemployed is often seen unfavourably, regardless of the reasons for the unemployed status </w:t>
      </w:r>
      <w:r w:rsidR="00CD4E94" w:rsidRPr="00CD4E94">
        <w:t>(</w:t>
      </w:r>
      <w:proofErr w:type="spellStart"/>
      <w:r w:rsidR="00CD4E94" w:rsidRPr="00CD4E94">
        <w:t>Hiswåls</w:t>
      </w:r>
      <w:proofErr w:type="spellEnd"/>
      <w:r w:rsidR="00CD4E94" w:rsidRPr="00CD4E94">
        <w:t>, 2017)</w:t>
      </w:r>
      <w:r w:rsidR="00CD4E94">
        <w:t>.</w:t>
      </w:r>
      <w:r w:rsidR="00B47008">
        <w:t xml:space="preserve"> The study provides an insight to the real-time paradigms of a specific small sub-group, being unemployed and within the required target age range. We must acknowledge that small scale studies </w:t>
      </w:r>
      <w:r w:rsidR="00B47008">
        <w:lastRenderedPageBreak/>
        <w:t xml:space="preserve">like this cannot expect to provide a reflection of the larger demographic. </w:t>
      </w:r>
      <w:r w:rsidR="00B47008">
        <w:br/>
      </w:r>
      <w:r w:rsidR="00B47008">
        <w:br/>
        <w:t xml:space="preserve">Based on the above, it is arguable that the study provides a valuable contribution to the field, even simply for the fact that it brings awareness of embedded concepts of self and employability, raises issues of ‘aging out’ of the workplace </w:t>
      </w:r>
      <w:r w:rsidR="00B47008" w:rsidRPr="00B47008">
        <w:t>(</w:t>
      </w:r>
      <w:proofErr w:type="spellStart"/>
      <w:r w:rsidR="00B47008" w:rsidRPr="00B47008">
        <w:t>Takeuhi</w:t>
      </w:r>
      <w:proofErr w:type="spellEnd"/>
      <w:r w:rsidR="00B47008" w:rsidRPr="00B47008">
        <w:t xml:space="preserve"> and Katagiri, 2024)</w:t>
      </w:r>
      <w:r w:rsidR="00B47008">
        <w:t>, and asks further questions that could be addressed by future research.</w:t>
      </w:r>
    </w:p>
    <w:p w14:paraId="201ABF4B" w14:textId="3EDC0597" w:rsidR="000C44F0" w:rsidRDefault="00E419B6" w:rsidP="000C44F0">
      <w:r w:rsidRPr="00E419B6">
        <w:t xml:space="preserve">The study offers some originality, by combining past research into self-identity, identity through work and validation as a contributing member of society with targeted research into the world views and </w:t>
      </w:r>
      <w:r w:rsidR="001363A0">
        <w:t xml:space="preserve">the </w:t>
      </w:r>
      <w:r w:rsidRPr="00E419B6">
        <w:t>paradigm of ‘escaping imposed identities’ of the target subject group (McCall, 2005).</w:t>
      </w:r>
      <w:r>
        <w:rPr>
          <w:u w:val="single"/>
        </w:rPr>
        <w:br/>
      </w:r>
      <w:r>
        <w:br/>
        <w:t>When considering the political landscape, and planned changes to welfare benefits at the time of publishing (2009), the research was highly relevant</w:t>
      </w:r>
      <w:r w:rsidR="006B06DF">
        <w:t xml:space="preserve"> </w:t>
      </w:r>
      <w:r w:rsidR="006B06DF" w:rsidRPr="006B06DF">
        <w:t>(Keskinen, 2016)</w:t>
      </w:r>
      <w:r>
        <w:t xml:space="preserve">, and </w:t>
      </w:r>
      <w:r w:rsidR="006B06DF">
        <w:t xml:space="preserve">the views of the participants are clearly presented through quotations as well as the authors summary, and </w:t>
      </w:r>
      <w:r w:rsidR="00511E93">
        <w:t xml:space="preserve">issues experienced by claimants were highlighted, including the perceived financial penalties and administrative issues imposed for taking on temporary or part time work, and barriers to ‘chance taking’ or ‘testing the water’ due to loss of benefit, as well as </w:t>
      </w:r>
      <w:r w:rsidR="0035210E">
        <w:t xml:space="preserve">the loss of power (over their own situation) experienced by claimants, particularly those in receipt of Incapacity benefit. It was also noted that the participants acknowledge that JCP (Job Centre Plus) staff have limited </w:t>
      </w:r>
      <w:r w:rsidR="001363A0">
        <w:t>power and</w:t>
      </w:r>
      <w:r w:rsidR="0035210E">
        <w:t xml:space="preserve"> are ‘merely’ operating as the ‘face’ of a ‘disembodied bureaucratic process’ </w:t>
      </w:r>
      <w:r w:rsidR="0035210E" w:rsidRPr="0035210E">
        <w:t>(Loretto and Riach, 2009)</w:t>
      </w:r>
      <w:r w:rsidR="0035210E">
        <w:t>.</w:t>
      </w:r>
    </w:p>
    <w:p w14:paraId="0B673236" w14:textId="19CF415B" w:rsidR="0035210E" w:rsidRDefault="0035210E" w:rsidP="000C44F0">
      <w:r>
        <w:t xml:space="preserve">The research </w:t>
      </w:r>
      <w:r w:rsidR="00A85160">
        <w:t xml:space="preserve">continues to be pertinent to contemporary scholarship, especially considering ongoing welfare reforms and the implementation of the universal credit system, which has supplanted the welfare benefits featured in this study </w:t>
      </w:r>
      <w:r w:rsidR="00A85160" w:rsidRPr="00A85160">
        <w:t>(Wickham, 2020)</w:t>
      </w:r>
      <w:r w:rsidR="00A85160">
        <w:t>.</w:t>
      </w:r>
    </w:p>
    <w:p w14:paraId="391A8129" w14:textId="77777777" w:rsidR="004E362C" w:rsidRDefault="00FC1C08" w:rsidP="000C44F0">
      <w:r>
        <w:t xml:space="preserve">Current trends in the field of </w:t>
      </w:r>
      <w:r w:rsidR="004E362C">
        <w:t>self-identity, work and welfare benefits</w:t>
      </w:r>
      <w:r>
        <w:t xml:space="preserve"> research include </w:t>
      </w:r>
      <w:r w:rsidR="004E362C">
        <w:t xml:space="preserve">the 2023 paper by </w:t>
      </w:r>
      <w:r w:rsidR="004E362C" w:rsidRPr="004E362C">
        <w:t>Claudia Manzi</w:t>
      </w:r>
      <w:r w:rsidR="004E362C">
        <w:t xml:space="preserve"> which identifies and emphasises the importance of individuals holding multiple self-identifying views, </w:t>
      </w:r>
      <w:proofErr w:type="gramStart"/>
      <w:r w:rsidR="004E362C">
        <w:t>in order to</w:t>
      </w:r>
      <w:proofErr w:type="gramEnd"/>
      <w:r w:rsidR="004E362C">
        <w:t xml:space="preserve"> maximise wellbeing </w:t>
      </w:r>
      <w:r w:rsidR="004E362C" w:rsidRPr="004E362C">
        <w:t xml:space="preserve">(Manzi, </w:t>
      </w:r>
      <w:proofErr w:type="spellStart"/>
      <w:r w:rsidR="004E362C" w:rsidRPr="004E362C">
        <w:t>Paderi</w:t>
      </w:r>
      <w:proofErr w:type="spellEnd"/>
      <w:r w:rsidR="004E362C" w:rsidRPr="004E362C">
        <w:t xml:space="preserve"> and Benet</w:t>
      </w:r>
      <w:r w:rsidR="004E362C" w:rsidRPr="004E362C">
        <w:rPr>
          <w:rFonts w:ascii="Cambria Math" w:hAnsi="Cambria Math" w:cs="Cambria Math"/>
        </w:rPr>
        <w:t>‐</w:t>
      </w:r>
      <w:r w:rsidR="004E362C" w:rsidRPr="004E362C">
        <w:t>Martinez, 2023)</w:t>
      </w:r>
      <w:r w:rsidR="004E362C">
        <w:t xml:space="preserve"> and the </w:t>
      </w:r>
      <w:r w:rsidR="004E362C" w:rsidRPr="004E362C">
        <w:t>Alfrey (2023)</w:t>
      </w:r>
      <w:r w:rsidR="004E362C">
        <w:t xml:space="preserve"> paper in which self-identity as a trigger for behaviour is explored. </w:t>
      </w:r>
    </w:p>
    <w:p w14:paraId="3A57CCE2" w14:textId="341FFED7" w:rsidR="00607903" w:rsidRDefault="00EA0EBA" w:rsidP="000C44F0">
      <w:r w:rsidRPr="00EA0EBA">
        <w:t xml:space="preserve">In 2019 </w:t>
      </w:r>
      <w:r>
        <w:t xml:space="preserve">the BMJ Open </w:t>
      </w:r>
      <w:r w:rsidRPr="00EA0EBA">
        <w:t xml:space="preserve">published research in which they identified the “profoundly detrimental impact which UC was having on vulnerable claimants, including people with long term health conditions and disabilities, their financial resilience and employment prospects. The UC claims process was experienced as complicated, difficult to navigate, hostile and demeaning” </w:t>
      </w:r>
      <w:r>
        <w:t>(</w:t>
      </w:r>
      <w:r w:rsidRPr="00EA0EBA">
        <w:t xml:space="preserve">Cheetham M, Wiseman A, </w:t>
      </w:r>
      <w:proofErr w:type="spellStart"/>
      <w:r w:rsidRPr="00EA0EBA">
        <w:t>Khazaeli</w:t>
      </w:r>
      <w:proofErr w:type="spellEnd"/>
      <w:r w:rsidRPr="00EA0EBA">
        <w:t xml:space="preserve"> B, Gibson E, Gray P, Van Der Graaf P, and </w:t>
      </w:r>
      <w:proofErr w:type="spellStart"/>
      <w:r w:rsidRPr="00EA0EBA">
        <w:t>Rushmer</w:t>
      </w:r>
      <w:proofErr w:type="spellEnd"/>
      <w:r w:rsidRPr="00EA0EBA">
        <w:t xml:space="preserve"> R.</w:t>
      </w:r>
      <w:r>
        <w:t xml:space="preserve">,2019) – this leads us to believe that despite issues with the management of welfare benefits and treatment of claimants spanning several years, the recommended changes have not been implemented, and </w:t>
      </w:r>
      <w:r>
        <w:lastRenderedPageBreak/>
        <w:t xml:space="preserve">conditions for claimants may be worsening, on this basis it is arguable that the research remains relevant, and that further research would be valuable in </w:t>
      </w:r>
      <w:r w:rsidR="00A302CE">
        <w:t>this area.</w:t>
      </w:r>
      <w:r>
        <w:t xml:space="preserve"> </w:t>
      </w:r>
    </w:p>
    <w:p w14:paraId="54DA199E" w14:textId="36799F97" w:rsidR="00911BB7" w:rsidRPr="00EA0EBA" w:rsidRDefault="00911BB7" w:rsidP="000C44F0">
      <w:r>
        <w:t xml:space="preserve">In considering the limitations to the study, the authors acknowledge that the self-selecting nature of the participants limit the scope of research. Although </w:t>
      </w:r>
      <w:r w:rsidR="00D7286D">
        <w:t xml:space="preserve">the authors discuss that the participants are from a </w:t>
      </w:r>
      <w:r w:rsidR="00973F06">
        <w:t>diverse range of employment backgrounds, there is no data to show their wider socio-economic backgrounds, or highest level of educational attainment, these being known factors that can impact the self-identity of individuals</w:t>
      </w:r>
      <w:r w:rsidR="00023EC9">
        <w:t xml:space="preserve"> </w:t>
      </w:r>
      <w:r w:rsidR="00023EC9" w:rsidRPr="00023EC9">
        <w:t>(Acosta-Gonzaga, 2023)</w:t>
      </w:r>
      <w:r w:rsidR="00023EC9">
        <w:t xml:space="preserve">. </w:t>
      </w:r>
      <w:r w:rsidR="00023EC9">
        <w:br/>
      </w:r>
      <w:r w:rsidR="00023EC9">
        <w:br/>
        <w:t xml:space="preserve">The participants of the study comprised 54 men and 12 women, the fact that it is not a balanced sample may also be a limiting factor, as </w:t>
      </w:r>
      <w:r w:rsidR="00D84B09">
        <w:t xml:space="preserve">it is widely acknowledged that occupational roles and work status  can significantly affect sense of masculinity and self-worth in males </w:t>
      </w:r>
      <w:r w:rsidR="00D84B09" w:rsidRPr="00D84B09">
        <w:t>(</w:t>
      </w:r>
      <w:proofErr w:type="spellStart"/>
      <w:r w:rsidR="00D84B09" w:rsidRPr="00D84B09">
        <w:t>Giazitzoglu</w:t>
      </w:r>
      <w:proofErr w:type="spellEnd"/>
      <w:r w:rsidR="00D84B09" w:rsidRPr="00D84B09">
        <w:t>, 2024)</w:t>
      </w:r>
      <w:r w:rsidR="00D84B09">
        <w:t xml:space="preserve"> the connection between work and self-worth can be muti-faceted and complex, and has been the focus of several studies, including </w:t>
      </w:r>
      <w:r w:rsidR="008503FF">
        <w:t xml:space="preserve">those by </w:t>
      </w:r>
      <w:r w:rsidR="008503FF" w:rsidRPr="008503FF">
        <w:t>Collinson, D.L. and Hearn, J. (2012)</w:t>
      </w:r>
      <w:r w:rsidR="008503FF">
        <w:t xml:space="preserve"> and the 2004 article by Simpson, which found that men working in female dominant professions “</w:t>
      </w:r>
      <w:r w:rsidR="008503FF" w:rsidRPr="008503FF">
        <w:t>benefit from their minority status through assumptions of enhanced leadership</w:t>
      </w:r>
      <w:r w:rsidR="008503FF">
        <w:t>” and yet “</w:t>
      </w:r>
      <w:r w:rsidR="008503FF" w:rsidRPr="008503FF">
        <w:t>adopt a variety of strategies to re-establish a masculinity that has been undermined by the ‘feminine‘ nature of their work. These include re-labelling, status enhancement and distancing from the feminine</w:t>
      </w:r>
      <w:r w:rsidR="008503FF">
        <w:t xml:space="preserve">” </w:t>
      </w:r>
      <w:r w:rsidR="008503FF" w:rsidRPr="008503FF">
        <w:t>(Simpson, 2004)</w:t>
      </w:r>
      <w:r w:rsidR="008503FF">
        <w:t xml:space="preserve">. </w:t>
      </w:r>
    </w:p>
    <w:p w14:paraId="2592BF43" w14:textId="74D01622" w:rsidR="00BD4B71" w:rsidRDefault="001D3629" w:rsidP="001D3629">
      <w:pPr>
        <w:pStyle w:val="Heading2"/>
      </w:pPr>
      <w:r>
        <w:t xml:space="preserve">6. </w:t>
      </w:r>
      <w:r w:rsidR="00607903" w:rsidRPr="00607903">
        <w:t>Ethical considerations</w:t>
      </w:r>
    </w:p>
    <w:p w14:paraId="58E2F2D8" w14:textId="7C6F40B5" w:rsidR="00A06AC6" w:rsidRDefault="009A4D34" w:rsidP="00607903">
      <w:r w:rsidRPr="009A4D34">
        <w:t>Within the article, no reference is made to the ethical considerations made by the authors,</w:t>
      </w:r>
      <w:r>
        <w:rPr>
          <w:u w:val="single"/>
        </w:rPr>
        <w:t xml:space="preserve"> </w:t>
      </w:r>
      <w:r w:rsidRPr="009A4D34">
        <w:t xml:space="preserve">or that any action was taken to ensure the safety and emotional wellbeing of the participants, both during and following the study. </w:t>
      </w:r>
      <w:r>
        <w:t xml:space="preserve">The authors </w:t>
      </w:r>
      <w:r w:rsidR="00A06AC6">
        <w:t xml:space="preserve">state that the research project was commissioned by Scottish Enterprise, described as Scotland’s’ principal economic development agency, although there is no disclosure of the identity of Scottish Enterprise as an agency funded by Scottish government, therefore closely connected to the DWP </w:t>
      </w:r>
      <w:r w:rsidR="00A06AC6" w:rsidRPr="00A06AC6">
        <w:t>(Scottish Enterprise, no date)</w:t>
      </w:r>
      <w:r w:rsidR="00A06AC6">
        <w:t xml:space="preserve"> – this could lead to issues of bias, both within the study and in reporting of the data.</w:t>
      </w:r>
    </w:p>
    <w:p w14:paraId="12C81ED6" w14:textId="6049F6B8" w:rsidR="00A06AC6" w:rsidRDefault="00A06AC6" w:rsidP="00607903">
      <w:r>
        <w:t>It is important to recognise that Researcher bias may be a factor</w:t>
      </w:r>
      <w:r w:rsidR="00F3465F">
        <w:t xml:space="preserve"> in how the data is presented, the researchers use inverted commas to present phrases such as ‘innovative employment programs’ and refer repeatedly to ‘rhetoric’ – leading the reader towards the view that the government policies and statistics are skewed to present an unfavourable view of the older unemployed.</w:t>
      </w:r>
    </w:p>
    <w:p w14:paraId="1F191868" w14:textId="2658C1BC" w:rsidR="00A06AC6" w:rsidRDefault="00A06AC6" w:rsidP="00607903">
      <w:r>
        <w:t>Sampling bias</w:t>
      </w:r>
      <w:r w:rsidR="00F3465F">
        <w:t xml:space="preserve"> may be an issue within the research, and this is acknowledged by the researchers </w:t>
      </w:r>
      <w:r w:rsidR="00F3465F" w:rsidRPr="00F3465F">
        <w:t>(Loretto and Riach, 2009)</w:t>
      </w:r>
      <w:r w:rsidR="00C57E85">
        <w:t xml:space="preserve"> as they obtained their participants through targeted advertisements in newspapers, libraries and community venues and this could lead to self-exclusion by </w:t>
      </w:r>
      <w:proofErr w:type="gramStart"/>
      <w:r w:rsidR="00C57E85">
        <w:t>a number of</w:t>
      </w:r>
      <w:proofErr w:type="gramEnd"/>
      <w:r w:rsidR="00C57E85">
        <w:t xml:space="preserve"> possible qualifying participants, due to lack of </w:t>
      </w:r>
      <w:r w:rsidR="00C57E85">
        <w:lastRenderedPageBreak/>
        <w:t xml:space="preserve">community engagement or access to these locations. The individuals </w:t>
      </w:r>
      <w:r w:rsidR="00B46F35">
        <w:t>self-selected and</w:t>
      </w:r>
      <w:r w:rsidR="00C57E85">
        <w:t xml:space="preserve"> would have needed to have the capability and confidence to contact the research team and sign up. This could exclude the less literate, digitally excluded or those who have another factor which could make this level of engagement difficult, for example those with a language barrier or learning difficulties</w:t>
      </w:r>
      <w:r w:rsidR="00B46F35">
        <w:t xml:space="preserve">, the self-motivation required in order to volunteer for the research project may have fed into the fact that all participants were interested in discussing employability, and that only a quarter of participants has been out of work for more than 3 years. All participants retained a sense of self identity as workers, and there is no differentiation between those who have left work due to illness or poor health, or those that have left for other reasons, for example redundancy or closure of own company. It may have been valuable to </w:t>
      </w:r>
      <w:r w:rsidR="008A5651">
        <w:t>present the sample both as a whole and broken down by Incapacity Benefit (IB) and Jobseeker Allowance (JSA) claimants, as their paradigms and self-image may differ.</w:t>
      </w:r>
    </w:p>
    <w:p w14:paraId="2756BDD9" w14:textId="2585D4E4" w:rsidR="008A5651" w:rsidRDefault="008A5651" w:rsidP="00607903">
      <w:r>
        <w:t>While the researchers state that the focus group method of obtaining data was chosen to allow exploration of how individual accounts are “articulated, censured, opposed and challenged through social interaction” ((</w:t>
      </w:r>
      <w:proofErr w:type="spellStart"/>
      <w:r>
        <w:t>kitzinger</w:t>
      </w:r>
      <w:proofErr w:type="spellEnd"/>
      <w:r>
        <w:t xml:space="preserve"> and Barbour, 1999 p.5 ) </w:t>
      </w:r>
      <w:r w:rsidR="00242316">
        <w:t xml:space="preserve">within </w:t>
      </w:r>
      <w:r w:rsidRPr="00C034A5">
        <w:t>Loretto and Riach, 2009)</w:t>
      </w:r>
      <w:r w:rsidR="00242316">
        <w:t xml:space="preserve"> while this is  valid argument for the method selected, it may have been more valuable to carry out a mixed methods study, with each participant completing a blind questionnaire or feedback form, as there is a risk of ‘Groupthink’ occurring, and the group mentality overshadowing smaller or lesser voices or views </w:t>
      </w:r>
      <w:r w:rsidR="00242316" w:rsidRPr="00242316">
        <w:t>(Callaway and Esser, 1984)</w:t>
      </w:r>
      <w:r w:rsidR="00242316">
        <w:t>. Groupthink is a known problematical phenomenon identified by Irving Janis, it can lead to “</w:t>
      </w:r>
      <w:r w:rsidR="00242316" w:rsidRPr="00242316">
        <w:t>mode of thinking where a group's desire for unanimity overrides a realistic appraisal of alternatives</w:t>
      </w:r>
      <w:r w:rsidR="00242316">
        <w:t xml:space="preserve">” </w:t>
      </w:r>
      <w:r w:rsidR="00242316" w:rsidRPr="00242316">
        <w:t>(Janis and Mann, 1978)</w:t>
      </w:r>
      <w:r w:rsidR="00242316">
        <w:t>. – the researchers do not acknowledge the risks of groupthink or consider any alternatives to their data collection method.</w:t>
      </w:r>
    </w:p>
    <w:p w14:paraId="6B0B8E0F" w14:textId="705F2613" w:rsidR="00A06AC6" w:rsidRDefault="008240C9" w:rsidP="00607903">
      <w:r>
        <w:t xml:space="preserve">Confirmation Bias may be a problem in delivery of the data, </w:t>
      </w:r>
      <w:r w:rsidR="005722D5">
        <w:t xml:space="preserve">the quoted </w:t>
      </w:r>
      <w:r>
        <w:t>statistics show that the over 50s suffer multiple disadvantages in the employment market, due to age and disability status, and the researchers state that one of their objectives is to critique the assumptions made about identity and older workers in policy making</w:t>
      </w:r>
      <w:r w:rsidR="005722D5">
        <w:t xml:space="preserve">, </w:t>
      </w:r>
      <w:r w:rsidR="00920462">
        <w:t>there is a risk that the reliability and validity of the study has been compromised by the researchers, as there is limited contrasting data or opposing research presented within the body of the article.</w:t>
      </w:r>
      <w:r w:rsidR="003C275F">
        <w:t xml:space="preserve"> The thematic analysis, which leads to inductive reasoning can further any confirmation bias that may be present, due to the gradual accumulation of evidence that supports a view or agenda.</w:t>
      </w:r>
    </w:p>
    <w:p w14:paraId="3B4CCFF9" w14:textId="3B89DAC5" w:rsidR="00607903" w:rsidRDefault="008240C9" w:rsidP="00607903">
      <w:r>
        <w:t xml:space="preserve">The data has been interpreted by </w:t>
      </w:r>
      <w:r w:rsidR="00BA40CD">
        <w:t xml:space="preserve">thematic analysis of anonymised transcripts, these independently analysed by each researcher and the findings then cross referenced to identify key themes. There are always possible risks of the researcher unconsciously favouring certain themes, or overlooking certain elements which do not fit pre-conceived notions. The fact that the data has been independently analysed by each </w:t>
      </w:r>
      <w:r w:rsidR="00BA40CD">
        <w:lastRenderedPageBreak/>
        <w:t xml:space="preserve">researcher should negate some of this risk. </w:t>
      </w:r>
      <w:r w:rsidR="00607903" w:rsidRPr="00607903">
        <w:rPr>
          <w:u w:val="single"/>
        </w:rPr>
        <w:br/>
      </w:r>
      <w:r w:rsidR="00607903" w:rsidRPr="00607903">
        <w:rPr>
          <w:u w:val="single"/>
        </w:rPr>
        <w:br/>
      </w:r>
      <w:r w:rsidR="001D3629">
        <w:rPr>
          <w:rStyle w:val="Heading2Char"/>
        </w:rPr>
        <w:t xml:space="preserve">7. </w:t>
      </w:r>
      <w:r w:rsidR="00607903" w:rsidRPr="001D3629">
        <w:rPr>
          <w:rStyle w:val="Heading2Char"/>
        </w:rPr>
        <w:t xml:space="preserve">Conclusion </w:t>
      </w:r>
    </w:p>
    <w:p w14:paraId="3A40BE73" w14:textId="223CCB17" w:rsidR="005E051F" w:rsidRDefault="00763B38" w:rsidP="00607903">
      <w:r>
        <w:t>This critical analysis set out to examine, evaluate and assess the strengths and limitations of the article ‘</w:t>
      </w:r>
      <w:r w:rsidR="00A11055">
        <w:t>I</w:t>
      </w:r>
      <w:r>
        <w:t xml:space="preserve">dentity work and the unemployed worker: age, disability and the lived experience of the older unemployed’ (2009) by Loretto and Riach. The aim of the critical analysis was to examine the </w:t>
      </w:r>
      <w:r w:rsidRPr="00763B38">
        <w:t>methodological approach, key findings, and overall contribution to the field</w:t>
      </w:r>
      <w:r>
        <w:t xml:space="preserve"> of research, including exploring the ethical implications of the study and identifying missed opportunities for analysis. </w:t>
      </w:r>
      <w:r>
        <w:br/>
      </w:r>
      <w:r>
        <w:br/>
        <w:t>The study comprised focus groups of older unemployed, and included self-selecting participants, the majority of these being male, and all self-identifying as ‘workers</w:t>
      </w:r>
      <w:proofErr w:type="gramStart"/>
      <w:r>
        <w:t>’ ,</w:t>
      </w:r>
      <w:proofErr w:type="gramEnd"/>
      <w:r>
        <w:t xml:space="preserve"> despite being out of paid employment due to health or job loss. </w:t>
      </w:r>
    </w:p>
    <w:p w14:paraId="6FA56AB0" w14:textId="28EE77A8" w:rsidR="00607903" w:rsidRDefault="00763B38" w:rsidP="00607903">
      <w:r>
        <w:t>Key issues identified during the critical analysis include the issue of self-selection, and the lack of exploration around the participants wider backgrounds, the self-selecting panel skews the data, as the participants have all professed their willingness to be included, and therefore their paradigms and lived experience may be widely different to individuals who are not in employment, but would be unwilling to take part in the study.</w:t>
      </w:r>
      <w:r>
        <w:br/>
        <w:t xml:space="preserve">There is no exploration of ethnic background or highest level of educational attainment, both factors which can lead to issues with employment opportunities. </w:t>
      </w:r>
    </w:p>
    <w:p w14:paraId="78B37281" w14:textId="2EE368A5" w:rsidR="004C630C" w:rsidRDefault="004C630C" w:rsidP="00607903">
      <w:r>
        <w:t xml:space="preserve">There is no information relating to the ethical considerations carried out by the researchers, and this is an issue and there is no evidence that the study has considered the rights, safety and dignity of the participants. There is no evidence that additional processes were put in place to ensure the comfort and safety of the participants who disclosed health issues, and no mention of any aftercare put in place should participants feel distressed following discussion of potentially distressing topics. </w:t>
      </w:r>
    </w:p>
    <w:p w14:paraId="544BE39E" w14:textId="72636196" w:rsidR="004C630C" w:rsidRDefault="004C630C" w:rsidP="00607903">
      <w:r>
        <w:t>During the analysis I identified that the method of collecting data may be flawed, due to the phenomenon of ‘groupthink’ and the risk of more dominant voices overshadowing other participants, it may have been more appropriate to collect the data using a mixed method, by using a pre</w:t>
      </w:r>
      <w:r w:rsidR="00B161A4">
        <w:t xml:space="preserve"> or post focus group survey in order to ensure that all participants are able to provide their views, without risk of outside influence. An alternative mixed method would be by collecting data from a wider pool of participants via </w:t>
      </w:r>
      <w:proofErr w:type="gramStart"/>
      <w:r w:rsidR="00B161A4">
        <w:t>survey, and</w:t>
      </w:r>
      <w:proofErr w:type="gramEnd"/>
      <w:r w:rsidR="00B161A4">
        <w:t xml:space="preserve"> comparing this to the data from the focus groups, to identify if the results share any similarities or marked differences. </w:t>
      </w:r>
    </w:p>
    <w:p w14:paraId="4602197C" w14:textId="5E4217F9" w:rsidR="00B161A4" w:rsidRDefault="00B161A4" w:rsidP="00607903">
      <w:r>
        <w:t xml:space="preserve">The study was commissioned by Scottish Enterprise, with the </w:t>
      </w:r>
      <w:proofErr w:type="gramStart"/>
      <w:r>
        <w:t>ultimate aim</w:t>
      </w:r>
      <w:proofErr w:type="gramEnd"/>
      <w:r>
        <w:t xml:space="preserve"> of the data being using to shape policy, and in the hope that policy formation would be designed in such a way as to assist the disadvantaged group of over 50s in trialling, taking on and </w:t>
      </w:r>
      <w:r>
        <w:lastRenderedPageBreak/>
        <w:t xml:space="preserve">securing employment. It is notable that as the study was commissioned by Scottish enterprise, this should have been disclosed as a potential bias factor. </w:t>
      </w:r>
    </w:p>
    <w:p w14:paraId="679721CF" w14:textId="63106126" w:rsidR="00B161A4" w:rsidRDefault="00B161A4" w:rsidP="00607903">
      <w:r>
        <w:t>If the research is used in future policy making, it may be only of dubious benefit, the researchers identify the phenomenon of self-identity and the issues of being out of work, but also point to the fact that participants disclose that while work may be available to them, they do not always feel the work is appropriate for their skill-set (being ‘beneath’ them) or fitting of their past experiences and qualifications, this lends truth to the rhetoric that there are ‘jobs for those that want them’ and leads us to the conclusion that participants may be willingly unemployed</w:t>
      </w:r>
      <w:r w:rsidR="00A11055">
        <w:t xml:space="preserve"> through self-exclusion</w:t>
      </w:r>
      <w:r>
        <w:t xml:space="preserve">, rather than unwillingly unemployed. There is also a conflict between the importance of maintaining a ‘working identity’ and the unwillingness to take jobs that may be perceived to have a lower social status. </w:t>
      </w:r>
    </w:p>
    <w:p w14:paraId="13A90228" w14:textId="1DA83845" w:rsidR="00A11055" w:rsidRDefault="00A11055" w:rsidP="00607903">
      <w:r>
        <w:t xml:space="preserve">In conclusion, the researchers call for an attitude shift towards unemployment; moving to a social model and putting the onus back on society and the government to support individuals in their self-identity and work conflict, rather that treating the issues at an individual level, and expecting the unemployed individual to self-manage themselves back into employment. The authors also call for more responsibility to fall on employers to offer roles to those who may be at a disadvantage in the jobs market. </w:t>
      </w:r>
    </w:p>
    <w:p w14:paraId="614C1BEA" w14:textId="25B02572" w:rsidR="00A11055" w:rsidRDefault="00A11055" w:rsidP="00607903">
      <w:r>
        <w:t xml:space="preserve">The article provides detailed exploration of the world views of the </w:t>
      </w:r>
      <w:proofErr w:type="gramStart"/>
      <w:r>
        <w:t>participants, and</w:t>
      </w:r>
      <w:proofErr w:type="gramEnd"/>
      <w:r>
        <w:t xml:space="preserve"> acknowledge that this may not be an accurate representation of the target group as a whole, </w:t>
      </w:r>
      <w:proofErr w:type="gramStart"/>
      <w:r>
        <w:t>It</w:t>
      </w:r>
      <w:proofErr w:type="gramEnd"/>
      <w:r>
        <w:t xml:space="preserve"> appears that the research comprises a valuable contribution to the field, and gives opportunities to expand on the subject, through further data collection. In contrast, an exploration of how or if suggested changes are implemented by policy makers would provide an interesting juxtaposition to the data.</w:t>
      </w:r>
    </w:p>
    <w:p w14:paraId="52944644" w14:textId="039C2C26" w:rsidR="00DB31D6" w:rsidRDefault="00DB31D6" w:rsidP="00607903">
      <w:r>
        <w:t>3386 words.</w:t>
      </w:r>
    </w:p>
    <w:p w14:paraId="5A8C8483" w14:textId="77777777" w:rsidR="00BE7217" w:rsidRDefault="00BE7217" w:rsidP="00607903"/>
    <w:p w14:paraId="1C7783AB" w14:textId="77777777" w:rsidR="00BE7217" w:rsidRDefault="00BE7217" w:rsidP="00607903"/>
    <w:p w14:paraId="7A81862A" w14:textId="77777777" w:rsidR="00BE7217" w:rsidRDefault="00BE7217" w:rsidP="00607903"/>
    <w:p w14:paraId="184A70F6" w14:textId="77777777" w:rsidR="00BE7217" w:rsidRDefault="00BE7217" w:rsidP="00607903"/>
    <w:p w14:paraId="706DFC18" w14:textId="77777777" w:rsidR="00BE7217" w:rsidRDefault="00BE7217" w:rsidP="00607903"/>
    <w:p w14:paraId="6062AF31" w14:textId="77777777" w:rsidR="00BE7217" w:rsidRDefault="00BE7217" w:rsidP="00607903"/>
    <w:p w14:paraId="0D2FD992" w14:textId="77777777" w:rsidR="00BE7217" w:rsidRDefault="00BE7217" w:rsidP="00607903"/>
    <w:p w14:paraId="2B88F47C" w14:textId="77777777" w:rsidR="00BE7217" w:rsidRDefault="00BE7217" w:rsidP="00607903"/>
    <w:p w14:paraId="71AE58C7" w14:textId="77777777" w:rsidR="00BE7217" w:rsidRDefault="00BE7217" w:rsidP="00607903"/>
    <w:p w14:paraId="75EEB94B" w14:textId="77777777" w:rsidR="00BE7217" w:rsidRDefault="00BE7217" w:rsidP="00607903"/>
    <w:p w14:paraId="6A1E162D" w14:textId="77777777" w:rsidR="00BE7217" w:rsidRDefault="00BE7217" w:rsidP="00607903"/>
    <w:p w14:paraId="4C9995DC" w14:textId="77777777" w:rsidR="00BE7217" w:rsidRDefault="00BE7217" w:rsidP="00607903"/>
    <w:p w14:paraId="1DEF47D5" w14:textId="77777777" w:rsidR="00BE7217" w:rsidRPr="00BE7217" w:rsidRDefault="00BE7217" w:rsidP="001D3629">
      <w:pPr>
        <w:pStyle w:val="Heading2"/>
        <w:rPr>
          <w:rFonts w:eastAsia="Times New Roman"/>
          <w:lang w:val="nl-NL" w:eastAsia="en-GB"/>
        </w:rPr>
      </w:pPr>
      <w:r w:rsidRPr="00BE7217">
        <w:rPr>
          <w:rFonts w:eastAsia="Times New Roman"/>
          <w:lang w:val="nl-NL" w:eastAsia="en-GB"/>
        </w:rPr>
        <w:t>References</w:t>
      </w:r>
    </w:p>
    <w:p w14:paraId="7FA36D73"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Acosta-Gonzaga, E. (2023) &amp;</w:t>
      </w:r>
      <w:proofErr w:type="gramStart"/>
      <w:r w:rsidRPr="00BE7217">
        <w:rPr>
          <w:rFonts w:ascii="Times New Roman" w:eastAsia="Times New Roman" w:hAnsi="Times New Roman" w:cs="Times New Roman"/>
          <w:kern w:val="0"/>
          <w:lang w:eastAsia="en-GB"/>
          <w14:ligatures w14:val="none"/>
        </w:rPr>
        <w:t>apos;The</w:t>
      </w:r>
      <w:proofErr w:type="gramEnd"/>
      <w:r w:rsidRPr="00BE7217">
        <w:rPr>
          <w:rFonts w:ascii="Times New Roman" w:eastAsia="Times New Roman" w:hAnsi="Times New Roman" w:cs="Times New Roman"/>
          <w:kern w:val="0"/>
          <w:lang w:eastAsia="en-GB"/>
          <w14:ligatures w14:val="none"/>
        </w:rPr>
        <w:t xml:space="preserve"> effects of Self-Esteem and Academic engagement on university students’ </w:t>
      </w:r>
      <w:proofErr w:type="gramStart"/>
      <w:r w:rsidRPr="00BE7217">
        <w:rPr>
          <w:rFonts w:ascii="Times New Roman" w:eastAsia="Times New Roman" w:hAnsi="Times New Roman" w:cs="Times New Roman"/>
          <w:kern w:val="0"/>
          <w:lang w:eastAsia="en-GB"/>
          <w14:ligatures w14:val="none"/>
        </w:rPr>
        <w:t>performance,&amp;</w:t>
      </w:r>
      <w:proofErr w:type="gramEnd"/>
      <w:r w:rsidRPr="00BE7217">
        <w:rPr>
          <w:rFonts w:ascii="Times New Roman" w:eastAsia="Times New Roman" w:hAnsi="Times New Roman" w:cs="Times New Roman"/>
          <w:kern w:val="0"/>
          <w:lang w:eastAsia="en-GB"/>
          <w14:ligatures w14:val="none"/>
        </w:rPr>
        <w:t xml:space="preserve">apos; </w:t>
      </w:r>
      <w:r w:rsidRPr="00BE7217">
        <w:rPr>
          <w:rFonts w:ascii="Times New Roman" w:eastAsia="Times New Roman" w:hAnsi="Times New Roman" w:cs="Times New Roman"/>
          <w:i/>
          <w:iCs/>
          <w:kern w:val="0"/>
          <w:lang w:eastAsia="en-GB"/>
          <w14:ligatures w14:val="none"/>
        </w:rPr>
        <w:t>Behavioral Sciences</w:t>
      </w:r>
      <w:r w:rsidRPr="00BE7217">
        <w:rPr>
          <w:rFonts w:ascii="Times New Roman" w:eastAsia="Times New Roman" w:hAnsi="Times New Roman" w:cs="Times New Roman"/>
          <w:kern w:val="0"/>
          <w:lang w:eastAsia="en-GB"/>
          <w14:ligatures w14:val="none"/>
        </w:rPr>
        <w:t>, 13(4), p. 348. https://doi.org/10.3390/bs13040348.</w:t>
      </w:r>
    </w:p>
    <w:p w14:paraId="3BAAC206"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Alfrey, K.-L. </w:t>
      </w:r>
      <w:r w:rsidRPr="00BE7217">
        <w:rPr>
          <w:rFonts w:ascii="Times New Roman" w:eastAsia="Times New Roman" w:hAnsi="Times New Roman" w:cs="Times New Roman"/>
          <w:i/>
          <w:iCs/>
          <w:kern w:val="0"/>
          <w:lang w:eastAsia="en-GB"/>
          <w14:ligatures w14:val="none"/>
        </w:rPr>
        <w:t>et al.</w:t>
      </w:r>
      <w:r w:rsidRPr="00BE7217">
        <w:rPr>
          <w:rFonts w:ascii="Times New Roman" w:eastAsia="Times New Roman" w:hAnsi="Times New Roman" w:cs="Times New Roman"/>
          <w:kern w:val="0"/>
          <w:lang w:eastAsia="en-GB"/>
          <w14:ligatures w14:val="none"/>
        </w:rPr>
        <w:t xml:space="preserve"> (2023) &amp;apos;The Role of Identity in Human Behavior Research: A Systematic Scoping review,&amp;apos; </w:t>
      </w:r>
      <w:r w:rsidRPr="00BE7217">
        <w:rPr>
          <w:rFonts w:ascii="Times New Roman" w:eastAsia="Times New Roman" w:hAnsi="Times New Roman" w:cs="Times New Roman"/>
          <w:i/>
          <w:iCs/>
          <w:kern w:val="0"/>
          <w:lang w:eastAsia="en-GB"/>
          <w14:ligatures w14:val="none"/>
        </w:rPr>
        <w:t>Identity</w:t>
      </w:r>
      <w:r w:rsidRPr="00BE7217">
        <w:rPr>
          <w:rFonts w:ascii="Times New Roman" w:eastAsia="Times New Roman" w:hAnsi="Times New Roman" w:cs="Times New Roman"/>
          <w:kern w:val="0"/>
          <w:lang w:eastAsia="en-GB"/>
          <w14:ligatures w14:val="none"/>
        </w:rPr>
        <w:t>, 23(3), pp. 208–223. https://doi.org/10.1080/15283488.2023.2209586.</w:t>
      </w:r>
    </w:p>
    <w:p w14:paraId="20E233BA"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Arksey, H. and O’Malley, L. (2005) &amp;apos;Scoping studies: towards a methodological framework,&amp;apos; </w:t>
      </w:r>
      <w:r w:rsidRPr="00BE7217">
        <w:rPr>
          <w:rFonts w:ascii="Times New Roman" w:eastAsia="Times New Roman" w:hAnsi="Times New Roman" w:cs="Times New Roman"/>
          <w:i/>
          <w:iCs/>
          <w:kern w:val="0"/>
          <w:lang w:eastAsia="en-GB"/>
          <w14:ligatures w14:val="none"/>
        </w:rPr>
        <w:t>International Journal of Social Research Methodology</w:t>
      </w:r>
      <w:r w:rsidRPr="00BE7217">
        <w:rPr>
          <w:rFonts w:ascii="Times New Roman" w:eastAsia="Times New Roman" w:hAnsi="Times New Roman" w:cs="Times New Roman"/>
          <w:kern w:val="0"/>
          <w:lang w:eastAsia="en-GB"/>
          <w14:ligatures w14:val="none"/>
        </w:rPr>
        <w:t>, 8(1), pp. 19–32. https://doi.org/10.1080/1364557032000119616.</w:t>
      </w:r>
    </w:p>
    <w:p w14:paraId="20E72E5B"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Axelrad, H., Malul, M. and Luski, I. (2018) &amp;apos;Unemployment among younger and older individuals: does conventional data about unemployment tell us the whole story?,&amp;apos; </w:t>
      </w:r>
      <w:r w:rsidRPr="00BE7217">
        <w:rPr>
          <w:rFonts w:ascii="Times New Roman" w:eastAsia="Times New Roman" w:hAnsi="Times New Roman" w:cs="Times New Roman"/>
          <w:i/>
          <w:iCs/>
          <w:kern w:val="0"/>
          <w:lang w:eastAsia="en-GB"/>
          <w14:ligatures w14:val="none"/>
        </w:rPr>
        <w:t>Journal for Labour Market Research</w:t>
      </w:r>
      <w:r w:rsidRPr="00BE7217">
        <w:rPr>
          <w:rFonts w:ascii="Times New Roman" w:eastAsia="Times New Roman" w:hAnsi="Times New Roman" w:cs="Times New Roman"/>
          <w:kern w:val="0"/>
          <w:lang w:eastAsia="en-GB"/>
          <w14:ligatures w14:val="none"/>
        </w:rPr>
        <w:t>, 52(1). https://doi.org/10.1186/s12651-018-0237-9.</w:t>
      </w:r>
    </w:p>
    <w:p w14:paraId="5FEA0CFB"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Berthoud and Blakesoune (2007) </w:t>
      </w:r>
      <w:r w:rsidRPr="00BE7217">
        <w:rPr>
          <w:rFonts w:ascii="Times New Roman" w:eastAsia="Times New Roman" w:hAnsi="Times New Roman" w:cs="Times New Roman"/>
          <w:i/>
          <w:iCs/>
          <w:kern w:val="0"/>
          <w:lang w:eastAsia="en-GB"/>
          <w14:ligatures w14:val="none"/>
        </w:rPr>
        <w:t>Persistant employment disadvantage</w:t>
      </w:r>
      <w:r w:rsidRPr="00BE7217">
        <w:rPr>
          <w:rFonts w:ascii="Times New Roman" w:eastAsia="Times New Roman" w:hAnsi="Times New Roman" w:cs="Times New Roman"/>
          <w:kern w:val="0"/>
          <w:lang w:eastAsia="en-GB"/>
          <w14:ligatures w14:val="none"/>
        </w:rPr>
        <w:t xml:space="preserve">, </w:t>
      </w:r>
      <w:r w:rsidRPr="00BE7217">
        <w:rPr>
          <w:rFonts w:ascii="Times New Roman" w:eastAsia="Times New Roman" w:hAnsi="Times New Roman" w:cs="Times New Roman"/>
          <w:i/>
          <w:iCs/>
          <w:kern w:val="0"/>
          <w:lang w:eastAsia="en-GB"/>
          <w14:ligatures w14:val="none"/>
        </w:rPr>
        <w:t>Department for Work and Pensions.</w:t>
      </w:r>
      <w:r w:rsidRPr="00BE7217">
        <w:rPr>
          <w:rFonts w:ascii="Times New Roman" w:eastAsia="Times New Roman" w:hAnsi="Times New Roman" w:cs="Times New Roman"/>
          <w:kern w:val="0"/>
          <w:lang w:eastAsia="en-GB"/>
          <w14:ligatures w14:val="none"/>
        </w:rPr>
        <w:t xml:space="preserve"> Research report 416.</w:t>
      </w:r>
    </w:p>
    <w:p w14:paraId="3100F4AB"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Braun, V. and Clarke, V. (2006) &amp;apos;Using thematic analysis in psychology,&amp;apos; </w:t>
      </w:r>
      <w:r w:rsidRPr="00BE7217">
        <w:rPr>
          <w:rFonts w:ascii="Times New Roman" w:eastAsia="Times New Roman" w:hAnsi="Times New Roman" w:cs="Times New Roman"/>
          <w:i/>
          <w:iCs/>
          <w:kern w:val="0"/>
          <w:lang w:eastAsia="en-GB"/>
          <w14:ligatures w14:val="none"/>
        </w:rPr>
        <w:t>Qualitative Research in Psychology</w:t>
      </w:r>
      <w:r w:rsidRPr="00BE7217">
        <w:rPr>
          <w:rFonts w:ascii="Times New Roman" w:eastAsia="Times New Roman" w:hAnsi="Times New Roman" w:cs="Times New Roman"/>
          <w:kern w:val="0"/>
          <w:lang w:eastAsia="en-GB"/>
          <w14:ligatures w14:val="none"/>
        </w:rPr>
        <w:t>, 3(2), pp. 77–101. https://doi.org/10.1191/1478088706qp063oa.</w:t>
      </w:r>
    </w:p>
    <w:p w14:paraId="0CB704CA"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Callaway, M.R. and Esser, J.K. (1984) &amp;apos;GROUPTHINK: EFFECTS OF COHESIVENESS AND PROBLEM-SOLVING PROCEDURES ON GROUP DECISION MAKING,&amp;apos; </w:t>
      </w:r>
      <w:r w:rsidRPr="00BE7217">
        <w:rPr>
          <w:rFonts w:ascii="Times New Roman" w:eastAsia="Times New Roman" w:hAnsi="Times New Roman" w:cs="Times New Roman"/>
          <w:i/>
          <w:iCs/>
          <w:kern w:val="0"/>
          <w:lang w:eastAsia="en-GB"/>
          <w14:ligatures w14:val="none"/>
        </w:rPr>
        <w:t>Social Behavior and Personality an International Journal</w:t>
      </w:r>
      <w:r w:rsidRPr="00BE7217">
        <w:rPr>
          <w:rFonts w:ascii="Times New Roman" w:eastAsia="Times New Roman" w:hAnsi="Times New Roman" w:cs="Times New Roman"/>
          <w:kern w:val="0"/>
          <w:lang w:eastAsia="en-GB"/>
          <w14:ligatures w14:val="none"/>
        </w:rPr>
        <w:t>, 12(2), pp. 157–164. https://doi.org/10.2224/sbp.1984.12.2.157.</w:t>
      </w:r>
    </w:p>
    <w:p w14:paraId="643F637E"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lastRenderedPageBreak/>
        <w:t xml:space="preserve">Cheetham, M. </w:t>
      </w:r>
      <w:r w:rsidRPr="00BE7217">
        <w:rPr>
          <w:rFonts w:ascii="Times New Roman" w:eastAsia="Times New Roman" w:hAnsi="Times New Roman" w:cs="Times New Roman"/>
          <w:i/>
          <w:iCs/>
          <w:kern w:val="0"/>
          <w:lang w:eastAsia="en-GB"/>
          <w14:ligatures w14:val="none"/>
        </w:rPr>
        <w:t>et al.</w:t>
      </w:r>
      <w:r w:rsidRPr="00BE7217">
        <w:rPr>
          <w:rFonts w:ascii="Times New Roman" w:eastAsia="Times New Roman" w:hAnsi="Times New Roman" w:cs="Times New Roman"/>
          <w:kern w:val="0"/>
          <w:lang w:eastAsia="en-GB"/>
          <w14:ligatures w14:val="none"/>
        </w:rPr>
        <w:t xml:space="preserve"> (2019) &amp;apos;Impact of Universal Credit in North East England: a qualitative study of claimants and support staff,&amp;apos; </w:t>
      </w:r>
      <w:r w:rsidRPr="00BE7217">
        <w:rPr>
          <w:rFonts w:ascii="Times New Roman" w:eastAsia="Times New Roman" w:hAnsi="Times New Roman" w:cs="Times New Roman"/>
          <w:i/>
          <w:iCs/>
          <w:kern w:val="0"/>
          <w:lang w:eastAsia="en-GB"/>
          <w14:ligatures w14:val="none"/>
        </w:rPr>
        <w:t>BMJ Open</w:t>
      </w:r>
      <w:r w:rsidRPr="00BE7217">
        <w:rPr>
          <w:rFonts w:ascii="Times New Roman" w:eastAsia="Times New Roman" w:hAnsi="Times New Roman" w:cs="Times New Roman"/>
          <w:kern w:val="0"/>
          <w:lang w:eastAsia="en-GB"/>
          <w14:ligatures w14:val="none"/>
        </w:rPr>
        <w:t>, 9(7), p. e029611. https://doi.org/10.1136/bmjopen-2019-029611.</w:t>
      </w:r>
    </w:p>
    <w:p w14:paraId="6ED8B5C2"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Collinson, D.L. and Hearn, J. (2012) &amp;apos;Men and Masculinities in Work, Organizations, and Management,&amp;apos; in </w:t>
      </w:r>
      <w:r w:rsidRPr="00BE7217">
        <w:rPr>
          <w:rFonts w:ascii="Times New Roman" w:eastAsia="Times New Roman" w:hAnsi="Times New Roman" w:cs="Times New Roman"/>
          <w:i/>
          <w:iCs/>
          <w:kern w:val="0"/>
          <w:lang w:eastAsia="en-GB"/>
          <w14:ligatures w14:val="none"/>
        </w:rPr>
        <w:t>SAGE Publications, Inc. eBooks</w:t>
      </w:r>
      <w:r w:rsidRPr="00BE7217">
        <w:rPr>
          <w:rFonts w:ascii="Times New Roman" w:eastAsia="Times New Roman" w:hAnsi="Times New Roman" w:cs="Times New Roman"/>
          <w:kern w:val="0"/>
          <w:lang w:eastAsia="en-GB"/>
          <w14:ligatures w14:val="none"/>
        </w:rPr>
        <w:t>, pp. 289–310. https://doi.org/10.4135/9781452233833.n17.</w:t>
      </w:r>
    </w:p>
    <w:p w14:paraId="0AC1BD47"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Deacon, A. (2003) &amp;apos;‘Levelling the playing field, activating the players’: New Labour and ‘the cycle of disadvantage,’&amp;apos; </w:t>
      </w:r>
      <w:r w:rsidRPr="00BE7217">
        <w:rPr>
          <w:rFonts w:ascii="Times New Roman" w:eastAsia="Times New Roman" w:hAnsi="Times New Roman" w:cs="Times New Roman"/>
          <w:i/>
          <w:iCs/>
          <w:kern w:val="0"/>
          <w:lang w:eastAsia="en-GB"/>
          <w14:ligatures w14:val="none"/>
        </w:rPr>
        <w:t>Policy &amp; Politics</w:t>
      </w:r>
      <w:r w:rsidRPr="00BE7217">
        <w:rPr>
          <w:rFonts w:ascii="Times New Roman" w:eastAsia="Times New Roman" w:hAnsi="Times New Roman" w:cs="Times New Roman"/>
          <w:kern w:val="0"/>
          <w:lang w:eastAsia="en-GB"/>
          <w14:ligatures w14:val="none"/>
        </w:rPr>
        <w:t>, 31(2), pp. 123–137. https://doi.org/10.1332/030557303765371636.</w:t>
      </w:r>
    </w:p>
    <w:p w14:paraId="4587128D"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Dumont, M. </w:t>
      </w:r>
      <w:r w:rsidRPr="00BE7217">
        <w:rPr>
          <w:rFonts w:ascii="Times New Roman" w:eastAsia="Times New Roman" w:hAnsi="Times New Roman" w:cs="Times New Roman"/>
          <w:i/>
          <w:iCs/>
          <w:kern w:val="0"/>
          <w:lang w:eastAsia="en-GB"/>
          <w14:ligatures w14:val="none"/>
        </w:rPr>
        <w:t>et al.</w:t>
      </w:r>
      <w:r w:rsidRPr="00BE7217">
        <w:rPr>
          <w:rFonts w:ascii="Times New Roman" w:eastAsia="Times New Roman" w:hAnsi="Times New Roman" w:cs="Times New Roman"/>
          <w:kern w:val="0"/>
          <w:lang w:eastAsia="en-GB"/>
          <w14:ligatures w14:val="none"/>
        </w:rPr>
        <w:t xml:space="preserve"> (2003) &amp;apos;Suppression and hypothesis testing: does suppressing stereotypes during interactions help to avoid confirmation biases?,&amp;apos; </w:t>
      </w:r>
      <w:r w:rsidRPr="00BE7217">
        <w:rPr>
          <w:rFonts w:ascii="Times New Roman" w:eastAsia="Times New Roman" w:hAnsi="Times New Roman" w:cs="Times New Roman"/>
          <w:i/>
          <w:iCs/>
          <w:kern w:val="0"/>
          <w:lang w:eastAsia="en-GB"/>
          <w14:ligatures w14:val="none"/>
        </w:rPr>
        <w:t>European Journal of Social Psychology</w:t>
      </w:r>
      <w:r w:rsidRPr="00BE7217">
        <w:rPr>
          <w:rFonts w:ascii="Times New Roman" w:eastAsia="Times New Roman" w:hAnsi="Times New Roman" w:cs="Times New Roman"/>
          <w:kern w:val="0"/>
          <w:lang w:eastAsia="en-GB"/>
          <w14:ligatures w14:val="none"/>
        </w:rPr>
        <w:t>, 33(5), pp. 659–677. https://doi.org/10.1002/ejsp.177.</w:t>
      </w:r>
    </w:p>
    <w:p w14:paraId="69DF892E"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Eagly, A.H. and Steffen, V.J. (1984) &amp;apos;Gender stereotypes stem from the distribution of women and men into social roles.,&amp;apos; </w:t>
      </w:r>
      <w:r w:rsidRPr="00BE7217">
        <w:rPr>
          <w:rFonts w:ascii="Times New Roman" w:eastAsia="Times New Roman" w:hAnsi="Times New Roman" w:cs="Times New Roman"/>
          <w:i/>
          <w:iCs/>
          <w:kern w:val="0"/>
          <w:lang w:eastAsia="en-GB"/>
          <w14:ligatures w14:val="none"/>
        </w:rPr>
        <w:t>Journal of Personality and Social Psychology</w:t>
      </w:r>
      <w:r w:rsidRPr="00BE7217">
        <w:rPr>
          <w:rFonts w:ascii="Times New Roman" w:eastAsia="Times New Roman" w:hAnsi="Times New Roman" w:cs="Times New Roman"/>
          <w:kern w:val="0"/>
          <w:lang w:eastAsia="en-GB"/>
          <w14:ligatures w14:val="none"/>
        </w:rPr>
        <w:t>, 46(4), pp. 735–754. https://doi.org/10.1037/0022-3514.46.4.735.</w:t>
      </w:r>
    </w:p>
    <w:p w14:paraId="3F9EA15F"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Erez, M. and Earley, P.C. (1993) </w:t>
      </w:r>
      <w:r w:rsidRPr="00BE7217">
        <w:rPr>
          <w:rFonts w:ascii="Times New Roman" w:eastAsia="Times New Roman" w:hAnsi="Times New Roman" w:cs="Times New Roman"/>
          <w:i/>
          <w:iCs/>
          <w:kern w:val="0"/>
          <w:lang w:eastAsia="en-GB"/>
          <w14:ligatures w14:val="none"/>
        </w:rPr>
        <w:t>Culture, Self-Identity, and work</w:t>
      </w:r>
      <w:r w:rsidRPr="00BE7217">
        <w:rPr>
          <w:rFonts w:ascii="Times New Roman" w:eastAsia="Times New Roman" w:hAnsi="Times New Roman" w:cs="Times New Roman"/>
          <w:kern w:val="0"/>
          <w:lang w:eastAsia="en-GB"/>
          <w14:ligatures w14:val="none"/>
        </w:rPr>
        <w:t>. https://doi.org/10.1093/acprof:oso/9780195075809.001.0001.</w:t>
      </w:r>
    </w:p>
    <w:p w14:paraId="43A1966C"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Giazitzoglu, A. (2024) &amp;apos;Men at work: How are masculinities constituted and performed in work and employment settings?,&amp;apos; </w:t>
      </w:r>
      <w:r w:rsidRPr="00BE7217">
        <w:rPr>
          <w:rFonts w:ascii="Times New Roman" w:eastAsia="Times New Roman" w:hAnsi="Times New Roman" w:cs="Times New Roman"/>
          <w:i/>
          <w:iCs/>
          <w:kern w:val="0"/>
          <w:lang w:eastAsia="en-GB"/>
          <w14:ligatures w14:val="none"/>
        </w:rPr>
        <w:t>Work Employment and Society</w:t>
      </w:r>
      <w:r w:rsidRPr="00BE7217">
        <w:rPr>
          <w:rFonts w:ascii="Times New Roman" w:eastAsia="Times New Roman" w:hAnsi="Times New Roman" w:cs="Times New Roman"/>
          <w:kern w:val="0"/>
          <w:lang w:eastAsia="en-GB"/>
          <w14:ligatures w14:val="none"/>
        </w:rPr>
        <w:t xml:space="preserve"> [Preprint]. https://doi.org/10.1177/09500170241294221.</w:t>
      </w:r>
    </w:p>
    <w:p w14:paraId="29149011"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Grootaert, C. </w:t>
      </w:r>
      <w:r w:rsidRPr="00BE7217">
        <w:rPr>
          <w:rFonts w:ascii="Times New Roman" w:eastAsia="Times New Roman" w:hAnsi="Times New Roman" w:cs="Times New Roman"/>
          <w:i/>
          <w:iCs/>
          <w:kern w:val="0"/>
          <w:lang w:eastAsia="en-GB"/>
          <w14:ligatures w14:val="none"/>
        </w:rPr>
        <w:t>et al.</w:t>
      </w:r>
      <w:r w:rsidRPr="00BE7217">
        <w:rPr>
          <w:rFonts w:ascii="Times New Roman" w:eastAsia="Times New Roman" w:hAnsi="Times New Roman" w:cs="Times New Roman"/>
          <w:kern w:val="0"/>
          <w:lang w:eastAsia="en-GB"/>
          <w14:ligatures w14:val="none"/>
        </w:rPr>
        <w:t xml:space="preserve"> (2004) </w:t>
      </w:r>
      <w:r w:rsidRPr="00BE7217">
        <w:rPr>
          <w:rFonts w:ascii="Times New Roman" w:eastAsia="Times New Roman" w:hAnsi="Times New Roman" w:cs="Times New Roman"/>
          <w:i/>
          <w:iCs/>
          <w:kern w:val="0"/>
          <w:lang w:eastAsia="en-GB"/>
          <w14:ligatures w14:val="none"/>
        </w:rPr>
        <w:t>Measuring social capital</w:t>
      </w:r>
      <w:r w:rsidRPr="00BE7217">
        <w:rPr>
          <w:rFonts w:ascii="Times New Roman" w:eastAsia="Times New Roman" w:hAnsi="Times New Roman" w:cs="Times New Roman"/>
          <w:kern w:val="0"/>
          <w:lang w:eastAsia="en-GB"/>
          <w14:ligatures w14:val="none"/>
        </w:rPr>
        <w:t xml:space="preserve">, </w:t>
      </w:r>
      <w:r w:rsidRPr="00BE7217">
        <w:rPr>
          <w:rFonts w:ascii="Times New Roman" w:eastAsia="Times New Roman" w:hAnsi="Times New Roman" w:cs="Times New Roman"/>
          <w:i/>
          <w:iCs/>
          <w:kern w:val="0"/>
          <w:lang w:eastAsia="en-GB"/>
          <w14:ligatures w14:val="none"/>
        </w:rPr>
        <w:t>World Bank working paper</w:t>
      </w:r>
      <w:r w:rsidRPr="00BE7217">
        <w:rPr>
          <w:rFonts w:ascii="Times New Roman" w:eastAsia="Times New Roman" w:hAnsi="Times New Roman" w:cs="Times New Roman"/>
          <w:kern w:val="0"/>
          <w:lang w:eastAsia="en-GB"/>
          <w14:ligatures w14:val="none"/>
        </w:rPr>
        <w:t>. https://doi.org/10.1596/0-8213-5661-5.</w:t>
      </w:r>
    </w:p>
    <w:p w14:paraId="14E7A60F"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Hiswåls, A.-S. </w:t>
      </w:r>
      <w:r w:rsidRPr="00BE7217">
        <w:rPr>
          <w:rFonts w:ascii="Times New Roman" w:eastAsia="Times New Roman" w:hAnsi="Times New Roman" w:cs="Times New Roman"/>
          <w:i/>
          <w:iCs/>
          <w:kern w:val="0"/>
          <w:lang w:eastAsia="en-GB"/>
          <w14:ligatures w14:val="none"/>
        </w:rPr>
        <w:t>et al.</w:t>
      </w:r>
      <w:r w:rsidRPr="00BE7217">
        <w:rPr>
          <w:rFonts w:ascii="Times New Roman" w:eastAsia="Times New Roman" w:hAnsi="Times New Roman" w:cs="Times New Roman"/>
          <w:kern w:val="0"/>
          <w:lang w:eastAsia="en-GB"/>
          <w14:ligatures w14:val="none"/>
        </w:rPr>
        <w:t xml:space="preserve"> (2017) &amp;apos;Experiences of Unemployment and Well-Being after Job Loss during Economic Recession: Results of a Qualitative Study in East Central Sweden,&amp;apos; </w:t>
      </w:r>
      <w:r w:rsidRPr="00BE7217">
        <w:rPr>
          <w:rFonts w:ascii="Times New Roman" w:eastAsia="Times New Roman" w:hAnsi="Times New Roman" w:cs="Times New Roman"/>
          <w:i/>
          <w:iCs/>
          <w:kern w:val="0"/>
          <w:lang w:eastAsia="en-GB"/>
          <w14:ligatures w14:val="none"/>
        </w:rPr>
        <w:t>Deleted Journal</w:t>
      </w:r>
      <w:r w:rsidRPr="00BE7217">
        <w:rPr>
          <w:rFonts w:ascii="Times New Roman" w:eastAsia="Times New Roman" w:hAnsi="Times New Roman" w:cs="Times New Roman"/>
          <w:kern w:val="0"/>
          <w:lang w:eastAsia="en-GB"/>
          <w14:ligatures w14:val="none"/>
        </w:rPr>
        <w:t>, 6(3). https://doi.org/10.4081/jphr.2017.995.</w:t>
      </w:r>
    </w:p>
    <w:p w14:paraId="15DA44AD"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lastRenderedPageBreak/>
        <w:t xml:space="preserve">Hogg, M.A. </w:t>
      </w:r>
      <w:r w:rsidRPr="00BE7217">
        <w:rPr>
          <w:rFonts w:ascii="Times New Roman" w:eastAsia="Times New Roman" w:hAnsi="Times New Roman" w:cs="Times New Roman"/>
          <w:i/>
          <w:iCs/>
          <w:kern w:val="0"/>
          <w:lang w:eastAsia="en-GB"/>
          <w14:ligatures w14:val="none"/>
        </w:rPr>
        <w:t>et al.</w:t>
      </w:r>
      <w:r w:rsidRPr="00BE7217">
        <w:rPr>
          <w:rFonts w:ascii="Times New Roman" w:eastAsia="Times New Roman" w:hAnsi="Times New Roman" w:cs="Times New Roman"/>
          <w:kern w:val="0"/>
          <w:lang w:eastAsia="en-GB"/>
          <w14:ligatures w14:val="none"/>
        </w:rPr>
        <w:t xml:space="preserve"> (2004) &amp;apos;The social identity perspective,&amp;apos; </w:t>
      </w:r>
      <w:r w:rsidRPr="00BE7217">
        <w:rPr>
          <w:rFonts w:ascii="Times New Roman" w:eastAsia="Times New Roman" w:hAnsi="Times New Roman" w:cs="Times New Roman"/>
          <w:i/>
          <w:iCs/>
          <w:kern w:val="0"/>
          <w:lang w:eastAsia="en-GB"/>
          <w14:ligatures w14:val="none"/>
        </w:rPr>
        <w:t>Small Group Research</w:t>
      </w:r>
      <w:r w:rsidRPr="00BE7217">
        <w:rPr>
          <w:rFonts w:ascii="Times New Roman" w:eastAsia="Times New Roman" w:hAnsi="Times New Roman" w:cs="Times New Roman"/>
          <w:kern w:val="0"/>
          <w:lang w:eastAsia="en-GB"/>
          <w14:ligatures w14:val="none"/>
        </w:rPr>
        <w:t>, 35(3), pp. 246–276. https://doi.org/10.1177/1046496404263424.</w:t>
      </w:r>
    </w:p>
    <w:p w14:paraId="71894F4D"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Janis, I.L. and Mann, L. (1978) &amp;apos;Decision making: A psychological analysis of conflict, choice, and commitment,&amp;apos; </w:t>
      </w:r>
      <w:r w:rsidRPr="00BE7217">
        <w:rPr>
          <w:rFonts w:ascii="Times New Roman" w:eastAsia="Times New Roman" w:hAnsi="Times New Roman" w:cs="Times New Roman"/>
          <w:i/>
          <w:iCs/>
          <w:kern w:val="0"/>
          <w:lang w:eastAsia="en-GB"/>
          <w14:ligatures w14:val="none"/>
        </w:rPr>
        <w:t>Evaluation and Program Planning</w:t>
      </w:r>
      <w:r w:rsidRPr="00BE7217">
        <w:rPr>
          <w:rFonts w:ascii="Times New Roman" w:eastAsia="Times New Roman" w:hAnsi="Times New Roman" w:cs="Times New Roman"/>
          <w:kern w:val="0"/>
          <w:lang w:eastAsia="en-GB"/>
          <w14:ligatures w14:val="none"/>
        </w:rPr>
        <w:t>, 1(2), p. 167. https://doi.org/10.1016/0149-7189(78)90042-3.</w:t>
      </w:r>
    </w:p>
    <w:p w14:paraId="3BB42E7D"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Keskinen, S. (2016) &amp;apos;From welfare nationalism to welfare chauvinism: Economic rhetoric, the welfare state and changing asylum policies in Finland,&amp;apos; </w:t>
      </w:r>
      <w:r w:rsidRPr="00BE7217">
        <w:rPr>
          <w:rFonts w:ascii="Times New Roman" w:eastAsia="Times New Roman" w:hAnsi="Times New Roman" w:cs="Times New Roman"/>
          <w:i/>
          <w:iCs/>
          <w:kern w:val="0"/>
          <w:lang w:eastAsia="en-GB"/>
          <w14:ligatures w14:val="none"/>
        </w:rPr>
        <w:t>Critical Social Policy</w:t>
      </w:r>
      <w:r w:rsidRPr="00BE7217">
        <w:rPr>
          <w:rFonts w:ascii="Times New Roman" w:eastAsia="Times New Roman" w:hAnsi="Times New Roman" w:cs="Times New Roman"/>
          <w:kern w:val="0"/>
          <w:lang w:eastAsia="en-GB"/>
          <w14:ligatures w14:val="none"/>
        </w:rPr>
        <w:t>, 36(3), pp. 352–370. https://doi.org/10.1177/0261018315624170.</w:t>
      </w:r>
    </w:p>
    <w:p w14:paraId="0A685272"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Lavecchia, D. (2023) </w:t>
      </w:r>
      <w:r w:rsidRPr="00BE7217">
        <w:rPr>
          <w:rFonts w:ascii="Times New Roman" w:eastAsia="Times New Roman" w:hAnsi="Times New Roman" w:cs="Times New Roman"/>
          <w:i/>
          <w:iCs/>
          <w:kern w:val="0"/>
          <w:lang w:eastAsia="en-GB"/>
          <w14:ligatures w14:val="none"/>
        </w:rPr>
        <w:t>Hidden and persistent unemployment among older workers - the new school SCEPA</w:t>
      </w:r>
      <w:r w:rsidRPr="00BE7217">
        <w:rPr>
          <w:rFonts w:ascii="Times New Roman" w:eastAsia="Times New Roman" w:hAnsi="Times New Roman" w:cs="Times New Roman"/>
          <w:kern w:val="0"/>
          <w:lang w:eastAsia="en-GB"/>
          <w14:ligatures w14:val="none"/>
        </w:rPr>
        <w:t>. https://www.economicpolicyresearch.org/resource-library/hidden-and-persistent-unemployment-among-older-workers.</w:t>
      </w:r>
    </w:p>
    <w:p w14:paraId="5F2F9B81"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Loopstra, R. </w:t>
      </w:r>
      <w:r w:rsidRPr="00BE7217">
        <w:rPr>
          <w:rFonts w:ascii="Times New Roman" w:eastAsia="Times New Roman" w:hAnsi="Times New Roman" w:cs="Times New Roman"/>
          <w:i/>
          <w:iCs/>
          <w:kern w:val="0"/>
          <w:lang w:eastAsia="en-GB"/>
          <w14:ligatures w14:val="none"/>
        </w:rPr>
        <w:t>et al.</w:t>
      </w:r>
      <w:r w:rsidRPr="00BE7217">
        <w:rPr>
          <w:rFonts w:ascii="Times New Roman" w:eastAsia="Times New Roman" w:hAnsi="Times New Roman" w:cs="Times New Roman"/>
          <w:kern w:val="0"/>
          <w:lang w:eastAsia="en-GB"/>
          <w14:ligatures w14:val="none"/>
        </w:rPr>
        <w:t xml:space="preserve"> (2018) &amp;apos;Impact of Welfare Benefit Sanctioning on Food Insecurity: a Dynamic Cross-Area Study of Food Bank Usage in the UK,&amp;apos; </w:t>
      </w:r>
      <w:r w:rsidRPr="00BE7217">
        <w:rPr>
          <w:rFonts w:ascii="Times New Roman" w:eastAsia="Times New Roman" w:hAnsi="Times New Roman" w:cs="Times New Roman"/>
          <w:i/>
          <w:iCs/>
          <w:kern w:val="0"/>
          <w:lang w:eastAsia="en-GB"/>
          <w14:ligatures w14:val="none"/>
        </w:rPr>
        <w:t>Journal of Social Policy</w:t>
      </w:r>
      <w:r w:rsidRPr="00BE7217">
        <w:rPr>
          <w:rFonts w:ascii="Times New Roman" w:eastAsia="Times New Roman" w:hAnsi="Times New Roman" w:cs="Times New Roman"/>
          <w:kern w:val="0"/>
          <w:lang w:eastAsia="en-GB"/>
          <w14:ligatures w14:val="none"/>
        </w:rPr>
        <w:t>, 47(3), pp. 437–457. https://doi.org/10.1017/s0047279417000915.</w:t>
      </w:r>
    </w:p>
    <w:p w14:paraId="406D97A1"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Loretto, W. (2010) &amp;apos;Work and retirement in an ageing world: the case of older workers in the UK,&amp;apos; </w:t>
      </w:r>
      <w:r w:rsidRPr="00BE7217">
        <w:rPr>
          <w:rFonts w:ascii="Times New Roman" w:eastAsia="Times New Roman" w:hAnsi="Times New Roman" w:cs="Times New Roman"/>
          <w:i/>
          <w:iCs/>
          <w:kern w:val="0"/>
          <w:lang w:eastAsia="en-GB"/>
          <w14:ligatures w14:val="none"/>
        </w:rPr>
        <w:t>Twenty-First Century Society</w:t>
      </w:r>
      <w:r w:rsidRPr="00BE7217">
        <w:rPr>
          <w:rFonts w:ascii="Times New Roman" w:eastAsia="Times New Roman" w:hAnsi="Times New Roman" w:cs="Times New Roman"/>
          <w:kern w:val="0"/>
          <w:lang w:eastAsia="en-GB"/>
          <w14:ligatures w14:val="none"/>
        </w:rPr>
        <w:t>, 5(3), pp. 279–294. https://doi.org/10.1080/17450144.2010.480831.</w:t>
      </w:r>
    </w:p>
    <w:p w14:paraId="475EC751"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Loretto, W. and Riach (2009) &amp;apos;Identity work and the ‘Unemployed’ Worker: Age, disability and the lived experience of the older unemployed,&amp;apos; </w:t>
      </w:r>
      <w:r w:rsidRPr="00BE7217">
        <w:rPr>
          <w:rFonts w:ascii="Times New Roman" w:eastAsia="Times New Roman" w:hAnsi="Times New Roman" w:cs="Times New Roman"/>
          <w:i/>
          <w:iCs/>
          <w:kern w:val="0"/>
          <w:lang w:eastAsia="en-GB"/>
          <w14:ligatures w14:val="none"/>
        </w:rPr>
        <w:t>Edinburgh Research Explorer</w:t>
      </w:r>
      <w:r w:rsidRPr="00BE7217">
        <w:rPr>
          <w:rFonts w:ascii="Times New Roman" w:eastAsia="Times New Roman" w:hAnsi="Times New Roman" w:cs="Times New Roman"/>
          <w:kern w:val="0"/>
          <w:lang w:eastAsia="en-GB"/>
          <w14:ligatures w14:val="none"/>
        </w:rPr>
        <w:t xml:space="preserve"> [Preprint]. https://www.research.ed.ac.uk/portal/en/publications/identity-work-and-the-unemployed-worker-age-disability-and-the-lived-experience-of-the-older-unemployed(7138602d-734c-4df2-8b4b-675b44646194).html.</w:t>
      </w:r>
    </w:p>
    <w:p w14:paraId="1A114160"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Manzi, C., Paderi, F. and Benet‐Martinez, V. (2023) &amp;apos;Multiple social identities and well‐being: Insights from a person‐centred approach,&amp;apos; </w:t>
      </w:r>
      <w:r w:rsidRPr="00BE7217">
        <w:rPr>
          <w:rFonts w:ascii="Times New Roman" w:eastAsia="Times New Roman" w:hAnsi="Times New Roman" w:cs="Times New Roman"/>
          <w:i/>
          <w:iCs/>
          <w:kern w:val="0"/>
          <w:lang w:eastAsia="en-GB"/>
          <w14:ligatures w14:val="none"/>
        </w:rPr>
        <w:t>British Journal of Social Psychology</w:t>
      </w:r>
      <w:r w:rsidRPr="00BE7217">
        <w:rPr>
          <w:rFonts w:ascii="Times New Roman" w:eastAsia="Times New Roman" w:hAnsi="Times New Roman" w:cs="Times New Roman"/>
          <w:kern w:val="0"/>
          <w:lang w:eastAsia="en-GB"/>
          <w14:ligatures w14:val="none"/>
        </w:rPr>
        <w:t>, 63(2), pp. 792–810. https://doi.org/10.1111/bjso.12704.</w:t>
      </w:r>
    </w:p>
    <w:p w14:paraId="2305B646"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lastRenderedPageBreak/>
        <w:t xml:space="preserve">McCall, L. (2005) &amp;apos;The complexity of intersectionality,&amp;apos; </w:t>
      </w:r>
      <w:r w:rsidRPr="00BE7217">
        <w:rPr>
          <w:rFonts w:ascii="Times New Roman" w:eastAsia="Times New Roman" w:hAnsi="Times New Roman" w:cs="Times New Roman"/>
          <w:i/>
          <w:iCs/>
          <w:kern w:val="0"/>
          <w:lang w:eastAsia="en-GB"/>
          <w14:ligatures w14:val="none"/>
        </w:rPr>
        <w:t>Signs</w:t>
      </w:r>
      <w:r w:rsidRPr="00BE7217">
        <w:rPr>
          <w:rFonts w:ascii="Times New Roman" w:eastAsia="Times New Roman" w:hAnsi="Times New Roman" w:cs="Times New Roman"/>
          <w:kern w:val="0"/>
          <w:lang w:eastAsia="en-GB"/>
          <w14:ligatures w14:val="none"/>
        </w:rPr>
        <w:t>, 30(3), pp. 1771–1800. https://doi.org/10.1086/426800.</w:t>
      </w:r>
    </w:p>
    <w:p w14:paraId="2D2E7053"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Montell, F. (1999) &amp;apos;Focus Group Interviews: A new Feminist Method,&amp;apos; </w:t>
      </w:r>
      <w:r w:rsidRPr="00BE7217">
        <w:rPr>
          <w:rFonts w:ascii="Times New Roman" w:eastAsia="Times New Roman" w:hAnsi="Times New Roman" w:cs="Times New Roman"/>
          <w:i/>
          <w:iCs/>
          <w:kern w:val="0"/>
          <w:lang w:eastAsia="en-GB"/>
          <w14:ligatures w14:val="none"/>
        </w:rPr>
        <w:t>NWSA Journal</w:t>
      </w:r>
      <w:r w:rsidRPr="00BE7217">
        <w:rPr>
          <w:rFonts w:ascii="Times New Roman" w:eastAsia="Times New Roman" w:hAnsi="Times New Roman" w:cs="Times New Roman"/>
          <w:kern w:val="0"/>
          <w:lang w:eastAsia="en-GB"/>
          <w14:ligatures w14:val="none"/>
        </w:rPr>
        <w:t>, 11(1), pp. 44–71. https://doi.org/10.2979/nws.1999.11.1.44.</w:t>
      </w:r>
    </w:p>
    <w:p w14:paraId="6997F246"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Scottish Enterprise (no date) </w:t>
      </w:r>
      <w:r w:rsidRPr="00BE7217">
        <w:rPr>
          <w:rFonts w:ascii="Times New Roman" w:eastAsia="Times New Roman" w:hAnsi="Times New Roman" w:cs="Times New Roman"/>
          <w:i/>
          <w:iCs/>
          <w:kern w:val="0"/>
          <w:lang w:eastAsia="en-GB"/>
          <w14:ligatures w14:val="none"/>
        </w:rPr>
        <w:t>Board, leadership team and partners</w:t>
      </w:r>
      <w:r w:rsidRPr="00BE7217">
        <w:rPr>
          <w:rFonts w:ascii="Times New Roman" w:eastAsia="Times New Roman" w:hAnsi="Times New Roman" w:cs="Times New Roman"/>
          <w:kern w:val="0"/>
          <w:lang w:eastAsia="en-GB"/>
          <w14:ligatures w14:val="none"/>
        </w:rPr>
        <w:t>. https://www.scottish-enterprise.com/our-organisation/board-leadership-team-and-partners#:~:text=Scottish%20Enterprise%20is%20Scotland&amp;apos;s%20national,body%20of%20the%20Scottish%20Government.</w:t>
      </w:r>
    </w:p>
    <w:p w14:paraId="05364445"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Simpson, R. (2004) &amp;apos;Masculinity at work,&amp;apos; </w:t>
      </w:r>
      <w:r w:rsidRPr="00BE7217">
        <w:rPr>
          <w:rFonts w:ascii="Times New Roman" w:eastAsia="Times New Roman" w:hAnsi="Times New Roman" w:cs="Times New Roman"/>
          <w:i/>
          <w:iCs/>
          <w:kern w:val="0"/>
          <w:lang w:eastAsia="en-GB"/>
          <w14:ligatures w14:val="none"/>
        </w:rPr>
        <w:t>Work Employment and Society</w:t>
      </w:r>
      <w:r w:rsidRPr="00BE7217">
        <w:rPr>
          <w:rFonts w:ascii="Times New Roman" w:eastAsia="Times New Roman" w:hAnsi="Times New Roman" w:cs="Times New Roman"/>
          <w:kern w:val="0"/>
          <w:lang w:eastAsia="en-GB"/>
          <w14:ligatures w14:val="none"/>
        </w:rPr>
        <w:t>, 18(2), pp. 349–368. https://doi.org/10.1177/09500172004042773.</w:t>
      </w:r>
    </w:p>
    <w:p w14:paraId="0DE5C092"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Stets, J.E. and Burke, P.J. (2000) &amp;apos;Identity theory and social identity theory,&amp;apos; </w:t>
      </w:r>
      <w:r w:rsidRPr="00BE7217">
        <w:rPr>
          <w:rFonts w:ascii="Times New Roman" w:eastAsia="Times New Roman" w:hAnsi="Times New Roman" w:cs="Times New Roman"/>
          <w:i/>
          <w:iCs/>
          <w:kern w:val="0"/>
          <w:lang w:eastAsia="en-GB"/>
          <w14:ligatures w14:val="none"/>
        </w:rPr>
        <w:t>Social Psychology Quarterly</w:t>
      </w:r>
      <w:r w:rsidRPr="00BE7217">
        <w:rPr>
          <w:rFonts w:ascii="Times New Roman" w:eastAsia="Times New Roman" w:hAnsi="Times New Roman" w:cs="Times New Roman"/>
          <w:kern w:val="0"/>
          <w:lang w:eastAsia="en-GB"/>
          <w14:ligatures w14:val="none"/>
        </w:rPr>
        <w:t>, 63(3), p. 224. https://doi.org/10.2307/2695870.</w:t>
      </w:r>
    </w:p>
    <w:p w14:paraId="421948AD"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Takeuhi, M. and Katagiri, K. (2024) &amp;apos;Effects of workplace ageism on negative perception of aging and subjective well‐being of older adults according to gender and employment status,&amp;apos; </w:t>
      </w:r>
      <w:r w:rsidRPr="00BE7217">
        <w:rPr>
          <w:rFonts w:ascii="Times New Roman" w:eastAsia="Times New Roman" w:hAnsi="Times New Roman" w:cs="Times New Roman"/>
          <w:i/>
          <w:iCs/>
          <w:kern w:val="0"/>
          <w:lang w:eastAsia="en-GB"/>
          <w14:ligatures w14:val="none"/>
        </w:rPr>
        <w:t>Geriatrics and Gerontology International/Geriatrics &amp; Gerontology International</w:t>
      </w:r>
      <w:r w:rsidRPr="00BE7217">
        <w:rPr>
          <w:rFonts w:ascii="Times New Roman" w:eastAsia="Times New Roman" w:hAnsi="Times New Roman" w:cs="Times New Roman"/>
          <w:kern w:val="0"/>
          <w:lang w:eastAsia="en-GB"/>
          <w14:ligatures w14:val="none"/>
        </w:rPr>
        <w:t>, 24(S1), pp. 259–265. https://doi.org/10.1111/ggi.14819.</w:t>
      </w:r>
    </w:p>
    <w:p w14:paraId="5F05F20F"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Weeks, K. (2011) </w:t>
      </w:r>
      <w:r w:rsidRPr="00BE7217">
        <w:rPr>
          <w:rFonts w:ascii="Times New Roman" w:eastAsia="Times New Roman" w:hAnsi="Times New Roman" w:cs="Times New Roman"/>
          <w:i/>
          <w:iCs/>
          <w:kern w:val="0"/>
          <w:lang w:eastAsia="en-GB"/>
          <w14:ligatures w14:val="none"/>
        </w:rPr>
        <w:t>The Problem with Work</w:t>
      </w:r>
      <w:r w:rsidRPr="00BE7217">
        <w:rPr>
          <w:rFonts w:ascii="Times New Roman" w:eastAsia="Times New Roman" w:hAnsi="Times New Roman" w:cs="Times New Roman"/>
          <w:kern w:val="0"/>
          <w:lang w:eastAsia="en-GB"/>
          <w14:ligatures w14:val="none"/>
        </w:rPr>
        <w:t>. https://doi.org/10.1215/9780822394723.</w:t>
      </w:r>
    </w:p>
    <w:p w14:paraId="022401CB" w14:textId="77777777" w:rsidR="00BE7217" w:rsidRPr="00BE7217" w:rsidRDefault="00BE7217" w:rsidP="00BE7217">
      <w:pPr>
        <w:spacing w:after="0" w:line="480" w:lineRule="auto"/>
        <w:ind w:firstLine="720"/>
        <w:rPr>
          <w:rFonts w:ascii="Times New Roman" w:eastAsia="Times New Roman" w:hAnsi="Times New Roman" w:cs="Times New Roman"/>
          <w:kern w:val="0"/>
          <w:lang w:eastAsia="en-GB"/>
          <w14:ligatures w14:val="none"/>
        </w:rPr>
      </w:pPr>
      <w:r w:rsidRPr="00BE7217">
        <w:rPr>
          <w:rFonts w:ascii="Times New Roman" w:eastAsia="Times New Roman" w:hAnsi="Times New Roman" w:cs="Times New Roman"/>
          <w:kern w:val="0"/>
          <w:lang w:eastAsia="en-GB"/>
          <w14:ligatures w14:val="none"/>
        </w:rPr>
        <w:t xml:space="preserve">Wickham, S. </w:t>
      </w:r>
      <w:r w:rsidRPr="00BE7217">
        <w:rPr>
          <w:rFonts w:ascii="Times New Roman" w:eastAsia="Times New Roman" w:hAnsi="Times New Roman" w:cs="Times New Roman"/>
          <w:i/>
          <w:iCs/>
          <w:kern w:val="0"/>
          <w:lang w:eastAsia="en-GB"/>
          <w14:ligatures w14:val="none"/>
        </w:rPr>
        <w:t>et al.</w:t>
      </w:r>
      <w:r w:rsidRPr="00BE7217">
        <w:rPr>
          <w:rFonts w:ascii="Times New Roman" w:eastAsia="Times New Roman" w:hAnsi="Times New Roman" w:cs="Times New Roman"/>
          <w:kern w:val="0"/>
          <w:lang w:eastAsia="en-GB"/>
          <w14:ligatures w14:val="none"/>
        </w:rPr>
        <w:t xml:space="preserve"> (2020) &amp;apos;Effects on mental health of a UK welfare reform, Universal Credit: a longitudinal controlled study,&amp;apos; </w:t>
      </w:r>
      <w:r w:rsidRPr="00BE7217">
        <w:rPr>
          <w:rFonts w:ascii="Times New Roman" w:eastAsia="Times New Roman" w:hAnsi="Times New Roman" w:cs="Times New Roman"/>
          <w:i/>
          <w:iCs/>
          <w:kern w:val="0"/>
          <w:lang w:eastAsia="en-GB"/>
          <w14:ligatures w14:val="none"/>
        </w:rPr>
        <w:t>The Lancet Public Health</w:t>
      </w:r>
      <w:r w:rsidRPr="00BE7217">
        <w:rPr>
          <w:rFonts w:ascii="Times New Roman" w:eastAsia="Times New Roman" w:hAnsi="Times New Roman" w:cs="Times New Roman"/>
          <w:kern w:val="0"/>
          <w:lang w:eastAsia="en-GB"/>
          <w14:ligatures w14:val="none"/>
        </w:rPr>
        <w:t>, 5(3), pp. e157–e164. https://doi.org/10.1016/s2468-2667(20)30026-8.</w:t>
      </w:r>
    </w:p>
    <w:p w14:paraId="785DEC2D" w14:textId="77777777" w:rsidR="00BE7217" w:rsidRDefault="00BE7217" w:rsidP="00607903"/>
    <w:p w14:paraId="53A294E8" w14:textId="320B20A4" w:rsidR="002118FB" w:rsidRDefault="002118FB"/>
    <w:sectPr w:rsidR="002118F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0DBDB" w14:textId="77777777" w:rsidR="00026CB6" w:rsidRDefault="00026CB6" w:rsidP="001D3629">
      <w:pPr>
        <w:spacing w:after="0" w:line="240" w:lineRule="auto"/>
      </w:pPr>
      <w:r>
        <w:separator/>
      </w:r>
    </w:p>
  </w:endnote>
  <w:endnote w:type="continuationSeparator" w:id="0">
    <w:p w14:paraId="30C114EF" w14:textId="77777777" w:rsidR="00026CB6" w:rsidRDefault="00026CB6" w:rsidP="001D3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956821"/>
      <w:docPartObj>
        <w:docPartGallery w:val="Page Numbers (Bottom of Page)"/>
        <w:docPartUnique/>
      </w:docPartObj>
    </w:sdtPr>
    <w:sdtEndPr>
      <w:rPr>
        <w:noProof/>
      </w:rPr>
    </w:sdtEndPr>
    <w:sdtContent>
      <w:p w14:paraId="52796CCB" w14:textId="620853B2" w:rsidR="001D3629" w:rsidRDefault="001D36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BFAF0" w14:textId="77777777" w:rsidR="001D3629" w:rsidRDefault="001D3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390AB" w14:textId="77777777" w:rsidR="00026CB6" w:rsidRDefault="00026CB6" w:rsidP="001D3629">
      <w:pPr>
        <w:spacing w:after="0" w:line="240" w:lineRule="auto"/>
      </w:pPr>
      <w:r>
        <w:separator/>
      </w:r>
    </w:p>
  </w:footnote>
  <w:footnote w:type="continuationSeparator" w:id="0">
    <w:p w14:paraId="57530C35" w14:textId="77777777" w:rsidR="00026CB6" w:rsidRDefault="00026CB6" w:rsidP="001D36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903"/>
    <w:rsid w:val="00023EC9"/>
    <w:rsid w:val="00026CB6"/>
    <w:rsid w:val="00042957"/>
    <w:rsid w:val="0005271E"/>
    <w:rsid w:val="000C44F0"/>
    <w:rsid w:val="001363A0"/>
    <w:rsid w:val="001D3629"/>
    <w:rsid w:val="002118FB"/>
    <w:rsid w:val="00242316"/>
    <w:rsid w:val="002E024D"/>
    <w:rsid w:val="0035210E"/>
    <w:rsid w:val="003A33B1"/>
    <w:rsid w:val="003C275F"/>
    <w:rsid w:val="004C630C"/>
    <w:rsid w:val="004E362C"/>
    <w:rsid w:val="004F7890"/>
    <w:rsid w:val="00511E93"/>
    <w:rsid w:val="005722D5"/>
    <w:rsid w:val="00582436"/>
    <w:rsid w:val="005E051F"/>
    <w:rsid w:val="00607903"/>
    <w:rsid w:val="0063606A"/>
    <w:rsid w:val="006B06DF"/>
    <w:rsid w:val="0072305F"/>
    <w:rsid w:val="00763B38"/>
    <w:rsid w:val="007E67D0"/>
    <w:rsid w:val="008240C9"/>
    <w:rsid w:val="008503FF"/>
    <w:rsid w:val="008819D6"/>
    <w:rsid w:val="008A5651"/>
    <w:rsid w:val="008C522C"/>
    <w:rsid w:val="00911BB7"/>
    <w:rsid w:val="00920462"/>
    <w:rsid w:val="00923FA4"/>
    <w:rsid w:val="00973F06"/>
    <w:rsid w:val="00984516"/>
    <w:rsid w:val="009A4D34"/>
    <w:rsid w:val="00A06AC6"/>
    <w:rsid w:val="00A11055"/>
    <w:rsid w:val="00A21C66"/>
    <w:rsid w:val="00A302CE"/>
    <w:rsid w:val="00A40307"/>
    <w:rsid w:val="00A61D28"/>
    <w:rsid w:val="00A85160"/>
    <w:rsid w:val="00B161A4"/>
    <w:rsid w:val="00B46F35"/>
    <w:rsid w:val="00B47008"/>
    <w:rsid w:val="00B97E06"/>
    <w:rsid w:val="00BA40CD"/>
    <w:rsid w:val="00BB756C"/>
    <w:rsid w:val="00BD4B71"/>
    <w:rsid w:val="00BE7217"/>
    <w:rsid w:val="00C034A5"/>
    <w:rsid w:val="00C40A15"/>
    <w:rsid w:val="00C57E85"/>
    <w:rsid w:val="00CD3F8B"/>
    <w:rsid w:val="00CD4E94"/>
    <w:rsid w:val="00D45834"/>
    <w:rsid w:val="00D7286D"/>
    <w:rsid w:val="00D84B09"/>
    <w:rsid w:val="00DB31D6"/>
    <w:rsid w:val="00DF3C91"/>
    <w:rsid w:val="00E419B6"/>
    <w:rsid w:val="00E71C07"/>
    <w:rsid w:val="00EA0EBA"/>
    <w:rsid w:val="00EF7F0A"/>
    <w:rsid w:val="00F3465F"/>
    <w:rsid w:val="00F9505B"/>
    <w:rsid w:val="00FC1C08"/>
    <w:rsid w:val="00FC479D"/>
    <w:rsid w:val="00FE0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D6BB1"/>
  <w15:chartTrackingRefBased/>
  <w15:docId w15:val="{C8C7A65E-C21B-4458-ACD2-7F6B68D79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9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79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79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79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79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79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9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9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9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9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79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79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9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9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9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9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9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903"/>
    <w:rPr>
      <w:rFonts w:eastAsiaTheme="majorEastAsia" w:cstheme="majorBidi"/>
      <w:color w:val="272727" w:themeColor="text1" w:themeTint="D8"/>
    </w:rPr>
  </w:style>
  <w:style w:type="paragraph" w:styleId="Title">
    <w:name w:val="Title"/>
    <w:basedOn w:val="Normal"/>
    <w:next w:val="Normal"/>
    <w:link w:val="TitleChar"/>
    <w:uiPriority w:val="10"/>
    <w:qFormat/>
    <w:rsid w:val="006079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9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9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9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903"/>
    <w:pPr>
      <w:spacing w:before="160"/>
      <w:jc w:val="center"/>
    </w:pPr>
    <w:rPr>
      <w:i/>
      <w:iCs/>
      <w:color w:val="404040" w:themeColor="text1" w:themeTint="BF"/>
    </w:rPr>
  </w:style>
  <w:style w:type="character" w:customStyle="1" w:styleId="QuoteChar">
    <w:name w:val="Quote Char"/>
    <w:basedOn w:val="DefaultParagraphFont"/>
    <w:link w:val="Quote"/>
    <w:uiPriority w:val="29"/>
    <w:rsid w:val="00607903"/>
    <w:rPr>
      <w:i/>
      <w:iCs/>
      <w:color w:val="404040" w:themeColor="text1" w:themeTint="BF"/>
    </w:rPr>
  </w:style>
  <w:style w:type="paragraph" w:styleId="ListParagraph">
    <w:name w:val="List Paragraph"/>
    <w:basedOn w:val="Normal"/>
    <w:uiPriority w:val="34"/>
    <w:qFormat/>
    <w:rsid w:val="00607903"/>
    <w:pPr>
      <w:ind w:left="720"/>
      <w:contextualSpacing/>
    </w:pPr>
  </w:style>
  <w:style w:type="character" w:styleId="IntenseEmphasis">
    <w:name w:val="Intense Emphasis"/>
    <w:basedOn w:val="DefaultParagraphFont"/>
    <w:uiPriority w:val="21"/>
    <w:qFormat/>
    <w:rsid w:val="00607903"/>
    <w:rPr>
      <w:i/>
      <w:iCs/>
      <w:color w:val="0F4761" w:themeColor="accent1" w:themeShade="BF"/>
    </w:rPr>
  </w:style>
  <w:style w:type="paragraph" w:styleId="IntenseQuote">
    <w:name w:val="Intense Quote"/>
    <w:basedOn w:val="Normal"/>
    <w:next w:val="Normal"/>
    <w:link w:val="IntenseQuoteChar"/>
    <w:uiPriority w:val="30"/>
    <w:qFormat/>
    <w:rsid w:val="006079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7903"/>
    <w:rPr>
      <w:i/>
      <w:iCs/>
      <w:color w:val="0F4761" w:themeColor="accent1" w:themeShade="BF"/>
    </w:rPr>
  </w:style>
  <w:style w:type="character" w:styleId="IntenseReference">
    <w:name w:val="Intense Reference"/>
    <w:basedOn w:val="DefaultParagraphFont"/>
    <w:uiPriority w:val="32"/>
    <w:qFormat/>
    <w:rsid w:val="00607903"/>
    <w:rPr>
      <w:b/>
      <w:bCs/>
      <w:smallCaps/>
      <w:color w:val="0F4761" w:themeColor="accent1" w:themeShade="BF"/>
      <w:spacing w:val="5"/>
    </w:rPr>
  </w:style>
  <w:style w:type="paragraph" w:styleId="Bibliography">
    <w:name w:val="Bibliography"/>
    <w:basedOn w:val="Normal"/>
    <w:next w:val="Normal"/>
    <w:uiPriority w:val="37"/>
    <w:semiHidden/>
    <w:unhideWhenUsed/>
    <w:rsid w:val="00BE7217"/>
  </w:style>
  <w:style w:type="paragraph" w:styleId="Header">
    <w:name w:val="header"/>
    <w:basedOn w:val="Normal"/>
    <w:link w:val="HeaderChar"/>
    <w:uiPriority w:val="99"/>
    <w:unhideWhenUsed/>
    <w:rsid w:val="001D36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629"/>
  </w:style>
  <w:style w:type="paragraph" w:styleId="Footer">
    <w:name w:val="footer"/>
    <w:basedOn w:val="Normal"/>
    <w:link w:val="FooterChar"/>
    <w:uiPriority w:val="99"/>
    <w:unhideWhenUsed/>
    <w:rsid w:val="001D36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629"/>
  </w:style>
  <w:style w:type="paragraph" w:styleId="TOCHeading">
    <w:name w:val="TOC Heading"/>
    <w:basedOn w:val="Heading1"/>
    <w:next w:val="Normal"/>
    <w:uiPriority w:val="39"/>
    <w:unhideWhenUsed/>
    <w:qFormat/>
    <w:rsid w:val="001D362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D3629"/>
    <w:pPr>
      <w:spacing w:after="100"/>
    </w:pPr>
  </w:style>
  <w:style w:type="character" w:styleId="Hyperlink">
    <w:name w:val="Hyperlink"/>
    <w:basedOn w:val="DefaultParagraphFont"/>
    <w:uiPriority w:val="99"/>
    <w:unhideWhenUsed/>
    <w:rsid w:val="001D3629"/>
    <w:rPr>
      <w:color w:val="467886" w:themeColor="hyperlink"/>
      <w:u w:val="single"/>
    </w:rPr>
  </w:style>
  <w:style w:type="paragraph" w:styleId="TOC2">
    <w:name w:val="toc 2"/>
    <w:basedOn w:val="Normal"/>
    <w:next w:val="Normal"/>
    <w:autoRedefine/>
    <w:uiPriority w:val="39"/>
    <w:unhideWhenUsed/>
    <w:rsid w:val="001D3629"/>
    <w:pPr>
      <w:spacing w:after="100"/>
      <w:ind w:left="240"/>
    </w:pPr>
  </w:style>
  <w:style w:type="paragraph" w:styleId="TOC3">
    <w:name w:val="toc 3"/>
    <w:basedOn w:val="Normal"/>
    <w:next w:val="Normal"/>
    <w:autoRedefine/>
    <w:uiPriority w:val="39"/>
    <w:unhideWhenUsed/>
    <w:rsid w:val="001D3629"/>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05">
      <w:bodyDiv w:val="1"/>
      <w:marLeft w:val="0"/>
      <w:marRight w:val="0"/>
      <w:marTop w:val="0"/>
      <w:marBottom w:val="0"/>
      <w:divBdr>
        <w:top w:val="none" w:sz="0" w:space="0" w:color="auto"/>
        <w:left w:val="none" w:sz="0" w:space="0" w:color="auto"/>
        <w:bottom w:val="none" w:sz="0" w:space="0" w:color="auto"/>
        <w:right w:val="none" w:sz="0" w:space="0" w:color="auto"/>
      </w:divBdr>
    </w:div>
    <w:div w:id="329454003">
      <w:bodyDiv w:val="1"/>
      <w:marLeft w:val="0"/>
      <w:marRight w:val="0"/>
      <w:marTop w:val="0"/>
      <w:marBottom w:val="0"/>
      <w:divBdr>
        <w:top w:val="none" w:sz="0" w:space="0" w:color="auto"/>
        <w:left w:val="none" w:sz="0" w:space="0" w:color="auto"/>
        <w:bottom w:val="none" w:sz="0" w:space="0" w:color="auto"/>
        <w:right w:val="none" w:sz="0" w:space="0" w:color="auto"/>
      </w:divBdr>
    </w:div>
    <w:div w:id="173041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BDEE6-D367-40F0-ACAB-A64A30C56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14</Pages>
  <Words>4346</Words>
  <Characters>24777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dc:creator>
  <cp:keywords/>
  <dc:description/>
  <cp:lastModifiedBy>Laura Clarke</cp:lastModifiedBy>
  <cp:revision>12</cp:revision>
  <dcterms:created xsi:type="dcterms:W3CDTF">2025-04-01T10:46:00Z</dcterms:created>
  <dcterms:modified xsi:type="dcterms:W3CDTF">2025-04-19T09:34:00Z</dcterms:modified>
</cp:coreProperties>
</file>