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A49" w:rsidRDefault="00014C35" w:rsidP="00014C35">
      <w:pPr>
        <w:jc w:val="center"/>
        <w:rPr>
          <w:rFonts w:ascii="Arial" w:hAnsi="Arial" w:cs="Arial"/>
          <w:sz w:val="24"/>
          <w:u w:val="single"/>
        </w:rPr>
      </w:pPr>
      <w:r>
        <w:rPr>
          <w:rFonts w:ascii="Arial" w:hAnsi="Arial" w:cs="Arial"/>
          <w:sz w:val="24"/>
          <w:u w:val="single"/>
        </w:rPr>
        <w:t>Reflective Report</w:t>
      </w:r>
    </w:p>
    <w:p w:rsidR="00014C35" w:rsidRDefault="00014C35" w:rsidP="00014C35">
      <w:pPr>
        <w:rPr>
          <w:rFonts w:ascii="Arial" w:hAnsi="Arial" w:cs="Arial"/>
          <w:sz w:val="24"/>
        </w:rPr>
      </w:pPr>
      <w:r>
        <w:rPr>
          <w:rFonts w:ascii="Arial" w:hAnsi="Arial" w:cs="Arial"/>
          <w:b/>
          <w:sz w:val="24"/>
        </w:rPr>
        <w:t xml:space="preserve">(Working) Title of Dissertation: </w:t>
      </w:r>
      <w:r>
        <w:rPr>
          <w:rFonts w:ascii="Arial" w:hAnsi="Arial" w:cs="Arial"/>
          <w:sz w:val="24"/>
        </w:rPr>
        <w:t>Dreams of an ancient Matriarchy: Wives, Priestesses, Goddesses, Pharaohs, and Prostitutes, the Reality of a Female “Privilege” in Ancient Egypt</w:t>
      </w:r>
    </w:p>
    <w:p w:rsidR="00014C35" w:rsidRDefault="00014C35" w:rsidP="00014C35">
      <w:pPr>
        <w:rPr>
          <w:rFonts w:ascii="Arial" w:hAnsi="Arial" w:cs="Arial"/>
          <w:b/>
          <w:sz w:val="24"/>
        </w:rPr>
      </w:pPr>
      <w:r>
        <w:rPr>
          <w:rFonts w:ascii="Arial" w:hAnsi="Arial" w:cs="Arial"/>
          <w:b/>
          <w:sz w:val="24"/>
        </w:rPr>
        <w:t>Overview</w:t>
      </w:r>
    </w:p>
    <w:p w:rsidR="00014C35" w:rsidRDefault="00014C35" w:rsidP="00014C35">
      <w:pPr>
        <w:rPr>
          <w:rFonts w:ascii="Arial" w:hAnsi="Arial" w:cs="Arial"/>
          <w:sz w:val="24"/>
        </w:rPr>
      </w:pPr>
      <w:r>
        <w:rPr>
          <w:rFonts w:ascii="Arial" w:hAnsi="Arial" w:cs="Arial"/>
          <w:sz w:val="24"/>
        </w:rPr>
        <w:t xml:space="preserve">The main question I am wanting to answer within my dissertation is to what extent did women in Ancient Egypt have some level of privilege within their lives? There is a common idea that Egyptian women did have massive amounts of freedom, though this is not at all entirely true. This being said, I wish to argue that although the idea of an Egyptian matriarchy could not be further </w:t>
      </w:r>
      <w:r w:rsidR="0060617F">
        <w:rPr>
          <w:rFonts w:ascii="Arial" w:hAnsi="Arial" w:cs="Arial"/>
          <w:sz w:val="24"/>
        </w:rPr>
        <w:t>than the truth and women did have</w:t>
      </w:r>
      <w:r>
        <w:rPr>
          <w:rFonts w:ascii="Arial" w:hAnsi="Arial" w:cs="Arial"/>
          <w:sz w:val="24"/>
        </w:rPr>
        <w:t xml:space="preserve"> many hardships (as they have done through many cultures throughout history and up to the present day) – it is still somewhat surprising the extent of the freedoms Egyptian women did have in their culture, compared to the way women w</w:t>
      </w:r>
      <w:r w:rsidR="004F0C2F">
        <w:rPr>
          <w:rFonts w:ascii="Arial" w:hAnsi="Arial" w:cs="Arial"/>
          <w:sz w:val="24"/>
        </w:rPr>
        <w:t>ere treated in other historical cultures.</w:t>
      </w:r>
    </w:p>
    <w:p w:rsidR="00BA4798" w:rsidRDefault="00BA4798" w:rsidP="00014C35">
      <w:pPr>
        <w:rPr>
          <w:rFonts w:ascii="Arial" w:hAnsi="Arial" w:cs="Arial"/>
          <w:sz w:val="24"/>
        </w:rPr>
      </w:pPr>
      <w:r>
        <w:rPr>
          <w:rFonts w:ascii="Arial" w:hAnsi="Arial" w:cs="Arial"/>
          <w:sz w:val="24"/>
        </w:rPr>
        <w:t>The way in which I have currently structured my dissertation is through six sections and paragraphs – those being:</w:t>
      </w:r>
    </w:p>
    <w:p w:rsidR="00BA4798" w:rsidRDefault="00BA4798" w:rsidP="00BA4798">
      <w:pPr>
        <w:pStyle w:val="ListParagraph"/>
        <w:numPr>
          <w:ilvl w:val="0"/>
          <w:numId w:val="1"/>
        </w:numPr>
        <w:rPr>
          <w:rFonts w:ascii="Arial" w:hAnsi="Arial" w:cs="Arial"/>
          <w:sz w:val="24"/>
        </w:rPr>
      </w:pPr>
      <w:r>
        <w:rPr>
          <w:rFonts w:ascii="Arial" w:hAnsi="Arial" w:cs="Arial"/>
          <w:sz w:val="24"/>
        </w:rPr>
        <w:t>Mothers/Wives/Widows/Daughters/”Mistresses of the House”</w:t>
      </w:r>
    </w:p>
    <w:p w:rsidR="00BA4798" w:rsidRDefault="00BA4798" w:rsidP="00BA4798">
      <w:pPr>
        <w:pStyle w:val="ListParagraph"/>
        <w:numPr>
          <w:ilvl w:val="0"/>
          <w:numId w:val="1"/>
        </w:numPr>
        <w:rPr>
          <w:rFonts w:ascii="Arial" w:hAnsi="Arial" w:cs="Arial"/>
          <w:sz w:val="24"/>
        </w:rPr>
      </w:pPr>
      <w:r>
        <w:rPr>
          <w:rFonts w:ascii="Arial" w:hAnsi="Arial" w:cs="Arial"/>
          <w:sz w:val="24"/>
        </w:rPr>
        <w:t>Pharaohs and Queens</w:t>
      </w:r>
    </w:p>
    <w:p w:rsidR="00BA4798" w:rsidRDefault="00BA4798" w:rsidP="00BA4798">
      <w:pPr>
        <w:pStyle w:val="ListParagraph"/>
        <w:numPr>
          <w:ilvl w:val="0"/>
          <w:numId w:val="1"/>
        </w:numPr>
        <w:rPr>
          <w:rFonts w:ascii="Arial" w:hAnsi="Arial" w:cs="Arial"/>
          <w:sz w:val="24"/>
        </w:rPr>
      </w:pPr>
      <w:r>
        <w:rPr>
          <w:rFonts w:ascii="Arial" w:hAnsi="Arial" w:cs="Arial"/>
          <w:sz w:val="24"/>
        </w:rPr>
        <w:t>Priestesses and Women in religion</w:t>
      </w:r>
    </w:p>
    <w:p w:rsidR="00BA4798" w:rsidRDefault="00BA4798" w:rsidP="00BA4798">
      <w:pPr>
        <w:pStyle w:val="ListParagraph"/>
        <w:numPr>
          <w:ilvl w:val="0"/>
          <w:numId w:val="1"/>
        </w:numPr>
        <w:rPr>
          <w:rFonts w:ascii="Arial" w:hAnsi="Arial" w:cs="Arial"/>
          <w:sz w:val="24"/>
        </w:rPr>
      </w:pPr>
      <w:r>
        <w:rPr>
          <w:rFonts w:ascii="Arial" w:hAnsi="Arial" w:cs="Arial"/>
          <w:sz w:val="24"/>
        </w:rPr>
        <w:t>Women in work</w:t>
      </w:r>
    </w:p>
    <w:p w:rsidR="00BA4798" w:rsidRDefault="00BA4798" w:rsidP="00BA4798">
      <w:pPr>
        <w:pStyle w:val="ListParagraph"/>
        <w:numPr>
          <w:ilvl w:val="0"/>
          <w:numId w:val="1"/>
        </w:numPr>
        <w:rPr>
          <w:rFonts w:ascii="Arial" w:hAnsi="Arial" w:cs="Arial"/>
          <w:sz w:val="24"/>
        </w:rPr>
      </w:pPr>
      <w:r>
        <w:rPr>
          <w:rFonts w:ascii="Arial" w:hAnsi="Arial" w:cs="Arial"/>
          <w:sz w:val="24"/>
        </w:rPr>
        <w:t>Female sexuality and prostitution</w:t>
      </w:r>
    </w:p>
    <w:p w:rsidR="00BA4798" w:rsidRDefault="004F0C2F" w:rsidP="00BA4798">
      <w:pPr>
        <w:pStyle w:val="ListParagraph"/>
        <w:numPr>
          <w:ilvl w:val="0"/>
          <w:numId w:val="1"/>
        </w:numPr>
        <w:rPr>
          <w:rFonts w:ascii="Arial" w:hAnsi="Arial" w:cs="Arial"/>
          <w:sz w:val="24"/>
        </w:rPr>
      </w:pPr>
      <w:r>
        <w:rPr>
          <w:rFonts w:ascii="Arial" w:hAnsi="Arial" w:cs="Arial"/>
          <w:sz w:val="24"/>
        </w:rPr>
        <w:t>Goddesses</w:t>
      </w:r>
      <w:r w:rsidR="00BA4798">
        <w:rPr>
          <w:rFonts w:ascii="Arial" w:hAnsi="Arial" w:cs="Arial"/>
          <w:sz w:val="24"/>
        </w:rPr>
        <w:t>.</w:t>
      </w:r>
    </w:p>
    <w:p w:rsidR="00BA4798" w:rsidRPr="00BA4798" w:rsidRDefault="00BA4798" w:rsidP="00BA4798">
      <w:pPr>
        <w:rPr>
          <w:rFonts w:ascii="Arial" w:hAnsi="Arial" w:cs="Arial"/>
          <w:sz w:val="24"/>
        </w:rPr>
      </w:pPr>
      <w:r>
        <w:rPr>
          <w:rFonts w:ascii="Arial" w:hAnsi="Arial" w:cs="Arial"/>
          <w:sz w:val="24"/>
        </w:rPr>
        <w:t>I have also given each of these topics several subheadings to help me guide my research and find more details about the different types of women under these headings to further help me evaluate and come to a conclusion of my argument. I believe that at least having a set of research – that all may not even make it into my dissertation – helps me widen my knowledge massively and deepens my understanding of the topic I have chosen to study. Though this is an incredible task to undertake, I do believe that I am able to complete it and create a piece of work to a fairly high standard.</w:t>
      </w:r>
    </w:p>
    <w:p w:rsidR="00014C35" w:rsidRPr="005E0ACB" w:rsidRDefault="00014C35" w:rsidP="00014C35">
      <w:pPr>
        <w:rPr>
          <w:rFonts w:ascii="Arial" w:hAnsi="Arial" w:cs="Arial"/>
          <w:sz w:val="24"/>
        </w:rPr>
      </w:pPr>
      <w:r>
        <w:rPr>
          <w:rFonts w:ascii="Arial" w:hAnsi="Arial" w:cs="Arial"/>
          <w:sz w:val="24"/>
        </w:rPr>
        <w:t>Much of the literature that I have chosen to study is situated in Egyptology, but also pieces from women’</w:t>
      </w:r>
      <w:r w:rsidR="0009062F">
        <w:rPr>
          <w:rFonts w:ascii="Arial" w:hAnsi="Arial" w:cs="Arial"/>
          <w:sz w:val="24"/>
        </w:rPr>
        <w:t>s studies and feminist theories and ideas</w:t>
      </w:r>
      <w:r w:rsidR="0009062F">
        <w:rPr>
          <w:rStyle w:val="FootnoteReference"/>
          <w:rFonts w:ascii="Arial" w:hAnsi="Arial" w:cs="Arial"/>
          <w:sz w:val="24"/>
        </w:rPr>
        <w:footnoteReference w:id="1"/>
      </w:r>
      <w:r w:rsidR="0009062F">
        <w:rPr>
          <w:rFonts w:ascii="Arial" w:hAnsi="Arial" w:cs="Arial"/>
          <w:sz w:val="24"/>
        </w:rPr>
        <w:t xml:space="preserve"> </w:t>
      </w:r>
      <w:r>
        <w:rPr>
          <w:rFonts w:ascii="Arial" w:hAnsi="Arial" w:cs="Arial"/>
          <w:sz w:val="24"/>
        </w:rPr>
        <w:t>to try and evaluate the ways in which women were treated and even reasoning for why this may be the case in a patriarchal</w:t>
      </w:r>
      <w:r w:rsidR="0009062F">
        <w:rPr>
          <w:rStyle w:val="FootnoteReference"/>
          <w:rFonts w:ascii="Arial" w:hAnsi="Arial" w:cs="Arial"/>
          <w:sz w:val="24"/>
        </w:rPr>
        <w:footnoteReference w:id="2"/>
      </w:r>
      <w:r>
        <w:rPr>
          <w:rFonts w:ascii="Arial" w:hAnsi="Arial" w:cs="Arial"/>
          <w:sz w:val="24"/>
        </w:rPr>
        <w:t xml:space="preserve"> world. Also, questions of the creation and concepts of gender can also be assessed seeing as the seat of Pharaoh is one of the earliest examples of sex and gender being redefined and separate from each other an</w:t>
      </w:r>
      <w:r w:rsidR="0009062F">
        <w:rPr>
          <w:rFonts w:ascii="Arial" w:hAnsi="Arial" w:cs="Arial"/>
          <w:sz w:val="24"/>
        </w:rPr>
        <w:t>d even fluid within one person.</w:t>
      </w:r>
      <w:r w:rsidR="0009062F">
        <w:rPr>
          <w:rStyle w:val="FootnoteReference"/>
          <w:rFonts w:ascii="Arial" w:hAnsi="Arial" w:cs="Arial"/>
          <w:sz w:val="24"/>
        </w:rPr>
        <w:footnoteReference w:id="3"/>
      </w:r>
      <w:r w:rsidR="00BA4798">
        <w:rPr>
          <w:rFonts w:ascii="Arial" w:hAnsi="Arial" w:cs="Arial"/>
          <w:sz w:val="24"/>
        </w:rPr>
        <w:br/>
        <w:t xml:space="preserve">As well as secondary sources and literature, there are also a few examples of primary sources that I wish to use to help situate my research and argument in a </w:t>
      </w:r>
      <w:r w:rsidR="00BA4798">
        <w:rPr>
          <w:rFonts w:ascii="Arial" w:hAnsi="Arial" w:cs="Arial"/>
          <w:sz w:val="24"/>
        </w:rPr>
        <w:lastRenderedPageBreak/>
        <w:t xml:space="preserve">wider historical context. Some examples of this would be </w:t>
      </w:r>
      <w:r w:rsidR="00C325A3">
        <w:rPr>
          <w:rFonts w:ascii="Arial" w:hAnsi="Arial" w:cs="Arial"/>
          <w:sz w:val="24"/>
        </w:rPr>
        <w:t xml:space="preserve">the details </w:t>
      </w:r>
      <w:r w:rsidR="0060617F">
        <w:rPr>
          <w:rFonts w:ascii="Arial" w:hAnsi="Arial" w:cs="Arial"/>
          <w:sz w:val="24"/>
        </w:rPr>
        <w:t xml:space="preserve">of </w:t>
      </w:r>
      <w:r w:rsidR="00BA4798">
        <w:rPr>
          <w:rFonts w:ascii="Arial" w:hAnsi="Arial" w:cs="Arial"/>
          <w:sz w:val="24"/>
        </w:rPr>
        <w:t xml:space="preserve">the </w:t>
      </w:r>
      <w:bookmarkStart w:id="0" w:name="_GoBack"/>
      <w:bookmarkEnd w:id="0"/>
      <w:r w:rsidR="00BA4798">
        <w:rPr>
          <w:rFonts w:ascii="Arial" w:hAnsi="Arial" w:cs="Arial"/>
          <w:sz w:val="24"/>
        </w:rPr>
        <w:t>Predynastic Naga-ed-Deir cemetery N700</w:t>
      </w:r>
      <w:r w:rsidR="00C325A3">
        <w:rPr>
          <w:rFonts w:ascii="Arial" w:hAnsi="Arial" w:cs="Arial"/>
          <w:sz w:val="24"/>
        </w:rPr>
        <w:t>0</w:t>
      </w:r>
      <w:r w:rsidR="00C325A3">
        <w:rPr>
          <w:rStyle w:val="FootnoteReference"/>
          <w:rFonts w:ascii="Arial" w:hAnsi="Arial" w:cs="Arial"/>
          <w:sz w:val="24"/>
        </w:rPr>
        <w:footnoteReference w:id="4"/>
      </w:r>
      <w:r w:rsidR="00C325A3">
        <w:rPr>
          <w:rFonts w:ascii="Arial" w:hAnsi="Arial" w:cs="Arial"/>
          <w:sz w:val="24"/>
        </w:rPr>
        <w:t xml:space="preserve"> and how the sexes here were not shown to be different by their grave goods.</w:t>
      </w:r>
      <w:r w:rsidR="00C325A3">
        <w:rPr>
          <w:rStyle w:val="FootnoteReference"/>
          <w:rFonts w:ascii="Arial" w:hAnsi="Arial" w:cs="Arial"/>
          <w:sz w:val="24"/>
        </w:rPr>
        <w:footnoteReference w:id="5"/>
      </w:r>
      <w:r w:rsidR="00C325A3">
        <w:rPr>
          <w:rFonts w:ascii="Arial" w:hAnsi="Arial" w:cs="Arial"/>
          <w:sz w:val="24"/>
        </w:rPr>
        <w:t xml:space="preserve"> </w:t>
      </w:r>
      <w:r w:rsidR="00C325A3">
        <w:rPr>
          <w:rFonts w:ascii="Arial" w:hAnsi="Arial" w:cs="Arial"/>
          <w:sz w:val="24"/>
        </w:rPr>
        <w:br/>
        <w:t>There are also some examples of Papyrus – such as the papyrus from Abusir</w:t>
      </w:r>
      <w:r w:rsidR="00732146">
        <w:rPr>
          <w:rFonts w:ascii="Arial" w:hAnsi="Arial" w:cs="Arial"/>
          <w:sz w:val="24"/>
        </w:rPr>
        <w:t>,</w:t>
      </w:r>
      <w:r w:rsidR="00C325A3">
        <w:rPr>
          <w:rStyle w:val="FootnoteReference"/>
          <w:rFonts w:ascii="Arial" w:hAnsi="Arial" w:cs="Arial"/>
          <w:sz w:val="24"/>
        </w:rPr>
        <w:footnoteReference w:id="6"/>
      </w:r>
      <w:r w:rsidR="00732146">
        <w:rPr>
          <w:rFonts w:ascii="Arial" w:hAnsi="Arial" w:cs="Arial"/>
          <w:sz w:val="24"/>
        </w:rPr>
        <w:t xml:space="preserve"> which notes that at one point priests and priestesses received the same pay for their job.</w:t>
      </w:r>
      <w:r w:rsidR="00732146">
        <w:rPr>
          <w:rStyle w:val="FootnoteReference"/>
          <w:rFonts w:ascii="Arial" w:hAnsi="Arial" w:cs="Arial"/>
          <w:sz w:val="24"/>
        </w:rPr>
        <w:footnoteReference w:id="7"/>
      </w:r>
      <w:r w:rsidR="005E0ACB">
        <w:rPr>
          <w:rFonts w:ascii="Arial" w:hAnsi="Arial" w:cs="Arial"/>
          <w:sz w:val="24"/>
        </w:rPr>
        <w:br/>
        <w:t xml:space="preserve">Concerning the ways in which the nature of women are depicted, there are examples in literature that can show us how </w:t>
      </w:r>
      <w:r w:rsidR="005E0ACB">
        <w:rPr>
          <w:rFonts w:ascii="Arial" w:hAnsi="Arial" w:cs="Arial"/>
          <w:i/>
          <w:sz w:val="24"/>
        </w:rPr>
        <w:t>men</w:t>
      </w:r>
      <w:r w:rsidR="005E0ACB">
        <w:rPr>
          <w:rFonts w:ascii="Arial" w:hAnsi="Arial" w:cs="Arial"/>
          <w:sz w:val="24"/>
        </w:rPr>
        <w:t xml:space="preserve"> viewed women. One of these would be the </w:t>
      </w:r>
      <w:r w:rsidR="005E0ACB">
        <w:rPr>
          <w:rFonts w:ascii="Arial" w:hAnsi="Arial" w:cs="Arial"/>
          <w:i/>
          <w:sz w:val="24"/>
        </w:rPr>
        <w:t>Tale of the Herdsman</w:t>
      </w:r>
      <w:r w:rsidR="005E0ACB">
        <w:rPr>
          <w:rStyle w:val="FootnoteReference"/>
          <w:rFonts w:ascii="Arial" w:hAnsi="Arial" w:cs="Arial"/>
          <w:i/>
          <w:sz w:val="24"/>
        </w:rPr>
        <w:footnoteReference w:id="8"/>
      </w:r>
      <w:r w:rsidR="0009062F">
        <w:rPr>
          <w:rFonts w:ascii="Arial" w:hAnsi="Arial" w:cs="Arial"/>
          <w:i/>
          <w:sz w:val="24"/>
        </w:rPr>
        <w:t xml:space="preserve"> </w:t>
      </w:r>
      <w:r w:rsidR="0009062F">
        <w:rPr>
          <w:rFonts w:ascii="Arial" w:hAnsi="Arial" w:cs="Arial"/>
          <w:sz w:val="24"/>
        </w:rPr>
        <w:t>- where women are shown to be temptresses and able to ensnare men using their sexuality</w:t>
      </w:r>
      <w:r w:rsidR="0060617F">
        <w:rPr>
          <w:rFonts w:ascii="Arial" w:hAnsi="Arial" w:cs="Arial"/>
          <w:sz w:val="24"/>
        </w:rPr>
        <w:t>.</w:t>
      </w:r>
      <w:r w:rsidR="0009062F">
        <w:rPr>
          <w:rStyle w:val="FootnoteReference"/>
          <w:rFonts w:ascii="Arial" w:hAnsi="Arial" w:cs="Arial"/>
          <w:sz w:val="24"/>
        </w:rPr>
        <w:footnoteReference w:id="9"/>
      </w:r>
      <w:r w:rsidR="005E0ACB">
        <w:rPr>
          <w:rFonts w:ascii="Arial" w:hAnsi="Arial" w:cs="Arial"/>
          <w:i/>
          <w:sz w:val="24"/>
        </w:rPr>
        <w:br/>
      </w:r>
      <w:r w:rsidR="005E0ACB">
        <w:rPr>
          <w:rFonts w:ascii="Arial" w:hAnsi="Arial" w:cs="Arial"/>
          <w:sz w:val="24"/>
        </w:rPr>
        <w:t xml:space="preserve">My final example of my use of primary sources in this </w:t>
      </w:r>
      <w:r w:rsidR="0060617F">
        <w:rPr>
          <w:rFonts w:ascii="Arial" w:hAnsi="Arial" w:cs="Arial"/>
          <w:sz w:val="24"/>
        </w:rPr>
        <w:t>report will be how</w:t>
      </w:r>
      <w:r w:rsidR="005E0ACB">
        <w:rPr>
          <w:rFonts w:ascii="Arial" w:hAnsi="Arial" w:cs="Arial"/>
          <w:sz w:val="24"/>
        </w:rPr>
        <w:t xml:space="preserve"> women and goddesses are likened to each other through the ways in which they are expected to act. This can be seen in the Papyrus Isinger</w:t>
      </w:r>
      <w:r w:rsidR="0009062F">
        <w:rPr>
          <w:rFonts w:ascii="Arial" w:hAnsi="Arial" w:cs="Arial"/>
          <w:sz w:val="24"/>
        </w:rPr>
        <w:t>,</w:t>
      </w:r>
      <w:r w:rsidR="0009062F">
        <w:rPr>
          <w:rStyle w:val="FootnoteReference"/>
          <w:rFonts w:ascii="Arial" w:hAnsi="Arial" w:cs="Arial"/>
          <w:sz w:val="24"/>
        </w:rPr>
        <w:footnoteReference w:id="10"/>
      </w:r>
      <w:r w:rsidR="0009062F">
        <w:rPr>
          <w:rFonts w:ascii="Arial" w:hAnsi="Arial" w:cs="Arial"/>
          <w:sz w:val="24"/>
        </w:rPr>
        <w:t xml:space="preserve"> where the connection is made between mortal women and </w:t>
      </w:r>
      <w:r w:rsidR="007E5DD9">
        <w:rPr>
          <w:rFonts w:ascii="Arial" w:hAnsi="Arial" w:cs="Arial"/>
          <w:sz w:val="24"/>
        </w:rPr>
        <w:t xml:space="preserve">the goddesses </w:t>
      </w:r>
      <w:r w:rsidR="0009062F">
        <w:rPr>
          <w:rFonts w:ascii="Arial" w:hAnsi="Arial" w:cs="Arial"/>
          <w:sz w:val="24"/>
        </w:rPr>
        <w:t>Mut and Hathor – women being the reason that good and bad are present on earth</w:t>
      </w:r>
      <w:r w:rsidR="007E5DD9">
        <w:rPr>
          <w:rFonts w:ascii="Arial" w:hAnsi="Arial" w:cs="Arial"/>
          <w:sz w:val="24"/>
        </w:rPr>
        <w:t>.</w:t>
      </w:r>
      <w:r w:rsidR="0009062F">
        <w:rPr>
          <w:rStyle w:val="FootnoteReference"/>
          <w:rFonts w:ascii="Arial" w:hAnsi="Arial" w:cs="Arial"/>
          <w:sz w:val="24"/>
        </w:rPr>
        <w:footnoteReference w:id="11"/>
      </w:r>
      <w:r w:rsidR="0009062F">
        <w:rPr>
          <w:rFonts w:ascii="Arial" w:hAnsi="Arial" w:cs="Arial"/>
          <w:sz w:val="24"/>
        </w:rPr>
        <w:br/>
        <w:t>There are many more primary sources I have found already to support my arguments and add explanations to women’s roles in Egyptian society and I aim to research yet a lot more, as I have hardly dived into all of the literature that I already have at hand.</w:t>
      </w:r>
    </w:p>
    <w:p w:rsidR="00014C35" w:rsidRDefault="00014C35" w:rsidP="00014C35">
      <w:pPr>
        <w:rPr>
          <w:rFonts w:ascii="Arial" w:hAnsi="Arial" w:cs="Arial"/>
          <w:b/>
          <w:sz w:val="24"/>
        </w:rPr>
      </w:pPr>
      <w:r>
        <w:rPr>
          <w:rFonts w:ascii="Arial" w:hAnsi="Arial" w:cs="Arial"/>
          <w:b/>
          <w:sz w:val="24"/>
        </w:rPr>
        <w:t>Methodology</w:t>
      </w:r>
    </w:p>
    <w:p w:rsidR="00014C35" w:rsidRDefault="00014C35" w:rsidP="00014C35">
      <w:pPr>
        <w:rPr>
          <w:rFonts w:ascii="Arial" w:hAnsi="Arial" w:cs="Arial"/>
          <w:sz w:val="24"/>
        </w:rPr>
      </w:pPr>
      <w:r>
        <w:rPr>
          <w:rFonts w:ascii="Arial" w:hAnsi="Arial" w:cs="Arial"/>
          <w:sz w:val="24"/>
        </w:rPr>
        <w:t xml:space="preserve">Thus far, though this is not the main aspect of my methodology – I have gathered a large amount of literature and reading to help gain knowledge of my chosen subject area. </w:t>
      </w:r>
      <w:r>
        <w:rPr>
          <w:rFonts w:ascii="Arial" w:hAnsi="Arial" w:cs="Arial"/>
          <w:sz w:val="24"/>
        </w:rPr>
        <w:br/>
      </w:r>
      <w:r w:rsidR="0073537B">
        <w:rPr>
          <w:rFonts w:ascii="Arial" w:hAnsi="Arial" w:cs="Arial"/>
          <w:sz w:val="24"/>
        </w:rPr>
        <w:t>Unfortunately</w:t>
      </w:r>
      <w:r>
        <w:rPr>
          <w:rFonts w:ascii="Arial" w:hAnsi="Arial" w:cs="Arial"/>
          <w:sz w:val="24"/>
        </w:rPr>
        <w:t xml:space="preserve">, due to other commitments and my financial situation it is rather difficult to </w:t>
      </w:r>
      <w:r w:rsidR="0073537B">
        <w:rPr>
          <w:rFonts w:ascii="Arial" w:hAnsi="Arial" w:cs="Arial"/>
          <w:sz w:val="24"/>
        </w:rPr>
        <w:t>gather direct evidence and observation of primary sources. Yet, I am using all means at my disposal to access certain things remotely. I wish to include not only examples of material culture to support the arguments and better describe the points I wish to make within my dissertation, but also some examples of ancient literature. Though going to observe these pieces in person is difficult, I also aim to use online archives and examples to help gather data and information that will help me with my work. I believe I will be able to gather a sufficient amount of material to aid me in my writing, having a few examples</w:t>
      </w:r>
      <w:r w:rsidR="007E5DD9">
        <w:rPr>
          <w:rFonts w:ascii="Arial" w:hAnsi="Arial" w:cs="Arial"/>
          <w:sz w:val="24"/>
        </w:rPr>
        <w:t xml:space="preserve"> (Some, being noted in the previous section of this report)</w:t>
      </w:r>
      <w:r w:rsidR="0073537B">
        <w:rPr>
          <w:rFonts w:ascii="Arial" w:hAnsi="Arial" w:cs="Arial"/>
          <w:sz w:val="24"/>
        </w:rPr>
        <w:t xml:space="preserve"> already gathered that I wish to include. </w:t>
      </w:r>
      <w:r w:rsidR="0073537B">
        <w:rPr>
          <w:rFonts w:ascii="Arial" w:hAnsi="Arial" w:cs="Arial"/>
          <w:sz w:val="24"/>
        </w:rPr>
        <w:br/>
        <w:t xml:space="preserve">As well as this, I plan to use a number of theories to add to my work to help my explanation of my argument and support my points. As well as the theories involved in gender studies, I believe concepts of orientalism will come into use when explaining modern views and assessing conclusions made, understanding the </w:t>
      </w:r>
      <w:r w:rsidR="0073537B">
        <w:rPr>
          <w:rFonts w:ascii="Arial" w:hAnsi="Arial" w:cs="Arial"/>
          <w:sz w:val="24"/>
        </w:rPr>
        <w:lastRenderedPageBreak/>
        <w:t xml:space="preserve">cultural biases that have developed over time within my discipline to hopefully develop and understand this culture in a clearer way. </w:t>
      </w:r>
    </w:p>
    <w:p w:rsidR="0073537B" w:rsidRDefault="0073537B" w:rsidP="00014C35">
      <w:pPr>
        <w:rPr>
          <w:rFonts w:ascii="Arial" w:hAnsi="Arial" w:cs="Arial"/>
          <w:b/>
          <w:sz w:val="24"/>
        </w:rPr>
      </w:pPr>
      <w:r>
        <w:rPr>
          <w:rFonts w:ascii="Arial" w:hAnsi="Arial" w:cs="Arial"/>
          <w:b/>
          <w:sz w:val="24"/>
        </w:rPr>
        <w:t>Reflection/Reflexion</w:t>
      </w:r>
    </w:p>
    <w:p w:rsidR="00C13AF6" w:rsidRDefault="00C13AF6" w:rsidP="00014C35">
      <w:pPr>
        <w:rPr>
          <w:rFonts w:ascii="Arial" w:hAnsi="Arial" w:cs="Arial"/>
          <w:sz w:val="24"/>
        </w:rPr>
      </w:pPr>
      <w:r>
        <w:rPr>
          <w:rFonts w:ascii="Arial" w:hAnsi="Arial" w:cs="Arial"/>
          <w:sz w:val="24"/>
        </w:rPr>
        <w:t>One of the main ways I feel I have been able to reflect on my idea for my dissertation and what I planned to research is how my ideas and arguments have developed from my research proposal which was written in April of this year. Since then I have had a large amount of time to amend my ideas into something that I believe has a better scope for being made into a dissertation.</w:t>
      </w:r>
      <w:r>
        <w:rPr>
          <w:rFonts w:ascii="Arial" w:hAnsi="Arial" w:cs="Arial"/>
          <w:sz w:val="24"/>
        </w:rPr>
        <w:br/>
        <w:t xml:space="preserve">Originally I planned to simply do an evaluation of the differences of lifestyle of women in Ancient Egypt, comparing different time periods and class differences. While I am still including that kind of information in my dissertation I’ve now added an argument to give my dissertation more of my own ideas and opinions, which should hopefully allow it to reach a much higher grade upon its completion. </w:t>
      </w:r>
      <w:r w:rsidR="008E7B8E">
        <w:rPr>
          <w:rFonts w:ascii="Arial" w:hAnsi="Arial" w:cs="Arial"/>
          <w:sz w:val="24"/>
        </w:rPr>
        <w:br/>
        <w:t xml:space="preserve">Yet, one of the main aspects that I have kept the same is the roles of different categories of women being the main framework of my dissertation. I still plan to use categories such as royal women, women in religion, and women in work, as I did plan earlier in the year. The difference now is that not only will the lives of these women be cross-referenced with each other, but I also wish to bring in different theories within women’s studies </w:t>
      </w:r>
      <w:r w:rsidR="007E5DD9">
        <w:rPr>
          <w:rFonts w:ascii="Arial" w:hAnsi="Arial" w:cs="Arial"/>
          <w:sz w:val="24"/>
        </w:rPr>
        <w:t xml:space="preserve">and more modern historical examples </w:t>
      </w:r>
      <w:r w:rsidR="008E7B8E">
        <w:rPr>
          <w:rFonts w:ascii="Arial" w:hAnsi="Arial" w:cs="Arial"/>
          <w:sz w:val="24"/>
        </w:rPr>
        <w:t>to help me reach</w:t>
      </w:r>
      <w:r w:rsidR="007E5DD9">
        <w:rPr>
          <w:rFonts w:ascii="Arial" w:hAnsi="Arial" w:cs="Arial"/>
          <w:sz w:val="24"/>
        </w:rPr>
        <w:t xml:space="preserve"> my conclusion</w:t>
      </w:r>
      <w:r w:rsidR="008E7B8E">
        <w:rPr>
          <w:rFonts w:ascii="Arial" w:hAnsi="Arial" w:cs="Arial"/>
          <w:sz w:val="24"/>
        </w:rPr>
        <w:t xml:space="preserve">. </w:t>
      </w:r>
      <w:r w:rsidR="002B6212">
        <w:rPr>
          <w:rFonts w:ascii="Arial" w:hAnsi="Arial" w:cs="Arial"/>
          <w:sz w:val="24"/>
        </w:rPr>
        <w:t>One of the first examples of this that I wish to include is an example of the political opinion on prostitution in late 19</w:t>
      </w:r>
      <w:r w:rsidR="002B6212" w:rsidRPr="002B6212">
        <w:rPr>
          <w:rFonts w:ascii="Arial" w:hAnsi="Arial" w:cs="Arial"/>
          <w:sz w:val="24"/>
          <w:vertAlign w:val="superscript"/>
        </w:rPr>
        <w:t>th</w:t>
      </w:r>
      <w:r w:rsidR="002B6212">
        <w:rPr>
          <w:rFonts w:ascii="Arial" w:hAnsi="Arial" w:cs="Arial"/>
          <w:sz w:val="24"/>
        </w:rPr>
        <w:t xml:space="preserve"> century Britain</w:t>
      </w:r>
      <w:r w:rsidR="007E5DD9">
        <w:rPr>
          <w:rFonts w:ascii="Arial" w:hAnsi="Arial" w:cs="Arial"/>
          <w:sz w:val="24"/>
        </w:rPr>
        <w:t>. At this time,</w:t>
      </w:r>
      <w:r w:rsidR="002B6212">
        <w:rPr>
          <w:rFonts w:ascii="Arial" w:hAnsi="Arial" w:cs="Arial"/>
          <w:sz w:val="24"/>
        </w:rPr>
        <w:t xml:space="preserve"> police were given explicit permission to arrest anyone they believed </w:t>
      </w:r>
      <w:r w:rsidR="002B6212">
        <w:rPr>
          <w:rFonts w:ascii="Arial" w:hAnsi="Arial" w:cs="Arial"/>
          <w:i/>
          <w:sz w:val="24"/>
        </w:rPr>
        <w:t>may</w:t>
      </w:r>
      <w:r w:rsidR="002B6212">
        <w:rPr>
          <w:rFonts w:ascii="Arial" w:hAnsi="Arial" w:cs="Arial"/>
          <w:sz w:val="24"/>
        </w:rPr>
        <w:t xml:space="preserve"> be a prostitute.</w:t>
      </w:r>
      <w:r w:rsidR="002B6212">
        <w:rPr>
          <w:rStyle w:val="FootnoteReference"/>
          <w:rFonts w:ascii="Arial" w:hAnsi="Arial" w:cs="Arial"/>
          <w:sz w:val="24"/>
        </w:rPr>
        <w:footnoteReference w:id="12"/>
      </w:r>
      <w:r w:rsidR="004F0C2F">
        <w:rPr>
          <w:rFonts w:ascii="Arial" w:hAnsi="Arial" w:cs="Arial"/>
          <w:sz w:val="24"/>
        </w:rPr>
        <w:t xml:space="preserve"> A second being that in the 1820s and 30s, many women simply </w:t>
      </w:r>
      <w:r w:rsidR="00BF7E2F">
        <w:rPr>
          <w:rFonts w:ascii="Arial" w:hAnsi="Arial" w:cs="Arial"/>
          <w:sz w:val="24"/>
        </w:rPr>
        <w:t xml:space="preserve">did not </w:t>
      </w:r>
      <w:r w:rsidR="004F0C2F">
        <w:rPr>
          <w:rFonts w:ascii="Arial" w:hAnsi="Arial" w:cs="Arial"/>
          <w:sz w:val="24"/>
        </w:rPr>
        <w:t>exist legally, even if they had the ability to self-sustain.</w:t>
      </w:r>
      <w:r w:rsidR="004F0C2F">
        <w:rPr>
          <w:rStyle w:val="FootnoteReference"/>
          <w:rFonts w:ascii="Arial" w:hAnsi="Arial" w:cs="Arial"/>
          <w:sz w:val="24"/>
        </w:rPr>
        <w:footnoteReference w:id="13"/>
      </w:r>
      <w:r w:rsidR="002B6212">
        <w:rPr>
          <w:rFonts w:ascii="Arial" w:hAnsi="Arial" w:cs="Arial"/>
          <w:sz w:val="24"/>
        </w:rPr>
        <w:t xml:space="preserve"> Another example would be the case that there were no laws against domestic violence in Peru up until the late 20</w:t>
      </w:r>
      <w:r w:rsidR="002B6212" w:rsidRPr="002B6212">
        <w:rPr>
          <w:rFonts w:ascii="Arial" w:hAnsi="Arial" w:cs="Arial"/>
          <w:sz w:val="24"/>
          <w:vertAlign w:val="superscript"/>
        </w:rPr>
        <w:t>th</w:t>
      </w:r>
      <w:r w:rsidR="002B6212">
        <w:rPr>
          <w:rFonts w:ascii="Arial" w:hAnsi="Arial" w:cs="Arial"/>
          <w:sz w:val="24"/>
        </w:rPr>
        <w:t xml:space="preserve"> century.</w:t>
      </w:r>
      <w:r w:rsidR="002B6212">
        <w:rPr>
          <w:rStyle w:val="FootnoteReference"/>
          <w:rFonts w:ascii="Arial" w:hAnsi="Arial" w:cs="Arial"/>
          <w:sz w:val="24"/>
        </w:rPr>
        <w:footnoteReference w:id="14"/>
      </w:r>
      <w:r w:rsidR="002B6212">
        <w:rPr>
          <w:rFonts w:ascii="Arial" w:hAnsi="Arial" w:cs="Arial"/>
          <w:sz w:val="24"/>
        </w:rPr>
        <w:t xml:space="preserve"> </w:t>
      </w:r>
      <w:r w:rsidR="00BF7E2F">
        <w:rPr>
          <w:rFonts w:ascii="Arial" w:hAnsi="Arial" w:cs="Arial"/>
          <w:sz w:val="24"/>
        </w:rPr>
        <w:t>It is examples such as these</w:t>
      </w:r>
      <w:r w:rsidR="002B6212">
        <w:rPr>
          <w:rFonts w:ascii="Arial" w:hAnsi="Arial" w:cs="Arial"/>
          <w:sz w:val="24"/>
        </w:rPr>
        <w:t xml:space="preserve"> I believe will become incredibly important when assessing the state of “</w:t>
      </w:r>
      <w:r w:rsidR="004F0C2F">
        <w:rPr>
          <w:rFonts w:ascii="Arial" w:hAnsi="Arial" w:cs="Arial"/>
          <w:sz w:val="24"/>
        </w:rPr>
        <w:t>privilege</w:t>
      </w:r>
      <w:r w:rsidR="002B6212">
        <w:rPr>
          <w:rFonts w:ascii="Arial" w:hAnsi="Arial" w:cs="Arial"/>
          <w:sz w:val="24"/>
        </w:rPr>
        <w:t xml:space="preserve">” (Which whilst used in the title of my dissertation, is a massive overstatement to the position of women historically) Ancient Egyptian women had, comparing it to the state of women’s rights in more modern history. </w:t>
      </w:r>
      <w:r w:rsidR="004F0C2F">
        <w:rPr>
          <w:rFonts w:ascii="Arial" w:hAnsi="Arial" w:cs="Arial"/>
          <w:sz w:val="24"/>
        </w:rPr>
        <w:t>There are also some more societal similarities I wish to draw to the modern world, such as the obsession of external beauty and idealism that is both seen in the paintings in Ancient Egypt, but also in the modern media.</w:t>
      </w:r>
      <w:r w:rsidR="004F0C2F">
        <w:rPr>
          <w:rStyle w:val="FootnoteReference"/>
          <w:rFonts w:ascii="Arial" w:hAnsi="Arial" w:cs="Arial"/>
          <w:sz w:val="24"/>
        </w:rPr>
        <w:footnoteReference w:id="15"/>
      </w:r>
      <w:r w:rsidR="004F0C2F">
        <w:rPr>
          <w:rFonts w:ascii="Arial" w:hAnsi="Arial" w:cs="Arial"/>
          <w:sz w:val="24"/>
        </w:rPr>
        <w:t xml:space="preserve"> In some sense, even within higher classes of women in the Ancient Egyptian world (who would have seen these idealised images and painting) could have felt some level of influence to create themselves in these perfect images. If this is indeed the case (as I hope to find out in the research I am still yet to undertake) hopefully this can also be a parallel that can be made to strengthen my argument. </w:t>
      </w:r>
      <w:r w:rsidR="007E5DD9">
        <w:rPr>
          <w:rFonts w:ascii="Arial" w:hAnsi="Arial" w:cs="Arial"/>
          <w:sz w:val="24"/>
        </w:rPr>
        <w:br/>
        <w:t xml:space="preserve">Though I plan to do research on more modern aspects and disciplines I still wish to reiterate that these will only be a minor part of my dissertation, so I am still able to situate my work within Ancient Civilisations. </w:t>
      </w:r>
    </w:p>
    <w:p w:rsidR="002B6212" w:rsidRPr="002B6212" w:rsidRDefault="002B6212" w:rsidP="00014C35">
      <w:pPr>
        <w:rPr>
          <w:rFonts w:ascii="Arial" w:hAnsi="Arial" w:cs="Arial"/>
          <w:sz w:val="24"/>
        </w:rPr>
      </w:pPr>
      <w:r>
        <w:rPr>
          <w:rFonts w:ascii="Arial" w:hAnsi="Arial" w:cs="Arial"/>
          <w:sz w:val="24"/>
        </w:rPr>
        <w:lastRenderedPageBreak/>
        <w:t>As well as a reflection of data to include in my argument, I have also reflected and understood that as my piece of work is about women, the evidence we have is still very much from a male point of view – as it is likely men that created all of the primary data that I wish to look at concerning Ancient Egyptian women. The world I wish to research into is an incredibly sexist one,</w:t>
      </w:r>
      <w:r>
        <w:rPr>
          <w:rStyle w:val="FootnoteReference"/>
          <w:rFonts w:ascii="Arial" w:hAnsi="Arial" w:cs="Arial"/>
          <w:sz w:val="24"/>
        </w:rPr>
        <w:footnoteReference w:id="16"/>
      </w:r>
      <w:r>
        <w:rPr>
          <w:rFonts w:ascii="Arial" w:hAnsi="Arial" w:cs="Arial"/>
          <w:sz w:val="24"/>
        </w:rPr>
        <w:t xml:space="preserve"> and this needs to be greatly taken into consideration. And thus, the judgements that I make on the data I use, both primarily and secondarily need to be judged in a certain way.</w:t>
      </w:r>
      <w:r>
        <w:rPr>
          <w:rStyle w:val="FootnoteReference"/>
          <w:rFonts w:ascii="Arial" w:hAnsi="Arial" w:cs="Arial"/>
          <w:sz w:val="24"/>
        </w:rPr>
        <w:footnoteReference w:id="17"/>
      </w:r>
    </w:p>
    <w:p w:rsidR="00C325A3" w:rsidRDefault="0073537B" w:rsidP="00014C35">
      <w:pPr>
        <w:rPr>
          <w:rFonts w:ascii="Arial" w:hAnsi="Arial" w:cs="Arial"/>
          <w:sz w:val="24"/>
        </w:rPr>
      </w:pPr>
      <w:r>
        <w:rPr>
          <w:rFonts w:ascii="Arial" w:hAnsi="Arial" w:cs="Arial"/>
          <w:sz w:val="24"/>
        </w:rPr>
        <w:t xml:space="preserve">Though I have already begun the main body of my research for my dissertation, I have already been given guidance on how to improve this process and I intend to take it incredibly seriously as advice to improve. The vast amount of information I have selected to study is very much too large to fit within the word limit, so it does have to be decreased and condensed down into much more niche content, which I believe that I am able to do. </w:t>
      </w:r>
      <w:r>
        <w:rPr>
          <w:rFonts w:ascii="Arial" w:hAnsi="Arial" w:cs="Arial"/>
          <w:sz w:val="24"/>
        </w:rPr>
        <w:br/>
        <w:t>Many of my priorities have been set on gathering as much data as I can, and this does have to change, and data has to be selected in a much more detailed basis to make sure that everything I gather will be the right amount to aid me in the writing of my essay. I need to engage with the theories much more intently to allow myself to create original content and conclusions which will help increase my g</w:t>
      </w:r>
      <w:r w:rsidR="00682150">
        <w:rPr>
          <w:rFonts w:ascii="Arial" w:hAnsi="Arial" w:cs="Arial"/>
          <w:sz w:val="24"/>
        </w:rPr>
        <w:t>rade when I come to completion – this being the most important part of my research and study that needs to be concentrated on in order to complete my work and aim for the grade which I believe it capable for me to reach.</w:t>
      </w: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7E5DD9" w:rsidRDefault="007E5DD9" w:rsidP="00C325A3">
      <w:pPr>
        <w:rPr>
          <w:rFonts w:ascii="Arial" w:hAnsi="Arial" w:cs="Arial"/>
          <w:b/>
          <w:sz w:val="24"/>
        </w:rPr>
      </w:pPr>
    </w:p>
    <w:p w:rsidR="00C325A3" w:rsidRDefault="00C325A3" w:rsidP="00C325A3">
      <w:pPr>
        <w:rPr>
          <w:rFonts w:ascii="Arial" w:hAnsi="Arial" w:cs="Arial"/>
          <w:b/>
          <w:sz w:val="24"/>
        </w:rPr>
      </w:pPr>
      <w:r>
        <w:rPr>
          <w:rFonts w:ascii="Arial" w:hAnsi="Arial" w:cs="Arial"/>
          <w:b/>
          <w:sz w:val="24"/>
        </w:rPr>
        <w:lastRenderedPageBreak/>
        <w:t>Bibliography</w:t>
      </w:r>
    </w:p>
    <w:p w:rsidR="00732146" w:rsidRPr="004F0C2F" w:rsidRDefault="00732146" w:rsidP="00C325A3">
      <w:pPr>
        <w:pStyle w:val="ListParagraph"/>
        <w:numPr>
          <w:ilvl w:val="0"/>
          <w:numId w:val="2"/>
        </w:numPr>
        <w:rPr>
          <w:rFonts w:ascii="Arial" w:hAnsi="Arial" w:cs="Arial"/>
          <w:sz w:val="24"/>
        </w:rPr>
      </w:pPr>
      <w:r w:rsidRPr="004F0C2F">
        <w:rPr>
          <w:rFonts w:ascii="Arial" w:hAnsi="Arial" w:cs="Arial"/>
          <w:sz w:val="24"/>
        </w:rPr>
        <w:t xml:space="preserve">Savage, S.H, 2000, The Status of Women in Predynastic Egypt as revealed through Mortuary analysis, In: Rautman, A.E. (ed.) </w:t>
      </w:r>
      <w:r w:rsidR="005E0ACB" w:rsidRPr="004F0C2F">
        <w:rPr>
          <w:rFonts w:ascii="Arial" w:hAnsi="Arial" w:cs="Arial"/>
          <w:i/>
          <w:sz w:val="24"/>
        </w:rPr>
        <w:t xml:space="preserve">Reading the Body, Representations and Remains in the Archaeological Record, </w:t>
      </w:r>
      <w:r w:rsidR="005E0ACB" w:rsidRPr="004F0C2F">
        <w:rPr>
          <w:rFonts w:ascii="Arial" w:hAnsi="Arial" w:cs="Arial"/>
          <w:sz w:val="24"/>
        </w:rPr>
        <w:t>Philade</w:t>
      </w:r>
      <w:r w:rsidR="004F0C2F" w:rsidRPr="004F0C2F">
        <w:rPr>
          <w:rFonts w:ascii="Arial" w:hAnsi="Arial" w:cs="Arial"/>
          <w:sz w:val="24"/>
        </w:rPr>
        <w:t>l</w:t>
      </w:r>
      <w:r w:rsidR="005E0ACB" w:rsidRPr="004F0C2F">
        <w:rPr>
          <w:rFonts w:ascii="Arial" w:hAnsi="Arial" w:cs="Arial"/>
          <w:sz w:val="24"/>
        </w:rPr>
        <w:t xml:space="preserve">phia, </w:t>
      </w:r>
      <w:r w:rsidR="004F0C2F" w:rsidRPr="004F0C2F">
        <w:rPr>
          <w:rFonts w:ascii="Arial" w:hAnsi="Arial" w:cs="Arial"/>
          <w:sz w:val="24"/>
        </w:rPr>
        <w:t>University</w:t>
      </w:r>
      <w:r w:rsidR="005E0ACB" w:rsidRPr="004F0C2F">
        <w:rPr>
          <w:rFonts w:ascii="Arial" w:hAnsi="Arial" w:cs="Arial"/>
          <w:sz w:val="24"/>
        </w:rPr>
        <w:t xml:space="preserve"> of </w:t>
      </w:r>
      <w:r w:rsidR="004F0C2F" w:rsidRPr="004F0C2F">
        <w:rPr>
          <w:rFonts w:ascii="Arial" w:hAnsi="Arial" w:cs="Arial"/>
          <w:sz w:val="24"/>
        </w:rPr>
        <w:t>Pennsylvania</w:t>
      </w:r>
      <w:r w:rsidR="005E0ACB" w:rsidRPr="004F0C2F">
        <w:rPr>
          <w:rFonts w:ascii="Arial" w:hAnsi="Arial" w:cs="Arial"/>
          <w:sz w:val="24"/>
        </w:rPr>
        <w:t xml:space="preserve"> State </w:t>
      </w:r>
    </w:p>
    <w:p w:rsidR="00C325A3" w:rsidRPr="004F0C2F" w:rsidRDefault="00C325A3" w:rsidP="00C325A3">
      <w:pPr>
        <w:pStyle w:val="ListParagraph"/>
        <w:numPr>
          <w:ilvl w:val="0"/>
          <w:numId w:val="2"/>
        </w:numPr>
        <w:rPr>
          <w:rFonts w:ascii="Arial" w:hAnsi="Arial" w:cs="Arial"/>
          <w:sz w:val="24"/>
        </w:rPr>
      </w:pPr>
      <w:r w:rsidRPr="004F0C2F">
        <w:rPr>
          <w:rFonts w:ascii="Arial" w:hAnsi="Arial" w:cs="Arial"/>
          <w:sz w:val="24"/>
        </w:rPr>
        <w:t>Papyrus, EA10735, 10, Papyrus Abu Sir, The British Museum, London</w:t>
      </w:r>
    </w:p>
    <w:p w:rsidR="00732146" w:rsidRPr="004F0C2F" w:rsidRDefault="00732146" w:rsidP="00732146">
      <w:pPr>
        <w:pStyle w:val="ListParagraph"/>
        <w:numPr>
          <w:ilvl w:val="0"/>
          <w:numId w:val="2"/>
        </w:numPr>
        <w:jc w:val="both"/>
        <w:rPr>
          <w:rFonts w:ascii="Arial" w:hAnsi="Arial" w:cs="Arial"/>
          <w:sz w:val="24"/>
        </w:rPr>
      </w:pPr>
      <w:r w:rsidRPr="004F0C2F">
        <w:rPr>
          <w:rFonts w:ascii="Arial" w:hAnsi="Arial" w:cs="Arial"/>
          <w:sz w:val="24"/>
        </w:rPr>
        <w:t xml:space="preserve">Blackman. A, M, 1921, On </w:t>
      </w:r>
      <w:r w:rsidR="004F0C2F" w:rsidRPr="004F0C2F">
        <w:rPr>
          <w:rFonts w:ascii="Arial" w:hAnsi="Arial" w:cs="Arial"/>
          <w:sz w:val="24"/>
        </w:rPr>
        <w:t>the</w:t>
      </w:r>
      <w:r w:rsidRPr="004F0C2F">
        <w:rPr>
          <w:rFonts w:ascii="Arial" w:hAnsi="Arial" w:cs="Arial"/>
          <w:sz w:val="24"/>
        </w:rPr>
        <w:t xml:space="preserve"> Position of Women in the Ancient Egyptian </w:t>
      </w:r>
      <w:r w:rsidR="004F0C2F" w:rsidRPr="004F0C2F">
        <w:rPr>
          <w:rFonts w:ascii="Arial" w:hAnsi="Arial" w:cs="Arial"/>
          <w:sz w:val="24"/>
        </w:rPr>
        <w:t>Hierarchy</w:t>
      </w:r>
      <w:r w:rsidRPr="004F0C2F">
        <w:rPr>
          <w:rFonts w:ascii="Arial" w:hAnsi="Arial" w:cs="Arial"/>
          <w:sz w:val="24"/>
        </w:rPr>
        <w:t xml:space="preserve">, In: </w:t>
      </w:r>
      <w:r w:rsidRPr="004F0C2F">
        <w:rPr>
          <w:rFonts w:ascii="Arial" w:hAnsi="Arial" w:cs="Arial"/>
          <w:i/>
          <w:sz w:val="24"/>
        </w:rPr>
        <w:t>Journal of Egyptian Archaeology</w:t>
      </w:r>
      <w:r w:rsidRPr="004F0C2F">
        <w:rPr>
          <w:rFonts w:ascii="Arial" w:hAnsi="Arial" w:cs="Arial"/>
          <w:sz w:val="24"/>
        </w:rPr>
        <w:t xml:space="preserve">, Vol 7. </w:t>
      </w:r>
    </w:p>
    <w:p w:rsidR="005E0ACB" w:rsidRPr="004F0C2F" w:rsidRDefault="005E0ACB" w:rsidP="00732146">
      <w:pPr>
        <w:pStyle w:val="ListParagraph"/>
        <w:numPr>
          <w:ilvl w:val="0"/>
          <w:numId w:val="2"/>
        </w:numPr>
        <w:jc w:val="both"/>
        <w:rPr>
          <w:rFonts w:ascii="Arial" w:hAnsi="Arial" w:cs="Arial"/>
          <w:sz w:val="24"/>
        </w:rPr>
      </w:pPr>
      <w:r w:rsidRPr="004F0C2F">
        <w:rPr>
          <w:rFonts w:ascii="Arial" w:hAnsi="Arial" w:cs="Arial"/>
          <w:sz w:val="24"/>
        </w:rPr>
        <w:t>Doxley, D. 2001, Priesthood, In: Redford, D (</w:t>
      </w:r>
      <w:r w:rsidR="004F0C2F" w:rsidRPr="004F0C2F">
        <w:rPr>
          <w:rFonts w:ascii="Arial" w:hAnsi="Arial" w:cs="Arial"/>
          <w:sz w:val="24"/>
        </w:rPr>
        <w:t>Ed</w:t>
      </w:r>
      <w:r w:rsidRPr="004F0C2F">
        <w:rPr>
          <w:rFonts w:ascii="Arial" w:hAnsi="Arial" w:cs="Arial"/>
          <w:sz w:val="24"/>
        </w:rPr>
        <w:t xml:space="preserve">), </w:t>
      </w:r>
      <w:r w:rsidR="004F0C2F" w:rsidRPr="004F0C2F">
        <w:rPr>
          <w:rFonts w:ascii="Arial" w:hAnsi="Arial" w:cs="Arial"/>
          <w:i/>
          <w:sz w:val="24"/>
        </w:rPr>
        <w:t>the</w:t>
      </w:r>
      <w:r w:rsidRPr="004F0C2F">
        <w:rPr>
          <w:rFonts w:ascii="Arial" w:hAnsi="Arial" w:cs="Arial"/>
          <w:i/>
          <w:sz w:val="24"/>
        </w:rPr>
        <w:t xml:space="preserve"> Oxford </w:t>
      </w:r>
      <w:r w:rsidR="004F0C2F" w:rsidRPr="004F0C2F">
        <w:rPr>
          <w:rFonts w:ascii="Arial" w:hAnsi="Arial" w:cs="Arial"/>
          <w:i/>
          <w:sz w:val="24"/>
        </w:rPr>
        <w:t>Encyclopaedia</w:t>
      </w:r>
      <w:r w:rsidRPr="004F0C2F">
        <w:rPr>
          <w:rFonts w:ascii="Arial" w:hAnsi="Arial" w:cs="Arial"/>
          <w:i/>
          <w:sz w:val="24"/>
        </w:rPr>
        <w:t xml:space="preserve"> of Ancient Egypt</w:t>
      </w:r>
      <w:r w:rsidRPr="004F0C2F">
        <w:rPr>
          <w:rFonts w:ascii="Arial" w:hAnsi="Arial" w:cs="Arial"/>
          <w:sz w:val="24"/>
        </w:rPr>
        <w:t xml:space="preserve">, Oxford, </w:t>
      </w:r>
      <w:proofErr w:type="gramStart"/>
      <w:r w:rsidRPr="004F0C2F">
        <w:rPr>
          <w:rFonts w:ascii="Arial" w:hAnsi="Arial" w:cs="Arial"/>
          <w:sz w:val="24"/>
        </w:rPr>
        <w:t>Oxford</w:t>
      </w:r>
      <w:proofErr w:type="gramEnd"/>
      <w:r w:rsidRPr="004F0C2F">
        <w:rPr>
          <w:rFonts w:ascii="Arial" w:hAnsi="Arial" w:cs="Arial"/>
          <w:sz w:val="24"/>
        </w:rPr>
        <w:t xml:space="preserve"> University Press.</w:t>
      </w:r>
    </w:p>
    <w:p w:rsidR="005E0ACB" w:rsidRPr="004F0C2F" w:rsidRDefault="005E0ACB" w:rsidP="005E0ACB">
      <w:pPr>
        <w:pStyle w:val="ListParagraph"/>
        <w:numPr>
          <w:ilvl w:val="0"/>
          <w:numId w:val="2"/>
        </w:numPr>
        <w:tabs>
          <w:tab w:val="left" w:pos="1701"/>
        </w:tabs>
        <w:jc w:val="both"/>
        <w:rPr>
          <w:rFonts w:ascii="Arial" w:hAnsi="Arial" w:cs="Arial"/>
          <w:sz w:val="24"/>
        </w:rPr>
      </w:pPr>
      <w:r w:rsidRPr="004F0C2F">
        <w:rPr>
          <w:rFonts w:ascii="Arial" w:hAnsi="Arial" w:cs="Arial"/>
          <w:sz w:val="24"/>
        </w:rPr>
        <w:t xml:space="preserve">Schneider, T, 2007, </w:t>
      </w:r>
      <w:r w:rsidR="004F0C2F" w:rsidRPr="004F0C2F">
        <w:rPr>
          <w:rFonts w:ascii="Arial" w:hAnsi="Arial" w:cs="Arial"/>
          <w:sz w:val="24"/>
        </w:rPr>
        <w:t>Contextualising</w:t>
      </w:r>
      <w:r w:rsidRPr="004F0C2F">
        <w:rPr>
          <w:rFonts w:ascii="Arial" w:hAnsi="Arial" w:cs="Arial"/>
          <w:sz w:val="24"/>
        </w:rPr>
        <w:t xml:space="preserve"> the Tale of the Herdsman, In: Schneider, T, and Szpakoqska (eds.) </w:t>
      </w:r>
      <w:r w:rsidRPr="004F0C2F">
        <w:rPr>
          <w:rFonts w:ascii="Arial" w:hAnsi="Arial" w:cs="Arial"/>
          <w:i/>
          <w:sz w:val="24"/>
        </w:rPr>
        <w:t xml:space="preserve">Egyptian Stories: A British </w:t>
      </w:r>
      <w:r w:rsidR="004F0C2F" w:rsidRPr="004F0C2F">
        <w:rPr>
          <w:rFonts w:ascii="Arial" w:hAnsi="Arial" w:cs="Arial"/>
          <w:i/>
          <w:sz w:val="24"/>
        </w:rPr>
        <w:t>Egyptological</w:t>
      </w:r>
      <w:r w:rsidRPr="004F0C2F">
        <w:rPr>
          <w:rFonts w:ascii="Arial" w:hAnsi="Arial" w:cs="Arial"/>
          <w:i/>
          <w:sz w:val="24"/>
        </w:rPr>
        <w:t xml:space="preserve"> Tribute to Alan B. Lloyd on the </w:t>
      </w:r>
      <w:r w:rsidR="004F0C2F" w:rsidRPr="004F0C2F">
        <w:rPr>
          <w:rFonts w:ascii="Arial" w:hAnsi="Arial" w:cs="Arial"/>
          <w:i/>
          <w:sz w:val="24"/>
        </w:rPr>
        <w:t>Occasion</w:t>
      </w:r>
      <w:r w:rsidRPr="004F0C2F">
        <w:rPr>
          <w:rFonts w:ascii="Arial" w:hAnsi="Arial" w:cs="Arial"/>
          <w:i/>
          <w:sz w:val="24"/>
        </w:rPr>
        <w:t xml:space="preserve"> of his Retirement. </w:t>
      </w:r>
      <w:r w:rsidRPr="004F0C2F">
        <w:rPr>
          <w:rFonts w:ascii="Arial" w:hAnsi="Arial" w:cs="Arial"/>
          <w:sz w:val="24"/>
        </w:rPr>
        <w:t>Münster: Ugarit-Verlag</w:t>
      </w:r>
    </w:p>
    <w:p w:rsidR="0073537B" w:rsidRPr="004F0C2F" w:rsidRDefault="0009062F" w:rsidP="00014C35">
      <w:pPr>
        <w:pStyle w:val="ListParagraph"/>
        <w:numPr>
          <w:ilvl w:val="0"/>
          <w:numId w:val="2"/>
        </w:numPr>
        <w:tabs>
          <w:tab w:val="left" w:pos="1701"/>
        </w:tabs>
        <w:jc w:val="both"/>
        <w:rPr>
          <w:rFonts w:ascii="Arial" w:hAnsi="Arial" w:cs="Arial"/>
          <w:sz w:val="24"/>
        </w:rPr>
      </w:pPr>
      <w:r w:rsidRPr="004F0C2F">
        <w:rPr>
          <w:rFonts w:ascii="Arial" w:hAnsi="Arial" w:cs="Arial"/>
          <w:sz w:val="24"/>
        </w:rPr>
        <w:t xml:space="preserve">Troy. L, 1984, </w:t>
      </w:r>
      <w:r w:rsidRPr="004F0C2F">
        <w:rPr>
          <w:rFonts w:ascii="Arial" w:hAnsi="Arial" w:cs="Arial"/>
          <w:i/>
          <w:sz w:val="24"/>
        </w:rPr>
        <w:t>Good and Bad Women. Maxim 18/284 of the Instructions of Ptahhotep</w:t>
      </w:r>
      <w:r w:rsidRPr="004F0C2F">
        <w:rPr>
          <w:rFonts w:ascii="Arial" w:hAnsi="Arial" w:cs="Arial"/>
          <w:sz w:val="24"/>
        </w:rPr>
        <w:t>, Göttinger Miszellen</w:t>
      </w:r>
    </w:p>
    <w:p w:rsidR="002B6212" w:rsidRPr="004F0C2F" w:rsidRDefault="002B6212" w:rsidP="002B6212">
      <w:pPr>
        <w:pStyle w:val="ListParagraph"/>
        <w:numPr>
          <w:ilvl w:val="0"/>
          <w:numId w:val="2"/>
        </w:numPr>
        <w:rPr>
          <w:rFonts w:ascii="Arial" w:hAnsi="Arial" w:cs="Arial"/>
          <w:sz w:val="24"/>
        </w:rPr>
      </w:pPr>
      <w:r w:rsidRPr="004F0C2F">
        <w:rPr>
          <w:rFonts w:ascii="Arial" w:hAnsi="Arial" w:cs="Arial"/>
          <w:sz w:val="24"/>
        </w:rPr>
        <w:t xml:space="preserve">Walters. M, 2005, </w:t>
      </w:r>
      <w:r w:rsidRPr="004F0C2F">
        <w:rPr>
          <w:rFonts w:ascii="Arial" w:hAnsi="Arial" w:cs="Arial"/>
          <w:i/>
          <w:sz w:val="24"/>
        </w:rPr>
        <w:t>Feminism: A Very Short Introduction</w:t>
      </w:r>
      <w:r w:rsidRPr="004F0C2F">
        <w:rPr>
          <w:rFonts w:ascii="Arial" w:hAnsi="Arial" w:cs="Arial"/>
          <w:sz w:val="24"/>
        </w:rPr>
        <w:t>, Oxford, Oxford University Press</w:t>
      </w:r>
    </w:p>
    <w:p w:rsidR="002B6212" w:rsidRPr="004F0C2F" w:rsidRDefault="002B6212" w:rsidP="002B6212">
      <w:pPr>
        <w:pStyle w:val="ListParagraph"/>
        <w:numPr>
          <w:ilvl w:val="0"/>
          <w:numId w:val="2"/>
        </w:numPr>
        <w:rPr>
          <w:rFonts w:ascii="Arial" w:hAnsi="Arial" w:cs="Arial"/>
          <w:sz w:val="24"/>
        </w:rPr>
      </w:pPr>
      <w:r w:rsidRPr="004F0C2F">
        <w:rPr>
          <w:rFonts w:ascii="Arial" w:hAnsi="Arial" w:cs="Arial"/>
          <w:sz w:val="24"/>
        </w:rPr>
        <w:t xml:space="preserve">Weskott. M, 1983, Women’s Studies as a Strategy for Change: between criticism and Vision, In: Bowles. G, Klein. R.D (eds) </w:t>
      </w:r>
      <w:r w:rsidRPr="004F0C2F">
        <w:rPr>
          <w:rFonts w:ascii="Arial" w:hAnsi="Arial" w:cs="Arial"/>
          <w:i/>
          <w:sz w:val="24"/>
        </w:rPr>
        <w:t xml:space="preserve">Theories of Women’s Studies, </w:t>
      </w:r>
      <w:r w:rsidRPr="004F0C2F">
        <w:rPr>
          <w:rFonts w:ascii="Arial" w:hAnsi="Arial" w:cs="Arial"/>
          <w:sz w:val="24"/>
        </w:rPr>
        <w:t>New York, Routledge and Kegan Paul</w:t>
      </w:r>
    </w:p>
    <w:sectPr w:rsidR="002B6212" w:rsidRPr="004F0C2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79F7" w:rsidRDefault="007579F7" w:rsidP="00014C35">
      <w:pPr>
        <w:spacing w:after="0" w:line="240" w:lineRule="auto"/>
      </w:pPr>
      <w:r>
        <w:separator/>
      </w:r>
    </w:p>
  </w:endnote>
  <w:endnote w:type="continuationSeparator" w:id="0">
    <w:p w:rsidR="007579F7" w:rsidRDefault="007579F7" w:rsidP="00014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Pr="00014C35" w:rsidRDefault="00014C35">
    <w:pPr>
      <w:pStyle w:val="Footer"/>
      <w:rPr>
        <w:rFonts w:ascii="Arial" w:hAnsi="Arial" w:cs="Arial"/>
      </w:rPr>
    </w:pPr>
    <w:r w:rsidRPr="00014C35">
      <w:rPr>
        <w:rFonts w:ascii="Arial" w:hAnsi="Arial" w:cs="Arial"/>
      </w:rPr>
      <w:t>AHSK6002</w:t>
    </w:r>
  </w:p>
  <w:p w:rsidR="00014C35" w:rsidRDefault="00014C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79F7" w:rsidRDefault="007579F7" w:rsidP="00014C35">
      <w:pPr>
        <w:spacing w:after="0" w:line="240" w:lineRule="auto"/>
      </w:pPr>
      <w:r>
        <w:separator/>
      </w:r>
    </w:p>
  </w:footnote>
  <w:footnote w:type="continuationSeparator" w:id="0">
    <w:p w:rsidR="007579F7" w:rsidRDefault="007579F7" w:rsidP="00014C35">
      <w:pPr>
        <w:spacing w:after="0" w:line="240" w:lineRule="auto"/>
      </w:pPr>
      <w:r>
        <w:continuationSeparator/>
      </w:r>
    </w:p>
  </w:footnote>
  <w:footnote w:id="1">
    <w:p w:rsidR="0009062F" w:rsidRDefault="0009062F">
      <w:pPr>
        <w:pStyle w:val="FootnoteText"/>
      </w:pPr>
      <w:r>
        <w:rPr>
          <w:rStyle w:val="FootnoteReference"/>
        </w:rPr>
        <w:footnoteRef/>
      </w:r>
      <w:r>
        <w:t xml:space="preserve"> Graves-Brown, 2010, 73-74</w:t>
      </w:r>
    </w:p>
  </w:footnote>
  <w:footnote w:id="2">
    <w:p w:rsidR="0009062F" w:rsidRDefault="0009062F">
      <w:pPr>
        <w:pStyle w:val="FootnoteText"/>
      </w:pPr>
      <w:r>
        <w:rPr>
          <w:rStyle w:val="FootnoteReference"/>
        </w:rPr>
        <w:footnoteRef/>
      </w:r>
      <w:r>
        <w:t xml:space="preserve"> Graves-Brown, 2010, 3</w:t>
      </w:r>
    </w:p>
  </w:footnote>
  <w:footnote w:id="3">
    <w:p w:rsidR="0009062F" w:rsidRDefault="0009062F">
      <w:pPr>
        <w:pStyle w:val="FootnoteText"/>
      </w:pPr>
      <w:r>
        <w:rPr>
          <w:rStyle w:val="FootnoteReference"/>
        </w:rPr>
        <w:footnoteRef/>
      </w:r>
      <w:r>
        <w:t xml:space="preserve"> Graves-Brown, 2010, 10</w:t>
      </w:r>
    </w:p>
  </w:footnote>
  <w:footnote w:id="4">
    <w:p w:rsidR="00C325A3" w:rsidRDefault="00C325A3">
      <w:pPr>
        <w:pStyle w:val="FootnoteText"/>
      </w:pPr>
      <w:r>
        <w:rPr>
          <w:rStyle w:val="FootnoteReference"/>
        </w:rPr>
        <w:footnoteRef/>
      </w:r>
      <w:r>
        <w:t xml:space="preserve"> </w:t>
      </w:r>
      <w:r w:rsidR="00732146">
        <w:t>Savage, 2000, 77-92</w:t>
      </w:r>
    </w:p>
  </w:footnote>
  <w:footnote w:id="5">
    <w:p w:rsidR="00C325A3" w:rsidRDefault="00C325A3">
      <w:pPr>
        <w:pStyle w:val="FootnoteText"/>
      </w:pPr>
      <w:r>
        <w:rPr>
          <w:rStyle w:val="FootnoteReference"/>
        </w:rPr>
        <w:footnoteRef/>
      </w:r>
      <w:r>
        <w:t xml:space="preserve"> Graves-Brown, 2010, 19</w:t>
      </w:r>
    </w:p>
  </w:footnote>
  <w:footnote w:id="6">
    <w:p w:rsidR="00C325A3" w:rsidRDefault="00C325A3">
      <w:pPr>
        <w:pStyle w:val="FootnoteText"/>
      </w:pPr>
      <w:r>
        <w:rPr>
          <w:rStyle w:val="FootnoteReference"/>
        </w:rPr>
        <w:footnoteRef/>
      </w:r>
      <w:r>
        <w:t xml:space="preserve"> </w:t>
      </w:r>
      <w:r w:rsidR="00732146">
        <w:t xml:space="preserve">Blackman, 1921, </w:t>
      </w:r>
      <w:r w:rsidR="005E0ACB">
        <w:t>2</w:t>
      </w:r>
      <w:r w:rsidR="00732146">
        <w:t>9</w:t>
      </w:r>
      <w:r w:rsidR="005E0ACB">
        <w:t xml:space="preserve"> / Doxley, 2001, 3</w:t>
      </w:r>
    </w:p>
  </w:footnote>
  <w:footnote w:id="7">
    <w:p w:rsidR="00732146" w:rsidRDefault="00732146">
      <w:pPr>
        <w:pStyle w:val="FootnoteText"/>
      </w:pPr>
      <w:r>
        <w:rPr>
          <w:rStyle w:val="FootnoteReference"/>
        </w:rPr>
        <w:footnoteRef/>
      </w:r>
      <w:r>
        <w:t xml:space="preserve"> Graves-Brown, 2010, 26</w:t>
      </w:r>
    </w:p>
  </w:footnote>
  <w:footnote w:id="8">
    <w:p w:rsidR="005E0ACB" w:rsidRDefault="005E0ACB">
      <w:pPr>
        <w:pStyle w:val="FootnoteText"/>
      </w:pPr>
      <w:r>
        <w:rPr>
          <w:rStyle w:val="FootnoteReference"/>
        </w:rPr>
        <w:footnoteRef/>
      </w:r>
      <w:r>
        <w:t xml:space="preserve"> Schneider, 2007, 308-19</w:t>
      </w:r>
    </w:p>
  </w:footnote>
  <w:footnote w:id="9">
    <w:p w:rsidR="0009062F" w:rsidRDefault="0009062F">
      <w:pPr>
        <w:pStyle w:val="FootnoteText"/>
      </w:pPr>
      <w:r>
        <w:rPr>
          <w:rStyle w:val="FootnoteReference"/>
        </w:rPr>
        <w:footnoteRef/>
      </w:r>
      <w:r>
        <w:t xml:space="preserve"> Graves-Brown, 2010, 35</w:t>
      </w:r>
    </w:p>
  </w:footnote>
  <w:footnote w:id="10">
    <w:p w:rsidR="0009062F" w:rsidRDefault="0009062F">
      <w:pPr>
        <w:pStyle w:val="FootnoteText"/>
      </w:pPr>
      <w:r>
        <w:rPr>
          <w:rStyle w:val="FootnoteReference"/>
        </w:rPr>
        <w:footnoteRef/>
      </w:r>
      <w:r>
        <w:t xml:space="preserve"> Troy, 1984, 79</w:t>
      </w:r>
    </w:p>
  </w:footnote>
  <w:footnote w:id="11">
    <w:p w:rsidR="0009062F" w:rsidRDefault="0009062F">
      <w:pPr>
        <w:pStyle w:val="FootnoteText"/>
      </w:pPr>
      <w:r>
        <w:rPr>
          <w:rStyle w:val="FootnoteReference"/>
        </w:rPr>
        <w:footnoteRef/>
      </w:r>
      <w:r>
        <w:t xml:space="preserve"> Graves-Brown, 2010, 37</w:t>
      </w:r>
    </w:p>
  </w:footnote>
  <w:footnote w:id="12">
    <w:p w:rsidR="002B6212" w:rsidRDefault="002B6212">
      <w:pPr>
        <w:pStyle w:val="FootnoteText"/>
      </w:pPr>
      <w:r>
        <w:rPr>
          <w:rStyle w:val="FootnoteReference"/>
        </w:rPr>
        <w:footnoteRef/>
      </w:r>
      <w:r>
        <w:t xml:space="preserve"> Walters, 2005, 64</w:t>
      </w:r>
    </w:p>
  </w:footnote>
  <w:footnote w:id="13">
    <w:p w:rsidR="004F0C2F" w:rsidRDefault="004F0C2F">
      <w:pPr>
        <w:pStyle w:val="FootnoteText"/>
      </w:pPr>
      <w:r>
        <w:rPr>
          <w:rStyle w:val="FootnoteReference"/>
        </w:rPr>
        <w:footnoteRef/>
      </w:r>
      <w:r>
        <w:t xml:space="preserve"> Walters, 2005, 48</w:t>
      </w:r>
    </w:p>
  </w:footnote>
  <w:footnote w:id="14">
    <w:p w:rsidR="002B6212" w:rsidRDefault="002B6212">
      <w:pPr>
        <w:pStyle w:val="FootnoteText"/>
      </w:pPr>
      <w:r>
        <w:rPr>
          <w:rStyle w:val="FootnoteReference"/>
        </w:rPr>
        <w:footnoteRef/>
      </w:r>
      <w:r>
        <w:t xml:space="preserve"> Walters, 2005, 48</w:t>
      </w:r>
    </w:p>
  </w:footnote>
  <w:footnote w:id="15">
    <w:p w:rsidR="004F0C2F" w:rsidRDefault="004F0C2F" w:rsidP="004F0C2F">
      <w:pPr>
        <w:pStyle w:val="FootnoteText"/>
      </w:pPr>
      <w:r>
        <w:rPr>
          <w:rStyle w:val="FootnoteReference"/>
        </w:rPr>
        <w:footnoteRef/>
      </w:r>
      <w:r>
        <w:t xml:space="preserve"> Walters, 2005, 110</w:t>
      </w:r>
    </w:p>
  </w:footnote>
  <w:footnote w:id="16">
    <w:p w:rsidR="002B6212" w:rsidRDefault="002B6212">
      <w:pPr>
        <w:pStyle w:val="FootnoteText"/>
      </w:pPr>
      <w:r>
        <w:rPr>
          <w:rStyle w:val="FootnoteReference"/>
        </w:rPr>
        <w:footnoteRef/>
      </w:r>
      <w:r>
        <w:t xml:space="preserve"> Weskott, 1983, 211</w:t>
      </w:r>
    </w:p>
  </w:footnote>
  <w:footnote w:id="17">
    <w:p w:rsidR="002B6212" w:rsidRDefault="002B6212">
      <w:pPr>
        <w:pStyle w:val="FootnoteText"/>
      </w:pPr>
      <w:r>
        <w:rPr>
          <w:rStyle w:val="FootnoteReference"/>
        </w:rPr>
        <w:footnoteRef/>
      </w:r>
      <w:r>
        <w:t xml:space="preserve"> Weskott, 1983, 211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C35" w:rsidRPr="00014C35" w:rsidRDefault="00014C35">
    <w:pPr>
      <w:pStyle w:val="Header"/>
      <w:rPr>
        <w:rFonts w:ascii="Arial" w:hAnsi="Arial" w:cs="Arial"/>
      </w:rPr>
    </w:pPr>
    <w:r w:rsidRPr="00014C35">
      <w:rPr>
        <w:rFonts w:ascii="Arial" w:hAnsi="Arial" w:cs="Arial"/>
      </w:rPr>
      <w:t>Hannah Pickering</w:t>
    </w:r>
    <w:r w:rsidRPr="00014C35">
      <w:rPr>
        <w:rFonts w:ascii="Arial" w:hAnsi="Arial" w:cs="Arial"/>
      </w:rPr>
      <w:tab/>
    </w:r>
    <w:r w:rsidRPr="00014C35">
      <w:rPr>
        <w:rFonts w:ascii="Arial" w:hAnsi="Arial" w:cs="Arial"/>
      </w:rPr>
      <w:tab/>
      <w:t>1500261</w:t>
    </w:r>
  </w:p>
  <w:p w:rsidR="00014C35" w:rsidRDefault="00014C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54E55"/>
    <w:multiLevelType w:val="hybridMultilevel"/>
    <w:tmpl w:val="D262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1B0BF8"/>
    <w:multiLevelType w:val="hybridMultilevel"/>
    <w:tmpl w:val="C890F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C35"/>
    <w:rsid w:val="00014C35"/>
    <w:rsid w:val="0009062F"/>
    <w:rsid w:val="001361B0"/>
    <w:rsid w:val="001F13D8"/>
    <w:rsid w:val="00226AAB"/>
    <w:rsid w:val="002B6212"/>
    <w:rsid w:val="00407F89"/>
    <w:rsid w:val="004C2716"/>
    <w:rsid w:val="004F0C2F"/>
    <w:rsid w:val="005E0ACB"/>
    <w:rsid w:val="0060617F"/>
    <w:rsid w:val="00653A49"/>
    <w:rsid w:val="00682150"/>
    <w:rsid w:val="00732146"/>
    <w:rsid w:val="0073537B"/>
    <w:rsid w:val="007579F7"/>
    <w:rsid w:val="007E5DD9"/>
    <w:rsid w:val="008C38C3"/>
    <w:rsid w:val="008E7B8E"/>
    <w:rsid w:val="00BA4798"/>
    <w:rsid w:val="00BF7E2F"/>
    <w:rsid w:val="00C13AF6"/>
    <w:rsid w:val="00C325A3"/>
    <w:rsid w:val="00D71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1DB83A-C760-413E-A5A6-C465F06F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4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C35"/>
  </w:style>
  <w:style w:type="paragraph" w:styleId="Footer">
    <w:name w:val="footer"/>
    <w:basedOn w:val="Normal"/>
    <w:link w:val="FooterChar"/>
    <w:uiPriority w:val="99"/>
    <w:unhideWhenUsed/>
    <w:rsid w:val="00014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C35"/>
  </w:style>
  <w:style w:type="paragraph" w:styleId="ListParagraph">
    <w:name w:val="List Paragraph"/>
    <w:basedOn w:val="Normal"/>
    <w:uiPriority w:val="34"/>
    <w:qFormat/>
    <w:rsid w:val="00BA4798"/>
    <w:pPr>
      <w:ind w:left="720"/>
      <w:contextualSpacing/>
    </w:pPr>
  </w:style>
  <w:style w:type="paragraph" w:styleId="FootnoteText">
    <w:name w:val="footnote text"/>
    <w:basedOn w:val="Normal"/>
    <w:link w:val="FootnoteTextChar"/>
    <w:uiPriority w:val="99"/>
    <w:semiHidden/>
    <w:unhideWhenUsed/>
    <w:rsid w:val="00C325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25A3"/>
    <w:rPr>
      <w:sz w:val="20"/>
      <w:szCs w:val="20"/>
    </w:rPr>
  </w:style>
  <w:style w:type="character" w:styleId="FootnoteReference">
    <w:name w:val="footnote reference"/>
    <w:basedOn w:val="DefaultParagraphFont"/>
    <w:uiPriority w:val="99"/>
    <w:semiHidden/>
    <w:unhideWhenUsed/>
    <w:rsid w:val="00C325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8898675">
      <w:bodyDiv w:val="1"/>
      <w:marLeft w:val="0"/>
      <w:marRight w:val="0"/>
      <w:marTop w:val="0"/>
      <w:marBottom w:val="0"/>
      <w:divBdr>
        <w:top w:val="none" w:sz="0" w:space="0" w:color="auto"/>
        <w:left w:val="none" w:sz="0" w:space="0" w:color="auto"/>
        <w:bottom w:val="none" w:sz="0" w:space="0" w:color="auto"/>
        <w:right w:val="none" w:sz="0" w:space="0" w:color="auto"/>
      </w:divBdr>
    </w:div>
    <w:div w:id="171681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8367A-2795-4F54-B828-EC68C3255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1634</Words>
  <Characters>9319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Pickering</dc:creator>
  <cp:keywords/>
  <dc:description/>
  <cp:lastModifiedBy>Hannah Pickering</cp:lastModifiedBy>
  <cp:revision>2</cp:revision>
  <dcterms:created xsi:type="dcterms:W3CDTF">2017-11-15T14:26:00Z</dcterms:created>
  <dcterms:modified xsi:type="dcterms:W3CDTF">2017-11-15T14:26:00Z</dcterms:modified>
</cp:coreProperties>
</file>