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9BA11" w14:textId="77777777" w:rsidR="00204D63" w:rsidRDefault="00204D63" w:rsidP="00CE5C32">
      <w:pPr>
        <w:spacing w:line="360" w:lineRule="auto"/>
        <w:jc w:val="center"/>
        <w:rPr>
          <w:rFonts w:ascii="Arial" w:hAnsi="Arial" w:cs="Arial"/>
          <w:sz w:val="44"/>
          <w:szCs w:val="44"/>
        </w:rPr>
      </w:pPr>
      <w:r>
        <w:rPr>
          <w:noProof/>
        </w:rPr>
        <w:drawing>
          <wp:anchor distT="0" distB="0" distL="114300" distR="114300" simplePos="0" relativeHeight="251658240" behindDoc="1" locked="0" layoutInCell="1" allowOverlap="1" wp14:anchorId="44034FC8" wp14:editId="44102F0A">
            <wp:simplePos x="0" y="0"/>
            <wp:positionH relativeFrom="column">
              <wp:posOffset>-473891</wp:posOffset>
            </wp:positionH>
            <wp:positionV relativeFrom="paragraph">
              <wp:posOffset>273</wp:posOffset>
            </wp:positionV>
            <wp:extent cx="3814562" cy="932090"/>
            <wp:effectExtent l="0" t="0" r="0" b="0"/>
            <wp:wrapTight wrapText="bothSides">
              <wp:wrapPolygon edited="0">
                <wp:start x="539" y="3092"/>
                <wp:lineTo x="647" y="11485"/>
                <wp:lineTo x="1726" y="18110"/>
                <wp:lineTo x="10032" y="18110"/>
                <wp:lineTo x="10895" y="17227"/>
                <wp:lineTo x="13269" y="12810"/>
                <wp:lineTo x="13161" y="11043"/>
                <wp:lineTo x="16289" y="8834"/>
                <wp:lineTo x="16397" y="4859"/>
                <wp:lineTo x="14779" y="3092"/>
                <wp:lineTo x="539" y="3092"/>
              </wp:wrapPolygon>
            </wp:wrapTight>
            <wp:docPr id="1" name="Picture 1" descr="Free Employability Workshop with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ployability Workshop with University of Wales Trinity Saint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4562" cy="932090"/>
                    </a:xfrm>
                    <a:prstGeom prst="rect">
                      <a:avLst/>
                    </a:prstGeom>
                    <a:noFill/>
                    <a:ln>
                      <a:noFill/>
                    </a:ln>
                  </pic:spPr>
                </pic:pic>
              </a:graphicData>
            </a:graphic>
          </wp:anchor>
        </w:drawing>
      </w:r>
    </w:p>
    <w:p w14:paraId="1739F20F" w14:textId="77777777" w:rsidR="00204D63" w:rsidRDefault="00204D63" w:rsidP="00CE5C32">
      <w:pPr>
        <w:spacing w:line="360" w:lineRule="auto"/>
        <w:jc w:val="center"/>
        <w:rPr>
          <w:rFonts w:ascii="Arial" w:hAnsi="Arial" w:cs="Arial"/>
          <w:sz w:val="44"/>
          <w:szCs w:val="44"/>
        </w:rPr>
      </w:pPr>
    </w:p>
    <w:p w14:paraId="38998E72" w14:textId="77777777" w:rsidR="00204D63" w:rsidRDefault="00204D63" w:rsidP="00CE5C32">
      <w:pPr>
        <w:spacing w:line="360" w:lineRule="auto"/>
        <w:jc w:val="center"/>
        <w:rPr>
          <w:rFonts w:ascii="Arial" w:hAnsi="Arial" w:cs="Arial"/>
          <w:sz w:val="44"/>
          <w:szCs w:val="44"/>
        </w:rPr>
      </w:pPr>
    </w:p>
    <w:p w14:paraId="240E005C" w14:textId="77777777" w:rsidR="00204D63" w:rsidRDefault="00204D63" w:rsidP="00CE5C32">
      <w:pPr>
        <w:spacing w:line="360" w:lineRule="auto"/>
        <w:jc w:val="center"/>
        <w:rPr>
          <w:rFonts w:ascii="Arial" w:hAnsi="Arial" w:cs="Arial"/>
          <w:sz w:val="44"/>
          <w:szCs w:val="44"/>
        </w:rPr>
      </w:pPr>
    </w:p>
    <w:p w14:paraId="2424DED2" w14:textId="75FA72AB" w:rsidR="00EF27B0" w:rsidRPr="00CE5C32" w:rsidRDefault="00CE5C32" w:rsidP="00CE5C32">
      <w:pPr>
        <w:spacing w:line="360" w:lineRule="auto"/>
        <w:jc w:val="center"/>
        <w:rPr>
          <w:rFonts w:ascii="Arial" w:hAnsi="Arial" w:cs="Arial"/>
          <w:sz w:val="44"/>
          <w:szCs w:val="44"/>
        </w:rPr>
      </w:pPr>
      <w:r w:rsidRPr="00CE5C32">
        <w:rPr>
          <w:rFonts w:ascii="Arial" w:hAnsi="Arial" w:cs="Arial"/>
          <w:sz w:val="44"/>
          <w:szCs w:val="44"/>
        </w:rPr>
        <w:t>MELIA HOTELS INTERNATIONAL</w:t>
      </w:r>
    </w:p>
    <w:p w14:paraId="3E4147A0" w14:textId="6694739D" w:rsidR="00CE5C32" w:rsidRDefault="00D41C2D" w:rsidP="00CE5C32">
      <w:pPr>
        <w:spacing w:line="360" w:lineRule="auto"/>
        <w:jc w:val="center"/>
        <w:rPr>
          <w:rFonts w:ascii="Arial" w:hAnsi="Arial" w:cs="Arial"/>
          <w:sz w:val="44"/>
          <w:szCs w:val="44"/>
        </w:rPr>
      </w:pPr>
      <w:r>
        <w:rPr>
          <w:rFonts w:ascii="Arial" w:hAnsi="Arial" w:cs="Arial"/>
          <w:sz w:val="44"/>
          <w:szCs w:val="44"/>
        </w:rPr>
        <w:t>‘</w:t>
      </w:r>
      <w:r w:rsidR="00CE5C32" w:rsidRPr="00CE5C32">
        <w:rPr>
          <w:rFonts w:ascii="Arial" w:hAnsi="Arial" w:cs="Arial"/>
          <w:sz w:val="44"/>
          <w:szCs w:val="44"/>
        </w:rPr>
        <w:t>STAYSMART+</w:t>
      </w:r>
      <w:r>
        <w:rPr>
          <w:rFonts w:ascii="Arial" w:hAnsi="Arial" w:cs="Arial"/>
          <w:sz w:val="44"/>
          <w:szCs w:val="44"/>
        </w:rPr>
        <w:t>’</w:t>
      </w:r>
      <w:r w:rsidR="00CE5C32" w:rsidRPr="00CE5C32">
        <w:rPr>
          <w:rFonts w:ascii="Arial" w:hAnsi="Arial" w:cs="Arial"/>
          <w:sz w:val="44"/>
          <w:szCs w:val="44"/>
        </w:rPr>
        <w:t xml:space="preserve"> SERVICE LAUNCH</w:t>
      </w:r>
    </w:p>
    <w:p w14:paraId="0AD7AB54" w14:textId="77777777" w:rsidR="00204D63" w:rsidRDefault="00204D63" w:rsidP="00CE5C32">
      <w:pPr>
        <w:spacing w:line="360" w:lineRule="auto"/>
        <w:jc w:val="center"/>
        <w:rPr>
          <w:rFonts w:ascii="Arial" w:hAnsi="Arial" w:cs="Arial"/>
          <w:sz w:val="44"/>
          <w:szCs w:val="44"/>
        </w:rPr>
      </w:pPr>
    </w:p>
    <w:p w14:paraId="06DADDCB" w14:textId="77777777" w:rsidR="00204D63" w:rsidRDefault="00204D63" w:rsidP="00CE5C32">
      <w:pPr>
        <w:spacing w:line="360" w:lineRule="auto"/>
        <w:jc w:val="center"/>
        <w:rPr>
          <w:rFonts w:ascii="Arial" w:hAnsi="Arial" w:cs="Arial"/>
          <w:sz w:val="44"/>
          <w:szCs w:val="44"/>
        </w:rPr>
      </w:pPr>
    </w:p>
    <w:p w14:paraId="47746C0B" w14:textId="46ED224E" w:rsidR="00CE5C32" w:rsidRPr="00204D63" w:rsidRDefault="00204D63" w:rsidP="00204D63">
      <w:pPr>
        <w:spacing w:line="360" w:lineRule="auto"/>
        <w:rPr>
          <w:rFonts w:ascii="Arial" w:hAnsi="Arial" w:cs="Arial"/>
          <w:b/>
          <w:bCs/>
          <w:sz w:val="28"/>
          <w:szCs w:val="28"/>
        </w:rPr>
      </w:pPr>
      <w:r w:rsidRPr="00204D63">
        <w:rPr>
          <w:rFonts w:ascii="Arial" w:hAnsi="Arial" w:cs="Arial"/>
          <w:b/>
          <w:bCs/>
          <w:sz w:val="28"/>
          <w:szCs w:val="28"/>
        </w:rPr>
        <w:t>LCLM 5001 Understanding and Engaging Stakeholders</w:t>
      </w:r>
    </w:p>
    <w:p w14:paraId="76D2998B" w14:textId="77777777" w:rsidR="00204D63" w:rsidRDefault="00204D63" w:rsidP="00204D63">
      <w:pPr>
        <w:spacing w:after="0" w:line="240" w:lineRule="auto"/>
        <w:contextualSpacing/>
        <w:rPr>
          <w:rFonts w:ascii="Arial" w:eastAsia="Times New Roman" w:hAnsi="Arial" w:cs="Arial"/>
          <w:b/>
          <w:bCs/>
          <w:color w:val="000000"/>
          <w:kern w:val="0"/>
          <w:position w:val="1"/>
          <w:sz w:val="28"/>
          <w:szCs w:val="28"/>
          <w:lang w:eastAsia="en-GB"/>
          <w14:ligatures w14:val="none"/>
        </w:rPr>
      </w:pPr>
      <w:r w:rsidRPr="00204D63">
        <w:rPr>
          <w:rFonts w:ascii="Arial" w:eastAsia="Times New Roman" w:hAnsi="Arial" w:cs="Arial"/>
          <w:b/>
          <w:bCs/>
          <w:color w:val="000000"/>
          <w:kern w:val="0"/>
          <w:position w:val="1"/>
          <w:sz w:val="28"/>
          <w:szCs w:val="28"/>
          <w:lang w:eastAsia="en-GB"/>
          <w14:ligatures w14:val="none"/>
        </w:rPr>
        <w:t>Eric Osei – Module Lead</w:t>
      </w:r>
    </w:p>
    <w:p w14:paraId="2D7BF91F" w14:textId="77777777" w:rsidR="00204D63" w:rsidRDefault="00204D63" w:rsidP="00204D63">
      <w:pPr>
        <w:spacing w:after="0" w:line="240" w:lineRule="auto"/>
        <w:contextualSpacing/>
        <w:rPr>
          <w:rFonts w:ascii="Arial" w:eastAsia="Times New Roman" w:hAnsi="Arial" w:cs="Arial"/>
          <w:b/>
          <w:bCs/>
          <w:color w:val="000000"/>
          <w:kern w:val="0"/>
          <w:position w:val="1"/>
          <w:sz w:val="28"/>
          <w:szCs w:val="28"/>
          <w:lang w:eastAsia="en-GB"/>
          <w14:ligatures w14:val="none"/>
        </w:rPr>
      </w:pPr>
    </w:p>
    <w:p w14:paraId="032D0411" w14:textId="428B74F9" w:rsidR="00204D63" w:rsidRPr="00204D63" w:rsidRDefault="00204D63" w:rsidP="00204D63">
      <w:pPr>
        <w:spacing w:after="0" w:line="240" w:lineRule="auto"/>
        <w:contextualSpacing/>
        <w:rPr>
          <w:rFonts w:ascii="Arial" w:eastAsia="Times New Roman" w:hAnsi="Arial" w:cs="Arial"/>
          <w:kern w:val="0"/>
          <w:sz w:val="28"/>
          <w:szCs w:val="28"/>
          <w:lang w:eastAsia="en-GB"/>
          <w14:ligatures w14:val="none"/>
        </w:rPr>
      </w:pPr>
      <w:r>
        <w:rPr>
          <w:rFonts w:ascii="Arial" w:eastAsia="Times New Roman" w:hAnsi="Arial" w:cs="Arial"/>
          <w:b/>
          <w:bCs/>
          <w:color w:val="000000"/>
          <w:kern w:val="0"/>
          <w:position w:val="1"/>
          <w:sz w:val="28"/>
          <w:szCs w:val="28"/>
          <w:lang w:eastAsia="en-GB"/>
          <w14:ligatures w14:val="none"/>
        </w:rPr>
        <w:t>Student name/number Nicolae Bogdan Sandu Rizea 2418689</w:t>
      </w:r>
    </w:p>
    <w:p w14:paraId="54920297" w14:textId="77777777" w:rsidR="00204D63" w:rsidRDefault="00204D63" w:rsidP="00CE5C32">
      <w:pPr>
        <w:spacing w:line="360" w:lineRule="auto"/>
        <w:jc w:val="center"/>
        <w:rPr>
          <w:rFonts w:ascii="Arial" w:hAnsi="Arial" w:cs="Arial"/>
        </w:rPr>
      </w:pPr>
    </w:p>
    <w:p w14:paraId="77A44B27" w14:textId="77777777" w:rsidR="00CE5C32" w:rsidRDefault="00CE5C32" w:rsidP="00CE5C32">
      <w:pPr>
        <w:spacing w:line="360" w:lineRule="auto"/>
        <w:jc w:val="center"/>
        <w:rPr>
          <w:rFonts w:ascii="Arial" w:hAnsi="Arial" w:cs="Arial"/>
        </w:rPr>
      </w:pPr>
    </w:p>
    <w:p w14:paraId="69B293AD" w14:textId="77777777" w:rsidR="00CE5C32" w:rsidRDefault="00CE5C32" w:rsidP="00CE5C32">
      <w:pPr>
        <w:spacing w:line="360" w:lineRule="auto"/>
        <w:jc w:val="center"/>
        <w:rPr>
          <w:rFonts w:ascii="Arial" w:hAnsi="Arial" w:cs="Arial"/>
        </w:rPr>
      </w:pPr>
    </w:p>
    <w:p w14:paraId="3CB36FB6" w14:textId="77777777" w:rsidR="00CE5C32" w:rsidRDefault="00CE5C32" w:rsidP="00CE5C32">
      <w:pPr>
        <w:spacing w:line="360" w:lineRule="auto"/>
        <w:jc w:val="center"/>
        <w:rPr>
          <w:rFonts w:ascii="Arial" w:hAnsi="Arial" w:cs="Arial"/>
        </w:rPr>
      </w:pPr>
    </w:p>
    <w:p w14:paraId="5E28E137" w14:textId="77777777" w:rsidR="00CE5C32" w:rsidRDefault="00CE5C32" w:rsidP="00CE5C32">
      <w:pPr>
        <w:spacing w:line="360" w:lineRule="auto"/>
        <w:jc w:val="center"/>
        <w:rPr>
          <w:rFonts w:ascii="Arial" w:hAnsi="Arial" w:cs="Arial"/>
        </w:rPr>
      </w:pPr>
    </w:p>
    <w:p w14:paraId="1032D9EB" w14:textId="77777777" w:rsidR="00CE5C32" w:rsidRDefault="00CE5C32" w:rsidP="00CE5C32">
      <w:pPr>
        <w:spacing w:line="360" w:lineRule="auto"/>
        <w:jc w:val="center"/>
        <w:rPr>
          <w:rFonts w:ascii="Arial" w:hAnsi="Arial" w:cs="Arial"/>
        </w:rPr>
      </w:pPr>
    </w:p>
    <w:p w14:paraId="43640321" w14:textId="77777777" w:rsidR="00CE5C32" w:rsidRDefault="00CE5C32" w:rsidP="00CE5C32">
      <w:pPr>
        <w:spacing w:line="360" w:lineRule="auto"/>
        <w:jc w:val="center"/>
        <w:rPr>
          <w:rFonts w:ascii="Arial" w:hAnsi="Arial" w:cs="Arial"/>
        </w:rPr>
      </w:pPr>
    </w:p>
    <w:p w14:paraId="13D5B5EC" w14:textId="77777777" w:rsidR="00CE5C32" w:rsidRDefault="00CE5C32" w:rsidP="00CE5C32">
      <w:pPr>
        <w:spacing w:line="360" w:lineRule="auto"/>
        <w:jc w:val="center"/>
        <w:rPr>
          <w:rFonts w:ascii="Arial" w:hAnsi="Arial" w:cs="Arial"/>
        </w:rPr>
      </w:pPr>
    </w:p>
    <w:p w14:paraId="01130397" w14:textId="77777777" w:rsidR="00CE5C32" w:rsidRDefault="00CE5C32" w:rsidP="00CE5C32">
      <w:pPr>
        <w:spacing w:line="360" w:lineRule="auto"/>
        <w:jc w:val="center"/>
        <w:rPr>
          <w:rFonts w:ascii="Arial" w:hAnsi="Arial" w:cs="Arial"/>
        </w:rPr>
      </w:pPr>
    </w:p>
    <w:p w14:paraId="50CE0D1B" w14:textId="77777777" w:rsidR="00CE5C32" w:rsidRDefault="00CE5C32" w:rsidP="00CE5C32">
      <w:pPr>
        <w:spacing w:line="360" w:lineRule="auto"/>
        <w:jc w:val="center"/>
        <w:rPr>
          <w:rFonts w:ascii="Arial" w:hAnsi="Arial" w:cs="Arial"/>
        </w:rPr>
      </w:pPr>
    </w:p>
    <w:p w14:paraId="7F1201AD" w14:textId="77777777" w:rsidR="00CE5C32" w:rsidRDefault="00CE5C32" w:rsidP="00CE5C32">
      <w:pPr>
        <w:spacing w:line="360" w:lineRule="auto"/>
        <w:jc w:val="center"/>
        <w:rPr>
          <w:rFonts w:ascii="Arial" w:hAnsi="Arial" w:cs="Arial"/>
        </w:rPr>
      </w:pPr>
    </w:p>
    <w:p w14:paraId="0F96B728" w14:textId="20B5E315" w:rsidR="00CE5C32" w:rsidRPr="00204D63" w:rsidRDefault="00CE5C32" w:rsidP="00CE5C32">
      <w:pPr>
        <w:spacing w:line="360" w:lineRule="auto"/>
        <w:rPr>
          <w:rFonts w:ascii="Arial" w:hAnsi="Arial" w:cs="Arial"/>
          <w:sz w:val="32"/>
          <w:szCs w:val="32"/>
        </w:rPr>
      </w:pPr>
      <w:r w:rsidRPr="00204D63">
        <w:rPr>
          <w:rFonts w:ascii="Arial" w:hAnsi="Arial" w:cs="Arial"/>
          <w:sz w:val="32"/>
          <w:szCs w:val="32"/>
        </w:rPr>
        <w:t>TABEL OF CONTECTS</w:t>
      </w:r>
    </w:p>
    <w:p w14:paraId="2096D4A7" w14:textId="4C06F91F" w:rsidR="00CE5C32" w:rsidRDefault="00CE5C32" w:rsidP="00CE5C32">
      <w:pPr>
        <w:pStyle w:val="ListParagraph"/>
        <w:numPr>
          <w:ilvl w:val="0"/>
          <w:numId w:val="1"/>
        </w:numPr>
        <w:spacing w:line="360" w:lineRule="auto"/>
        <w:rPr>
          <w:rFonts w:ascii="Arial" w:hAnsi="Arial" w:cs="Arial"/>
        </w:rPr>
      </w:pPr>
      <w:r>
        <w:rPr>
          <w:rFonts w:ascii="Arial" w:hAnsi="Arial" w:cs="Arial"/>
        </w:rPr>
        <w:t>Introduction</w:t>
      </w:r>
    </w:p>
    <w:p w14:paraId="2932487F" w14:textId="6DF1426D" w:rsidR="00CE5C32" w:rsidRDefault="00CE5C32" w:rsidP="00CE5C32">
      <w:pPr>
        <w:pStyle w:val="ListParagraph"/>
        <w:numPr>
          <w:ilvl w:val="0"/>
          <w:numId w:val="1"/>
        </w:numPr>
        <w:spacing w:line="360" w:lineRule="auto"/>
        <w:rPr>
          <w:rFonts w:ascii="Arial" w:hAnsi="Arial" w:cs="Arial"/>
        </w:rPr>
      </w:pPr>
      <w:r>
        <w:rPr>
          <w:rFonts w:ascii="Arial" w:hAnsi="Arial" w:cs="Arial"/>
        </w:rPr>
        <w:t>Company appraisal: SWAT and PESTEL analysis</w:t>
      </w:r>
    </w:p>
    <w:p w14:paraId="79D268AB" w14:textId="297299DE" w:rsidR="00CE5C32" w:rsidRDefault="00CE5C32" w:rsidP="00CE5C32">
      <w:pPr>
        <w:pStyle w:val="ListParagraph"/>
        <w:numPr>
          <w:ilvl w:val="1"/>
          <w:numId w:val="1"/>
        </w:numPr>
        <w:spacing w:line="360" w:lineRule="auto"/>
        <w:rPr>
          <w:rFonts w:ascii="Arial" w:hAnsi="Arial" w:cs="Arial"/>
        </w:rPr>
      </w:pPr>
      <w:r>
        <w:rPr>
          <w:rFonts w:ascii="Arial" w:hAnsi="Arial" w:cs="Arial"/>
        </w:rPr>
        <w:t>SWOT Analysis</w:t>
      </w:r>
    </w:p>
    <w:p w14:paraId="1D79ED32" w14:textId="516CEB94" w:rsidR="00CE5C32" w:rsidRDefault="00CE5C32" w:rsidP="00CE5C32">
      <w:pPr>
        <w:pStyle w:val="ListParagraph"/>
        <w:numPr>
          <w:ilvl w:val="1"/>
          <w:numId w:val="1"/>
        </w:numPr>
        <w:spacing w:line="360" w:lineRule="auto"/>
        <w:rPr>
          <w:rFonts w:ascii="Arial" w:hAnsi="Arial" w:cs="Arial"/>
        </w:rPr>
      </w:pPr>
      <w:r>
        <w:rPr>
          <w:rFonts w:ascii="Arial" w:hAnsi="Arial" w:cs="Arial"/>
        </w:rPr>
        <w:t>PESTEL analysis</w:t>
      </w:r>
    </w:p>
    <w:p w14:paraId="55AC0856" w14:textId="6F8BC489" w:rsidR="00CE5C32" w:rsidRDefault="00CE5C32" w:rsidP="00CE5C32">
      <w:pPr>
        <w:pStyle w:val="ListParagraph"/>
        <w:numPr>
          <w:ilvl w:val="0"/>
          <w:numId w:val="1"/>
        </w:numPr>
        <w:spacing w:line="360" w:lineRule="auto"/>
        <w:rPr>
          <w:rFonts w:ascii="Arial" w:hAnsi="Arial" w:cs="Arial"/>
        </w:rPr>
      </w:pPr>
      <w:r>
        <w:rPr>
          <w:rFonts w:ascii="Arial" w:hAnsi="Arial" w:cs="Arial"/>
        </w:rPr>
        <w:t xml:space="preserve">Key Internal and External </w:t>
      </w:r>
      <w:r w:rsidR="007E138E">
        <w:rPr>
          <w:rFonts w:ascii="Arial" w:hAnsi="Arial" w:cs="Arial"/>
        </w:rPr>
        <w:t>Stakeholders</w:t>
      </w:r>
    </w:p>
    <w:p w14:paraId="5BF560B4" w14:textId="606F0412" w:rsidR="007E138E" w:rsidRDefault="007E138E" w:rsidP="007E138E">
      <w:pPr>
        <w:pStyle w:val="ListParagraph"/>
        <w:numPr>
          <w:ilvl w:val="1"/>
          <w:numId w:val="1"/>
        </w:numPr>
        <w:spacing w:line="360" w:lineRule="auto"/>
        <w:rPr>
          <w:rFonts w:ascii="Arial" w:hAnsi="Arial" w:cs="Arial"/>
        </w:rPr>
      </w:pPr>
      <w:r>
        <w:rPr>
          <w:rFonts w:ascii="Arial" w:hAnsi="Arial" w:cs="Arial"/>
        </w:rPr>
        <w:t>Internal stakeholder</w:t>
      </w:r>
    </w:p>
    <w:p w14:paraId="12444746" w14:textId="6D3157DC" w:rsidR="007E138E" w:rsidRDefault="007E138E" w:rsidP="007E138E">
      <w:pPr>
        <w:pStyle w:val="ListParagraph"/>
        <w:numPr>
          <w:ilvl w:val="1"/>
          <w:numId w:val="1"/>
        </w:numPr>
        <w:spacing w:line="360" w:lineRule="auto"/>
        <w:rPr>
          <w:rFonts w:ascii="Arial" w:hAnsi="Arial" w:cs="Arial"/>
        </w:rPr>
      </w:pPr>
      <w:r>
        <w:rPr>
          <w:rFonts w:ascii="Arial" w:hAnsi="Arial" w:cs="Arial"/>
        </w:rPr>
        <w:t>external stakeholder</w:t>
      </w:r>
    </w:p>
    <w:p w14:paraId="5EE64BDF" w14:textId="3609F4EF" w:rsidR="007E138E" w:rsidRDefault="007E138E" w:rsidP="007E138E">
      <w:pPr>
        <w:pStyle w:val="ListParagraph"/>
        <w:numPr>
          <w:ilvl w:val="0"/>
          <w:numId w:val="1"/>
        </w:numPr>
        <w:spacing w:line="360" w:lineRule="auto"/>
        <w:rPr>
          <w:rFonts w:ascii="Arial" w:hAnsi="Arial" w:cs="Arial"/>
        </w:rPr>
      </w:pPr>
      <w:r>
        <w:rPr>
          <w:rFonts w:ascii="Arial" w:hAnsi="Arial" w:cs="Arial"/>
        </w:rPr>
        <w:t>Roles, responsibilities, Benefit, and Challenges of Key stakeholders</w:t>
      </w:r>
    </w:p>
    <w:p w14:paraId="05ABDC76" w14:textId="5F2FCD6A" w:rsidR="007E138E" w:rsidRDefault="007E138E" w:rsidP="007E138E">
      <w:pPr>
        <w:pStyle w:val="ListParagraph"/>
        <w:numPr>
          <w:ilvl w:val="1"/>
          <w:numId w:val="1"/>
        </w:numPr>
        <w:spacing w:line="360" w:lineRule="auto"/>
        <w:rPr>
          <w:rFonts w:ascii="Arial" w:hAnsi="Arial" w:cs="Arial"/>
        </w:rPr>
      </w:pPr>
      <w:r>
        <w:rPr>
          <w:rFonts w:ascii="Arial" w:hAnsi="Arial" w:cs="Arial"/>
        </w:rPr>
        <w:t>executive Leadership Team</w:t>
      </w:r>
    </w:p>
    <w:p w14:paraId="6C1E3DA5" w14:textId="1586E3ED" w:rsidR="007E138E" w:rsidRDefault="007E138E" w:rsidP="007E138E">
      <w:pPr>
        <w:pStyle w:val="ListParagraph"/>
        <w:numPr>
          <w:ilvl w:val="1"/>
          <w:numId w:val="1"/>
        </w:numPr>
        <w:spacing w:line="360" w:lineRule="auto"/>
        <w:rPr>
          <w:rFonts w:ascii="Arial" w:hAnsi="Arial" w:cs="Arial"/>
        </w:rPr>
      </w:pPr>
      <w:r>
        <w:rPr>
          <w:rFonts w:ascii="Arial" w:hAnsi="Arial" w:cs="Arial"/>
        </w:rPr>
        <w:t>product development and Technology Team</w:t>
      </w:r>
    </w:p>
    <w:p w14:paraId="015DC064" w14:textId="60B20BB4" w:rsidR="007E138E" w:rsidRDefault="007E138E" w:rsidP="007E138E">
      <w:pPr>
        <w:pStyle w:val="ListParagraph"/>
        <w:numPr>
          <w:ilvl w:val="1"/>
          <w:numId w:val="1"/>
        </w:numPr>
        <w:spacing w:line="360" w:lineRule="auto"/>
        <w:rPr>
          <w:rFonts w:ascii="Arial" w:hAnsi="Arial" w:cs="Arial"/>
        </w:rPr>
      </w:pPr>
      <w:r>
        <w:rPr>
          <w:rFonts w:ascii="Arial" w:hAnsi="Arial" w:cs="Arial"/>
        </w:rPr>
        <w:t>Technology Vendors</w:t>
      </w:r>
    </w:p>
    <w:p w14:paraId="79B6F155" w14:textId="31E49502" w:rsidR="007E138E" w:rsidRDefault="007E138E" w:rsidP="007E138E">
      <w:pPr>
        <w:pStyle w:val="ListParagraph"/>
        <w:numPr>
          <w:ilvl w:val="1"/>
          <w:numId w:val="1"/>
        </w:numPr>
        <w:spacing w:line="360" w:lineRule="auto"/>
        <w:rPr>
          <w:rFonts w:ascii="Arial" w:hAnsi="Arial" w:cs="Arial"/>
        </w:rPr>
      </w:pPr>
      <w:r>
        <w:rPr>
          <w:rFonts w:ascii="Arial" w:hAnsi="Arial" w:cs="Arial"/>
        </w:rPr>
        <w:t xml:space="preserve">Guests and Loyalty Members </w:t>
      </w:r>
    </w:p>
    <w:p w14:paraId="7C469480" w14:textId="35B98BCB" w:rsidR="007E138E" w:rsidRDefault="007E138E" w:rsidP="007E138E">
      <w:pPr>
        <w:pStyle w:val="ListParagraph"/>
        <w:numPr>
          <w:ilvl w:val="1"/>
          <w:numId w:val="1"/>
        </w:numPr>
        <w:spacing w:line="360" w:lineRule="auto"/>
        <w:rPr>
          <w:rFonts w:ascii="Arial" w:hAnsi="Arial" w:cs="Arial"/>
        </w:rPr>
      </w:pPr>
      <w:r>
        <w:rPr>
          <w:rFonts w:ascii="Arial" w:hAnsi="Arial" w:cs="Arial"/>
        </w:rPr>
        <w:t>Franchise and Management Contract Partners</w:t>
      </w:r>
    </w:p>
    <w:p w14:paraId="45A5BD52" w14:textId="3EE4842E" w:rsidR="007E138E" w:rsidRDefault="007E138E" w:rsidP="007E138E">
      <w:pPr>
        <w:pStyle w:val="ListParagraph"/>
        <w:numPr>
          <w:ilvl w:val="0"/>
          <w:numId w:val="1"/>
        </w:numPr>
        <w:spacing w:line="360" w:lineRule="auto"/>
        <w:rPr>
          <w:rFonts w:ascii="Arial" w:hAnsi="Arial" w:cs="Arial"/>
        </w:rPr>
      </w:pPr>
      <w:r>
        <w:rPr>
          <w:rFonts w:ascii="Arial" w:hAnsi="Arial" w:cs="Arial"/>
        </w:rPr>
        <w:t>Stakeholders Engagement Frameworks, Models, and Theories</w:t>
      </w:r>
    </w:p>
    <w:p w14:paraId="713F5857" w14:textId="1866DADE" w:rsidR="007E138E" w:rsidRDefault="007E138E" w:rsidP="007E138E">
      <w:pPr>
        <w:pStyle w:val="ListParagraph"/>
        <w:numPr>
          <w:ilvl w:val="1"/>
          <w:numId w:val="1"/>
        </w:numPr>
        <w:spacing w:line="360" w:lineRule="auto"/>
        <w:rPr>
          <w:rFonts w:ascii="Arial" w:hAnsi="Arial" w:cs="Arial"/>
        </w:rPr>
      </w:pPr>
      <w:r>
        <w:rPr>
          <w:rFonts w:ascii="Arial" w:hAnsi="Arial" w:cs="Arial"/>
        </w:rPr>
        <w:t>the Stakeholders Power-Interest Matrix</w:t>
      </w:r>
    </w:p>
    <w:p w14:paraId="672BDA69" w14:textId="3BEBB725" w:rsidR="007E138E" w:rsidRDefault="007E138E" w:rsidP="007E138E">
      <w:pPr>
        <w:pStyle w:val="ListParagraph"/>
        <w:numPr>
          <w:ilvl w:val="1"/>
          <w:numId w:val="1"/>
        </w:numPr>
        <w:spacing w:line="360" w:lineRule="auto"/>
        <w:rPr>
          <w:rFonts w:ascii="Arial" w:hAnsi="Arial" w:cs="Arial"/>
        </w:rPr>
      </w:pPr>
      <w:r>
        <w:rPr>
          <w:rFonts w:ascii="Arial" w:hAnsi="Arial" w:cs="Arial"/>
        </w:rPr>
        <w:t>Stakeholders Engagement Plan</w:t>
      </w:r>
    </w:p>
    <w:p w14:paraId="4476B869" w14:textId="1BDC3873" w:rsidR="007E138E" w:rsidRDefault="007E138E" w:rsidP="007E138E">
      <w:pPr>
        <w:pStyle w:val="ListParagraph"/>
        <w:numPr>
          <w:ilvl w:val="1"/>
          <w:numId w:val="1"/>
        </w:numPr>
        <w:spacing w:line="360" w:lineRule="auto"/>
        <w:rPr>
          <w:rFonts w:ascii="Arial" w:hAnsi="Arial" w:cs="Arial"/>
        </w:rPr>
      </w:pPr>
      <w:r>
        <w:rPr>
          <w:rFonts w:ascii="Arial" w:hAnsi="Arial" w:cs="Arial"/>
        </w:rPr>
        <w:t>RACI Matrix</w:t>
      </w:r>
    </w:p>
    <w:p w14:paraId="285384E0" w14:textId="769780FF" w:rsidR="007E138E" w:rsidRDefault="007E138E" w:rsidP="007E138E">
      <w:pPr>
        <w:pStyle w:val="ListParagraph"/>
        <w:numPr>
          <w:ilvl w:val="1"/>
          <w:numId w:val="1"/>
        </w:numPr>
        <w:spacing w:line="360" w:lineRule="auto"/>
        <w:rPr>
          <w:rFonts w:ascii="Arial" w:hAnsi="Arial" w:cs="Arial"/>
        </w:rPr>
      </w:pPr>
      <w:r>
        <w:rPr>
          <w:rFonts w:ascii="Arial" w:hAnsi="Arial" w:cs="Arial"/>
        </w:rPr>
        <w:t>Communication Plan</w:t>
      </w:r>
    </w:p>
    <w:p w14:paraId="0AB86507" w14:textId="3D785BFA" w:rsidR="007E138E" w:rsidRDefault="007E138E" w:rsidP="007E138E">
      <w:pPr>
        <w:pStyle w:val="ListParagraph"/>
        <w:numPr>
          <w:ilvl w:val="0"/>
          <w:numId w:val="1"/>
        </w:numPr>
        <w:spacing w:line="360" w:lineRule="auto"/>
        <w:rPr>
          <w:rFonts w:ascii="Arial" w:hAnsi="Arial" w:cs="Arial"/>
        </w:rPr>
      </w:pPr>
      <w:r>
        <w:rPr>
          <w:rFonts w:ascii="Arial" w:hAnsi="Arial" w:cs="Arial"/>
        </w:rPr>
        <w:t>The stakeholder Engagement Process and Conflict Management: The 4C’s Model</w:t>
      </w:r>
    </w:p>
    <w:p w14:paraId="76779986" w14:textId="3B04DC75" w:rsidR="007E138E" w:rsidRDefault="007E138E" w:rsidP="007E138E">
      <w:pPr>
        <w:pStyle w:val="ListParagraph"/>
        <w:numPr>
          <w:ilvl w:val="1"/>
          <w:numId w:val="1"/>
        </w:numPr>
        <w:spacing w:line="360" w:lineRule="auto"/>
        <w:rPr>
          <w:rFonts w:ascii="Arial" w:hAnsi="Arial" w:cs="Arial"/>
        </w:rPr>
      </w:pPr>
      <w:r>
        <w:rPr>
          <w:rFonts w:ascii="Arial" w:hAnsi="Arial" w:cs="Arial"/>
        </w:rPr>
        <w:t xml:space="preserve">Communication </w:t>
      </w:r>
    </w:p>
    <w:p w14:paraId="7A59F3DB" w14:textId="6FABA25A" w:rsidR="007E138E" w:rsidRDefault="007E138E" w:rsidP="007E138E">
      <w:pPr>
        <w:pStyle w:val="ListParagraph"/>
        <w:numPr>
          <w:ilvl w:val="1"/>
          <w:numId w:val="1"/>
        </w:numPr>
        <w:spacing w:line="360" w:lineRule="auto"/>
        <w:rPr>
          <w:rFonts w:ascii="Arial" w:hAnsi="Arial" w:cs="Arial"/>
        </w:rPr>
      </w:pPr>
      <w:r>
        <w:rPr>
          <w:rFonts w:ascii="Arial" w:hAnsi="Arial" w:cs="Arial"/>
        </w:rPr>
        <w:t>Consultation</w:t>
      </w:r>
    </w:p>
    <w:p w14:paraId="71A8B16D" w14:textId="3F9BF222" w:rsidR="007E138E" w:rsidRDefault="007E138E" w:rsidP="007E138E">
      <w:pPr>
        <w:pStyle w:val="ListParagraph"/>
        <w:numPr>
          <w:ilvl w:val="1"/>
          <w:numId w:val="1"/>
        </w:numPr>
        <w:spacing w:line="360" w:lineRule="auto"/>
        <w:rPr>
          <w:rFonts w:ascii="Arial" w:hAnsi="Arial" w:cs="Arial"/>
        </w:rPr>
      </w:pPr>
      <w:r>
        <w:rPr>
          <w:rFonts w:ascii="Arial" w:hAnsi="Arial" w:cs="Arial"/>
        </w:rPr>
        <w:t>Collaboration</w:t>
      </w:r>
    </w:p>
    <w:p w14:paraId="3DD8C21F" w14:textId="75428443" w:rsidR="007E138E" w:rsidRDefault="0089497E" w:rsidP="007E138E">
      <w:pPr>
        <w:pStyle w:val="ListParagraph"/>
        <w:numPr>
          <w:ilvl w:val="1"/>
          <w:numId w:val="1"/>
        </w:numPr>
        <w:spacing w:line="360" w:lineRule="auto"/>
        <w:rPr>
          <w:rFonts w:ascii="Arial" w:hAnsi="Arial" w:cs="Arial"/>
        </w:rPr>
      </w:pPr>
      <w:r>
        <w:rPr>
          <w:rFonts w:ascii="Arial" w:hAnsi="Arial" w:cs="Arial"/>
        </w:rPr>
        <w:t>Commitment</w:t>
      </w:r>
    </w:p>
    <w:p w14:paraId="34F97D9F" w14:textId="23B2DD8E" w:rsidR="0089497E" w:rsidRDefault="0089497E" w:rsidP="007E138E">
      <w:pPr>
        <w:pStyle w:val="ListParagraph"/>
        <w:numPr>
          <w:ilvl w:val="1"/>
          <w:numId w:val="1"/>
        </w:numPr>
        <w:spacing w:line="360" w:lineRule="auto"/>
        <w:rPr>
          <w:rFonts w:ascii="Arial" w:hAnsi="Arial" w:cs="Arial"/>
        </w:rPr>
      </w:pPr>
      <w:r>
        <w:rPr>
          <w:rFonts w:ascii="Arial" w:hAnsi="Arial" w:cs="Arial"/>
        </w:rPr>
        <w:t>Conflict Management</w:t>
      </w:r>
    </w:p>
    <w:p w14:paraId="7AAC1B30" w14:textId="5A0E425F" w:rsidR="0089497E" w:rsidRDefault="0089497E" w:rsidP="0089497E">
      <w:pPr>
        <w:pStyle w:val="ListParagraph"/>
        <w:numPr>
          <w:ilvl w:val="0"/>
          <w:numId w:val="1"/>
        </w:numPr>
        <w:spacing w:line="360" w:lineRule="auto"/>
        <w:rPr>
          <w:rFonts w:ascii="Arial" w:hAnsi="Arial" w:cs="Arial"/>
        </w:rPr>
      </w:pPr>
      <w:r>
        <w:rPr>
          <w:rFonts w:ascii="Arial" w:hAnsi="Arial" w:cs="Arial"/>
        </w:rPr>
        <w:t>Evaluating The Impact of Stakeholders Engagement on Business Performance</w:t>
      </w:r>
    </w:p>
    <w:p w14:paraId="54E115CD" w14:textId="2A796A7D" w:rsidR="0089497E" w:rsidRDefault="0089497E" w:rsidP="0089497E">
      <w:pPr>
        <w:pStyle w:val="ListParagraph"/>
        <w:numPr>
          <w:ilvl w:val="1"/>
          <w:numId w:val="1"/>
        </w:numPr>
        <w:spacing w:line="360" w:lineRule="auto"/>
        <w:rPr>
          <w:rFonts w:ascii="Arial" w:hAnsi="Arial" w:cs="Arial"/>
        </w:rPr>
      </w:pPr>
      <w:r>
        <w:rPr>
          <w:rFonts w:ascii="Arial" w:hAnsi="Arial" w:cs="Arial"/>
        </w:rPr>
        <w:t xml:space="preserve">Impact of Business Performance </w:t>
      </w:r>
    </w:p>
    <w:p w14:paraId="3064EA33" w14:textId="54F5AD4F" w:rsidR="0089497E" w:rsidRDefault="0089497E" w:rsidP="0089497E">
      <w:pPr>
        <w:pStyle w:val="ListParagraph"/>
        <w:numPr>
          <w:ilvl w:val="1"/>
          <w:numId w:val="1"/>
        </w:numPr>
        <w:spacing w:line="360" w:lineRule="auto"/>
        <w:rPr>
          <w:rFonts w:ascii="Arial" w:hAnsi="Arial" w:cs="Arial"/>
        </w:rPr>
      </w:pPr>
      <w:r>
        <w:rPr>
          <w:rFonts w:ascii="Arial" w:hAnsi="Arial" w:cs="Arial"/>
        </w:rPr>
        <w:t>Ethical Consideration</w:t>
      </w:r>
    </w:p>
    <w:p w14:paraId="49667BCF" w14:textId="36A957AE" w:rsidR="0089497E" w:rsidRDefault="0089497E" w:rsidP="0089497E">
      <w:pPr>
        <w:pStyle w:val="ListParagraph"/>
        <w:numPr>
          <w:ilvl w:val="1"/>
          <w:numId w:val="1"/>
        </w:numPr>
        <w:spacing w:line="360" w:lineRule="auto"/>
        <w:rPr>
          <w:rFonts w:ascii="Arial" w:hAnsi="Arial" w:cs="Arial"/>
        </w:rPr>
      </w:pPr>
      <w:r>
        <w:rPr>
          <w:rFonts w:ascii="Arial" w:hAnsi="Arial" w:cs="Arial"/>
        </w:rPr>
        <w:t>Recommendation for Future Stakeholder Engagement</w:t>
      </w:r>
    </w:p>
    <w:p w14:paraId="156690DE" w14:textId="16DBBB9D" w:rsidR="0089497E" w:rsidRDefault="0089497E" w:rsidP="0089497E">
      <w:pPr>
        <w:pStyle w:val="ListParagraph"/>
        <w:numPr>
          <w:ilvl w:val="0"/>
          <w:numId w:val="1"/>
        </w:numPr>
        <w:spacing w:line="360" w:lineRule="auto"/>
        <w:rPr>
          <w:rFonts w:ascii="Arial" w:hAnsi="Arial" w:cs="Arial"/>
        </w:rPr>
      </w:pPr>
      <w:r>
        <w:rPr>
          <w:rFonts w:ascii="Arial" w:hAnsi="Arial" w:cs="Arial"/>
        </w:rPr>
        <w:t>Conclusion</w:t>
      </w:r>
    </w:p>
    <w:p w14:paraId="32104D5B" w14:textId="69932FC4" w:rsidR="0089497E" w:rsidRDefault="0089497E" w:rsidP="0089497E">
      <w:pPr>
        <w:pStyle w:val="ListParagraph"/>
        <w:spacing w:line="360" w:lineRule="auto"/>
        <w:rPr>
          <w:rFonts w:ascii="Arial" w:hAnsi="Arial" w:cs="Arial"/>
        </w:rPr>
      </w:pPr>
      <w:r>
        <w:rPr>
          <w:rFonts w:ascii="Arial" w:hAnsi="Arial" w:cs="Arial"/>
        </w:rPr>
        <w:t>References</w:t>
      </w:r>
    </w:p>
    <w:p w14:paraId="1FDB3BEE" w14:textId="77777777" w:rsidR="0089497E" w:rsidRDefault="0089497E" w:rsidP="0089497E">
      <w:pPr>
        <w:pStyle w:val="ListParagraph"/>
        <w:spacing w:line="360" w:lineRule="auto"/>
        <w:rPr>
          <w:rFonts w:ascii="Arial" w:hAnsi="Arial" w:cs="Arial"/>
        </w:rPr>
      </w:pPr>
    </w:p>
    <w:p w14:paraId="5F403B18" w14:textId="77777777" w:rsidR="0089497E" w:rsidRDefault="0089497E" w:rsidP="0089497E">
      <w:pPr>
        <w:pStyle w:val="ListParagraph"/>
        <w:spacing w:line="360" w:lineRule="auto"/>
        <w:rPr>
          <w:rFonts w:ascii="Arial" w:hAnsi="Arial" w:cs="Arial"/>
        </w:rPr>
      </w:pPr>
    </w:p>
    <w:p w14:paraId="1E57D658" w14:textId="77777777" w:rsidR="0089497E" w:rsidRDefault="0089497E" w:rsidP="0089497E">
      <w:pPr>
        <w:pStyle w:val="ListParagraph"/>
        <w:spacing w:line="360" w:lineRule="auto"/>
        <w:rPr>
          <w:rFonts w:ascii="Arial" w:hAnsi="Arial" w:cs="Arial"/>
        </w:rPr>
      </w:pPr>
    </w:p>
    <w:p w14:paraId="2246176A" w14:textId="77777777" w:rsidR="0089497E" w:rsidRDefault="0089497E" w:rsidP="0089497E">
      <w:pPr>
        <w:pStyle w:val="ListParagraph"/>
        <w:spacing w:line="360" w:lineRule="auto"/>
        <w:rPr>
          <w:rFonts w:ascii="Arial" w:hAnsi="Arial" w:cs="Arial"/>
        </w:rPr>
      </w:pPr>
    </w:p>
    <w:p w14:paraId="065C26B4" w14:textId="77777777" w:rsidR="0089497E" w:rsidRDefault="0089497E" w:rsidP="0089497E">
      <w:pPr>
        <w:pStyle w:val="ListParagraph"/>
        <w:spacing w:line="360" w:lineRule="auto"/>
        <w:rPr>
          <w:rFonts w:ascii="Arial" w:hAnsi="Arial" w:cs="Arial"/>
        </w:rPr>
      </w:pPr>
    </w:p>
    <w:p w14:paraId="3A76801E" w14:textId="77777777" w:rsidR="0089497E" w:rsidRDefault="0089497E" w:rsidP="0089497E">
      <w:pPr>
        <w:pStyle w:val="ListParagraph"/>
        <w:spacing w:line="360" w:lineRule="auto"/>
        <w:rPr>
          <w:rFonts w:ascii="Arial" w:hAnsi="Arial" w:cs="Arial"/>
        </w:rPr>
      </w:pPr>
    </w:p>
    <w:p w14:paraId="65A66CA0" w14:textId="77777777" w:rsidR="0089497E" w:rsidRDefault="0089497E" w:rsidP="0089497E">
      <w:pPr>
        <w:pStyle w:val="ListParagraph"/>
        <w:spacing w:line="360" w:lineRule="auto"/>
        <w:rPr>
          <w:rFonts w:ascii="Arial" w:hAnsi="Arial" w:cs="Arial"/>
        </w:rPr>
      </w:pPr>
    </w:p>
    <w:p w14:paraId="334DA5BE" w14:textId="659D08E5" w:rsidR="0089497E" w:rsidRPr="00DF364C" w:rsidRDefault="00AF530E" w:rsidP="00DF364C">
      <w:pPr>
        <w:spacing w:line="360" w:lineRule="auto"/>
        <w:rPr>
          <w:rFonts w:ascii="Arial" w:hAnsi="Arial" w:cs="Arial"/>
          <w:sz w:val="32"/>
          <w:szCs w:val="32"/>
        </w:rPr>
      </w:pPr>
      <w:r w:rsidRPr="00DF364C">
        <w:rPr>
          <w:rFonts w:ascii="Arial" w:hAnsi="Arial" w:cs="Arial"/>
          <w:sz w:val="32"/>
          <w:szCs w:val="32"/>
        </w:rPr>
        <w:t>1</w:t>
      </w:r>
      <w:r w:rsidR="00DF364C">
        <w:rPr>
          <w:rFonts w:ascii="Arial" w:hAnsi="Arial" w:cs="Arial"/>
          <w:sz w:val="32"/>
          <w:szCs w:val="32"/>
        </w:rPr>
        <w:t>.</w:t>
      </w:r>
      <w:r w:rsidRPr="00DF364C">
        <w:rPr>
          <w:rFonts w:ascii="Arial" w:hAnsi="Arial" w:cs="Arial"/>
          <w:sz w:val="32"/>
          <w:szCs w:val="32"/>
        </w:rPr>
        <w:t xml:space="preserve"> Introduction</w:t>
      </w:r>
    </w:p>
    <w:p w14:paraId="63A31BC2" w14:textId="77777777" w:rsidR="001C7A5E" w:rsidRDefault="00AF530E" w:rsidP="00AF530E">
      <w:pPr>
        <w:spacing w:after="0" w:line="360" w:lineRule="auto"/>
        <w:jc w:val="both"/>
        <w:rPr>
          <w:rFonts w:ascii="Arial" w:eastAsia="Times New Roman" w:hAnsi="Arial" w:cs="Arial"/>
          <w:kern w:val="0"/>
          <w:sz w:val="24"/>
          <w:szCs w:val="24"/>
          <w:lang w:eastAsia="en-GB"/>
          <w14:ligatures w14:val="none"/>
        </w:rPr>
      </w:pPr>
      <w:r w:rsidRPr="00AF530E">
        <w:rPr>
          <w:rFonts w:ascii="Arial" w:eastAsia="Times New Roman" w:hAnsi="Arial" w:cs="Arial"/>
          <w:kern w:val="0"/>
          <w:sz w:val="24"/>
          <w:szCs w:val="24"/>
          <w:lang w:eastAsia="en-GB"/>
          <w14:ligatures w14:val="none"/>
        </w:rPr>
        <w:t xml:space="preserve">Meliá Hotels International is the biggest hotel chain in Spain and one of the biggest in the world. In 1956, Gabriel </w:t>
      </w:r>
      <w:proofErr w:type="spellStart"/>
      <w:r w:rsidRPr="00AF530E">
        <w:rPr>
          <w:rFonts w:ascii="Arial" w:eastAsia="Times New Roman" w:hAnsi="Arial" w:cs="Arial"/>
          <w:kern w:val="0"/>
          <w:sz w:val="24"/>
          <w:szCs w:val="24"/>
          <w:lang w:eastAsia="en-GB"/>
          <w14:ligatures w14:val="none"/>
        </w:rPr>
        <w:t>Escarrer</w:t>
      </w:r>
      <w:proofErr w:type="spellEnd"/>
      <w:r w:rsidRPr="00AF530E">
        <w:rPr>
          <w:rFonts w:ascii="Arial" w:eastAsia="Times New Roman" w:hAnsi="Arial" w:cs="Arial"/>
          <w:kern w:val="0"/>
          <w:sz w:val="24"/>
          <w:szCs w:val="24"/>
          <w:lang w:eastAsia="en-GB"/>
          <w14:ligatures w14:val="none"/>
        </w:rPr>
        <w:t xml:space="preserve"> Juliá started the group in Palma de Mallorca. It started as a single hotel in a small town and has since grown into a global hospitality company that owns and operates more than 350 hotels in 40 countries (Meliá Hotels International, 2023). The group owns many brands, including Gran Meliá, Paradisus Resorts, ME by Meliá, </w:t>
      </w:r>
      <w:proofErr w:type="spellStart"/>
      <w:r w:rsidRPr="00AF530E">
        <w:rPr>
          <w:rFonts w:ascii="Arial" w:eastAsia="Times New Roman" w:hAnsi="Arial" w:cs="Arial"/>
          <w:kern w:val="0"/>
          <w:sz w:val="24"/>
          <w:szCs w:val="24"/>
          <w:lang w:eastAsia="en-GB"/>
          <w14:ligatures w14:val="none"/>
        </w:rPr>
        <w:t>Innside</w:t>
      </w:r>
      <w:proofErr w:type="spellEnd"/>
      <w:r w:rsidRPr="00AF530E">
        <w:rPr>
          <w:rFonts w:ascii="Arial" w:eastAsia="Times New Roman" w:hAnsi="Arial" w:cs="Arial"/>
          <w:kern w:val="0"/>
          <w:sz w:val="24"/>
          <w:szCs w:val="24"/>
          <w:lang w:eastAsia="en-GB"/>
          <w14:ligatures w14:val="none"/>
        </w:rPr>
        <w:t xml:space="preserve"> by Meliá, Sol by Meliá, and Meliá Hotels &amp; Resorts. This means that it is present at all levels of the high-end hotel industry. Meliá made about €1.8 billion in sales in 2022 by focusing on digital transformation and being a leader in responsible tourism (Meliá Annual Report, 2022). </w:t>
      </w:r>
      <w:r w:rsidR="001C7A5E">
        <w:rPr>
          <w:rFonts w:ascii="Arial" w:eastAsia="Times New Roman" w:hAnsi="Arial" w:cs="Arial"/>
          <w:kern w:val="0"/>
          <w:sz w:val="24"/>
          <w:szCs w:val="24"/>
          <w:lang w:eastAsia="en-GB"/>
          <w14:ligatures w14:val="none"/>
        </w:rPr>
        <w:t xml:space="preserve"> </w:t>
      </w:r>
    </w:p>
    <w:p w14:paraId="4CBC2EBF" w14:textId="77777777" w:rsidR="00D41C2D" w:rsidRDefault="00D41C2D" w:rsidP="00AF530E">
      <w:pPr>
        <w:spacing w:after="0" w:line="360" w:lineRule="auto"/>
        <w:jc w:val="both"/>
        <w:rPr>
          <w:rFonts w:ascii="Arial" w:eastAsia="Times New Roman" w:hAnsi="Arial" w:cs="Arial"/>
          <w:kern w:val="0"/>
          <w:sz w:val="24"/>
          <w:szCs w:val="24"/>
          <w:lang w:eastAsia="en-GB"/>
          <w14:ligatures w14:val="none"/>
        </w:rPr>
      </w:pPr>
    </w:p>
    <w:p w14:paraId="12778FC9" w14:textId="77777777" w:rsidR="00D41C2D" w:rsidRDefault="00AF530E" w:rsidP="00AF530E">
      <w:pPr>
        <w:spacing w:after="0" w:line="360" w:lineRule="auto"/>
        <w:jc w:val="both"/>
        <w:rPr>
          <w:rFonts w:ascii="Arial" w:eastAsia="Times New Roman" w:hAnsi="Arial" w:cs="Arial"/>
          <w:kern w:val="0"/>
          <w:sz w:val="24"/>
          <w:szCs w:val="24"/>
          <w:lang w:eastAsia="en-GB"/>
          <w14:ligatures w14:val="none"/>
        </w:rPr>
      </w:pPr>
      <w:r w:rsidRPr="00AF530E">
        <w:rPr>
          <w:rFonts w:ascii="Arial" w:eastAsia="Times New Roman" w:hAnsi="Arial" w:cs="Arial"/>
          <w:kern w:val="0"/>
          <w:sz w:val="24"/>
          <w:szCs w:val="24"/>
          <w:lang w:eastAsia="en-GB"/>
          <w14:ligatures w14:val="none"/>
        </w:rPr>
        <w:t>M</w:t>
      </w:r>
      <w:r w:rsidR="00DC0F3A">
        <w:rPr>
          <w:rFonts w:ascii="Arial" w:eastAsia="Times New Roman" w:hAnsi="Arial" w:cs="Arial"/>
          <w:kern w:val="0"/>
          <w:sz w:val="24"/>
          <w:szCs w:val="24"/>
          <w:lang w:eastAsia="en-GB"/>
          <w14:ligatures w14:val="none"/>
        </w:rPr>
        <w:t>elia</w:t>
      </w:r>
      <w:r w:rsidRPr="00AF530E">
        <w:rPr>
          <w:rFonts w:ascii="Arial" w:eastAsia="Times New Roman" w:hAnsi="Arial" w:cs="Arial"/>
          <w:kern w:val="0"/>
          <w:sz w:val="24"/>
          <w:szCs w:val="24"/>
          <w:lang w:eastAsia="en-GB"/>
          <w14:ligatures w14:val="none"/>
        </w:rPr>
        <w:t xml:space="preserve"> London </w:t>
      </w:r>
      <w:r w:rsidR="006A0C90" w:rsidRPr="006A0C90">
        <w:rPr>
          <w:rFonts w:ascii="Arial" w:eastAsia="Times New Roman" w:hAnsi="Arial" w:cs="Arial"/>
          <w:kern w:val="0"/>
          <w:sz w:val="24"/>
          <w:szCs w:val="24"/>
          <w:lang w:eastAsia="en-GB"/>
          <w14:ligatures w14:val="none"/>
        </w:rPr>
        <w:t>336–337 The Strand, London WC2R 1HA</w:t>
      </w:r>
      <w:r w:rsidRPr="00AF530E">
        <w:rPr>
          <w:rFonts w:ascii="Arial" w:eastAsia="Times New Roman" w:hAnsi="Arial" w:cs="Arial"/>
          <w:kern w:val="0"/>
          <w:sz w:val="24"/>
          <w:szCs w:val="24"/>
          <w:lang w:eastAsia="en-GB"/>
          <w14:ligatures w14:val="none"/>
        </w:rPr>
        <w:t xml:space="preserve">. </w:t>
      </w:r>
    </w:p>
    <w:p w14:paraId="2DF96D89" w14:textId="3E2402CC" w:rsidR="001C7A5E" w:rsidRDefault="00AF530E" w:rsidP="00AF530E">
      <w:pPr>
        <w:spacing w:after="0" w:line="360" w:lineRule="auto"/>
        <w:jc w:val="both"/>
        <w:rPr>
          <w:rFonts w:ascii="Arial" w:eastAsia="Times New Roman" w:hAnsi="Arial" w:cs="Arial"/>
          <w:kern w:val="0"/>
          <w:sz w:val="24"/>
          <w:szCs w:val="24"/>
          <w:lang w:eastAsia="en-GB"/>
          <w14:ligatures w14:val="none"/>
        </w:rPr>
      </w:pPr>
      <w:r w:rsidRPr="00AF530E">
        <w:rPr>
          <w:rFonts w:ascii="Arial" w:eastAsia="Times New Roman" w:hAnsi="Arial" w:cs="Arial"/>
          <w:kern w:val="0"/>
          <w:sz w:val="24"/>
          <w:szCs w:val="24"/>
          <w:lang w:eastAsia="en-GB"/>
          <w14:ligatures w14:val="none"/>
        </w:rPr>
        <w:t xml:space="preserve">The Strand is Meliá's main hotel in the UK and one of the most architecturally interesting lifestyle hotels in London. It is in the middle of Central London. The hotel is in a striking curved glass tower at the corner of The Strand and Aldwych, with views of the Thames, Covent Garden, and the West End. The building was designed by Foster </w:t>
      </w:r>
      <w:r w:rsidR="00753AC7">
        <w:rPr>
          <w:rFonts w:ascii="Arial" w:eastAsia="Times New Roman" w:hAnsi="Arial" w:cs="Arial"/>
          <w:kern w:val="0"/>
          <w:sz w:val="24"/>
          <w:szCs w:val="24"/>
          <w:lang w:eastAsia="en-GB"/>
          <w14:ligatures w14:val="none"/>
        </w:rPr>
        <w:t>and</w:t>
      </w:r>
      <w:r w:rsidRPr="00AF530E">
        <w:rPr>
          <w:rFonts w:ascii="Arial" w:eastAsia="Times New Roman" w:hAnsi="Arial" w:cs="Arial"/>
          <w:kern w:val="0"/>
          <w:sz w:val="24"/>
          <w:szCs w:val="24"/>
          <w:lang w:eastAsia="en-GB"/>
          <w14:ligatures w14:val="none"/>
        </w:rPr>
        <w:t xml:space="preserve"> Partners, and the inside was designed by Zaha Hadid Architects. There are 157 guest rooms and suites on the property, including the beautiful </w:t>
      </w:r>
      <w:proofErr w:type="gramStart"/>
      <w:r w:rsidRPr="00AF530E">
        <w:rPr>
          <w:rFonts w:ascii="Arial" w:eastAsia="Times New Roman" w:hAnsi="Arial" w:cs="Arial"/>
          <w:kern w:val="0"/>
          <w:sz w:val="24"/>
          <w:szCs w:val="24"/>
          <w:lang w:eastAsia="en-GB"/>
          <w14:ligatures w14:val="none"/>
        </w:rPr>
        <w:t>360</w:t>
      </w:r>
      <w:r w:rsidR="00753AC7">
        <w:rPr>
          <w:rFonts w:ascii="Arial" w:eastAsia="Times New Roman" w:hAnsi="Arial" w:cs="Arial"/>
          <w:kern w:val="0"/>
          <w:sz w:val="24"/>
          <w:szCs w:val="24"/>
          <w:lang w:eastAsia="en-GB"/>
          <w14:ligatures w14:val="none"/>
        </w:rPr>
        <w:t xml:space="preserve"> </w:t>
      </w:r>
      <w:r w:rsidRPr="00AF530E">
        <w:rPr>
          <w:rFonts w:ascii="Arial" w:eastAsia="Times New Roman" w:hAnsi="Arial" w:cs="Arial"/>
          <w:kern w:val="0"/>
          <w:sz w:val="24"/>
          <w:szCs w:val="24"/>
          <w:lang w:eastAsia="en-GB"/>
          <w14:ligatures w14:val="none"/>
        </w:rPr>
        <w:t>degree</w:t>
      </w:r>
      <w:proofErr w:type="gramEnd"/>
      <w:r w:rsidRPr="00AF530E">
        <w:rPr>
          <w:rFonts w:ascii="Arial" w:eastAsia="Times New Roman" w:hAnsi="Arial" w:cs="Arial"/>
          <w:kern w:val="0"/>
          <w:sz w:val="24"/>
          <w:szCs w:val="24"/>
          <w:lang w:eastAsia="en-GB"/>
          <w14:ligatures w14:val="none"/>
        </w:rPr>
        <w:t xml:space="preserve"> panoramic ME Suite on the tenth floor. The well-known Radio Rooftop Bar is also there. It's one of London's most popular rooftop bars and has views of the whole city skyline. The STK London steakhouse on the ground floor of the hotel adds to its reputation as a place to eat and socialise, not just a place to stay. ME London mostly caters to wealthy leisure travellers, foreign business travellers, and culturally aware millennials and Gen Z tourists who want an immersive, design-driven experience. ME London is in one of the most competitive markets for luxury hotels in the world. There are a lot of hotels nearby that are direct competitors, like The Savoy, One Aldwych, and Rosewood London. To keep customers coming back and pay high prices, ME London needs to keep finding new ways to make service more personal, use technology, and make experiences more meaningful. </w:t>
      </w:r>
    </w:p>
    <w:p w14:paraId="3586F931" w14:textId="4DABA730" w:rsidR="00AF530E" w:rsidRPr="00AF530E" w:rsidRDefault="00AF530E" w:rsidP="00AF530E">
      <w:pPr>
        <w:spacing w:after="0" w:line="360" w:lineRule="auto"/>
        <w:jc w:val="both"/>
        <w:rPr>
          <w:rFonts w:ascii="Arial" w:eastAsia="Times New Roman" w:hAnsi="Arial" w:cs="Arial"/>
          <w:kern w:val="0"/>
          <w:sz w:val="24"/>
          <w:szCs w:val="24"/>
          <w:lang w:eastAsia="en-GB"/>
          <w14:ligatures w14:val="none"/>
        </w:rPr>
      </w:pPr>
      <w:proofErr w:type="spellStart"/>
      <w:r w:rsidRPr="00AF530E">
        <w:rPr>
          <w:rFonts w:ascii="Arial" w:eastAsia="Times New Roman" w:hAnsi="Arial" w:cs="Arial"/>
          <w:kern w:val="0"/>
          <w:sz w:val="24"/>
          <w:szCs w:val="24"/>
          <w:lang w:eastAsia="en-GB"/>
          <w14:ligatures w14:val="none"/>
        </w:rPr>
        <w:lastRenderedPageBreak/>
        <w:t>StaySmart</w:t>
      </w:r>
      <w:proofErr w:type="spellEnd"/>
      <w:r w:rsidRPr="00AF530E">
        <w:rPr>
          <w:rFonts w:ascii="Arial" w:eastAsia="Times New Roman" w:hAnsi="Arial" w:cs="Arial"/>
          <w:kern w:val="0"/>
          <w:sz w:val="24"/>
          <w:szCs w:val="24"/>
          <w:lang w:eastAsia="en-GB"/>
          <w14:ligatures w14:val="none"/>
        </w:rPr>
        <w:t xml:space="preserve">+, Meliá's new premium AI-driven guest experience service, will launch in six months. ME London has been chosen as the UK pilot property for this service in this specific operational context. At ME London, </w:t>
      </w:r>
      <w:proofErr w:type="spellStart"/>
      <w:r w:rsidRPr="00AF530E">
        <w:rPr>
          <w:rFonts w:ascii="Arial" w:eastAsia="Times New Roman" w:hAnsi="Arial" w:cs="Arial"/>
          <w:kern w:val="0"/>
          <w:sz w:val="24"/>
          <w:szCs w:val="24"/>
          <w:lang w:eastAsia="en-GB"/>
          <w14:ligatures w14:val="none"/>
        </w:rPr>
        <w:t>StaySmart</w:t>
      </w:r>
      <w:proofErr w:type="spellEnd"/>
      <w:r w:rsidRPr="00AF530E">
        <w:rPr>
          <w:rFonts w:ascii="Arial" w:eastAsia="Times New Roman" w:hAnsi="Arial" w:cs="Arial"/>
          <w:kern w:val="0"/>
          <w:sz w:val="24"/>
          <w:szCs w:val="24"/>
          <w:lang w:eastAsia="en-GB"/>
          <w14:ligatures w14:val="none"/>
        </w:rPr>
        <w:t>+ will have an AI-powered personal concierge who will help guests plan every detail of their trips before they arrive, suggest services in real time, and make it easy for them to talk to each other while they're there. You can reach this concierge through the ME London app and tablets that are in your room. The service will also include eco-friendly features like refillable, biodegradable bedroom amenity kits, carbon-neutral dining menus at STK London, a mobile check-in system that works without any problems, and a digital room key system linked to the Meliá</w:t>
      </w:r>
      <w:r>
        <w:rPr>
          <w:rFonts w:ascii="Arial" w:eastAsia="Times New Roman" w:hAnsi="Arial" w:cs="Arial"/>
          <w:kern w:val="0"/>
          <w:sz w:val="24"/>
          <w:szCs w:val="24"/>
          <w:lang w:eastAsia="en-GB"/>
          <w14:ligatures w14:val="none"/>
        </w:rPr>
        <w:t xml:space="preserve"> </w:t>
      </w:r>
      <w:r w:rsidRPr="00AF530E">
        <w:rPr>
          <w:rFonts w:ascii="Arial" w:eastAsia="Times New Roman" w:hAnsi="Arial" w:cs="Arial"/>
          <w:kern w:val="0"/>
          <w:sz w:val="24"/>
          <w:szCs w:val="24"/>
          <w:lang w:eastAsia="en-GB"/>
          <w14:ligatures w14:val="none"/>
        </w:rPr>
        <w:t xml:space="preserve">Rewards loyalty program. </w:t>
      </w:r>
      <w:proofErr w:type="spellStart"/>
      <w:r w:rsidRPr="00AF530E">
        <w:rPr>
          <w:rFonts w:ascii="Arial" w:eastAsia="Times New Roman" w:hAnsi="Arial" w:cs="Arial"/>
          <w:kern w:val="0"/>
          <w:sz w:val="24"/>
          <w:szCs w:val="24"/>
          <w:lang w:eastAsia="en-GB"/>
          <w14:ligatures w14:val="none"/>
        </w:rPr>
        <w:t>StaySmart</w:t>
      </w:r>
      <w:proofErr w:type="spellEnd"/>
      <w:r w:rsidRPr="00AF530E">
        <w:rPr>
          <w:rFonts w:ascii="Arial" w:eastAsia="Times New Roman" w:hAnsi="Arial" w:cs="Arial"/>
          <w:kern w:val="0"/>
          <w:sz w:val="24"/>
          <w:szCs w:val="24"/>
          <w:lang w:eastAsia="en-GB"/>
          <w14:ligatures w14:val="none"/>
        </w:rPr>
        <w:t>+ is a direct business investment for ME London, and it also serves as a strategic positioning statement that ME London's unique design-forward identity can create a premium guest experience that neither traditional luxury brands nor technology-first brands can fully copy. As the project manager in charge of this launch, the key to a successful and long-lasting launch will be to quickly find, involve, and align all the stakeholders, such as ME London's on-site teams, Meliá's corporate functions in Madrid, technology partners in London, UK regulatory bodies, and the hotel's diverse global guest base.</w:t>
      </w:r>
    </w:p>
    <w:p w14:paraId="1F92BB20" w14:textId="2121E225" w:rsidR="00AF530E" w:rsidRDefault="00AF530E" w:rsidP="00AF530E">
      <w:pPr>
        <w:spacing w:line="360" w:lineRule="auto"/>
        <w:rPr>
          <w:rFonts w:ascii="Arial" w:hAnsi="Arial" w:cs="Arial"/>
        </w:rPr>
      </w:pPr>
    </w:p>
    <w:p w14:paraId="4946ED88" w14:textId="77777777" w:rsidR="00B5187E" w:rsidRDefault="00B5187E" w:rsidP="00AF530E">
      <w:pPr>
        <w:spacing w:line="360" w:lineRule="auto"/>
        <w:rPr>
          <w:rFonts w:ascii="Arial" w:hAnsi="Arial" w:cs="Arial"/>
        </w:rPr>
      </w:pPr>
    </w:p>
    <w:p w14:paraId="1CA8112A" w14:textId="77777777" w:rsidR="00B5187E" w:rsidRDefault="00B5187E" w:rsidP="00AF530E">
      <w:pPr>
        <w:spacing w:line="360" w:lineRule="auto"/>
        <w:rPr>
          <w:rFonts w:ascii="Arial" w:hAnsi="Arial" w:cs="Arial"/>
        </w:rPr>
      </w:pPr>
    </w:p>
    <w:p w14:paraId="0ADA6835" w14:textId="77777777" w:rsidR="00B5187E" w:rsidRDefault="00B5187E" w:rsidP="00AF530E">
      <w:pPr>
        <w:spacing w:line="360" w:lineRule="auto"/>
        <w:rPr>
          <w:rFonts w:ascii="Arial" w:hAnsi="Arial" w:cs="Arial"/>
        </w:rPr>
      </w:pPr>
    </w:p>
    <w:p w14:paraId="5F3588BE" w14:textId="77777777" w:rsidR="00B5187E" w:rsidRDefault="00B5187E" w:rsidP="00AF530E">
      <w:pPr>
        <w:spacing w:line="360" w:lineRule="auto"/>
        <w:rPr>
          <w:rFonts w:ascii="Arial" w:hAnsi="Arial" w:cs="Arial"/>
        </w:rPr>
      </w:pPr>
    </w:p>
    <w:p w14:paraId="599E8406" w14:textId="77777777" w:rsidR="00B5187E" w:rsidRDefault="00B5187E" w:rsidP="00AF530E">
      <w:pPr>
        <w:spacing w:line="360" w:lineRule="auto"/>
        <w:rPr>
          <w:rFonts w:ascii="Arial" w:hAnsi="Arial" w:cs="Arial"/>
        </w:rPr>
      </w:pPr>
    </w:p>
    <w:p w14:paraId="5E8686AC" w14:textId="77777777" w:rsidR="00B5187E" w:rsidRDefault="00B5187E" w:rsidP="00AF530E">
      <w:pPr>
        <w:spacing w:line="360" w:lineRule="auto"/>
        <w:rPr>
          <w:rFonts w:ascii="Arial" w:hAnsi="Arial" w:cs="Arial"/>
        </w:rPr>
      </w:pPr>
    </w:p>
    <w:p w14:paraId="3704111A" w14:textId="77777777" w:rsidR="00B5187E" w:rsidRDefault="00B5187E" w:rsidP="00AF530E">
      <w:pPr>
        <w:spacing w:line="360" w:lineRule="auto"/>
        <w:rPr>
          <w:rFonts w:ascii="Arial" w:hAnsi="Arial" w:cs="Arial"/>
        </w:rPr>
      </w:pPr>
    </w:p>
    <w:p w14:paraId="4AD5E5C4" w14:textId="77777777" w:rsidR="00B5187E" w:rsidRDefault="00B5187E" w:rsidP="00AF530E">
      <w:pPr>
        <w:spacing w:line="360" w:lineRule="auto"/>
        <w:rPr>
          <w:rFonts w:ascii="Arial" w:hAnsi="Arial" w:cs="Arial"/>
        </w:rPr>
      </w:pPr>
    </w:p>
    <w:p w14:paraId="440E02FB" w14:textId="77777777" w:rsidR="00B5187E" w:rsidRDefault="00B5187E" w:rsidP="00AF530E">
      <w:pPr>
        <w:spacing w:line="360" w:lineRule="auto"/>
        <w:rPr>
          <w:rFonts w:ascii="Arial" w:hAnsi="Arial" w:cs="Arial"/>
        </w:rPr>
      </w:pPr>
    </w:p>
    <w:p w14:paraId="3CEE5737" w14:textId="77777777" w:rsidR="00B5187E" w:rsidRDefault="00B5187E" w:rsidP="00AF530E">
      <w:pPr>
        <w:spacing w:line="360" w:lineRule="auto"/>
        <w:rPr>
          <w:rFonts w:ascii="Arial" w:hAnsi="Arial" w:cs="Arial"/>
        </w:rPr>
      </w:pPr>
    </w:p>
    <w:p w14:paraId="4B0163ED" w14:textId="77777777" w:rsidR="00B5187E" w:rsidRDefault="00B5187E" w:rsidP="00AF530E">
      <w:pPr>
        <w:spacing w:line="360" w:lineRule="auto"/>
        <w:rPr>
          <w:rFonts w:ascii="Arial" w:hAnsi="Arial" w:cs="Arial"/>
        </w:rPr>
      </w:pPr>
    </w:p>
    <w:p w14:paraId="6ED5A2D8" w14:textId="77777777" w:rsidR="00B5187E" w:rsidRDefault="00B5187E" w:rsidP="00AF530E">
      <w:pPr>
        <w:spacing w:line="360" w:lineRule="auto"/>
        <w:rPr>
          <w:rFonts w:ascii="Arial" w:hAnsi="Arial" w:cs="Arial"/>
        </w:rPr>
      </w:pPr>
    </w:p>
    <w:p w14:paraId="27333D1D" w14:textId="77777777" w:rsidR="00DF364C" w:rsidRDefault="00DF364C" w:rsidP="00AF530E">
      <w:pPr>
        <w:spacing w:line="360" w:lineRule="auto"/>
        <w:rPr>
          <w:rFonts w:ascii="Arial" w:hAnsi="Arial" w:cs="Arial"/>
        </w:rPr>
      </w:pPr>
    </w:p>
    <w:p w14:paraId="142FD2FE" w14:textId="77777777" w:rsidR="00B5187E" w:rsidRDefault="00B5187E" w:rsidP="00AF530E">
      <w:pPr>
        <w:spacing w:line="360" w:lineRule="auto"/>
        <w:rPr>
          <w:rFonts w:ascii="Arial" w:hAnsi="Arial" w:cs="Arial"/>
        </w:rPr>
      </w:pPr>
    </w:p>
    <w:p w14:paraId="5000EB4E" w14:textId="5F998F82" w:rsidR="00AF530E" w:rsidRPr="00B5187E" w:rsidRDefault="00AF530E" w:rsidP="00B5187E">
      <w:pPr>
        <w:spacing w:line="360" w:lineRule="auto"/>
        <w:rPr>
          <w:rFonts w:ascii="Arial" w:hAnsi="Arial" w:cs="Arial"/>
          <w:sz w:val="32"/>
          <w:szCs w:val="32"/>
        </w:rPr>
      </w:pPr>
      <w:r w:rsidRPr="00B5187E">
        <w:rPr>
          <w:rFonts w:ascii="Arial" w:hAnsi="Arial" w:cs="Arial"/>
          <w:sz w:val="32"/>
          <w:szCs w:val="32"/>
        </w:rPr>
        <w:t>2. Company appraisal: SWAT and PESTEL analysis</w:t>
      </w:r>
    </w:p>
    <w:p w14:paraId="66870CAF" w14:textId="67C86194" w:rsidR="00AF530E" w:rsidRPr="00DF364C" w:rsidRDefault="00AF530E" w:rsidP="00D20A5C">
      <w:pPr>
        <w:spacing w:line="360" w:lineRule="auto"/>
        <w:rPr>
          <w:rFonts w:ascii="Arial" w:hAnsi="Arial" w:cs="Arial"/>
          <w:sz w:val="28"/>
          <w:szCs w:val="28"/>
        </w:rPr>
      </w:pPr>
      <w:r w:rsidRPr="00DF364C">
        <w:rPr>
          <w:rFonts w:ascii="Arial" w:hAnsi="Arial" w:cs="Arial"/>
          <w:sz w:val="28"/>
          <w:szCs w:val="28"/>
        </w:rPr>
        <w:t>2.1 SWOT Analysis</w:t>
      </w:r>
    </w:p>
    <w:p w14:paraId="752C1C3A" w14:textId="39DA4904" w:rsidR="00AF530E" w:rsidRPr="00D20A5C" w:rsidRDefault="00AF530E" w:rsidP="00D20A5C">
      <w:pPr>
        <w:spacing w:line="360" w:lineRule="auto"/>
        <w:rPr>
          <w:rFonts w:ascii="Arial" w:hAnsi="Arial" w:cs="Arial"/>
        </w:rPr>
      </w:pPr>
      <w:r w:rsidRPr="00D20A5C">
        <w:rPr>
          <w:rFonts w:ascii="Arial" w:hAnsi="Arial" w:cs="Arial"/>
        </w:rPr>
        <w:t xml:space="preserve">A SWOT analysis contextualises Melia internal capabilities and external market conditions pertinent to </w:t>
      </w:r>
      <w:proofErr w:type="spellStart"/>
      <w:r w:rsidRPr="00D20A5C">
        <w:rPr>
          <w:rFonts w:ascii="Arial" w:hAnsi="Arial" w:cs="Arial"/>
        </w:rPr>
        <w:t>StaySmart</w:t>
      </w:r>
      <w:proofErr w:type="spellEnd"/>
      <w:r w:rsidRPr="00D20A5C">
        <w:rPr>
          <w:rFonts w:ascii="Arial" w:hAnsi="Arial" w:cs="Arial"/>
        </w:rPr>
        <w:t>+ launch</w:t>
      </w:r>
      <w:r w:rsidR="00753AC7">
        <w:rPr>
          <w:rFonts w:ascii="Arial" w:hAnsi="Arial" w:cs="Arial"/>
        </w:rPr>
        <w:t xml:space="preserve"> </w:t>
      </w:r>
      <w:r w:rsidR="00893F0F">
        <w:rPr>
          <w:rFonts w:ascii="Arial" w:hAnsi="Arial" w:cs="Arial"/>
        </w:rPr>
        <w:t>(Gurel and Tat,</w:t>
      </w:r>
      <w:r w:rsidR="00753AC7">
        <w:rPr>
          <w:rFonts w:ascii="Arial" w:hAnsi="Arial" w:cs="Arial"/>
        </w:rPr>
        <w:t xml:space="preserve"> </w:t>
      </w:r>
      <w:r w:rsidR="00893F0F">
        <w:rPr>
          <w:rFonts w:ascii="Arial" w:hAnsi="Arial" w:cs="Arial"/>
        </w:rPr>
        <w:t>2017)</w:t>
      </w:r>
      <w:r w:rsidR="00405F24">
        <w:rPr>
          <w:rFonts w:ascii="Arial" w:hAnsi="Arial" w:cs="Arial"/>
        </w:rPr>
        <w:t>.</w:t>
      </w:r>
    </w:p>
    <w:tbl>
      <w:tblPr>
        <w:tblStyle w:val="GridTable6Colorful-Accent1"/>
        <w:tblW w:w="0" w:type="auto"/>
        <w:tblLook w:val="04A0" w:firstRow="1" w:lastRow="0" w:firstColumn="1" w:lastColumn="0" w:noHBand="0" w:noVBand="1"/>
      </w:tblPr>
      <w:tblGrid>
        <w:gridCol w:w="4508"/>
        <w:gridCol w:w="4508"/>
      </w:tblGrid>
      <w:tr w:rsidR="00AF530E" w14:paraId="221A77F1" w14:textId="77777777" w:rsidTr="00AF53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B5F531B" w14:textId="6DFE3354" w:rsidR="00AF530E" w:rsidRDefault="00AF530E" w:rsidP="00AF530E">
            <w:pPr>
              <w:pStyle w:val="ListParagraph"/>
              <w:spacing w:line="360" w:lineRule="auto"/>
              <w:ind w:left="0"/>
              <w:rPr>
                <w:rFonts w:ascii="Arial" w:hAnsi="Arial" w:cs="Arial"/>
              </w:rPr>
            </w:pPr>
            <w:r>
              <w:rPr>
                <w:rFonts w:ascii="Arial" w:hAnsi="Arial" w:cs="Arial"/>
              </w:rPr>
              <w:t>STRENGTHS</w:t>
            </w:r>
          </w:p>
        </w:tc>
        <w:tc>
          <w:tcPr>
            <w:tcW w:w="4508" w:type="dxa"/>
          </w:tcPr>
          <w:p w14:paraId="13042C0C" w14:textId="53266780" w:rsidR="00AF530E" w:rsidRDefault="00AF530E" w:rsidP="00AF530E">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WEAKNESSES</w:t>
            </w:r>
          </w:p>
        </w:tc>
      </w:tr>
      <w:tr w:rsidR="00AF530E" w14:paraId="1F528C50" w14:textId="77777777" w:rsidTr="00AF53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EFB24D2" w14:textId="74EC4A84" w:rsidR="00AF530E" w:rsidRPr="00B5187E" w:rsidRDefault="00AF530E" w:rsidP="00AF530E">
            <w:pPr>
              <w:pStyle w:val="ListParagraph"/>
              <w:spacing w:line="360" w:lineRule="auto"/>
              <w:ind w:left="0"/>
              <w:rPr>
                <w:rFonts w:ascii="Arial" w:hAnsi="Arial" w:cs="Arial"/>
                <w:b w:val="0"/>
                <w:bCs w:val="0"/>
              </w:rPr>
            </w:pPr>
            <w:r w:rsidRPr="00B5187E">
              <w:rPr>
                <w:rFonts w:ascii="Arial" w:hAnsi="Arial" w:cs="Arial"/>
                <w:b w:val="0"/>
                <w:bCs w:val="0"/>
              </w:rPr>
              <w:t>-Strong global brand portfolio and 14M+ Melia Rewards members</w:t>
            </w:r>
          </w:p>
          <w:p w14:paraId="4669B998" w14:textId="07BF8DBC" w:rsidR="00AF530E" w:rsidRPr="00B5187E" w:rsidRDefault="00B5187E" w:rsidP="00AF530E">
            <w:pPr>
              <w:pStyle w:val="ListParagraph"/>
              <w:spacing w:line="360" w:lineRule="auto"/>
              <w:ind w:left="0"/>
              <w:rPr>
                <w:rFonts w:ascii="Arial" w:hAnsi="Arial" w:cs="Arial"/>
                <w:b w:val="0"/>
                <w:bCs w:val="0"/>
              </w:rPr>
            </w:pPr>
            <w:r w:rsidRPr="00B5187E">
              <w:rPr>
                <w:rFonts w:ascii="Arial" w:hAnsi="Arial" w:cs="Arial"/>
                <w:b w:val="0"/>
                <w:bCs w:val="0"/>
              </w:rPr>
              <w:t>-Established digital transformation strategy and tech infrastructure</w:t>
            </w:r>
          </w:p>
          <w:p w14:paraId="3B23D20E" w14:textId="76BD24CA" w:rsidR="00B5187E" w:rsidRDefault="00B5187E" w:rsidP="00AF530E">
            <w:pPr>
              <w:pStyle w:val="ListParagraph"/>
              <w:spacing w:line="360" w:lineRule="auto"/>
              <w:ind w:left="0"/>
              <w:rPr>
                <w:rFonts w:ascii="Arial" w:hAnsi="Arial" w:cs="Arial"/>
                <w:b w:val="0"/>
                <w:bCs w:val="0"/>
              </w:rPr>
            </w:pPr>
            <w:r w:rsidRPr="00B5187E">
              <w:rPr>
                <w:rFonts w:ascii="Arial" w:hAnsi="Arial" w:cs="Arial"/>
                <w:b w:val="0"/>
                <w:bCs w:val="0"/>
              </w:rPr>
              <w:t>-Award-winning sustainability credentials (</w:t>
            </w:r>
            <w:proofErr w:type="spellStart"/>
            <w:r w:rsidRPr="00B5187E">
              <w:rPr>
                <w:rFonts w:ascii="Arial" w:hAnsi="Arial" w:cs="Arial"/>
                <w:b w:val="0"/>
                <w:bCs w:val="0"/>
              </w:rPr>
              <w:t>Travelife</w:t>
            </w:r>
            <w:proofErr w:type="spellEnd"/>
            <w:r w:rsidRPr="00B5187E">
              <w:rPr>
                <w:rFonts w:ascii="Arial" w:hAnsi="Arial" w:cs="Arial"/>
                <w:b w:val="0"/>
                <w:bCs w:val="0"/>
              </w:rPr>
              <w:t xml:space="preserve"> Gold Certified</w:t>
            </w:r>
            <w:r w:rsidR="00405F24" w:rsidRPr="00405F24">
              <w:rPr>
                <w:rFonts w:ascii="Arial" w:hAnsi="Arial" w:cs="Arial"/>
                <w:b w:val="0"/>
                <w:bCs w:val="0"/>
              </w:rPr>
              <w:t>)</w:t>
            </w:r>
          </w:p>
          <w:p w14:paraId="7960479F" w14:textId="170FCBF3" w:rsidR="00B5187E" w:rsidRDefault="00B5187E" w:rsidP="00AF530E">
            <w:pPr>
              <w:pStyle w:val="ListParagraph"/>
              <w:spacing w:line="360" w:lineRule="auto"/>
              <w:ind w:left="0"/>
              <w:rPr>
                <w:rFonts w:ascii="Arial" w:hAnsi="Arial" w:cs="Arial"/>
                <w:b w:val="0"/>
                <w:bCs w:val="0"/>
              </w:rPr>
            </w:pPr>
            <w:r>
              <w:rPr>
                <w:rFonts w:ascii="Arial" w:hAnsi="Arial" w:cs="Arial"/>
                <w:b w:val="0"/>
                <w:bCs w:val="0"/>
              </w:rPr>
              <w:t>-Deep family-ownership culture fostering long-term strategic vision</w:t>
            </w:r>
          </w:p>
          <w:p w14:paraId="6C781923" w14:textId="6F1D97B6" w:rsidR="00AF530E" w:rsidRDefault="00AF530E" w:rsidP="00AF530E">
            <w:pPr>
              <w:pStyle w:val="ListParagraph"/>
              <w:spacing w:line="360" w:lineRule="auto"/>
              <w:ind w:left="0"/>
              <w:rPr>
                <w:rFonts w:ascii="Arial" w:hAnsi="Arial" w:cs="Arial"/>
              </w:rPr>
            </w:pPr>
          </w:p>
        </w:tc>
        <w:tc>
          <w:tcPr>
            <w:tcW w:w="4508" w:type="dxa"/>
          </w:tcPr>
          <w:p w14:paraId="32ADCF3E" w14:textId="629092B3" w:rsidR="00B5187E" w:rsidRPr="00405F24" w:rsidRDefault="00405F24" w:rsidP="00405F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t>
            </w:r>
            <w:r w:rsidR="00B5187E" w:rsidRPr="00405F24">
              <w:rPr>
                <w:rFonts w:ascii="Arial" w:hAnsi="Arial" w:cs="Arial"/>
              </w:rPr>
              <w:t>High dependence of European and</w:t>
            </w:r>
          </w:p>
          <w:p w14:paraId="72FCBB32" w14:textId="77777777" w:rsidR="00AF530E" w:rsidRDefault="00B5187E" w:rsidP="00B5187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187E">
              <w:rPr>
                <w:rFonts w:ascii="Arial" w:hAnsi="Arial" w:cs="Arial"/>
              </w:rPr>
              <w:t xml:space="preserve">leisure market </w:t>
            </w:r>
            <w:r>
              <w:rPr>
                <w:rFonts w:ascii="Arial" w:hAnsi="Arial" w:cs="Arial"/>
              </w:rPr>
              <w:t>revenues</w:t>
            </w:r>
          </w:p>
          <w:p w14:paraId="635C00BF" w14:textId="4B7A1CB7" w:rsidR="00B5187E" w:rsidRPr="00405F24" w:rsidRDefault="00405F24" w:rsidP="00405F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t>
            </w:r>
            <w:r w:rsidR="00B5187E" w:rsidRPr="00405F24">
              <w:rPr>
                <w:rFonts w:ascii="Arial" w:hAnsi="Arial" w:cs="Arial"/>
              </w:rPr>
              <w:t>Varying digital maturity level across</w:t>
            </w:r>
          </w:p>
          <w:p w14:paraId="10C23DC5" w14:textId="387B0AD9" w:rsidR="00B5187E" w:rsidRPr="00B5187E" w:rsidRDefault="00B5187E" w:rsidP="00B5187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187E">
              <w:rPr>
                <w:rFonts w:ascii="Arial" w:hAnsi="Arial" w:cs="Arial"/>
              </w:rPr>
              <w:t>franchise and managed properties</w:t>
            </w:r>
          </w:p>
          <w:p w14:paraId="234C1FC8" w14:textId="3B90A39A" w:rsidR="00B5187E" w:rsidRPr="00405F24" w:rsidRDefault="00405F24" w:rsidP="00405F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t>
            </w:r>
            <w:r w:rsidR="00B5187E" w:rsidRPr="00405F24">
              <w:rPr>
                <w:rFonts w:ascii="Arial" w:hAnsi="Arial" w:cs="Arial"/>
              </w:rPr>
              <w:t>Limited AI- specific in house</w:t>
            </w:r>
          </w:p>
          <w:p w14:paraId="6DEEDA72" w14:textId="77777777" w:rsidR="00B5187E" w:rsidRDefault="00B5187E" w:rsidP="00B5187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187E">
              <w:rPr>
                <w:rFonts w:ascii="Arial" w:hAnsi="Arial" w:cs="Arial"/>
              </w:rPr>
              <w:t>expertise relative to tech first competitors</w:t>
            </w:r>
          </w:p>
          <w:p w14:paraId="5D33147E" w14:textId="4548FF48" w:rsidR="00B5187E" w:rsidRPr="00405F24" w:rsidRDefault="00405F24" w:rsidP="00405F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t>
            </w:r>
            <w:r w:rsidR="00B5187E" w:rsidRPr="00405F24">
              <w:rPr>
                <w:rFonts w:ascii="Arial" w:hAnsi="Arial" w:cs="Arial"/>
              </w:rPr>
              <w:t>Complex multi-jurisdictional data</w:t>
            </w:r>
          </w:p>
          <w:p w14:paraId="56694395" w14:textId="1B7B1DCD" w:rsidR="00B5187E" w:rsidRPr="00B5187E" w:rsidRDefault="00B5187E" w:rsidP="00B5187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187E">
              <w:rPr>
                <w:rFonts w:ascii="Arial" w:hAnsi="Arial" w:cs="Arial"/>
              </w:rPr>
              <w:t>governance requirements</w:t>
            </w:r>
          </w:p>
        </w:tc>
      </w:tr>
      <w:tr w:rsidR="00AF530E" w14:paraId="664A4850" w14:textId="77777777" w:rsidTr="00AF530E">
        <w:tc>
          <w:tcPr>
            <w:cnfStyle w:val="001000000000" w:firstRow="0" w:lastRow="0" w:firstColumn="1" w:lastColumn="0" w:oddVBand="0" w:evenVBand="0" w:oddHBand="0" w:evenHBand="0" w:firstRowFirstColumn="0" w:firstRowLastColumn="0" w:lastRowFirstColumn="0" w:lastRowLastColumn="0"/>
            <w:tcW w:w="4508" w:type="dxa"/>
          </w:tcPr>
          <w:p w14:paraId="3CDDA318" w14:textId="2DBE5A06" w:rsidR="00AF530E" w:rsidRDefault="00AF530E" w:rsidP="00AF530E">
            <w:pPr>
              <w:pStyle w:val="ListParagraph"/>
              <w:spacing w:line="360" w:lineRule="auto"/>
              <w:ind w:left="0"/>
              <w:rPr>
                <w:rFonts w:ascii="Arial" w:hAnsi="Arial" w:cs="Arial"/>
              </w:rPr>
            </w:pPr>
            <w:r>
              <w:rPr>
                <w:rFonts w:ascii="Arial" w:hAnsi="Arial" w:cs="Arial"/>
              </w:rPr>
              <w:t xml:space="preserve">OPPORTUNITIES </w:t>
            </w:r>
          </w:p>
        </w:tc>
        <w:tc>
          <w:tcPr>
            <w:tcW w:w="4508" w:type="dxa"/>
          </w:tcPr>
          <w:p w14:paraId="1DC694E1" w14:textId="7F379BE2" w:rsidR="00AF530E" w:rsidRPr="00405F24" w:rsidRDefault="00AF530E" w:rsidP="00AF530E">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405F24">
              <w:rPr>
                <w:rFonts w:ascii="Arial" w:hAnsi="Arial" w:cs="Arial"/>
                <w:b/>
                <w:bCs/>
              </w:rPr>
              <w:t>THREATS</w:t>
            </w:r>
          </w:p>
        </w:tc>
      </w:tr>
      <w:tr w:rsidR="00AF530E" w14:paraId="19B5139B" w14:textId="77777777" w:rsidTr="00AF53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2F18BD3" w14:textId="2C4575C7" w:rsidR="00B5187E" w:rsidRPr="00B5187E" w:rsidRDefault="00B5187E" w:rsidP="00B5187E">
            <w:pPr>
              <w:spacing w:after="60" w:line="360" w:lineRule="auto"/>
              <w:rPr>
                <w:b w:val="0"/>
                <w:bCs w:val="0"/>
              </w:rPr>
            </w:pPr>
            <w:r>
              <w:rPr>
                <w:rFonts w:ascii="Arial" w:eastAsia="Arial" w:hAnsi="Arial" w:cs="Arial"/>
              </w:rPr>
              <w:t xml:space="preserve">- </w:t>
            </w:r>
            <w:r w:rsidRPr="00B5187E">
              <w:rPr>
                <w:rFonts w:ascii="Arial" w:eastAsia="Arial" w:hAnsi="Arial" w:cs="Arial"/>
                <w:b w:val="0"/>
                <w:bCs w:val="0"/>
              </w:rPr>
              <w:t>Growing demand for AI-personalised and sustainable travel experiences</w:t>
            </w:r>
          </w:p>
          <w:p w14:paraId="778DFE15" w14:textId="2229F85D" w:rsidR="00B5187E" w:rsidRPr="00B5187E" w:rsidRDefault="00B5187E" w:rsidP="00B5187E">
            <w:pPr>
              <w:spacing w:after="60" w:line="360" w:lineRule="auto"/>
              <w:rPr>
                <w:b w:val="0"/>
                <w:bCs w:val="0"/>
              </w:rPr>
            </w:pPr>
            <w:r>
              <w:rPr>
                <w:rFonts w:ascii="Arial" w:eastAsia="Arial" w:hAnsi="Arial" w:cs="Arial"/>
                <w:b w:val="0"/>
                <w:bCs w:val="0"/>
              </w:rPr>
              <w:t>-</w:t>
            </w:r>
            <w:r w:rsidRPr="00B5187E">
              <w:rPr>
                <w:rFonts w:ascii="Arial" w:eastAsia="Arial" w:hAnsi="Arial" w:cs="Arial"/>
                <w:b w:val="0"/>
                <w:bCs w:val="0"/>
              </w:rPr>
              <w:t xml:space="preserve"> Competitor gaps in integrated digital-sustainability service offerings</w:t>
            </w:r>
          </w:p>
          <w:p w14:paraId="1D596311" w14:textId="431DDBAE" w:rsidR="00B5187E" w:rsidRPr="00B5187E" w:rsidRDefault="00B5187E" w:rsidP="00B5187E">
            <w:pPr>
              <w:spacing w:after="60" w:line="360" w:lineRule="auto"/>
              <w:rPr>
                <w:b w:val="0"/>
                <w:bCs w:val="0"/>
              </w:rPr>
            </w:pPr>
            <w:r>
              <w:rPr>
                <w:rFonts w:ascii="Arial" w:eastAsia="Arial" w:hAnsi="Arial" w:cs="Arial"/>
                <w:b w:val="0"/>
                <w:bCs w:val="0"/>
              </w:rPr>
              <w:t>-</w:t>
            </w:r>
            <w:r w:rsidRPr="00B5187E">
              <w:rPr>
                <w:rFonts w:ascii="Arial" w:eastAsia="Arial" w:hAnsi="Arial" w:cs="Arial"/>
                <w:b w:val="0"/>
                <w:bCs w:val="0"/>
              </w:rPr>
              <w:t xml:space="preserve"> Expanding markets in Asia-Pacific and the Middle East</w:t>
            </w:r>
          </w:p>
          <w:p w14:paraId="4AC51754" w14:textId="5F9DE61F" w:rsidR="00AF530E" w:rsidRDefault="00B5187E" w:rsidP="00B5187E">
            <w:pPr>
              <w:pStyle w:val="ListParagraph"/>
              <w:tabs>
                <w:tab w:val="left" w:pos="3060"/>
              </w:tabs>
              <w:spacing w:line="360" w:lineRule="auto"/>
              <w:ind w:left="0"/>
              <w:rPr>
                <w:rFonts w:ascii="Arial" w:hAnsi="Arial" w:cs="Arial"/>
              </w:rPr>
            </w:pPr>
            <w:r>
              <w:rPr>
                <w:rFonts w:ascii="Arial" w:eastAsia="Arial" w:hAnsi="Arial" w:cs="Arial"/>
                <w:b w:val="0"/>
                <w:bCs w:val="0"/>
              </w:rPr>
              <w:t>-</w:t>
            </w:r>
            <w:r w:rsidRPr="00B5187E">
              <w:rPr>
                <w:rFonts w:ascii="Arial" w:eastAsia="Arial" w:hAnsi="Arial" w:cs="Arial"/>
                <w:b w:val="0"/>
                <w:bCs w:val="0"/>
              </w:rPr>
              <w:t xml:space="preserve"> EU Green Deal and ESG investor interest driving sustainable positioning</w:t>
            </w:r>
          </w:p>
        </w:tc>
        <w:tc>
          <w:tcPr>
            <w:tcW w:w="4508" w:type="dxa"/>
          </w:tcPr>
          <w:p w14:paraId="6B516CEE" w14:textId="5EE074E1" w:rsidR="00D20A5C" w:rsidRPr="00B93F72" w:rsidRDefault="00D20A5C" w:rsidP="00D20A5C">
            <w:pPr>
              <w:spacing w:after="60" w:line="360" w:lineRule="auto"/>
              <w:cnfStyle w:val="000000100000" w:firstRow="0" w:lastRow="0" w:firstColumn="0" w:lastColumn="0" w:oddVBand="0" w:evenVBand="0" w:oddHBand="1" w:evenHBand="0" w:firstRowFirstColumn="0" w:firstRowLastColumn="0" w:lastRowFirstColumn="0" w:lastRowLastColumn="0"/>
            </w:pPr>
            <w:r>
              <w:rPr>
                <w:rFonts w:ascii="Arial" w:eastAsia="Arial" w:hAnsi="Arial" w:cs="Arial"/>
              </w:rPr>
              <w:t>-</w:t>
            </w:r>
            <w:r w:rsidRPr="00B93F72">
              <w:rPr>
                <w:rFonts w:ascii="Arial" w:eastAsia="Arial" w:hAnsi="Arial" w:cs="Arial"/>
              </w:rPr>
              <w:t>Intense competition from Marriott, Hilton, and lifestyle boutique brands</w:t>
            </w:r>
          </w:p>
          <w:p w14:paraId="2DCCD7FB" w14:textId="106820E5" w:rsidR="00D20A5C" w:rsidRPr="00B93F72" w:rsidRDefault="00D20A5C" w:rsidP="00D20A5C">
            <w:pPr>
              <w:spacing w:after="60" w:line="360" w:lineRule="auto"/>
              <w:cnfStyle w:val="000000100000" w:firstRow="0" w:lastRow="0" w:firstColumn="0" w:lastColumn="0" w:oddVBand="0" w:evenVBand="0" w:oddHBand="1" w:evenHBand="0" w:firstRowFirstColumn="0" w:firstRowLastColumn="0" w:lastRowFirstColumn="0" w:lastRowLastColumn="0"/>
            </w:pPr>
            <w:r>
              <w:rPr>
                <w:rFonts w:ascii="Arial" w:eastAsia="Arial" w:hAnsi="Arial" w:cs="Arial"/>
              </w:rPr>
              <w:t xml:space="preserve">- </w:t>
            </w:r>
            <w:r w:rsidRPr="00B93F72">
              <w:rPr>
                <w:rFonts w:ascii="Arial" w:eastAsia="Arial" w:hAnsi="Arial" w:cs="Arial"/>
              </w:rPr>
              <w:t xml:space="preserve"> Data breach and cybersecurity vulnerabilities linked to AI integration</w:t>
            </w:r>
          </w:p>
          <w:p w14:paraId="268672DB" w14:textId="4F755500" w:rsidR="00D20A5C" w:rsidRPr="00B93F72" w:rsidRDefault="00D20A5C" w:rsidP="00D20A5C">
            <w:pPr>
              <w:spacing w:after="60" w:line="360" w:lineRule="auto"/>
              <w:cnfStyle w:val="000000100000" w:firstRow="0" w:lastRow="0" w:firstColumn="0" w:lastColumn="0" w:oddVBand="0" w:evenVBand="0" w:oddHBand="1" w:evenHBand="0" w:firstRowFirstColumn="0" w:firstRowLastColumn="0" w:lastRowFirstColumn="0" w:lastRowLastColumn="0"/>
            </w:pPr>
            <w:r>
              <w:rPr>
                <w:rFonts w:ascii="Arial" w:eastAsia="Arial" w:hAnsi="Arial" w:cs="Arial"/>
              </w:rPr>
              <w:t xml:space="preserve">- </w:t>
            </w:r>
            <w:r w:rsidRPr="00B93F72">
              <w:rPr>
                <w:rFonts w:ascii="Arial" w:eastAsia="Arial" w:hAnsi="Arial" w:cs="Arial"/>
              </w:rPr>
              <w:t>Economic downturns affecting premium travel demand globally</w:t>
            </w:r>
          </w:p>
          <w:p w14:paraId="061CCB6F" w14:textId="2DD3286B" w:rsidR="00AF530E" w:rsidRDefault="00D20A5C" w:rsidP="00D20A5C">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eastAsia="Arial" w:hAnsi="Arial" w:cs="Arial"/>
              </w:rPr>
              <w:t xml:space="preserve">- </w:t>
            </w:r>
            <w:r w:rsidRPr="00B93F72">
              <w:rPr>
                <w:rFonts w:ascii="Arial" w:eastAsia="Arial" w:hAnsi="Arial" w:cs="Arial"/>
              </w:rPr>
              <w:t>Rapid pace of technological change risking service obsolescence</w:t>
            </w:r>
          </w:p>
        </w:tc>
      </w:tr>
    </w:tbl>
    <w:p w14:paraId="2CB754E9" w14:textId="77777777" w:rsidR="00AF530E" w:rsidRDefault="00AF530E" w:rsidP="00AF530E">
      <w:pPr>
        <w:pStyle w:val="ListParagraph"/>
        <w:spacing w:line="360" w:lineRule="auto"/>
        <w:rPr>
          <w:rFonts w:ascii="Arial" w:hAnsi="Arial" w:cs="Arial"/>
        </w:rPr>
      </w:pPr>
    </w:p>
    <w:p w14:paraId="4CF7F244" w14:textId="77777777" w:rsidR="00AA7F11" w:rsidRDefault="00AA7F11" w:rsidP="00AF530E">
      <w:pPr>
        <w:pStyle w:val="ListParagraph"/>
        <w:spacing w:line="360" w:lineRule="auto"/>
        <w:rPr>
          <w:rFonts w:ascii="Arial" w:hAnsi="Arial" w:cs="Arial"/>
        </w:rPr>
      </w:pPr>
    </w:p>
    <w:p w14:paraId="6B6F8658" w14:textId="77777777" w:rsidR="00AA7F11" w:rsidRDefault="00AA7F11" w:rsidP="00AF530E">
      <w:pPr>
        <w:pStyle w:val="ListParagraph"/>
        <w:spacing w:line="360" w:lineRule="auto"/>
        <w:rPr>
          <w:rFonts w:ascii="Arial" w:hAnsi="Arial" w:cs="Arial"/>
        </w:rPr>
      </w:pPr>
    </w:p>
    <w:p w14:paraId="7CCB62A1" w14:textId="77777777" w:rsidR="00AA7F11" w:rsidRDefault="00AA7F11" w:rsidP="00AF530E">
      <w:pPr>
        <w:pStyle w:val="ListParagraph"/>
        <w:spacing w:line="360" w:lineRule="auto"/>
        <w:rPr>
          <w:rFonts w:ascii="Arial" w:hAnsi="Arial" w:cs="Arial"/>
        </w:rPr>
      </w:pPr>
    </w:p>
    <w:p w14:paraId="38F2A6B4" w14:textId="77777777" w:rsidR="00AA7F11" w:rsidRDefault="00AA7F11" w:rsidP="00AF530E">
      <w:pPr>
        <w:pStyle w:val="ListParagraph"/>
        <w:spacing w:line="360" w:lineRule="auto"/>
        <w:rPr>
          <w:rFonts w:ascii="Arial" w:hAnsi="Arial" w:cs="Arial"/>
        </w:rPr>
      </w:pPr>
    </w:p>
    <w:p w14:paraId="1778C008" w14:textId="77777777" w:rsidR="00AA7F11" w:rsidRDefault="00AA7F11" w:rsidP="00AF530E">
      <w:pPr>
        <w:pStyle w:val="ListParagraph"/>
        <w:spacing w:line="360" w:lineRule="auto"/>
        <w:rPr>
          <w:rFonts w:ascii="Arial" w:hAnsi="Arial" w:cs="Arial"/>
        </w:rPr>
      </w:pPr>
    </w:p>
    <w:p w14:paraId="068C1C66" w14:textId="77777777" w:rsidR="00204D63" w:rsidRDefault="00204D63" w:rsidP="00AF530E">
      <w:pPr>
        <w:pStyle w:val="ListParagraph"/>
        <w:spacing w:line="360" w:lineRule="auto"/>
        <w:rPr>
          <w:rFonts w:ascii="Arial" w:hAnsi="Arial" w:cs="Arial"/>
        </w:rPr>
      </w:pPr>
    </w:p>
    <w:p w14:paraId="59B6D34F" w14:textId="77777777" w:rsidR="00AA7F11" w:rsidRPr="00405F24" w:rsidRDefault="00AA7F11" w:rsidP="00405F24">
      <w:pPr>
        <w:spacing w:line="360" w:lineRule="auto"/>
        <w:rPr>
          <w:rFonts w:ascii="Arial" w:hAnsi="Arial" w:cs="Arial"/>
        </w:rPr>
      </w:pPr>
    </w:p>
    <w:p w14:paraId="5069C824" w14:textId="5F8178C4" w:rsidR="00AF530E" w:rsidRPr="00DF364C" w:rsidRDefault="00D20A5C" w:rsidP="00AF530E">
      <w:pPr>
        <w:spacing w:line="360" w:lineRule="auto"/>
        <w:rPr>
          <w:rFonts w:ascii="Arial" w:hAnsi="Arial" w:cs="Arial"/>
          <w:sz w:val="28"/>
          <w:szCs w:val="28"/>
        </w:rPr>
      </w:pPr>
      <w:r w:rsidRPr="00DF364C">
        <w:rPr>
          <w:rFonts w:ascii="Arial" w:hAnsi="Arial" w:cs="Arial"/>
          <w:sz w:val="28"/>
          <w:szCs w:val="28"/>
        </w:rPr>
        <w:lastRenderedPageBreak/>
        <w:t xml:space="preserve">2.2 PESTEL Analysis </w:t>
      </w:r>
    </w:p>
    <w:p w14:paraId="0AAC69AC" w14:textId="77777777" w:rsidR="00D20A5C" w:rsidRDefault="00D20A5C" w:rsidP="00D20A5C">
      <w:pPr>
        <w:spacing w:before="80" w:line="360" w:lineRule="auto"/>
        <w:jc w:val="both"/>
        <w:rPr>
          <w:rFonts w:ascii="Arial" w:eastAsia="Arial" w:hAnsi="Arial" w:cs="Arial"/>
        </w:rPr>
      </w:pPr>
      <w:r>
        <w:rPr>
          <w:rFonts w:ascii="Arial" w:eastAsia="Arial" w:hAnsi="Arial" w:cs="Arial"/>
        </w:rPr>
        <w:t xml:space="preserve">A PESTLE analysis identifies the macro-environmental forces shaping the </w:t>
      </w:r>
      <w:proofErr w:type="spellStart"/>
      <w:r>
        <w:rPr>
          <w:rFonts w:ascii="Arial" w:eastAsia="Arial" w:hAnsi="Arial" w:cs="Arial"/>
        </w:rPr>
        <w:t>StaySmart</w:t>
      </w:r>
      <w:proofErr w:type="spellEnd"/>
      <w:r>
        <w:rPr>
          <w:rFonts w:ascii="Arial" w:eastAsia="Arial" w:hAnsi="Arial" w:cs="Arial"/>
        </w:rPr>
        <w:t>+ deployment environment (Johnson et al., 2017).</w:t>
      </w:r>
    </w:p>
    <w:tbl>
      <w:tblPr>
        <w:tblStyle w:val="GridTable6Colorful-Accent3"/>
        <w:tblW w:w="9351" w:type="dxa"/>
        <w:tblLook w:val="04A0" w:firstRow="1" w:lastRow="0" w:firstColumn="1" w:lastColumn="0" w:noHBand="0" w:noVBand="1"/>
      </w:tblPr>
      <w:tblGrid>
        <w:gridCol w:w="1745"/>
        <w:gridCol w:w="7606"/>
      </w:tblGrid>
      <w:tr w:rsidR="00AA7F11" w14:paraId="3A990E6F" w14:textId="77777777" w:rsidTr="00AA7F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5" w:type="dxa"/>
          </w:tcPr>
          <w:p w14:paraId="50D702E7" w14:textId="48FB4FB4" w:rsidR="00AA7F11" w:rsidRPr="00464A3D" w:rsidRDefault="00AA7F11" w:rsidP="00D20A5C">
            <w:pPr>
              <w:spacing w:before="80" w:line="360" w:lineRule="auto"/>
              <w:jc w:val="both"/>
              <w:rPr>
                <w:rFonts w:ascii="Arial" w:eastAsia="Arial" w:hAnsi="Arial" w:cs="Arial"/>
                <w:b w:val="0"/>
                <w:bCs w:val="0"/>
                <w:color w:val="auto"/>
              </w:rPr>
            </w:pPr>
            <w:r w:rsidRPr="00464A3D">
              <w:rPr>
                <w:rFonts w:ascii="Arial" w:eastAsia="Arial" w:hAnsi="Arial" w:cs="Arial"/>
                <w:b w:val="0"/>
                <w:bCs w:val="0"/>
                <w:color w:val="auto"/>
              </w:rPr>
              <w:t>Factor</w:t>
            </w:r>
          </w:p>
        </w:tc>
        <w:tc>
          <w:tcPr>
            <w:tcW w:w="7606" w:type="dxa"/>
          </w:tcPr>
          <w:p w14:paraId="63973354" w14:textId="47AC5E20" w:rsidR="00AA7F11" w:rsidRPr="00464A3D" w:rsidRDefault="00AA7F11" w:rsidP="00D20A5C">
            <w:pPr>
              <w:spacing w:before="80"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464A3D">
              <w:rPr>
                <w:rFonts w:ascii="Arial" w:eastAsia="Arial" w:hAnsi="Arial" w:cs="Arial"/>
                <w:color w:val="auto"/>
              </w:rPr>
              <w:t>Key insights</w:t>
            </w:r>
          </w:p>
        </w:tc>
      </w:tr>
      <w:tr w:rsidR="00AA7F11" w14:paraId="4D10F37A" w14:textId="77777777" w:rsidTr="00AA7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5" w:type="dxa"/>
          </w:tcPr>
          <w:p w14:paraId="4CFC2E5A" w14:textId="27DD3664" w:rsidR="00AA7F11" w:rsidRPr="00464A3D" w:rsidRDefault="00AA7F11" w:rsidP="00D20A5C">
            <w:pPr>
              <w:spacing w:before="80" w:line="360" w:lineRule="auto"/>
              <w:jc w:val="both"/>
              <w:rPr>
                <w:rFonts w:ascii="Arial" w:eastAsia="Arial" w:hAnsi="Arial" w:cs="Arial"/>
                <w:color w:val="auto"/>
              </w:rPr>
            </w:pPr>
            <w:r w:rsidRPr="00464A3D">
              <w:rPr>
                <w:rFonts w:ascii="Arial" w:eastAsia="Arial" w:hAnsi="Arial" w:cs="Arial"/>
                <w:color w:val="auto"/>
              </w:rPr>
              <w:t>Political</w:t>
            </w:r>
          </w:p>
        </w:tc>
        <w:tc>
          <w:tcPr>
            <w:tcW w:w="7606" w:type="dxa"/>
          </w:tcPr>
          <w:p w14:paraId="018B0379" w14:textId="2B06CA4A" w:rsidR="00AA7F11" w:rsidRPr="00464A3D" w:rsidRDefault="00AA7F11" w:rsidP="00D20A5C">
            <w:pPr>
              <w:spacing w:before="8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auto"/>
              </w:rPr>
            </w:pPr>
            <w:r w:rsidRPr="00464A3D">
              <w:rPr>
                <w:rFonts w:ascii="Arial" w:eastAsia="Arial" w:hAnsi="Arial" w:cs="Arial"/>
                <w:color w:val="auto"/>
              </w:rPr>
              <w:t xml:space="preserve">Regulations around data protection and AI differ significantly between the EU, the UK, and APAC, which means </w:t>
            </w:r>
            <w:proofErr w:type="spellStart"/>
            <w:r w:rsidRPr="00464A3D">
              <w:rPr>
                <w:rFonts w:ascii="Arial" w:eastAsia="Arial" w:hAnsi="Arial" w:cs="Arial"/>
                <w:color w:val="auto"/>
              </w:rPr>
              <w:t>StaySmart</w:t>
            </w:r>
            <w:proofErr w:type="spellEnd"/>
            <w:r w:rsidRPr="00464A3D">
              <w:rPr>
                <w:rFonts w:ascii="Arial" w:eastAsia="Arial" w:hAnsi="Arial" w:cs="Arial"/>
                <w:color w:val="auto"/>
              </w:rPr>
              <w:t>+ will need to adapt its rollout strategy to each region. In the UK, maintaining GDPR alignment remains essential after Brexit. At the same time, Spain and the wider EU are actively supporting digital transformation, creating a more welcoming environment for innovation</w:t>
            </w:r>
            <w:r w:rsidR="00464A3D" w:rsidRPr="00464A3D">
              <w:rPr>
                <w:rFonts w:ascii="Arial" w:eastAsia="Arial" w:hAnsi="Arial" w:cs="Arial"/>
                <w:color w:val="auto"/>
              </w:rPr>
              <w:t xml:space="preserve"> </w:t>
            </w:r>
            <w:r w:rsidR="00893F0F" w:rsidRPr="00464A3D">
              <w:rPr>
                <w:rFonts w:ascii="Arial" w:eastAsia="Arial" w:hAnsi="Arial" w:cs="Arial"/>
                <w:color w:val="auto"/>
              </w:rPr>
              <w:t>(Johnson et al., 2017)</w:t>
            </w:r>
            <w:r w:rsidR="00464A3D" w:rsidRPr="00464A3D">
              <w:rPr>
                <w:rFonts w:ascii="Arial" w:eastAsia="Arial" w:hAnsi="Arial" w:cs="Arial"/>
                <w:color w:val="auto"/>
              </w:rPr>
              <w:t>.</w:t>
            </w:r>
          </w:p>
        </w:tc>
      </w:tr>
      <w:tr w:rsidR="00AA7F11" w14:paraId="5B72D10A" w14:textId="77777777" w:rsidTr="00AA7F11">
        <w:tc>
          <w:tcPr>
            <w:cnfStyle w:val="001000000000" w:firstRow="0" w:lastRow="0" w:firstColumn="1" w:lastColumn="0" w:oddVBand="0" w:evenVBand="0" w:oddHBand="0" w:evenHBand="0" w:firstRowFirstColumn="0" w:firstRowLastColumn="0" w:lastRowFirstColumn="0" w:lastRowLastColumn="0"/>
            <w:tcW w:w="1745" w:type="dxa"/>
          </w:tcPr>
          <w:p w14:paraId="1E5963D8" w14:textId="6BDE43F0" w:rsidR="00AA7F11" w:rsidRPr="00464A3D" w:rsidRDefault="00AA7F11" w:rsidP="00D20A5C">
            <w:pPr>
              <w:spacing w:before="80" w:line="360" w:lineRule="auto"/>
              <w:jc w:val="both"/>
              <w:rPr>
                <w:rFonts w:ascii="Arial" w:eastAsia="Arial" w:hAnsi="Arial" w:cs="Arial"/>
                <w:color w:val="auto"/>
              </w:rPr>
            </w:pPr>
            <w:r w:rsidRPr="00464A3D">
              <w:rPr>
                <w:rFonts w:ascii="Arial" w:eastAsia="Arial" w:hAnsi="Arial" w:cs="Arial"/>
                <w:color w:val="auto"/>
              </w:rPr>
              <w:t>Economic</w:t>
            </w:r>
          </w:p>
        </w:tc>
        <w:tc>
          <w:tcPr>
            <w:tcW w:w="7606" w:type="dxa"/>
          </w:tcPr>
          <w:p w14:paraId="66581036" w14:textId="14C39E78" w:rsidR="00AA7F11" w:rsidRPr="00464A3D" w:rsidRDefault="00AA7F11" w:rsidP="00D20A5C">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auto"/>
              </w:rPr>
            </w:pPr>
            <w:r w:rsidRPr="00464A3D">
              <w:rPr>
                <w:rFonts w:ascii="Arial" w:eastAsia="Arial" w:hAnsi="Arial" w:cs="Arial"/>
                <w:color w:val="auto"/>
              </w:rPr>
              <w:t>Luxury travel has bounced back strongly across Europe and the Middle East, offering a favourable market for premium digital services. However, rising inflation expected through 2024–2026 makes hotels more cautious about investing in large</w:t>
            </w:r>
            <w:r w:rsidRPr="00464A3D">
              <w:rPr>
                <w:rFonts w:ascii="Cambria Math" w:eastAsia="Arial" w:hAnsi="Cambria Math" w:cs="Cambria Math"/>
                <w:color w:val="auto"/>
              </w:rPr>
              <w:t>‑</w:t>
            </w:r>
            <w:r w:rsidRPr="00464A3D">
              <w:rPr>
                <w:rFonts w:ascii="Arial" w:eastAsia="Arial" w:hAnsi="Arial" w:cs="Arial"/>
                <w:color w:val="auto"/>
              </w:rPr>
              <w:t>scale technology upgrades, which could influence adoption speed</w:t>
            </w:r>
            <w:r w:rsidR="00464A3D" w:rsidRPr="00464A3D">
              <w:rPr>
                <w:rFonts w:ascii="Arial" w:eastAsia="Arial" w:hAnsi="Arial" w:cs="Arial"/>
                <w:color w:val="auto"/>
              </w:rPr>
              <w:t xml:space="preserve"> </w:t>
            </w:r>
            <w:r w:rsidR="00893F0F" w:rsidRPr="00464A3D">
              <w:rPr>
                <w:rFonts w:ascii="Arial" w:eastAsia="Arial" w:hAnsi="Arial" w:cs="Arial"/>
                <w:color w:val="auto"/>
              </w:rPr>
              <w:t>(Porter, 2008)</w:t>
            </w:r>
            <w:r w:rsidR="00464A3D" w:rsidRPr="00464A3D">
              <w:rPr>
                <w:rFonts w:ascii="Arial" w:eastAsia="Arial" w:hAnsi="Arial" w:cs="Arial"/>
                <w:color w:val="auto"/>
              </w:rPr>
              <w:t>.</w:t>
            </w:r>
          </w:p>
        </w:tc>
      </w:tr>
      <w:tr w:rsidR="00AA7F11" w14:paraId="63FE950F" w14:textId="77777777" w:rsidTr="00AA7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5" w:type="dxa"/>
          </w:tcPr>
          <w:p w14:paraId="5ECA5C46" w14:textId="172765B4" w:rsidR="00AA7F11" w:rsidRPr="00464A3D" w:rsidRDefault="00AA7F11" w:rsidP="00D20A5C">
            <w:pPr>
              <w:spacing w:before="80" w:line="360" w:lineRule="auto"/>
              <w:jc w:val="both"/>
              <w:rPr>
                <w:rFonts w:ascii="Arial" w:eastAsia="Arial" w:hAnsi="Arial" w:cs="Arial"/>
                <w:color w:val="auto"/>
              </w:rPr>
            </w:pPr>
            <w:r w:rsidRPr="00464A3D">
              <w:rPr>
                <w:rFonts w:ascii="Arial" w:eastAsia="Arial" w:hAnsi="Arial" w:cs="Arial"/>
                <w:color w:val="auto"/>
              </w:rPr>
              <w:t>Social</w:t>
            </w:r>
          </w:p>
        </w:tc>
        <w:tc>
          <w:tcPr>
            <w:tcW w:w="7606" w:type="dxa"/>
          </w:tcPr>
          <w:p w14:paraId="1442DBFF" w14:textId="581DB7A7" w:rsidR="00AA7F11" w:rsidRPr="00464A3D" w:rsidRDefault="00AA7F11" w:rsidP="00D20A5C">
            <w:pPr>
              <w:spacing w:before="8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auto"/>
              </w:rPr>
            </w:pPr>
            <w:r w:rsidRPr="00464A3D">
              <w:rPr>
                <w:rFonts w:ascii="Arial" w:eastAsia="Arial" w:hAnsi="Arial" w:cs="Arial"/>
                <w:color w:val="auto"/>
              </w:rPr>
              <w:t>Younger travellers</w:t>
            </w:r>
            <w:r w:rsidR="00464A3D" w:rsidRPr="00464A3D">
              <w:rPr>
                <w:rFonts w:ascii="Arial" w:eastAsia="Arial" w:hAnsi="Arial" w:cs="Arial"/>
                <w:color w:val="auto"/>
              </w:rPr>
              <w:t xml:space="preserve">, </w:t>
            </w:r>
            <w:r w:rsidRPr="00464A3D">
              <w:rPr>
                <w:rFonts w:ascii="Arial" w:eastAsia="Arial" w:hAnsi="Arial" w:cs="Arial"/>
                <w:color w:val="auto"/>
              </w:rPr>
              <w:t>particularly Millennials and Gen Z</w:t>
            </w:r>
            <w:r w:rsidR="00464A3D" w:rsidRPr="00464A3D">
              <w:rPr>
                <w:rFonts w:ascii="Arial" w:eastAsia="Arial" w:hAnsi="Arial" w:cs="Arial"/>
                <w:color w:val="auto"/>
              </w:rPr>
              <w:t xml:space="preserve">, </w:t>
            </w:r>
            <w:r w:rsidRPr="00464A3D">
              <w:rPr>
                <w:rFonts w:ascii="Arial" w:eastAsia="Arial" w:hAnsi="Arial" w:cs="Arial"/>
                <w:color w:val="auto"/>
              </w:rPr>
              <w:t>now make up more than half of global luxury hotel demand. According to Skift (2023), this group actively looks for personalised, tech</w:t>
            </w:r>
            <w:r w:rsidRPr="00464A3D">
              <w:rPr>
                <w:rFonts w:ascii="Cambria Math" w:eastAsia="Arial" w:hAnsi="Cambria Math" w:cs="Cambria Math"/>
                <w:color w:val="auto"/>
              </w:rPr>
              <w:t>‑</w:t>
            </w:r>
            <w:r w:rsidRPr="00464A3D">
              <w:rPr>
                <w:rFonts w:ascii="Arial" w:eastAsia="Arial" w:hAnsi="Arial" w:cs="Arial"/>
                <w:color w:val="auto"/>
              </w:rPr>
              <w:t xml:space="preserve">enhanced, and environmentally responsible experiences. Their expectations align closely with what </w:t>
            </w:r>
            <w:proofErr w:type="spellStart"/>
            <w:r w:rsidRPr="00464A3D">
              <w:rPr>
                <w:rFonts w:ascii="Arial" w:eastAsia="Arial" w:hAnsi="Arial" w:cs="Arial"/>
                <w:color w:val="auto"/>
              </w:rPr>
              <w:t>StaySmart</w:t>
            </w:r>
            <w:proofErr w:type="spellEnd"/>
            <w:r w:rsidRPr="00464A3D">
              <w:rPr>
                <w:rFonts w:ascii="Arial" w:eastAsia="Arial" w:hAnsi="Arial" w:cs="Arial"/>
                <w:color w:val="auto"/>
              </w:rPr>
              <w:t>+ aims to deliver</w:t>
            </w:r>
            <w:r w:rsidR="00464A3D" w:rsidRPr="00464A3D">
              <w:rPr>
                <w:rFonts w:ascii="Arial" w:eastAsia="Arial" w:hAnsi="Arial" w:cs="Arial"/>
                <w:color w:val="auto"/>
              </w:rPr>
              <w:t xml:space="preserve"> </w:t>
            </w:r>
            <w:r w:rsidR="00893F0F" w:rsidRPr="00464A3D">
              <w:rPr>
                <w:rFonts w:ascii="Arial" w:eastAsia="Arial" w:hAnsi="Arial" w:cs="Arial"/>
                <w:color w:val="auto"/>
              </w:rPr>
              <w:t>(Hofstede, 2001)</w:t>
            </w:r>
            <w:r w:rsidR="00464A3D" w:rsidRPr="00464A3D">
              <w:rPr>
                <w:rFonts w:ascii="Arial" w:eastAsia="Arial" w:hAnsi="Arial" w:cs="Arial"/>
                <w:color w:val="auto"/>
              </w:rPr>
              <w:t>.</w:t>
            </w:r>
          </w:p>
        </w:tc>
      </w:tr>
      <w:tr w:rsidR="00AA7F11" w14:paraId="15DC1CCD" w14:textId="77777777" w:rsidTr="00AA7F11">
        <w:tc>
          <w:tcPr>
            <w:cnfStyle w:val="001000000000" w:firstRow="0" w:lastRow="0" w:firstColumn="1" w:lastColumn="0" w:oddVBand="0" w:evenVBand="0" w:oddHBand="0" w:evenHBand="0" w:firstRowFirstColumn="0" w:firstRowLastColumn="0" w:lastRowFirstColumn="0" w:lastRowLastColumn="0"/>
            <w:tcW w:w="1745" w:type="dxa"/>
          </w:tcPr>
          <w:p w14:paraId="38A94EF8" w14:textId="5322C6EA" w:rsidR="00AA7F11" w:rsidRPr="00464A3D" w:rsidRDefault="00AA7F11" w:rsidP="00AA7F11">
            <w:pPr>
              <w:spacing w:before="80" w:line="360" w:lineRule="auto"/>
              <w:jc w:val="center"/>
              <w:rPr>
                <w:rFonts w:ascii="Arial" w:eastAsia="Arial" w:hAnsi="Arial" w:cs="Arial"/>
                <w:color w:val="auto"/>
              </w:rPr>
            </w:pPr>
            <w:r w:rsidRPr="00464A3D">
              <w:rPr>
                <w:rFonts w:ascii="Arial" w:eastAsia="Arial" w:hAnsi="Arial" w:cs="Arial"/>
                <w:color w:val="auto"/>
              </w:rPr>
              <w:t>Technological</w:t>
            </w:r>
          </w:p>
        </w:tc>
        <w:tc>
          <w:tcPr>
            <w:tcW w:w="7606" w:type="dxa"/>
          </w:tcPr>
          <w:p w14:paraId="524756DC" w14:textId="6713A6EF" w:rsidR="00AA7F11" w:rsidRPr="00464A3D" w:rsidRDefault="00AA7F11" w:rsidP="00D20A5C">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auto"/>
              </w:rPr>
            </w:pPr>
            <w:r w:rsidRPr="00464A3D">
              <w:rPr>
                <w:rFonts w:ascii="Arial" w:eastAsia="Arial" w:hAnsi="Arial" w:cs="Arial"/>
                <w:color w:val="auto"/>
              </w:rPr>
              <w:t>The pace of innovation in generative AI, IoT</w:t>
            </w:r>
            <w:r w:rsidRPr="00464A3D">
              <w:rPr>
                <w:rFonts w:ascii="Cambria Math" w:eastAsia="Arial" w:hAnsi="Cambria Math" w:cs="Cambria Math"/>
                <w:color w:val="auto"/>
              </w:rPr>
              <w:t>‑</w:t>
            </w:r>
            <w:r w:rsidRPr="00464A3D">
              <w:rPr>
                <w:rFonts w:ascii="Arial" w:eastAsia="Arial" w:hAnsi="Arial" w:cs="Arial"/>
                <w:color w:val="auto"/>
              </w:rPr>
              <w:t xml:space="preserve">enabled room automation, and contactless guest technologies is accelerating. This creates strong opportunities for </w:t>
            </w:r>
            <w:proofErr w:type="spellStart"/>
            <w:r w:rsidRPr="00464A3D">
              <w:rPr>
                <w:rFonts w:ascii="Arial" w:eastAsia="Arial" w:hAnsi="Arial" w:cs="Arial"/>
                <w:color w:val="auto"/>
              </w:rPr>
              <w:t>StaySmart</w:t>
            </w:r>
            <w:proofErr w:type="spellEnd"/>
            <w:r w:rsidRPr="00464A3D">
              <w:rPr>
                <w:rFonts w:ascii="Arial" w:eastAsia="Arial" w:hAnsi="Arial" w:cs="Arial"/>
                <w:color w:val="auto"/>
              </w:rPr>
              <w:t>+, but it also means that delaying implementation increases the risk of falling behind competitors who adopt these tools earlier</w:t>
            </w:r>
            <w:r w:rsidR="00464A3D" w:rsidRPr="00464A3D">
              <w:rPr>
                <w:rFonts w:ascii="Arial" w:eastAsia="Arial" w:hAnsi="Arial" w:cs="Arial"/>
                <w:color w:val="auto"/>
              </w:rPr>
              <w:t xml:space="preserve"> </w:t>
            </w:r>
            <w:r w:rsidR="00893F0F" w:rsidRPr="00464A3D">
              <w:rPr>
                <w:rFonts w:ascii="Arial" w:eastAsia="Arial" w:hAnsi="Arial" w:cs="Arial"/>
                <w:color w:val="auto"/>
              </w:rPr>
              <w:t>(</w:t>
            </w:r>
            <w:r w:rsidR="00464A3D" w:rsidRPr="00464A3D">
              <w:rPr>
                <w:rFonts w:ascii="Arial" w:eastAsia="Arial" w:hAnsi="Arial" w:cs="Arial"/>
                <w:color w:val="auto"/>
              </w:rPr>
              <w:t>Pfeffer and Salancik, 1978</w:t>
            </w:r>
            <w:r w:rsidR="00893F0F" w:rsidRPr="00464A3D">
              <w:rPr>
                <w:rFonts w:ascii="Arial" w:eastAsia="Arial" w:hAnsi="Arial" w:cs="Arial"/>
                <w:color w:val="auto"/>
              </w:rPr>
              <w:t>)</w:t>
            </w:r>
            <w:r w:rsidR="00464A3D" w:rsidRPr="00464A3D">
              <w:rPr>
                <w:rFonts w:ascii="Arial" w:eastAsia="Arial" w:hAnsi="Arial" w:cs="Arial"/>
                <w:color w:val="auto"/>
              </w:rPr>
              <w:t>.</w:t>
            </w:r>
          </w:p>
        </w:tc>
      </w:tr>
      <w:tr w:rsidR="00AA7F11" w14:paraId="0F6165B2" w14:textId="77777777" w:rsidTr="00AA7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5" w:type="dxa"/>
          </w:tcPr>
          <w:p w14:paraId="3849A703" w14:textId="4A794D75" w:rsidR="00AA7F11" w:rsidRPr="00464A3D" w:rsidRDefault="00AA7F11" w:rsidP="00D20A5C">
            <w:pPr>
              <w:spacing w:before="80" w:line="360" w:lineRule="auto"/>
              <w:jc w:val="both"/>
              <w:rPr>
                <w:rFonts w:ascii="Arial" w:eastAsia="Arial" w:hAnsi="Arial" w:cs="Arial"/>
                <w:color w:val="auto"/>
              </w:rPr>
            </w:pPr>
            <w:r w:rsidRPr="00464A3D">
              <w:rPr>
                <w:rFonts w:ascii="Arial" w:eastAsia="Arial" w:hAnsi="Arial" w:cs="Arial"/>
                <w:color w:val="auto"/>
              </w:rPr>
              <w:t>Legal</w:t>
            </w:r>
          </w:p>
        </w:tc>
        <w:tc>
          <w:tcPr>
            <w:tcW w:w="7606" w:type="dxa"/>
          </w:tcPr>
          <w:p w14:paraId="7C98DCF4" w14:textId="3658D79D" w:rsidR="00AA7F11" w:rsidRPr="00464A3D" w:rsidRDefault="00AA7F11" w:rsidP="00D20A5C">
            <w:pPr>
              <w:spacing w:before="8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auto"/>
              </w:rPr>
            </w:pPr>
            <w:r w:rsidRPr="00464A3D">
              <w:rPr>
                <w:rFonts w:ascii="Arial" w:eastAsia="Arial" w:hAnsi="Arial" w:cs="Arial"/>
                <w:color w:val="auto"/>
              </w:rPr>
              <w:t>New regulatory frameworks, including GDPR and the EU AI Act (2024), place strict requirements on how personal data and automated decision</w:t>
            </w:r>
            <w:r w:rsidRPr="00464A3D">
              <w:rPr>
                <w:rFonts w:ascii="Cambria Math" w:eastAsia="Arial" w:hAnsi="Cambria Math" w:cs="Cambria Math"/>
                <w:color w:val="auto"/>
              </w:rPr>
              <w:t>‑</w:t>
            </w:r>
            <w:r w:rsidRPr="00464A3D">
              <w:rPr>
                <w:rFonts w:ascii="Arial" w:eastAsia="Arial" w:hAnsi="Arial" w:cs="Arial"/>
                <w:color w:val="auto"/>
              </w:rPr>
              <w:t xml:space="preserve">making systems are used. For </w:t>
            </w:r>
            <w:proofErr w:type="spellStart"/>
            <w:r w:rsidRPr="00464A3D">
              <w:rPr>
                <w:rFonts w:ascii="Arial" w:eastAsia="Arial" w:hAnsi="Arial" w:cs="Arial"/>
                <w:color w:val="auto"/>
              </w:rPr>
              <w:t>StaySmart</w:t>
            </w:r>
            <w:proofErr w:type="spellEnd"/>
            <w:r w:rsidRPr="00464A3D">
              <w:rPr>
                <w:rFonts w:ascii="Arial" w:eastAsia="Arial" w:hAnsi="Arial" w:cs="Arial"/>
                <w:color w:val="auto"/>
              </w:rPr>
              <w:t>+, this means privacy</w:t>
            </w:r>
            <w:r w:rsidRPr="00464A3D">
              <w:rPr>
                <w:rFonts w:ascii="Cambria Math" w:eastAsia="Arial" w:hAnsi="Cambria Math" w:cs="Cambria Math"/>
                <w:color w:val="auto"/>
              </w:rPr>
              <w:t>‑</w:t>
            </w:r>
            <w:r w:rsidRPr="00464A3D">
              <w:rPr>
                <w:rFonts w:ascii="Arial" w:eastAsia="Arial" w:hAnsi="Arial" w:cs="Arial"/>
                <w:color w:val="auto"/>
              </w:rPr>
              <w:t>by</w:t>
            </w:r>
            <w:r w:rsidRPr="00464A3D">
              <w:rPr>
                <w:rFonts w:ascii="Cambria Math" w:eastAsia="Arial" w:hAnsi="Cambria Math" w:cs="Cambria Math"/>
                <w:color w:val="auto"/>
              </w:rPr>
              <w:t>‑</w:t>
            </w:r>
            <w:r w:rsidRPr="00464A3D">
              <w:rPr>
                <w:rFonts w:ascii="Arial" w:eastAsia="Arial" w:hAnsi="Arial" w:cs="Arial"/>
                <w:color w:val="auto"/>
              </w:rPr>
              <w:t>design cannot be optional</w:t>
            </w:r>
            <w:r w:rsidR="00464A3D" w:rsidRPr="00464A3D">
              <w:rPr>
                <w:rFonts w:ascii="Arial" w:eastAsia="Arial" w:hAnsi="Arial" w:cs="Arial"/>
                <w:color w:val="auto"/>
              </w:rPr>
              <w:t xml:space="preserve">, </w:t>
            </w:r>
            <w:r w:rsidRPr="00464A3D">
              <w:rPr>
                <w:rFonts w:ascii="Arial" w:eastAsia="Arial" w:hAnsi="Arial" w:cs="Arial"/>
                <w:color w:val="auto"/>
              </w:rPr>
              <w:t>it must be built into the platform from the very beginning</w:t>
            </w:r>
            <w:r w:rsidR="00464A3D" w:rsidRPr="00464A3D">
              <w:rPr>
                <w:rFonts w:ascii="Arial" w:eastAsia="Arial" w:hAnsi="Arial" w:cs="Arial"/>
                <w:color w:val="auto"/>
              </w:rPr>
              <w:t xml:space="preserve"> </w:t>
            </w:r>
            <w:r w:rsidR="00AC7CFB" w:rsidRPr="00464A3D">
              <w:rPr>
                <w:rFonts w:ascii="Arial" w:eastAsia="Arial" w:hAnsi="Arial" w:cs="Arial"/>
                <w:color w:val="auto"/>
              </w:rPr>
              <w:t>(</w:t>
            </w:r>
            <w:proofErr w:type="spellStart"/>
            <w:r w:rsidR="00AC7CFB" w:rsidRPr="00464A3D">
              <w:rPr>
                <w:rFonts w:ascii="Arial" w:eastAsia="Arial" w:hAnsi="Arial" w:cs="Arial"/>
                <w:color w:val="auto"/>
              </w:rPr>
              <w:t>Floridi</w:t>
            </w:r>
            <w:proofErr w:type="spellEnd"/>
            <w:r w:rsidR="00AC7CFB" w:rsidRPr="00464A3D">
              <w:rPr>
                <w:rFonts w:ascii="Arial" w:eastAsia="Arial" w:hAnsi="Arial" w:cs="Arial"/>
                <w:color w:val="auto"/>
              </w:rPr>
              <w:t xml:space="preserve"> et al., 2018)</w:t>
            </w:r>
            <w:r w:rsidR="00464A3D" w:rsidRPr="00464A3D">
              <w:rPr>
                <w:rFonts w:ascii="Arial" w:eastAsia="Arial" w:hAnsi="Arial" w:cs="Arial"/>
                <w:color w:val="auto"/>
              </w:rPr>
              <w:t>.</w:t>
            </w:r>
          </w:p>
        </w:tc>
      </w:tr>
      <w:tr w:rsidR="00AA7F11" w14:paraId="341570F2" w14:textId="77777777" w:rsidTr="00AA7F11">
        <w:tc>
          <w:tcPr>
            <w:cnfStyle w:val="001000000000" w:firstRow="0" w:lastRow="0" w:firstColumn="1" w:lastColumn="0" w:oddVBand="0" w:evenVBand="0" w:oddHBand="0" w:evenHBand="0" w:firstRowFirstColumn="0" w:firstRowLastColumn="0" w:lastRowFirstColumn="0" w:lastRowLastColumn="0"/>
            <w:tcW w:w="1745" w:type="dxa"/>
          </w:tcPr>
          <w:p w14:paraId="26870441" w14:textId="0C65C098" w:rsidR="00AA7F11" w:rsidRPr="00464A3D" w:rsidRDefault="00AA7F11" w:rsidP="00D20A5C">
            <w:pPr>
              <w:spacing w:before="80" w:line="360" w:lineRule="auto"/>
              <w:jc w:val="both"/>
              <w:rPr>
                <w:rFonts w:ascii="Arial" w:eastAsia="Arial" w:hAnsi="Arial" w:cs="Arial"/>
                <w:color w:val="auto"/>
              </w:rPr>
            </w:pPr>
            <w:r w:rsidRPr="00464A3D">
              <w:rPr>
                <w:rFonts w:ascii="Arial" w:eastAsia="Arial" w:hAnsi="Arial" w:cs="Arial"/>
                <w:color w:val="auto"/>
              </w:rPr>
              <w:t>Environmental</w:t>
            </w:r>
          </w:p>
        </w:tc>
        <w:tc>
          <w:tcPr>
            <w:tcW w:w="7606" w:type="dxa"/>
          </w:tcPr>
          <w:p w14:paraId="24BAF9FF" w14:textId="07990A66" w:rsidR="00AA7F11" w:rsidRPr="00464A3D" w:rsidRDefault="00AA7F11" w:rsidP="00D20A5C">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auto"/>
              </w:rPr>
            </w:pPr>
            <w:r w:rsidRPr="00464A3D">
              <w:rPr>
                <w:rFonts w:ascii="Arial" w:eastAsia="Arial" w:hAnsi="Arial" w:cs="Arial"/>
                <w:color w:val="auto"/>
              </w:rPr>
              <w:t>Sustainability expectations are rising quickly, driven by the EU’s Corporate Sustainability Reporting Directive (CSRD) and pressure from ESG</w:t>
            </w:r>
            <w:r w:rsidRPr="00464A3D">
              <w:rPr>
                <w:rFonts w:ascii="Cambria Math" w:eastAsia="Arial" w:hAnsi="Cambria Math" w:cs="Cambria Math"/>
                <w:color w:val="auto"/>
              </w:rPr>
              <w:t>‑</w:t>
            </w:r>
            <w:r w:rsidRPr="00464A3D">
              <w:rPr>
                <w:rFonts w:ascii="Arial" w:eastAsia="Arial" w:hAnsi="Arial" w:cs="Arial"/>
                <w:color w:val="auto"/>
              </w:rPr>
              <w:t xml:space="preserve">focused investors. Hotels are increasingly expected to demonstrate measurable </w:t>
            </w:r>
            <w:r w:rsidRPr="00464A3D">
              <w:rPr>
                <w:rFonts w:ascii="Arial" w:eastAsia="Arial" w:hAnsi="Arial" w:cs="Arial"/>
                <w:color w:val="auto"/>
              </w:rPr>
              <w:lastRenderedPageBreak/>
              <w:t xml:space="preserve">environmental impact, which strengthens the relevance of </w:t>
            </w:r>
            <w:proofErr w:type="spellStart"/>
            <w:r w:rsidRPr="00464A3D">
              <w:rPr>
                <w:rFonts w:ascii="Arial" w:eastAsia="Arial" w:hAnsi="Arial" w:cs="Arial"/>
                <w:color w:val="auto"/>
              </w:rPr>
              <w:t>StaySmart</w:t>
            </w:r>
            <w:proofErr w:type="spellEnd"/>
            <w:r w:rsidRPr="00464A3D">
              <w:rPr>
                <w:rFonts w:ascii="Arial" w:eastAsia="Arial" w:hAnsi="Arial" w:cs="Arial"/>
                <w:color w:val="auto"/>
              </w:rPr>
              <w:t>+’s sustainability</w:t>
            </w:r>
            <w:r w:rsidRPr="00464A3D">
              <w:rPr>
                <w:rFonts w:ascii="Cambria Math" w:eastAsia="Arial" w:hAnsi="Cambria Math" w:cs="Cambria Math"/>
                <w:color w:val="auto"/>
              </w:rPr>
              <w:t>‑</w:t>
            </w:r>
            <w:r w:rsidRPr="00464A3D">
              <w:rPr>
                <w:rFonts w:ascii="Arial" w:eastAsia="Arial" w:hAnsi="Arial" w:cs="Arial"/>
                <w:color w:val="auto"/>
              </w:rPr>
              <w:t>centred amenity model</w:t>
            </w:r>
            <w:r w:rsidR="0020018D">
              <w:rPr>
                <w:rFonts w:ascii="Arial" w:eastAsia="Arial" w:hAnsi="Arial" w:cs="Arial"/>
                <w:color w:val="auto"/>
              </w:rPr>
              <w:t xml:space="preserve"> </w:t>
            </w:r>
            <w:r w:rsidR="00AC7CFB" w:rsidRPr="00464A3D">
              <w:rPr>
                <w:rFonts w:ascii="Arial" w:eastAsia="Arial" w:hAnsi="Arial" w:cs="Arial"/>
                <w:color w:val="auto"/>
              </w:rPr>
              <w:t>(Bryson, 2004)</w:t>
            </w:r>
            <w:r w:rsidR="0020018D">
              <w:rPr>
                <w:rFonts w:ascii="Arial" w:eastAsia="Arial" w:hAnsi="Arial" w:cs="Arial"/>
                <w:color w:val="auto"/>
              </w:rPr>
              <w:t>.</w:t>
            </w:r>
          </w:p>
        </w:tc>
      </w:tr>
    </w:tbl>
    <w:p w14:paraId="38F1A2EE" w14:textId="77777777" w:rsidR="00D20A5C" w:rsidRDefault="00D20A5C" w:rsidP="00D20A5C">
      <w:pPr>
        <w:spacing w:before="80" w:line="360" w:lineRule="auto"/>
        <w:jc w:val="both"/>
        <w:rPr>
          <w:rFonts w:ascii="Arial" w:eastAsia="Arial" w:hAnsi="Arial" w:cs="Arial"/>
        </w:rPr>
      </w:pPr>
    </w:p>
    <w:p w14:paraId="367F193B" w14:textId="10F0FE60" w:rsidR="009704FD" w:rsidRPr="00DF364C" w:rsidRDefault="009704FD" w:rsidP="00D20A5C">
      <w:pPr>
        <w:spacing w:before="80" w:line="360" w:lineRule="auto"/>
        <w:jc w:val="both"/>
        <w:rPr>
          <w:rFonts w:ascii="Arial" w:eastAsia="Arial" w:hAnsi="Arial" w:cs="Arial"/>
          <w:sz w:val="32"/>
          <w:szCs w:val="32"/>
        </w:rPr>
      </w:pPr>
      <w:r w:rsidRPr="00DF364C">
        <w:rPr>
          <w:rFonts w:ascii="Arial" w:eastAsia="Arial" w:hAnsi="Arial" w:cs="Arial"/>
          <w:sz w:val="32"/>
          <w:szCs w:val="32"/>
        </w:rPr>
        <w:t>3. Key Internal and External Stakeholders</w:t>
      </w:r>
    </w:p>
    <w:p w14:paraId="4ECA42CE" w14:textId="0DBD79B9" w:rsidR="009704FD" w:rsidRDefault="009704FD" w:rsidP="009704FD">
      <w:pPr>
        <w:spacing w:after="0" w:line="360" w:lineRule="auto"/>
        <w:jc w:val="both"/>
        <w:rPr>
          <w:rFonts w:ascii="Arial" w:eastAsia="Times New Roman" w:hAnsi="Arial" w:cs="Arial"/>
          <w:kern w:val="0"/>
          <w:lang w:eastAsia="en-GB"/>
          <w14:ligatures w14:val="none"/>
        </w:rPr>
      </w:pPr>
      <w:r w:rsidRPr="009704FD">
        <w:rPr>
          <w:rFonts w:ascii="Arial" w:eastAsia="Times New Roman" w:hAnsi="Arial" w:cs="Arial"/>
          <w:kern w:val="0"/>
          <w:lang w:eastAsia="en-GB"/>
          <w14:ligatures w14:val="none"/>
        </w:rPr>
        <w:t xml:space="preserve">According to stakeholder theory, </w:t>
      </w:r>
      <w:r w:rsidR="0020018D">
        <w:rPr>
          <w:rFonts w:ascii="Arial" w:eastAsia="Times New Roman" w:hAnsi="Arial" w:cs="Arial"/>
          <w:kern w:val="0"/>
          <w:lang w:eastAsia="en-GB"/>
          <w14:ligatures w14:val="none"/>
        </w:rPr>
        <w:t>‘</w:t>
      </w:r>
      <w:r w:rsidRPr="009704FD">
        <w:rPr>
          <w:rFonts w:ascii="Arial" w:eastAsia="Times New Roman" w:hAnsi="Arial" w:cs="Arial"/>
          <w:kern w:val="0"/>
          <w:lang w:eastAsia="en-GB"/>
          <w14:ligatures w14:val="none"/>
        </w:rPr>
        <w:t>any group or individual who can affect or is affected by the achievement of the organization's objectives</w:t>
      </w:r>
      <w:r w:rsidR="0020018D">
        <w:rPr>
          <w:rFonts w:ascii="Arial" w:eastAsia="Times New Roman" w:hAnsi="Arial" w:cs="Arial"/>
          <w:kern w:val="0"/>
          <w:lang w:eastAsia="en-GB"/>
          <w14:ligatures w14:val="none"/>
        </w:rPr>
        <w:t>’</w:t>
      </w:r>
      <w:r w:rsidRPr="009704FD">
        <w:rPr>
          <w:rFonts w:ascii="Arial" w:eastAsia="Times New Roman" w:hAnsi="Arial" w:cs="Arial"/>
          <w:kern w:val="0"/>
          <w:lang w:eastAsia="en-GB"/>
          <w14:ligatures w14:val="none"/>
        </w:rPr>
        <w:t xml:space="preserve">, as first methodically expressed by Freeman (1984, p. 46). The </w:t>
      </w:r>
      <w:proofErr w:type="spellStart"/>
      <w:r w:rsidRPr="009704FD">
        <w:rPr>
          <w:rFonts w:ascii="Arial" w:eastAsia="Times New Roman" w:hAnsi="Arial" w:cs="Arial"/>
          <w:kern w:val="0"/>
          <w:lang w:eastAsia="en-GB"/>
          <w14:ligatures w14:val="none"/>
        </w:rPr>
        <w:t>StaySmart</w:t>
      </w:r>
      <w:proofErr w:type="spellEnd"/>
      <w:r w:rsidRPr="009704FD">
        <w:rPr>
          <w:rFonts w:ascii="Arial" w:eastAsia="Times New Roman" w:hAnsi="Arial" w:cs="Arial"/>
          <w:kern w:val="0"/>
          <w:lang w:eastAsia="en-GB"/>
          <w14:ligatures w14:val="none"/>
        </w:rPr>
        <w:t xml:space="preserve">+ launch involves stakeholders from many </w:t>
      </w:r>
      <w:r w:rsidR="0020018D">
        <w:rPr>
          <w:rFonts w:ascii="Arial" w:eastAsia="Times New Roman" w:hAnsi="Arial" w:cs="Arial"/>
          <w:kern w:val="0"/>
          <w:lang w:eastAsia="en-GB"/>
          <w14:ligatures w14:val="none"/>
        </w:rPr>
        <w:t>countries</w:t>
      </w:r>
      <w:r w:rsidRPr="009704FD">
        <w:rPr>
          <w:rFonts w:ascii="Arial" w:eastAsia="Times New Roman" w:hAnsi="Arial" w:cs="Arial"/>
          <w:kern w:val="0"/>
          <w:lang w:eastAsia="en-GB"/>
          <w14:ligatures w14:val="none"/>
        </w:rPr>
        <w:t xml:space="preserve"> and functions. </w:t>
      </w:r>
    </w:p>
    <w:p w14:paraId="0CD8F37B" w14:textId="67C31E87" w:rsidR="00AA015C" w:rsidRDefault="009704FD" w:rsidP="009704FD">
      <w:pPr>
        <w:spacing w:after="0" w:line="360" w:lineRule="auto"/>
        <w:rPr>
          <w:rFonts w:ascii="Arial" w:eastAsia="Times New Roman" w:hAnsi="Arial" w:cs="Arial"/>
          <w:kern w:val="0"/>
          <w:sz w:val="28"/>
          <w:szCs w:val="28"/>
          <w:lang w:eastAsia="en-GB"/>
          <w14:ligatures w14:val="none"/>
        </w:rPr>
      </w:pPr>
      <w:r w:rsidRPr="00DF364C">
        <w:rPr>
          <w:rFonts w:ascii="Arial" w:eastAsia="Times New Roman" w:hAnsi="Arial" w:cs="Arial"/>
          <w:kern w:val="0"/>
          <w:sz w:val="28"/>
          <w:szCs w:val="28"/>
          <w:lang w:eastAsia="en-GB"/>
          <w14:ligatures w14:val="none"/>
        </w:rPr>
        <w:t>3.1</w:t>
      </w:r>
      <w:r w:rsidR="00DF364C">
        <w:rPr>
          <w:rFonts w:ascii="Arial" w:eastAsia="Times New Roman" w:hAnsi="Arial" w:cs="Arial"/>
          <w:kern w:val="0"/>
          <w:sz w:val="28"/>
          <w:szCs w:val="28"/>
          <w:lang w:eastAsia="en-GB"/>
          <w14:ligatures w14:val="none"/>
        </w:rPr>
        <w:t xml:space="preserve"> I</w:t>
      </w:r>
      <w:r w:rsidRPr="00DF364C">
        <w:rPr>
          <w:rFonts w:ascii="Arial" w:eastAsia="Times New Roman" w:hAnsi="Arial" w:cs="Arial"/>
          <w:kern w:val="0"/>
          <w:sz w:val="28"/>
          <w:szCs w:val="28"/>
          <w:lang w:eastAsia="en-GB"/>
          <w14:ligatures w14:val="none"/>
        </w:rPr>
        <w:t xml:space="preserve">nternal stakeholders </w:t>
      </w:r>
    </w:p>
    <w:p w14:paraId="3B1D1D7B" w14:textId="38F373AB" w:rsidR="00AC7CFB" w:rsidRPr="00AC7CFB" w:rsidRDefault="00AC7CFB" w:rsidP="0020018D">
      <w:pPr>
        <w:spacing w:after="0" w:line="360" w:lineRule="auto"/>
        <w:jc w:val="both"/>
        <w:rPr>
          <w:rFonts w:ascii="Arial" w:eastAsia="Times New Roman" w:hAnsi="Arial" w:cs="Arial"/>
          <w:kern w:val="0"/>
          <w:lang w:eastAsia="en-GB"/>
          <w14:ligatures w14:val="none"/>
        </w:rPr>
      </w:pPr>
      <w:r w:rsidRPr="00AC7CFB">
        <w:rPr>
          <w:rFonts w:ascii="Arial" w:eastAsia="Times New Roman" w:hAnsi="Arial" w:cs="Arial"/>
          <w:kern w:val="0"/>
          <w:lang w:eastAsia="en-GB"/>
          <w14:ligatures w14:val="none"/>
        </w:rPr>
        <w:t>Internal stakeholders contribute to decision making,</w:t>
      </w:r>
      <w:r w:rsidR="0020018D">
        <w:rPr>
          <w:rFonts w:ascii="Arial" w:eastAsia="Times New Roman" w:hAnsi="Arial" w:cs="Arial"/>
          <w:kern w:val="0"/>
          <w:lang w:eastAsia="en-GB"/>
          <w14:ligatures w14:val="none"/>
        </w:rPr>
        <w:t xml:space="preserve"> </w:t>
      </w:r>
      <w:r w:rsidRPr="00AC7CFB">
        <w:rPr>
          <w:rFonts w:ascii="Arial" w:eastAsia="Times New Roman" w:hAnsi="Arial" w:cs="Arial"/>
          <w:kern w:val="0"/>
          <w:lang w:eastAsia="en-GB"/>
          <w14:ligatures w14:val="none"/>
        </w:rPr>
        <w:t>implementation, and operational success (Bourne, 2016)</w:t>
      </w:r>
    </w:p>
    <w:tbl>
      <w:tblPr>
        <w:tblStyle w:val="GridTable1Light-Accent4"/>
        <w:tblW w:w="5000" w:type="pct"/>
        <w:tblLook w:val="04A0" w:firstRow="1" w:lastRow="0" w:firstColumn="1" w:lastColumn="0" w:noHBand="0" w:noVBand="1"/>
      </w:tblPr>
      <w:tblGrid>
        <w:gridCol w:w="2689"/>
        <w:gridCol w:w="6327"/>
      </w:tblGrid>
      <w:tr w:rsidR="00AA015C" w14:paraId="752BF2D8" w14:textId="77777777" w:rsidTr="00AA01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pct"/>
          </w:tcPr>
          <w:p w14:paraId="1B7E6E5F" w14:textId="5DC21666" w:rsidR="00AA015C" w:rsidRPr="00AA015C" w:rsidRDefault="00AA015C" w:rsidP="00AA015C">
            <w:pPr>
              <w:spacing w:line="360" w:lineRule="auto"/>
              <w:rPr>
                <w:rFonts w:ascii="Arial" w:eastAsia="Times New Roman" w:hAnsi="Arial" w:cs="Arial"/>
                <w:b w:val="0"/>
                <w:bCs w:val="0"/>
                <w:kern w:val="0"/>
                <w:lang w:eastAsia="en-GB"/>
                <w14:ligatures w14:val="none"/>
              </w:rPr>
            </w:pPr>
            <w:r w:rsidRPr="00AA015C">
              <w:rPr>
                <w:rFonts w:ascii="Arial" w:eastAsia="Times New Roman" w:hAnsi="Arial" w:cs="Arial"/>
                <w:b w:val="0"/>
                <w:bCs w:val="0"/>
                <w:kern w:val="0"/>
                <w:lang w:eastAsia="en-GB"/>
                <w14:ligatures w14:val="none"/>
              </w:rPr>
              <w:t>Stakeholder Group</w:t>
            </w:r>
          </w:p>
        </w:tc>
        <w:tc>
          <w:tcPr>
            <w:tcW w:w="3509" w:type="pct"/>
          </w:tcPr>
          <w:p w14:paraId="5C5CF4E6" w14:textId="77777777" w:rsidR="00AA015C" w:rsidRDefault="00AA015C" w:rsidP="009704FD">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p>
        </w:tc>
      </w:tr>
      <w:tr w:rsidR="00AA015C" w14:paraId="05DC47AF" w14:textId="77777777" w:rsidTr="00AA015C">
        <w:tc>
          <w:tcPr>
            <w:cnfStyle w:val="001000000000" w:firstRow="0" w:lastRow="0" w:firstColumn="1" w:lastColumn="0" w:oddVBand="0" w:evenVBand="0" w:oddHBand="0" w:evenHBand="0" w:firstRowFirstColumn="0" w:firstRowLastColumn="0" w:lastRowFirstColumn="0" w:lastRowLastColumn="0"/>
            <w:tcW w:w="1491" w:type="pct"/>
          </w:tcPr>
          <w:p w14:paraId="321039C3" w14:textId="22E2C9AA" w:rsidR="00AA015C" w:rsidRPr="00AA015C" w:rsidRDefault="00AA015C" w:rsidP="0020018D">
            <w:pPr>
              <w:spacing w:line="360" w:lineRule="auto"/>
              <w:jc w:val="center"/>
              <w:rPr>
                <w:rFonts w:ascii="Arial" w:eastAsia="Times New Roman" w:hAnsi="Arial" w:cs="Arial"/>
                <w:b w:val="0"/>
                <w:bCs w:val="0"/>
                <w:kern w:val="0"/>
                <w:lang w:eastAsia="en-GB"/>
                <w14:ligatures w14:val="none"/>
              </w:rPr>
            </w:pPr>
            <w:r w:rsidRPr="00AA015C">
              <w:rPr>
                <w:rFonts w:ascii="Arial" w:eastAsia="Times New Roman" w:hAnsi="Arial" w:cs="Arial"/>
                <w:b w:val="0"/>
                <w:bCs w:val="0"/>
                <w:kern w:val="0"/>
                <w:lang w:eastAsia="en-GB"/>
                <w14:ligatures w14:val="none"/>
              </w:rPr>
              <w:t>Executive Leadership Team (ELT)</w:t>
            </w:r>
          </w:p>
        </w:tc>
        <w:tc>
          <w:tcPr>
            <w:tcW w:w="3509" w:type="pct"/>
          </w:tcPr>
          <w:p w14:paraId="3384B9E5" w14:textId="23047F09" w:rsidR="00AA015C" w:rsidRDefault="00AA015C" w:rsidP="00200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AA015C">
              <w:rPr>
                <w:rFonts w:ascii="Arial" w:eastAsia="Times New Roman" w:hAnsi="Arial" w:cs="Arial"/>
                <w:kern w:val="0"/>
                <w:lang w:eastAsia="en-GB"/>
                <w14:ligatures w14:val="none"/>
              </w:rPr>
              <w:t xml:space="preserve">The CEO, CFO, and Chief Digital Officer set the overall direction for </w:t>
            </w:r>
            <w:proofErr w:type="spellStart"/>
            <w:r w:rsidRPr="00AA015C">
              <w:rPr>
                <w:rFonts w:ascii="Arial" w:eastAsia="Times New Roman" w:hAnsi="Arial" w:cs="Arial"/>
                <w:kern w:val="0"/>
                <w:lang w:eastAsia="en-GB"/>
                <w14:ligatures w14:val="none"/>
              </w:rPr>
              <w:t>StaySmart</w:t>
            </w:r>
            <w:proofErr w:type="spellEnd"/>
            <w:r w:rsidRPr="00AA015C">
              <w:rPr>
                <w:rFonts w:ascii="Arial" w:eastAsia="Times New Roman" w:hAnsi="Arial" w:cs="Arial"/>
                <w:kern w:val="0"/>
                <w:lang w:eastAsia="en-GB"/>
                <w14:ligatures w14:val="none"/>
              </w:rPr>
              <w:t>+. Their approval determines how much strategic importance the project receives and how much funding and organisational support it can access</w:t>
            </w:r>
            <w:r w:rsidR="00D27771">
              <w:rPr>
                <w:rFonts w:ascii="Arial" w:eastAsia="Times New Roman" w:hAnsi="Arial" w:cs="Arial"/>
                <w:kern w:val="0"/>
                <w:lang w:eastAsia="en-GB"/>
                <w14:ligatures w14:val="none"/>
              </w:rPr>
              <w:t xml:space="preserve"> (Rowley, 1997)</w:t>
            </w:r>
            <w:r w:rsidRPr="00AA015C">
              <w:rPr>
                <w:rFonts w:ascii="Arial" w:eastAsia="Times New Roman" w:hAnsi="Arial" w:cs="Arial"/>
                <w:kern w:val="0"/>
                <w:lang w:eastAsia="en-GB"/>
                <w14:ligatures w14:val="none"/>
              </w:rPr>
              <w:t>.</w:t>
            </w:r>
          </w:p>
        </w:tc>
      </w:tr>
      <w:tr w:rsidR="00AA015C" w14:paraId="753789DB" w14:textId="77777777" w:rsidTr="00AA015C">
        <w:tc>
          <w:tcPr>
            <w:cnfStyle w:val="001000000000" w:firstRow="0" w:lastRow="0" w:firstColumn="1" w:lastColumn="0" w:oddVBand="0" w:evenVBand="0" w:oddHBand="0" w:evenHBand="0" w:firstRowFirstColumn="0" w:firstRowLastColumn="0" w:lastRowFirstColumn="0" w:lastRowLastColumn="0"/>
            <w:tcW w:w="1491" w:type="pct"/>
          </w:tcPr>
          <w:p w14:paraId="6EB6AE9B" w14:textId="6A9EB808" w:rsidR="00AA015C" w:rsidRPr="00DF4F25" w:rsidRDefault="00AA015C" w:rsidP="0020018D">
            <w:pPr>
              <w:spacing w:line="360" w:lineRule="auto"/>
              <w:jc w:val="center"/>
              <w:rPr>
                <w:rFonts w:ascii="Arial" w:eastAsia="Times New Roman" w:hAnsi="Arial" w:cs="Arial"/>
                <w:b w:val="0"/>
                <w:bCs w:val="0"/>
                <w:kern w:val="0"/>
                <w:lang w:eastAsia="en-GB"/>
                <w14:ligatures w14:val="none"/>
              </w:rPr>
            </w:pPr>
            <w:r w:rsidRPr="00DF4F25">
              <w:rPr>
                <w:rFonts w:ascii="Arial" w:eastAsia="Times New Roman" w:hAnsi="Arial" w:cs="Arial"/>
                <w:b w:val="0"/>
                <w:bCs w:val="0"/>
                <w:kern w:val="0"/>
                <w:lang w:eastAsia="en-GB"/>
                <w14:ligatures w14:val="none"/>
              </w:rPr>
              <w:t>Product</w:t>
            </w:r>
            <w:r w:rsidR="0020018D">
              <w:rPr>
                <w:rFonts w:ascii="Arial" w:eastAsia="Times New Roman" w:hAnsi="Arial" w:cs="Arial"/>
                <w:b w:val="0"/>
                <w:bCs w:val="0"/>
                <w:kern w:val="0"/>
                <w:lang w:eastAsia="en-GB"/>
                <w14:ligatures w14:val="none"/>
              </w:rPr>
              <w:t xml:space="preserve"> </w:t>
            </w:r>
            <w:r w:rsidRPr="00DF4F25">
              <w:rPr>
                <w:rFonts w:ascii="Arial" w:eastAsia="Times New Roman" w:hAnsi="Arial" w:cs="Arial"/>
                <w:b w:val="0"/>
                <w:bCs w:val="0"/>
                <w:kern w:val="0"/>
                <w:lang w:eastAsia="en-GB"/>
                <w14:ligatures w14:val="none"/>
              </w:rPr>
              <w:t>Development and Technology Team</w:t>
            </w:r>
          </w:p>
        </w:tc>
        <w:tc>
          <w:tcPr>
            <w:tcW w:w="3509" w:type="pct"/>
          </w:tcPr>
          <w:p w14:paraId="71556CB0" w14:textId="4E313D19" w:rsidR="00AA015C" w:rsidRDefault="00AA015C" w:rsidP="00200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AA015C">
              <w:rPr>
                <w:rFonts w:ascii="Arial" w:eastAsia="Times New Roman" w:hAnsi="Arial" w:cs="Arial"/>
                <w:kern w:val="0"/>
                <w:lang w:eastAsia="en-GB"/>
                <w14:ligatures w14:val="none"/>
              </w:rPr>
              <w:t xml:space="preserve">This team designs and builds the core elements of </w:t>
            </w:r>
            <w:proofErr w:type="spellStart"/>
            <w:r w:rsidRPr="00AA015C">
              <w:rPr>
                <w:rFonts w:ascii="Arial" w:eastAsia="Times New Roman" w:hAnsi="Arial" w:cs="Arial"/>
                <w:kern w:val="0"/>
                <w:lang w:eastAsia="en-GB"/>
                <w14:ligatures w14:val="none"/>
              </w:rPr>
              <w:t>StaySmart</w:t>
            </w:r>
            <w:proofErr w:type="spellEnd"/>
            <w:r w:rsidRPr="00AA015C">
              <w:rPr>
                <w:rFonts w:ascii="Arial" w:eastAsia="Times New Roman" w:hAnsi="Arial" w:cs="Arial"/>
                <w:kern w:val="0"/>
                <w:lang w:eastAsia="en-GB"/>
                <w14:ligatures w14:val="none"/>
              </w:rPr>
              <w:t>+, including the AI concierge, personalisation engine, and mobile</w:t>
            </w:r>
            <w:r w:rsidRPr="00AA015C">
              <w:rPr>
                <w:rFonts w:ascii="Cambria Math" w:eastAsia="Times New Roman" w:hAnsi="Cambria Math" w:cs="Cambria Math"/>
                <w:kern w:val="0"/>
                <w:lang w:eastAsia="en-GB"/>
                <w14:ligatures w14:val="none"/>
              </w:rPr>
              <w:t>‑</w:t>
            </w:r>
            <w:r w:rsidRPr="00AA015C">
              <w:rPr>
                <w:rFonts w:ascii="Arial" w:eastAsia="Times New Roman" w:hAnsi="Arial" w:cs="Arial"/>
                <w:kern w:val="0"/>
                <w:lang w:eastAsia="en-GB"/>
                <w14:ligatures w14:val="none"/>
              </w:rPr>
              <w:t>first user experience. They are responsible for the system’s technical architecture and ensuring it integrates smoothly with existing hotel platforms.</w:t>
            </w:r>
          </w:p>
        </w:tc>
      </w:tr>
      <w:tr w:rsidR="00AA015C" w14:paraId="3D7840AA" w14:textId="77777777" w:rsidTr="00AA015C">
        <w:tc>
          <w:tcPr>
            <w:cnfStyle w:val="001000000000" w:firstRow="0" w:lastRow="0" w:firstColumn="1" w:lastColumn="0" w:oddVBand="0" w:evenVBand="0" w:oddHBand="0" w:evenHBand="0" w:firstRowFirstColumn="0" w:firstRowLastColumn="0" w:lastRowFirstColumn="0" w:lastRowLastColumn="0"/>
            <w:tcW w:w="1491" w:type="pct"/>
          </w:tcPr>
          <w:p w14:paraId="6EB08261" w14:textId="1055EF3F" w:rsidR="00AA015C" w:rsidRPr="00DF4F25" w:rsidRDefault="00AA015C" w:rsidP="0020018D">
            <w:pPr>
              <w:spacing w:line="360" w:lineRule="auto"/>
              <w:jc w:val="center"/>
              <w:rPr>
                <w:rFonts w:ascii="Arial" w:eastAsia="Times New Roman" w:hAnsi="Arial" w:cs="Arial"/>
                <w:b w:val="0"/>
                <w:bCs w:val="0"/>
                <w:kern w:val="0"/>
                <w:lang w:eastAsia="en-GB"/>
                <w14:ligatures w14:val="none"/>
              </w:rPr>
            </w:pPr>
            <w:r w:rsidRPr="00DF4F25">
              <w:rPr>
                <w:rFonts w:ascii="Arial" w:eastAsia="Times New Roman" w:hAnsi="Arial" w:cs="Arial"/>
                <w:b w:val="0"/>
                <w:bCs w:val="0"/>
                <w:kern w:val="0"/>
                <w:lang w:eastAsia="en-GB"/>
                <w14:ligatures w14:val="none"/>
              </w:rPr>
              <w:t>Marketing and Brand Management</w:t>
            </w:r>
          </w:p>
        </w:tc>
        <w:tc>
          <w:tcPr>
            <w:tcW w:w="3509" w:type="pct"/>
          </w:tcPr>
          <w:p w14:paraId="0486ABC4" w14:textId="73C703D2" w:rsidR="00AA015C" w:rsidRDefault="00AA015C" w:rsidP="00200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AA015C">
              <w:rPr>
                <w:rFonts w:ascii="Arial" w:eastAsia="Times New Roman" w:hAnsi="Arial" w:cs="Arial"/>
                <w:kern w:val="0"/>
                <w:lang w:eastAsia="en-GB"/>
                <w14:ligatures w14:val="none"/>
              </w:rPr>
              <w:t xml:space="preserve">Marketing shapes how </w:t>
            </w:r>
            <w:proofErr w:type="spellStart"/>
            <w:r w:rsidRPr="00AA015C">
              <w:rPr>
                <w:rFonts w:ascii="Arial" w:eastAsia="Times New Roman" w:hAnsi="Arial" w:cs="Arial"/>
                <w:kern w:val="0"/>
                <w:lang w:eastAsia="en-GB"/>
                <w14:ligatures w14:val="none"/>
              </w:rPr>
              <w:t>StaySmart</w:t>
            </w:r>
            <w:proofErr w:type="spellEnd"/>
            <w:r w:rsidRPr="00AA015C">
              <w:rPr>
                <w:rFonts w:ascii="Arial" w:eastAsia="Times New Roman" w:hAnsi="Arial" w:cs="Arial"/>
                <w:kern w:val="0"/>
                <w:lang w:eastAsia="en-GB"/>
                <w14:ligatures w14:val="none"/>
              </w:rPr>
              <w:t>+ is presented to guests across all markets. They oversee campaign development, loyalty programme alignment, and brand consistency, ensuring the service fits seamlessly within the company’s broader identity.</w:t>
            </w:r>
          </w:p>
        </w:tc>
      </w:tr>
      <w:tr w:rsidR="00AA015C" w14:paraId="1E5ECC8E" w14:textId="77777777" w:rsidTr="00AA015C">
        <w:tc>
          <w:tcPr>
            <w:cnfStyle w:val="001000000000" w:firstRow="0" w:lastRow="0" w:firstColumn="1" w:lastColumn="0" w:oddVBand="0" w:evenVBand="0" w:oddHBand="0" w:evenHBand="0" w:firstRowFirstColumn="0" w:firstRowLastColumn="0" w:lastRowFirstColumn="0" w:lastRowLastColumn="0"/>
            <w:tcW w:w="1491" w:type="pct"/>
          </w:tcPr>
          <w:p w14:paraId="49559804" w14:textId="66070CC1" w:rsidR="00AA015C" w:rsidRPr="00DF4F25" w:rsidRDefault="0020018D" w:rsidP="009704FD">
            <w:pPr>
              <w:spacing w:line="360" w:lineRule="auto"/>
              <w:rPr>
                <w:rFonts w:ascii="Arial" w:eastAsia="Times New Roman" w:hAnsi="Arial" w:cs="Arial"/>
                <w:b w:val="0"/>
                <w:bCs w:val="0"/>
                <w:kern w:val="0"/>
                <w:lang w:eastAsia="en-GB"/>
                <w14:ligatures w14:val="none"/>
              </w:rPr>
            </w:pPr>
            <w:r>
              <w:rPr>
                <w:rFonts w:ascii="Arial" w:eastAsia="Times New Roman" w:hAnsi="Arial" w:cs="Arial"/>
                <w:b w:val="0"/>
                <w:bCs w:val="0"/>
                <w:kern w:val="0"/>
                <w:lang w:eastAsia="en-GB"/>
                <w14:ligatures w14:val="none"/>
              </w:rPr>
              <w:t xml:space="preserve"> </w:t>
            </w:r>
            <w:r w:rsidR="00AA015C" w:rsidRPr="00DF4F25">
              <w:rPr>
                <w:rFonts w:ascii="Arial" w:eastAsia="Times New Roman" w:hAnsi="Arial" w:cs="Arial"/>
                <w:b w:val="0"/>
                <w:bCs w:val="0"/>
                <w:kern w:val="0"/>
                <w:lang w:eastAsia="en-GB"/>
                <w14:ligatures w14:val="none"/>
              </w:rPr>
              <w:t>Sales Department</w:t>
            </w:r>
          </w:p>
        </w:tc>
        <w:tc>
          <w:tcPr>
            <w:tcW w:w="3509" w:type="pct"/>
          </w:tcPr>
          <w:p w14:paraId="73B5BE9F" w14:textId="19396C5A" w:rsidR="00AA015C" w:rsidRDefault="00AA015C" w:rsidP="00200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AA015C">
              <w:rPr>
                <w:rFonts w:ascii="Arial" w:eastAsia="Times New Roman" w:hAnsi="Arial" w:cs="Arial"/>
                <w:kern w:val="0"/>
                <w:lang w:eastAsia="en-GB"/>
                <w14:ligatures w14:val="none"/>
              </w:rPr>
              <w:t xml:space="preserve">Sales teams work with corporate clients, travel partners, and distribution channels to embed </w:t>
            </w:r>
            <w:proofErr w:type="spellStart"/>
            <w:r w:rsidRPr="00AA015C">
              <w:rPr>
                <w:rFonts w:ascii="Arial" w:eastAsia="Times New Roman" w:hAnsi="Arial" w:cs="Arial"/>
                <w:kern w:val="0"/>
                <w:lang w:eastAsia="en-GB"/>
                <w14:ligatures w14:val="none"/>
              </w:rPr>
              <w:t>StaySmart</w:t>
            </w:r>
            <w:proofErr w:type="spellEnd"/>
            <w:r w:rsidRPr="00AA015C">
              <w:rPr>
                <w:rFonts w:ascii="Arial" w:eastAsia="Times New Roman" w:hAnsi="Arial" w:cs="Arial"/>
                <w:kern w:val="0"/>
                <w:lang w:eastAsia="en-GB"/>
                <w14:ligatures w14:val="none"/>
              </w:rPr>
              <w:t>+ into</w:t>
            </w:r>
            <w:r w:rsidR="00DF4F25">
              <w:t xml:space="preserve"> </w:t>
            </w:r>
            <w:r w:rsidR="00DF4F25" w:rsidRPr="00DF4F25">
              <w:rPr>
                <w:rFonts w:ascii="Arial" w:eastAsia="Times New Roman" w:hAnsi="Arial" w:cs="Arial"/>
                <w:kern w:val="0"/>
                <w:lang w:eastAsia="en-GB"/>
                <w14:ligatures w14:val="none"/>
              </w:rPr>
              <w:t>Business</w:t>
            </w:r>
            <w:r w:rsidR="00DF4F25" w:rsidRPr="00DF4F25">
              <w:rPr>
                <w:rFonts w:ascii="Cambria Math" w:eastAsia="Times New Roman" w:hAnsi="Cambria Math" w:cs="Cambria Math"/>
                <w:kern w:val="0"/>
                <w:lang w:eastAsia="en-GB"/>
                <w14:ligatures w14:val="none"/>
              </w:rPr>
              <w:t>‑</w:t>
            </w:r>
            <w:r w:rsidR="00DF4F25" w:rsidRPr="00DF4F25">
              <w:rPr>
                <w:rFonts w:ascii="Arial" w:eastAsia="Times New Roman" w:hAnsi="Arial" w:cs="Arial"/>
                <w:kern w:val="0"/>
                <w:lang w:eastAsia="en-GB"/>
                <w14:ligatures w14:val="none"/>
              </w:rPr>
              <w:t>to</w:t>
            </w:r>
            <w:r w:rsidR="00DF4F25" w:rsidRPr="00DF4F25">
              <w:rPr>
                <w:rFonts w:ascii="Cambria Math" w:eastAsia="Times New Roman" w:hAnsi="Cambria Math" w:cs="Cambria Math"/>
                <w:kern w:val="0"/>
                <w:lang w:eastAsia="en-GB"/>
                <w14:ligatures w14:val="none"/>
              </w:rPr>
              <w:t>‑</w:t>
            </w:r>
            <w:r w:rsidR="00DF4F25" w:rsidRPr="00DF4F25">
              <w:rPr>
                <w:rFonts w:ascii="Arial" w:eastAsia="Times New Roman" w:hAnsi="Arial" w:cs="Arial"/>
                <w:kern w:val="0"/>
                <w:lang w:eastAsia="en-GB"/>
                <w14:ligatures w14:val="none"/>
              </w:rPr>
              <w:t>Business</w:t>
            </w:r>
            <w:r w:rsidRPr="00AA015C">
              <w:rPr>
                <w:rFonts w:ascii="Arial" w:eastAsia="Times New Roman" w:hAnsi="Arial" w:cs="Arial"/>
                <w:kern w:val="0"/>
                <w:lang w:eastAsia="en-GB"/>
                <w14:ligatures w14:val="none"/>
              </w:rPr>
              <w:t xml:space="preserve"> agreements and OTA listings. Their role is essential for driving adoption beyond individual properties.</w:t>
            </w:r>
          </w:p>
        </w:tc>
      </w:tr>
      <w:tr w:rsidR="00AA015C" w14:paraId="74896120" w14:textId="77777777" w:rsidTr="00AA015C">
        <w:tc>
          <w:tcPr>
            <w:cnfStyle w:val="001000000000" w:firstRow="0" w:lastRow="0" w:firstColumn="1" w:lastColumn="0" w:oddVBand="0" w:evenVBand="0" w:oddHBand="0" w:evenHBand="0" w:firstRowFirstColumn="0" w:firstRowLastColumn="0" w:lastRowFirstColumn="0" w:lastRowLastColumn="0"/>
            <w:tcW w:w="1491" w:type="pct"/>
          </w:tcPr>
          <w:p w14:paraId="35DA218D" w14:textId="61D7D450" w:rsidR="00AA015C" w:rsidRPr="00DF4F25" w:rsidRDefault="00AA015C" w:rsidP="00AA015C">
            <w:pPr>
              <w:spacing w:line="360" w:lineRule="auto"/>
              <w:jc w:val="center"/>
              <w:rPr>
                <w:rFonts w:ascii="Arial" w:eastAsia="Times New Roman" w:hAnsi="Arial" w:cs="Arial"/>
                <w:b w:val="0"/>
                <w:bCs w:val="0"/>
                <w:kern w:val="0"/>
                <w:lang w:eastAsia="en-GB"/>
                <w14:ligatures w14:val="none"/>
              </w:rPr>
            </w:pPr>
            <w:r w:rsidRPr="00DF4F25">
              <w:rPr>
                <w:rFonts w:ascii="Arial" w:eastAsia="Times New Roman" w:hAnsi="Arial" w:cs="Arial"/>
                <w:b w:val="0"/>
                <w:bCs w:val="0"/>
                <w:kern w:val="0"/>
                <w:lang w:eastAsia="en-GB"/>
                <w14:ligatures w14:val="none"/>
              </w:rPr>
              <w:t>Operations and Front</w:t>
            </w:r>
            <w:r w:rsidR="00DF4F25">
              <w:rPr>
                <w:rFonts w:ascii="Arial" w:eastAsia="Times New Roman" w:hAnsi="Arial" w:cs="Arial"/>
                <w:b w:val="0"/>
                <w:bCs w:val="0"/>
                <w:kern w:val="0"/>
                <w:lang w:eastAsia="en-GB"/>
                <w14:ligatures w14:val="none"/>
              </w:rPr>
              <w:t xml:space="preserve"> </w:t>
            </w:r>
            <w:r w:rsidRPr="00DF4F25">
              <w:rPr>
                <w:rFonts w:ascii="Arial" w:eastAsia="Times New Roman" w:hAnsi="Arial" w:cs="Arial"/>
                <w:b w:val="0"/>
                <w:bCs w:val="0"/>
                <w:kern w:val="0"/>
                <w:lang w:eastAsia="en-GB"/>
                <w14:ligatures w14:val="none"/>
              </w:rPr>
              <w:t>of</w:t>
            </w:r>
            <w:r w:rsidR="00DF4F25">
              <w:rPr>
                <w:rFonts w:ascii="Arial" w:eastAsia="Times New Roman" w:hAnsi="Arial" w:cs="Arial"/>
                <w:b w:val="0"/>
                <w:bCs w:val="0"/>
                <w:kern w:val="0"/>
                <w:lang w:eastAsia="en-GB"/>
                <w14:ligatures w14:val="none"/>
              </w:rPr>
              <w:t xml:space="preserve"> </w:t>
            </w:r>
            <w:r w:rsidRPr="00DF4F25">
              <w:rPr>
                <w:rFonts w:ascii="Arial" w:eastAsia="Times New Roman" w:hAnsi="Arial" w:cs="Arial"/>
                <w:b w:val="0"/>
                <w:bCs w:val="0"/>
                <w:kern w:val="0"/>
                <w:lang w:eastAsia="en-GB"/>
                <w14:ligatures w14:val="none"/>
              </w:rPr>
              <w:t>House Teams</w:t>
            </w:r>
          </w:p>
        </w:tc>
        <w:tc>
          <w:tcPr>
            <w:tcW w:w="3509" w:type="pct"/>
          </w:tcPr>
          <w:p w14:paraId="0C460062" w14:textId="2A4618A0" w:rsidR="00AA015C" w:rsidRDefault="00DF4F25" w:rsidP="00200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DF4F25">
              <w:rPr>
                <w:rFonts w:ascii="Arial" w:eastAsia="Times New Roman" w:hAnsi="Arial" w:cs="Arial"/>
                <w:kern w:val="0"/>
                <w:lang w:eastAsia="en-GB"/>
                <w14:ligatures w14:val="none"/>
              </w:rPr>
              <w:t xml:space="preserve">Hotel managers, concierge staff, front desk teams, and Food and Beverage personnel are the ones who will use </w:t>
            </w:r>
            <w:proofErr w:type="spellStart"/>
            <w:r w:rsidRPr="00DF4F25">
              <w:rPr>
                <w:rFonts w:ascii="Arial" w:eastAsia="Times New Roman" w:hAnsi="Arial" w:cs="Arial"/>
                <w:kern w:val="0"/>
                <w:lang w:eastAsia="en-GB"/>
                <w14:ligatures w14:val="none"/>
              </w:rPr>
              <w:t>StaySmart</w:t>
            </w:r>
            <w:proofErr w:type="spellEnd"/>
            <w:r w:rsidRPr="00DF4F25">
              <w:rPr>
                <w:rFonts w:ascii="Arial" w:eastAsia="Times New Roman" w:hAnsi="Arial" w:cs="Arial"/>
                <w:kern w:val="0"/>
                <w:lang w:eastAsia="en-GB"/>
                <w14:ligatures w14:val="none"/>
              </w:rPr>
              <w:t>+ day</w:t>
            </w:r>
            <w:r w:rsidRPr="00DF4F25">
              <w:rPr>
                <w:rFonts w:ascii="Cambria Math" w:eastAsia="Times New Roman" w:hAnsi="Cambria Math" w:cs="Cambria Math"/>
                <w:kern w:val="0"/>
                <w:lang w:eastAsia="en-GB"/>
                <w14:ligatures w14:val="none"/>
              </w:rPr>
              <w:t>‑</w:t>
            </w:r>
            <w:r w:rsidRPr="00DF4F25">
              <w:rPr>
                <w:rFonts w:ascii="Arial" w:eastAsia="Times New Roman" w:hAnsi="Arial" w:cs="Arial"/>
                <w:kern w:val="0"/>
                <w:lang w:eastAsia="en-GB"/>
                <w14:ligatures w14:val="none"/>
              </w:rPr>
              <w:t>to</w:t>
            </w:r>
            <w:r w:rsidRPr="00DF4F25">
              <w:rPr>
                <w:rFonts w:ascii="Cambria Math" w:eastAsia="Times New Roman" w:hAnsi="Cambria Math" w:cs="Cambria Math"/>
                <w:kern w:val="0"/>
                <w:lang w:eastAsia="en-GB"/>
                <w14:ligatures w14:val="none"/>
              </w:rPr>
              <w:t>‑</w:t>
            </w:r>
            <w:r w:rsidRPr="00DF4F25">
              <w:rPr>
                <w:rFonts w:ascii="Arial" w:eastAsia="Times New Roman" w:hAnsi="Arial" w:cs="Arial"/>
                <w:kern w:val="0"/>
                <w:lang w:eastAsia="en-GB"/>
                <w14:ligatures w14:val="none"/>
              </w:rPr>
              <w:t>day. They must adapt to new workflows, digital tools, and guest interaction standards to deliver the enhanced service effectively.</w:t>
            </w:r>
          </w:p>
        </w:tc>
      </w:tr>
      <w:tr w:rsidR="00AA015C" w14:paraId="35FFA5B8" w14:textId="77777777" w:rsidTr="00AA015C">
        <w:tc>
          <w:tcPr>
            <w:cnfStyle w:val="001000000000" w:firstRow="0" w:lastRow="0" w:firstColumn="1" w:lastColumn="0" w:oddVBand="0" w:evenVBand="0" w:oddHBand="0" w:evenHBand="0" w:firstRowFirstColumn="0" w:firstRowLastColumn="0" w:lastRowFirstColumn="0" w:lastRowLastColumn="0"/>
            <w:tcW w:w="1491" w:type="pct"/>
          </w:tcPr>
          <w:p w14:paraId="55600B4D" w14:textId="6BEB1B73" w:rsidR="00AA015C" w:rsidRPr="00DF4F25" w:rsidRDefault="00DF4F25" w:rsidP="009704FD">
            <w:pPr>
              <w:spacing w:line="360" w:lineRule="auto"/>
              <w:rPr>
                <w:rFonts w:ascii="Arial" w:eastAsia="Times New Roman" w:hAnsi="Arial" w:cs="Arial"/>
                <w:b w:val="0"/>
                <w:bCs w:val="0"/>
                <w:kern w:val="0"/>
                <w:lang w:eastAsia="en-GB"/>
                <w14:ligatures w14:val="none"/>
              </w:rPr>
            </w:pPr>
            <w:r w:rsidRPr="00DF4F25">
              <w:rPr>
                <w:rFonts w:ascii="Arial" w:eastAsia="Times New Roman" w:hAnsi="Arial" w:cs="Arial"/>
                <w:b w:val="0"/>
                <w:bCs w:val="0"/>
                <w:kern w:val="0"/>
                <w:lang w:eastAsia="en-GB"/>
                <w14:ligatures w14:val="none"/>
              </w:rPr>
              <w:lastRenderedPageBreak/>
              <w:t>Human Resources and Learning and Development</w:t>
            </w:r>
          </w:p>
        </w:tc>
        <w:tc>
          <w:tcPr>
            <w:tcW w:w="3509" w:type="pct"/>
          </w:tcPr>
          <w:p w14:paraId="609E5A6B" w14:textId="32C30EC8" w:rsidR="00AA015C" w:rsidRDefault="00DF4F25" w:rsidP="00200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DF4F25">
              <w:rPr>
                <w:rFonts w:ascii="Arial" w:eastAsia="Times New Roman" w:hAnsi="Arial" w:cs="Arial"/>
                <w:kern w:val="0"/>
                <w:lang w:eastAsia="en-GB"/>
                <w14:ligatures w14:val="none"/>
              </w:rPr>
              <w:t>HR and Learning and Development design the training programmes that help staff across different regions learn how to use AI</w:t>
            </w:r>
            <w:r w:rsidRPr="00DF4F25">
              <w:rPr>
                <w:rFonts w:ascii="Cambria Math" w:eastAsia="Times New Roman" w:hAnsi="Cambria Math" w:cs="Cambria Math"/>
                <w:kern w:val="0"/>
                <w:lang w:eastAsia="en-GB"/>
                <w14:ligatures w14:val="none"/>
              </w:rPr>
              <w:t>‑</w:t>
            </w:r>
            <w:r w:rsidRPr="00DF4F25">
              <w:rPr>
                <w:rFonts w:ascii="Arial" w:eastAsia="Times New Roman" w:hAnsi="Arial" w:cs="Arial"/>
                <w:kern w:val="0"/>
                <w:lang w:eastAsia="en-GB"/>
                <w14:ligatures w14:val="none"/>
              </w:rPr>
              <w:t>assisted tools, apply sustainability practices, and deliver a more personalised guest experience.</w:t>
            </w:r>
          </w:p>
        </w:tc>
      </w:tr>
      <w:tr w:rsidR="00AA015C" w14:paraId="17067130" w14:textId="77777777" w:rsidTr="00AA015C">
        <w:tc>
          <w:tcPr>
            <w:cnfStyle w:val="001000000000" w:firstRow="0" w:lastRow="0" w:firstColumn="1" w:lastColumn="0" w:oddVBand="0" w:evenVBand="0" w:oddHBand="0" w:evenHBand="0" w:firstRowFirstColumn="0" w:firstRowLastColumn="0" w:lastRowFirstColumn="0" w:lastRowLastColumn="0"/>
            <w:tcW w:w="1491" w:type="pct"/>
          </w:tcPr>
          <w:p w14:paraId="2B855E6F" w14:textId="168D1B81" w:rsidR="00AA015C" w:rsidRPr="00DF4F25" w:rsidRDefault="00DF4F25" w:rsidP="00DF4F25">
            <w:pPr>
              <w:tabs>
                <w:tab w:val="left" w:pos="1785"/>
              </w:tabs>
              <w:spacing w:line="360" w:lineRule="auto"/>
              <w:rPr>
                <w:rFonts w:ascii="Arial" w:eastAsia="Times New Roman" w:hAnsi="Arial" w:cs="Arial"/>
                <w:b w:val="0"/>
                <w:bCs w:val="0"/>
                <w:kern w:val="0"/>
                <w:lang w:eastAsia="en-GB"/>
                <w14:ligatures w14:val="none"/>
              </w:rPr>
            </w:pPr>
            <w:r w:rsidRPr="00DF4F25">
              <w:rPr>
                <w:rFonts w:ascii="Arial" w:eastAsia="Times New Roman" w:hAnsi="Arial" w:cs="Arial"/>
                <w:b w:val="0"/>
                <w:bCs w:val="0"/>
                <w:kern w:val="0"/>
                <w:lang w:eastAsia="en-GB"/>
                <w14:ligatures w14:val="none"/>
              </w:rPr>
              <w:t>Legal and Compliance</w:t>
            </w:r>
          </w:p>
        </w:tc>
        <w:tc>
          <w:tcPr>
            <w:tcW w:w="3509" w:type="pct"/>
          </w:tcPr>
          <w:p w14:paraId="368492F4" w14:textId="7058E2E5" w:rsidR="00AA015C" w:rsidRDefault="00DF4F25" w:rsidP="0020018D">
            <w:pPr>
              <w:tabs>
                <w:tab w:val="left" w:pos="1785"/>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DF4F25">
              <w:rPr>
                <w:rFonts w:ascii="Arial" w:eastAsia="Times New Roman" w:hAnsi="Arial" w:cs="Arial"/>
                <w:kern w:val="0"/>
                <w:lang w:eastAsia="en-GB"/>
                <w14:ligatures w14:val="none"/>
              </w:rPr>
              <w:t xml:space="preserve">This team ensures that </w:t>
            </w:r>
            <w:proofErr w:type="spellStart"/>
            <w:r w:rsidRPr="00DF4F25">
              <w:rPr>
                <w:rFonts w:ascii="Arial" w:eastAsia="Times New Roman" w:hAnsi="Arial" w:cs="Arial"/>
                <w:kern w:val="0"/>
                <w:lang w:eastAsia="en-GB"/>
                <w14:ligatures w14:val="none"/>
              </w:rPr>
              <w:t>StaySmart</w:t>
            </w:r>
            <w:proofErr w:type="spellEnd"/>
            <w:r w:rsidRPr="00DF4F25">
              <w:rPr>
                <w:rFonts w:ascii="Arial" w:eastAsia="Times New Roman" w:hAnsi="Arial" w:cs="Arial"/>
                <w:kern w:val="0"/>
                <w:lang w:eastAsia="en-GB"/>
                <w14:ligatures w14:val="none"/>
              </w:rPr>
              <w:t>+ meets all regulatory requirements, including GDPR, the EU AI Act, and local data protection laws. They also help define responsibility and risk management for automated decision</w:t>
            </w:r>
            <w:r w:rsidRPr="00DF4F25">
              <w:rPr>
                <w:rFonts w:ascii="Cambria Math" w:eastAsia="Times New Roman" w:hAnsi="Cambria Math" w:cs="Cambria Math"/>
                <w:kern w:val="0"/>
                <w:lang w:eastAsia="en-GB"/>
                <w14:ligatures w14:val="none"/>
              </w:rPr>
              <w:t>‑</w:t>
            </w:r>
            <w:r w:rsidRPr="00DF4F25">
              <w:rPr>
                <w:rFonts w:ascii="Arial" w:eastAsia="Times New Roman" w:hAnsi="Arial" w:cs="Arial"/>
                <w:kern w:val="0"/>
                <w:lang w:eastAsia="en-GB"/>
                <w14:ligatures w14:val="none"/>
              </w:rPr>
              <w:t>making.</w:t>
            </w:r>
          </w:p>
        </w:tc>
      </w:tr>
      <w:tr w:rsidR="00AA015C" w14:paraId="0890D129" w14:textId="77777777" w:rsidTr="00AA015C">
        <w:tc>
          <w:tcPr>
            <w:cnfStyle w:val="001000000000" w:firstRow="0" w:lastRow="0" w:firstColumn="1" w:lastColumn="0" w:oddVBand="0" w:evenVBand="0" w:oddHBand="0" w:evenHBand="0" w:firstRowFirstColumn="0" w:firstRowLastColumn="0" w:lastRowFirstColumn="0" w:lastRowLastColumn="0"/>
            <w:tcW w:w="1491" w:type="pct"/>
          </w:tcPr>
          <w:p w14:paraId="6D30EA0B" w14:textId="6CF9E498" w:rsidR="00AA015C" w:rsidRPr="00DF4F25" w:rsidRDefault="00DF4F25" w:rsidP="009704FD">
            <w:pPr>
              <w:spacing w:line="360" w:lineRule="auto"/>
              <w:rPr>
                <w:rFonts w:ascii="Arial" w:eastAsia="Times New Roman" w:hAnsi="Arial" w:cs="Arial"/>
                <w:b w:val="0"/>
                <w:bCs w:val="0"/>
                <w:kern w:val="0"/>
                <w:lang w:eastAsia="en-GB"/>
                <w14:ligatures w14:val="none"/>
              </w:rPr>
            </w:pPr>
            <w:r w:rsidRPr="00DF4F25">
              <w:rPr>
                <w:rFonts w:ascii="Arial" w:eastAsia="Times New Roman" w:hAnsi="Arial" w:cs="Arial"/>
                <w:b w:val="0"/>
                <w:bCs w:val="0"/>
                <w:kern w:val="0"/>
                <w:lang w:eastAsia="en-GB"/>
                <w14:ligatures w14:val="none"/>
              </w:rPr>
              <w:t>Finance Department</w:t>
            </w:r>
          </w:p>
        </w:tc>
        <w:tc>
          <w:tcPr>
            <w:tcW w:w="3509" w:type="pct"/>
          </w:tcPr>
          <w:p w14:paraId="088F9D43" w14:textId="1D8833A4" w:rsidR="00AA015C" w:rsidRDefault="00D27771" w:rsidP="00200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DF4F25">
              <w:rPr>
                <w:rFonts w:ascii="Arial" w:eastAsia="Times New Roman" w:hAnsi="Arial" w:cs="Arial"/>
                <w:kern w:val="0"/>
                <w:lang w:eastAsia="en-GB"/>
                <w14:ligatures w14:val="none"/>
              </w:rPr>
              <w:t>Finances</w:t>
            </w:r>
            <w:r w:rsidR="00DF4F25" w:rsidRPr="00DF4F25">
              <w:rPr>
                <w:rFonts w:ascii="Arial" w:eastAsia="Times New Roman" w:hAnsi="Arial" w:cs="Arial"/>
                <w:kern w:val="0"/>
                <w:lang w:eastAsia="en-GB"/>
                <w14:ligatures w14:val="none"/>
              </w:rPr>
              <w:t xml:space="preserve"> </w:t>
            </w:r>
            <w:proofErr w:type="gramStart"/>
            <w:r w:rsidR="00DF4F25" w:rsidRPr="00DF4F25">
              <w:rPr>
                <w:rFonts w:ascii="Arial" w:eastAsia="Times New Roman" w:hAnsi="Arial" w:cs="Arial"/>
                <w:kern w:val="0"/>
                <w:lang w:eastAsia="en-GB"/>
                <w14:ligatures w14:val="none"/>
              </w:rPr>
              <w:t>monitors</w:t>
            </w:r>
            <w:proofErr w:type="gramEnd"/>
            <w:r w:rsidR="00DF4F25" w:rsidRPr="00DF4F25">
              <w:rPr>
                <w:rFonts w:ascii="Arial" w:eastAsia="Times New Roman" w:hAnsi="Arial" w:cs="Arial"/>
                <w:kern w:val="0"/>
                <w:lang w:eastAsia="en-GB"/>
                <w14:ligatures w14:val="none"/>
              </w:rPr>
              <w:t xml:space="preserve"> spending, evaluates projected returns, and manages capital approvals. They ensure the project stays financially viable and that cost controls are built into the implementation plan.</w:t>
            </w:r>
          </w:p>
        </w:tc>
      </w:tr>
    </w:tbl>
    <w:p w14:paraId="1C70B784" w14:textId="500FE535" w:rsidR="009704FD" w:rsidRPr="009704FD" w:rsidRDefault="009704FD" w:rsidP="009704FD">
      <w:pPr>
        <w:spacing w:after="0" w:line="360" w:lineRule="auto"/>
        <w:rPr>
          <w:rFonts w:ascii="Arial" w:eastAsia="Times New Roman" w:hAnsi="Arial" w:cs="Arial"/>
          <w:kern w:val="0"/>
          <w:lang w:eastAsia="en-GB"/>
          <w14:ligatures w14:val="none"/>
        </w:rPr>
      </w:pPr>
      <w:r w:rsidRPr="009704FD">
        <w:rPr>
          <w:rFonts w:ascii="Arial" w:eastAsia="Times New Roman" w:hAnsi="Arial" w:cs="Arial"/>
          <w:kern w:val="0"/>
          <w:lang w:eastAsia="en-GB"/>
          <w14:ligatures w14:val="none"/>
        </w:rPr>
        <w:br/>
      </w:r>
    </w:p>
    <w:p w14:paraId="72C1CBF4" w14:textId="77777777" w:rsidR="00DF4F25" w:rsidRDefault="00DF4F25" w:rsidP="009704FD">
      <w:pPr>
        <w:spacing w:before="80" w:line="360" w:lineRule="auto"/>
        <w:jc w:val="both"/>
        <w:rPr>
          <w:rFonts w:ascii="Arial" w:eastAsia="Times New Roman" w:hAnsi="Arial" w:cs="Arial"/>
          <w:kern w:val="0"/>
          <w:sz w:val="28"/>
          <w:szCs w:val="28"/>
          <w:lang w:eastAsia="en-GB"/>
          <w14:ligatures w14:val="none"/>
        </w:rPr>
      </w:pPr>
      <w:r w:rsidRPr="00DF364C">
        <w:rPr>
          <w:rFonts w:ascii="Arial" w:eastAsia="Arial" w:hAnsi="Arial" w:cs="Arial"/>
          <w:sz w:val="28"/>
          <w:szCs w:val="28"/>
        </w:rPr>
        <w:t xml:space="preserve">3.2 External </w:t>
      </w:r>
      <w:r w:rsidRPr="00DF364C">
        <w:rPr>
          <w:rFonts w:ascii="Arial" w:eastAsia="Times New Roman" w:hAnsi="Arial" w:cs="Arial"/>
          <w:kern w:val="0"/>
          <w:sz w:val="28"/>
          <w:szCs w:val="28"/>
          <w:lang w:eastAsia="en-GB"/>
          <w14:ligatures w14:val="none"/>
        </w:rPr>
        <w:t>stakeholders.</w:t>
      </w:r>
    </w:p>
    <w:p w14:paraId="7EBE92EF" w14:textId="327BF041" w:rsidR="00AC7CFB" w:rsidRPr="00AC7CFB" w:rsidRDefault="00AC7CFB" w:rsidP="009704FD">
      <w:pPr>
        <w:spacing w:before="80" w:line="360" w:lineRule="auto"/>
        <w:jc w:val="both"/>
        <w:rPr>
          <w:rFonts w:ascii="Arial" w:eastAsia="Arial" w:hAnsi="Arial" w:cs="Arial"/>
        </w:rPr>
      </w:pPr>
      <w:r w:rsidRPr="00AC7CFB">
        <w:rPr>
          <w:rFonts w:ascii="Arial" w:eastAsia="Arial" w:hAnsi="Arial" w:cs="Arial"/>
        </w:rPr>
        <w:t>External stakeholders influence performance through feedback, regulation, and partnership (Bourne, 2016)</w:t>
      </w:r>
    </w:p>
    <w:tbl>
      <w:tblPr>
        <w:tblStyle w:val="GridTable1Light-Accent3"/>
        <w:tblW w:w="0" w:type="auto"/>
        <w:tblLook w:val="04A0" w:firstRow="1" w:lastRow="0" w:firstColumn="1" w:lastColumn="0" w:noHBand="0" w:noVBand="1"/>
      </w:tblPr>
      <w:tblGrid>
        <w:gridCol w:w="2405"/>
        <w:gridCol w:w="6611"/>
      </w:tblGrid>
      <w:tr w:rsidR="00DF4F25" w:rsidRPr="00D27771" w14:paraId="7856B9FC" w14:textId="77777777" w:rsidTr="00DF4F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3ACAA4E" w14:textId="0529994F" w:rsidR="00DF4F25" w:rsidRPr="00D27771" w:rsidRDefault="00DF4F25" w:rsidP="009704FD">
            <w:pPr>
              <w:spacing w:before="80" w:line="360" w:lineRule="auto"/>
              <w:jc w:val="both"/>
              <w:rPr>
                <w:rFonts w:ascii="Arial" w:eastAsia="Arial" w:hAnsi="Arial" w:cs="Arial"/>
                <w:b w:val="0"/>
                <w:bCs w:val="0"/>
              </w:rPr>
            </w:pPr>
            <w:r w:rsidRPr="00D27771">
              <w:rPr>
                <w:rFonts w:ascii="Arial" w:eastAsia="Arial" w:hAnsi="Arial" w:cs="Arial"/>
                <w:b w:val="0"/>
                <w:bCs w:val="0"/>
              </w:rPr>
              <w:t>Stakeholder Group</w:t>
            </w:r>
          </w:p>
        </w:tc>
        <w:tc>
          <w:tcPr>
            <w:tcW w:w="6611" w:type="dxa"/>
          </w:tcPr>
          <w:p w14:paraId="020E4416" w14:textId="77777777" w:rsidR="00DF4F25" w:rsidRPr="00D27771" w:rsidRDefault="00DF4F25" w:rsidP="009704FD">
            <w:pPr>
              <w:spacing w:before="80"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rPr>
            </w:pPr>
          </w:p>
        </w:tc>
      </w:tr>
      <w:tr w:rsidR="00DF4F25" w:rsidRPr="00D27771" w14:paraId="1A5E36E2" w14:textId="77777777" w:rsidTr="00DF4F25">
        <w:tc>
          <w:tcPr>
            <w:cnfStyle w:val="001000000000" w:firstRow="0" w:lastRow="0" w:firstColumn="1" w:lastColumn="0" w:oddVBand="0" w:evenVBand="0" w:oddHBand="0" w:evenHBand="0" w:firstRowFirstColumn="0" w:firstRowLastColumn="0" w:lastRowFirstColumn="0" w:lastRowLastColumn="0"/>
            <w:tcW w:w="2405" w:type="dxa"/>
          </w:tcPr>
          <w:p w14:paraId="3229E905" w14:textId="5030155B" w:rsidR="00DF4F25" w:rsidRPr="00D27771" w:rsidRDefault="00DF4F25" w:rsidP="009704FD">
            <w:pPr>
              <w:spacing w:before="80" w:line="360" w:lineRule="auto"/>
              <w:jc w:val="both"/>
              <w:rPr>
                <w:rFonts w:ascii="Arial" w:eastAsia="Arial" w:hAnsi="Arial" w:cs="Arial"/>
                <w:b w:val="0"/>
                <w:bCs w:val="0"/>
              </w:rPr>
            </w:pPr>
            <w:r w:rsidRPr="00D27771">
              <w:rPr>
                <w:rFonts w:ascii="Arial" w:eastAsia="Arial" w:hAnsi="Arial" w:cs="Arial"/>
                <w:b w:val="0"/>
                <w:bCs w:val="0"/>
              </w:rPr>
              <w:t>Guests and Loyalty Programme Members</w:t>
            </w:r>
          </w:p>
        </w:tc>
        <w:tc>
          <w:tcPr>
            <w:tcW w:w="6611" w:type="dxa"/>
          </w:tcPr>
          <w:p w14:paraId="0CDD2196" w14:textId="6C0333B9" w:rsidR="00DF4F25" w:rsidRPr="00D27771" w:rsidRDefault="003548B1" w:rsidP="009704FD">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27771">
              <w:rPr>
                <w:rFonts w:ascii="Arial" w:eastAsia="Arial" w:hAnsi="Arial" w:cs="Arial"/>
              </w:rPr>
              <w:t xml:space="preserve">These are the main users of </w:t>
            </w:r>
            <w:proofErr w:type="spellStart"/>
            <w:r w:rsidRPr="00D27771">
              <w:rPr>
                <w:rFonts w:ascii="Arial" w:eastAsia="Arial" w:hAnsi="Arial" w:cs="Arial"/>
              </w:rPr>
              <w:t>StaySmart</w:t>
            </w:r>
            <w:proofErr w:type="spellEnd"/>
            <w:r w:rsidRPr="00D27771">
              <w:rPr>
                <w:rFonts w:ascii="Arial" w:eastAsia="Arial" w:hAnsi="Arial" w:cs="Arial"/>
              </w:rPr>
              <w:t>+ and the group that will feel its impact most directly. Their willingness to adopt the service, provide feedback, and share data will shape how the platform evolves and determine whether it becomes commercially successful.</w:t>
            </w:r>
          </w:p>
        </w:tc>
      </w:tr>
      <w:tr w:rsidR="00DF4F25" w:rsidRPr="00D27771" w14:paraId="0263A2B0" w14:textId="77777777" w:rsidTr="00DF4F25">
        <w:tc>
          <w:tcPr>
            <w:cnfStyle w:val="001000000000" w:firstRow="0" w:lastRow="0" w:firstColumn="1" w:lastColumn="0" w:oddVBand="0" w:evenVBand="0" w:oddHBand="0" w:evenHBand="0" w:firstRowFirstColumn="0" w:firstRowLastColumn="0" w:lastRowFirstColumn="0" w:lastRowLastColumn="0"/>
            <w:tcW w:w="2405" w:type="dxa"/>
          </w:tcPr>
          <w:p w14:paraId="2B6C4934" w14:textId="1875A8B0" w:rsidR="00DF4F25" w:rsidRPr="00D27771" w:rsidRDefault="00DF4F25" w:rsidP="009704FD">
            <w:pPr>
              <w:spacing w:before="80" w:line="360" w:lineRule="auto"/>
              <w:jc w:val="both"/>
              <w:rPr>
                <w:rFonts w:ascii="Arial" w:eastAsia="Arial" w:hAnsi="Arial" w:cs="Arial"/>
                <w:b w:val="0"/>
                <w:bCs w:val="0"/>
              </w:rPr>
            </w:pPr>
            <w:r w:rsidRPr="00D27771">
              <w:rPr>
                <w:rFonts w:ascii="Arial" w:eastAsia="Arial" w:hAnsi="Arial" w:cs="Arial"/>
                <w:b w:val="0"/>
                <w:bCs w:val="0"/>
              </w:rPr>
              <w:t>Technology Vendors and AI Partners</w:t>
            </w:r>
          </w:p>
        </w:tc>
        <w:tc>
          <w:tcPr>
            <w:tcW w:w="6611" w:type="dxa"/>
          </w:tcPr>
          <w:p w14:paraId="74412635" w14:textId="473CFD62" w:rsidR="00DF4F25" w:rsidRPr="00D27771" w:rsidRDefault="003548B1" w:rsidP="009704FD">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27771">
              <w:rPr>
                <w:rFonts w:ascii="Arial" w:eastAsia="Arial" w:hAnsi="Arial" w:cs="Arial"/>
              </w:rPr>
              <w:t xml:space="preserve">External providers of AI systems, IoT devices, CRM integrations, and analytics platforms such as Salesforce or Oracle Hospitality play a crucial role in delivering the technical backbone of </w:t>
            </w:r>
            <w:proofErr w:type="spellStart"/>
            <w:r w:rsidRPr="00D27771">
              <w:rPr>
                <w:rFonts w:ascii="Arial" w:eastAsia="Arial" w:hAnsi="Arial" w:cs="Arial"/>
              </w:rPr>
              <w:t>StaySmart</w:t>
            </w:r>
            <w:proofErr w:type="spellEnd"/>
            <w:r w:rsidRPr="00D27771">
              <w:rPr>
                <w:rFonts w:ascii="Arial" w:eastAsia="Arial" w:hAnsi="Arial" w:cs="Arial"/>
              </w:rPr>
              <w:t>+. Their reliability and innovation directly influence system performance and scalability.</w:t>
            </w:r>
          </w:p>
        </w:tc>
      </w:tr>
      <w:tr w:rsidR="00DF4F25" w:rsidRPr="00D27771" w14:paraId="14F093EB" w14:textId="77777777" w:rsidTr="00DF4F25">
        <w:tc>
          <w:tcPr>
            <w:cnfStyle w:val="001000000000" w:firstRow="0" w:lastRow="0" w:firstColumn="1" w:lastColumn="0" w:oddVBand="0" w:evenVBand="0" w:oddHBand="0" w:evenHBand="0" w:firstRowFirstColumn="0" w:firstRowLastColumn="0" w:lastRowFirstColumn="0" w:lastRowLastColumn="0"/>
            <w:tcW w:w="2405" w:type="dxa"/>
          </w:tcPr>
          <w:p w14:paraId="4364EEE9" w14:textId="4EEA245B" w:rsidR="00DF4F25" w:rsidRPr="00D27771" w:rsidRDefault="00DF4F25" w:rsidP="00D27771">
            <w:pPr>
              <w:spacing w:before="80" w:line="360" w:lineRule="auto"/>
              <w:jc w:val="center"/>
              <w:rPr>
                <w:rFonts w:ascii="Arial" w:eastAsia="Arial" w:hAnsi="Arial" w:cs="Arial"/>
                <w:b w:val="0"/>
                <w:bCs w:val="0"/>
              </w:rPr>
            </w:pPr>
            <w:r w:rsidRPr="00D27771">
              <w:rPr>
                <w:rFonts w:ascii="Arial" w:eastAsia="Arial" w:hAnsi="Arial" w:cs="Arial"/>
                <w:b w:val="0"/>
                <w:bCs w:val="0"/>
              </w:rPr>
              <w:t>Local Government and Regulatory Bodies</w:t>
            </w:r>
          </w:p>
        </w:tc>
        <w:tc>
          <w:tcPr>
            <w:tcW w:w="6611" w:type="dxa"/>
          </w:tcPr>
          <w:p w14:paraId="122E4A99" w14:textId="4B3E5A47" w:rsidR="00DF4F25" w:rsidRPr="00D27771" w:rsidRDefault="003548B1" w:rsidP="009704FD">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27771">
              <w:rPr>
                <w:rFonts w:ascii="Arial" w:eastAsia="Arial" w:hAnsi="Arial" w:cs="Arial"/>
              </w:rPr>
              <w:t xml:space="preserve">Tourism boards, data protection authorities, and environmental regulators set the rules that </w:t>
            </w:r>
            <w:proofErr w:type="spellStart"/>
            <w:r w:rsidRPr="00D27771">
              <w:rPr>
                <w:rFonts w:ascii="Arial" w:eastAsia="Arial" w:hAnsi="Arial" w:cs="Arial"/>
              </w:rPr>
              <w:t>StaySmart</w:t>
            </w:r>
            <w:proofErr w:type="spellEnd"/>
            <w:r w:rsidRPr="00D27771">
              <w:rPr>
                <w:rFonts w:ascii="Arial" w:eastAsia="Arial" w:hAnsi="Arial" w:cs="Arial"/>
              </w:rPr>
              <w:t>+ must operate within. They also influence access to grants, certifications, and sustainability incentives that can support implementation.</w:t>
            </w:r>
          </w:p>
        </w:tc>
      </w:tr>
      <w:tr w:rsidR="00DF4F25" w:rsidRPr="00D27771" w14:paraId="44B300AA" w14:textId="77777777" w:rsidTr="00DF4F25">
        <w:tc>
          <w:tcPr>
            <w:cnfStyle w:val="001000000000" w:firstRow="0" w:lastRow="0" w:firstColumn="1" w:lastColumn="0" w:oddVBand="0" w:evenVBand="0" w:oddHBand="0" w:evenHBand="0" w:firstRowFirstColumn="0" w:firstRowLastColumn="0" w:lastRowFirstColumn="0" w:lastRowLastColumn="0"/>
            <w:tcW w:w="2405" w:type="dxa"/>
          </w:tcPr>
          <w:p w14:paraId="6C676B05" w14:textId="56B3C671" w:rsidR="00DF4F25" w:rsidRPr="00D27771" w:rsidRDefault="00DF4F25" w:rsidP="009704FD">
            <w:pPr>
              <w:spacing w:before="80" w:line="360" w:lineRule="auto"/>
              <w:jc w:val="both"/>
              <w:rPr>
                <w:rFonts w:ascii="Arial" w:eastAsia="Arial" w:hAnsi="Arial" w:cs="Arial"/>
                <w:b w:val="0"/>
                <w:bCs w:val="0"/>
              </w:rPr>
            </w:pPr>
            <w:r w:rsidRPr="00D27771">
              <w:rPr>
                <w:rFonts w:ascii="Arial" w:eastAsia="Arial" w:hAnsi="Arial" w:cs="Arial"/>
                <w:b w:val="0"/>
                <w:bCs w:val="0"/>
              </w:rPr>
              <w:lastRenderedPageBreak/>
              <w:t xml:space="preserve">Sustainability and </w:t>
            </w:r>
            <w:r w:rsidR="003548B1" w:rsidRPr="00D27771">
              <w:rPr>
                <w:rFonts w:ascii="Arial" w:eastAsia="Arial" w:hAnsi="Arial" w:cs="Arial"/>
                <w:b w:val="0"/>
                <w:bCs w:val="0"/>
              </w:rPr>
              <w:t>Non</w:t>
            </w:r>
            <w:r w:rsidR="003548B1" w:rsidRPr="00D27771">
              <w:rPr>
                <w:rFonts w:ascii="Cambria Math" w:eastAsia="Arial" w:hAnsi="Cambria Math" w:cs="Cambria Math"/>
                <w:b w:val="0"/>
                <w:bCs w:val="0"/>
              </w:rPr>
              <w:t>‑</w:t>
            </w:r>
            <w:r w:rsidR="003548B1" w:rsidRPr="00D27771">
              <w:rPr>
                <w:rFonts w:ascii="Arial" w:eastAsia="Arial" w:hAnsi="Arial" w:cs="Arial"/>
                <w:b w:val="0"/>
                <w:bCs w:val="0"/>
              </w:rPr>
              <w:t xml:space="preserve">Governmental Organisation </w:t>
            </w:r>
            <w:r w:rsidRPr="00D27771">
              <w:rPr>
                <w:rFonts w:ascii="Arial" w:eastAsia="Arial" w:hAnsi="Arial" w:cs="Arial"/>
                <w:b w:val="0"/>
                <w:bCs w:val="0"/>
              </w:rPr>
              <w:t>Partners</w:t>
            </w:r>
          </w:p>
        </w:tc>
        <w:tc>
          <w:tcPr>
            <w:tcW w:w="6611" w:type="dxa"/>
          </w:tcPr>
          <w:p w14:paraId="5681980D" w14:textId="41E5072A" w:rsidR="00DF4F25" w:rsidRPr="00D27771" w:rsidRDefault="003548B1" w:rsidP="009704FD">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27771">
              <w:rPr>
                <w:rFonts w:ascii="Arial" w:eastAsia="Arial" w:hAnsi="Arial" w:cs="Arial"/>
              </w:rPr>
              <w:t xml:space="preserve">Organisations like the Global Sustainable Tourism Council (GSTC) and local environmental groups offer guidance, certification, and credibility for the sustainability elements of </w:t>
            </w:r>
            <w:proofErr w:type="spellStart"/>
            <w:r w:rsidRPr="00D27771">
              <w:rPr>
                <w:rFonts w:ascii="Arial" w:eastAsia="Arial" w:hAnsi="Arial" w:cs="Arial"/>
              </w:rPr>
              <w:t>StaySmart</w:t>
            </w:r>
            <w:proofErr w:type="spellEnd"/>
            <w:r w:rsidRPr="00D27771">
              <w:rPr>
                <w:rFonts w:ascii="Arial" w:eastAsia="Arial" w:hAnsi="Arial" w:cs="Arial"/>
              </w:rPr>
              <w:t>+. Their involvement strengthens the platform’s environmental legitimacy.</w:t>
            </w:r>
          </w:p>
        </w:tc>
      </w:tr>
      <w:tr w:rsidR="00DF4F25" w:rsidRPr="00D27771" w14:paraId="606C87DE" w14:textId="77777777" w:rsidTr="00DF4F25">
        <w:tc>
          <w:tcPr>
            <w:cnfStyle w:val="001000000000" w:firstRow="0" w:lastRow="0" w:firstColumn="1" w:lastColumn="0" w:oddVBand="0" w:evenVBand="0" w:oddHBand="0" w:evenHBand="0" w:firstRowFirstColumn="0" w:firstRowLastColumn="0" w:lastRowFirstColumn="0" w:lastRowLastColumn="0"/>
            <w:tcW w:w="2405" w:type="dxa"/>
          </w:tcPr>
          <w:p w14:paraId="222D60B6" w14:textId="0FA7A127" w:rsidR="00DF4F25" w:rsidRPr="00D27771" w:rsidRDefault="003548B1" w:rsidP="00D27771">
            <w:pPr>
              <w:spacing w:before="80" w:line="360" w:lineRule="auto"/>
              <w:jc w:val="center"/>
              <w:rPr>
                <w:rFonts w:ascii="Arial" w:eastAsia="Arial" w:hAnsi="Arial" w:cs="Arial"/>
                <w:b w:val="0"/>
                <w:bCs w:val="0"/>
              </w:rPr>
            </w:pPr>
            <w:r w:rsidRPr="00D27771">
              <w:rPr>
                <w:rFonts w:ascii="Arial" w:eastAsia="Arial" w:hAnsi="Arial" w:cs="Arial"/>
                <w:b w:val="0"/>
                <w:bCs w:val="0"/>
              </w:rPr>
              <w:t>Media and Industry Analysts</w:t>
            </w:r>
          </w:p>
        </w:tc>
        <w:tc>
          <w:tcPr>
            <w:tcW w:w="6611" w:type="dxa"/>
          </w:tcPr>
          <w:p w14:paraId="41E3EF9F" w14:textId="2F082432" w:rsidR="00DF4F25" w:rsidRPr="00D27771" w:rsidRDefault="003548B1" w:rsidP="009704FD">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27771">
              <w:rPr>
                <w:rFonts w:ascii="Arial" w:eastAsia="Arial" w:hAnsi="Arial" w:cs="Arial"/>
              </w:rPr>
              <w:t xml:space="preserve">Hospitality journalists, technology reviewers, and research firms shape public and industry perception. Their coverage can influence guest expectations, investor confidence, and the broader reputation of </w:t>
            </w:r>
            <w:proofErr w:type="spellStart"/>
            <w:r w:rsidRPr="00D27771">
              <w:rPr>
                <w:rFonts w:ascii="Arial" w:eastAsia="Arial" w:hAnsi="Arial" w:cs="Arial"/>
              </w:rPr>
              <w:t>StaySmart</w:t>
            </w:r>
            <w:proofErr w:type="spellEnd"/>
            <w:r w:rsidRPr="00D27771">
              <w:rPr>
                <w:rFonts w:ascii="Arial" w:eastAsia="Arial" w:hAnsi="Arial" w:cs="Arial"/>
              </w:rPr>
              <w:t>+ within the market.</w:t>
            </w:r>
          </w:p>
        </w:tc>
      </w:tr>
      <w:tr w:rsidR="00DF4F25" w:rsidRPr="00D27771" w14:paraId="739C7246" w14:textId="77777777" w:rsidTr="00DF4F25">
        <w:tc>
          <w:tcPr>
            <w:cnfStyle w:val="001000000000" w:firstRow="0" w:lastRow="0" w:firstColumn="1" w:lastColumn="0" w:oddVBand="0" w:evenVBand="0" w:oddHBand="0" w:evenHBand="0" w:firstRowFirstColumn="0" w:firstRowLastColumn="0" w:lastRowFirstColumn="0" w:lastRowLastColumn="0"/>
            <w:tcW w:w="2405" w:type="dxa"/>
          </w:tcPr>
          <w:p w14:paraId="3EA53913" w14:textId="1B6644C6" w:rsidR="00DF4F25" w:rsidRPr="00D27771" w:rsidRDefault="003548B1" w:rsidP="00D27771">
            <w:pPr>
              <w:spacing w:before="80" w:line="360" w:lineRule="auto"/>
              <w:jc w:val="center"/>
              <w:rPr>
                <w:rFonts w:ascii="Arial" w:eastAsia="Arial" w:hAnsi="Arial" w:cs="Arial"/>
                <w:b w:val="0"/>
                <w:bCs w:val="0"/>
              </w:rPr>
            </w:pPr>
            <w:r w:rsidRPr="00D27771">
              <w:rPr>
                <w:rFonts w:ascii="Arial" w:eastAsia="Arial" w:hAnsi="Arial" w:cs="Arial"/>
                <w:b w:val="0"/>
                <w:bCs w:val="0"/>
              </w:rPr>
              <w:t>Investors and Shareholders</w:t>
            </w:r>
          </w:p>
        </w:tc>
        <w:tc>
          <w:tcPr>
            <w:tcW w:w="6611" w:type="dxa"/>
          </w:tcPr>
          <w:p w14:paraId="638B572E" w14:textId="262FFB54" w:rsidR="00DF4F25" w:rsidRPr="00D27771" w:rsidRDefault="003548B1" w:rsidP="003548B1">
            <w:pPr>
              <w:tabs>
                <w:tab w:val="left" w:pos="1776"/>
              </w:tabs>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27771">
              <w:rPr>
                <w:rFonts w:ascii="Arial" w:eastAsia="Arial" w:hAnsi="Arial" w:cs="Arial"/>
              </w:rPr>
              <w:t xml:space="preserve">Both institutional and family shareholders monitor </w:t>
            </w:r>
            <w:proofErr w:type="spellStart"/>
            <w:r w:rsidRPr="00D27771">
              <w:rPr>
                <w:rFonts w:ascii="Arial" w:eastAsia="Arial" w:hAnsi="Arial" w:cs="Arial"/>
              </w:rPr>
              <w:t>StaySmart</w:t>
            </w:r>
            <w:proofErr w:type="spellEnd"/>
            <w:r w:rsidRPr="00D27771">
              <w:rPr>
                <w:rFonts w:ascii="Arial" w:eastAsia="Arial" w:hAnsi="Arial" w:cs="Arial"/>
              </w:rPr>
              <w:t>+ closely to ensure it aligns with long</w:t>
            </w:r>
            <w:r w:rsidRPr="00D27771">
              <w:rPr>
                <w:rFonts w:ascii="Cambria Math" w:eastAsia="Arial" w:hAnsi="Cambria Math" w:cs="Cambria Math"/>
              </w:rPr>
              <w:t>‑</w:t>
            </w:r>
            <w:r w:rsidRPr="00D27771">
              <w:rPr>
                <w:rFonts w:ascii="Arial" w:eastAsia="Arial" w:hAnsi="Arial" w:cs="Arial"/>
              </w:rPr>
              <w:t>term growth plans, delivers a strong return on investment, and supports the company’s ESG commitments. Their support is essential for sustained funding.</w:t>
            </w:r>
          </w:p>
        </w:tc>
      </w:tr>
      <w:tr w:rsidR="00DF4F25" w:rsidRPr="00D27771" w14:paraId="69C78644" w14:textId="77777777" w:rsidTr="00DF4F25">
        <w:tc>
          <w:tcPr>
            <w:cnfStyle w:val="001000000000" w:firstRow="0" w:lastRow="0" w:firstColumn="1" w:lastColumn="0" w:oddVBand="0" w:evenVBand="0" w:oddHBand="0" w:evenHBand="0" w:firstRowFirstColumn="0" w:firstRowLastColumn="0" w:lastRowFirstColumn="0" w:lastRowLastColumn="0"/>
            <w:tcW w:w="2405" w:type="dxa"/>
          </w:tcPr>
          <w:p w14:paraId="53D8DD37" w14:textId="09CBA7FD" w:rsidR="00DF4F25" w:rsidRPr="00D27771" w:rsidRDefault="003548B1" w:rsidP="00D27771">
            <w:pPr>
              <w:spacing w:before="80" w:line="360" w:lineRule="auto"/>
              <w:jc w:val="center"/>
              <w:rPr>
                <w:rFonts w:ascii="Arial" w:eastAsia="Arial" w:hAnsi="Arial" w:cs="Arial"/>
                <w:b w:val="0"/>
                <w:bCs w:val="0"/>
              </w:rPr>
            </w:pPr>
            <w:r w:rsidRPr="00D27771">
              <w:rPr>
                <w:rFonts w:ascii="Arial" w:eastAsia="Arial" w:hAnsi="Arial" w:cs="Arial"/>
                <w:b w:val="0"/>
                <w:bCs w:val="0"/>
              </w:rPr>
              <w:t>Franchise and Management Contract Partners</w:t>
            </w:r>
          </w:p>
        </w:tc>
        <w:tc>
          <w:tcPr>
            <w:tcW w:w="6611" w:type="dxa"/>
          </w:tcPr>
          <w:p w14:paraId="41AB7580" w14:textId="212A57C1" w:rsidR="00DF4F25" w:rsidRPr="00D27771" w:rsidRDefault="003548B1" w:rsidP="009704FD">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27771">
              <w:rPr>
                <w:rFonts w:ascii="Arial" w:eastAsia="Arial" w:hAnsi="Arial" w:cs="Arial"/>
              </w:rPr>
              <w:t>Many Melia properties are operated through franchise or management agreements, meaning third</w:t>
            </w:r>
            <w:r w:rsidRPr="00D27771">
              <w:rPr>
                <w:rFonts w:ascii="Cambria Math" w:eastAsia="Arial" w:hAnsi="Cambria Math" w:cs="Cambria Math"/>
              </w:rPr>
              <w:t>‑</w:t>
            </w:r>
            <w:r w:rsidRPr="00D27771">
              <w:rPr>
                <w:rFonts w:ascii="Arial" w:eastAsia="Arial" w:hAnsi="Arial" w:cs="Arial"/>
              </w:rPr>
              <w:t>party owners must also be engaged. Their approval and cooperation are necessary for consistent rollout across the global portfolio.</w:t>
            </w:r>
          </w:p>
        </w:tc>
      </w:tr>
    </w:tbl>
    <w:p w14:paraId="6ABF65A0" w14:textId="77777777" w:rsidR="003548B1" w:rsidRPr="00D27771" w:rsidRDefault="003548B1" w:rsidP="003548B1">
      <w:pPr>
        <w:spacing w:line="360" w:lineRule="auto"/>
        <w:rPr>
          <w:rFonts w:ascii="Arial" w:eastAsia="Times New Roman" w:hAnsi="Arial" w:cs="Arial"/>
          <w:kern w:val="0"/>
          <w:sz w:val="24"/>
          <w:szCs w:val="24"/>
          <w:lang w:eastAsia="en-GB"/>
          <w14:ligatures w14:val="none"/>
        </w:rPr>
      </w:pPr>
    </w:p>
    <w:p w14:paraId="39DE0FE9" w14:textId="77777777" w:rsidR="00753D4E" w:rsidRDefault="003548B1" w:rsidP="00DF364C">
      <w:pPr>
        <w:spacing w:after="0" w:line="360" w:lineRule="auto"/>
        <w:rPr>
          <w:rFonts w:ascii="Arial" w:eastAsia="Times New Roman" w:hAnsi="Arial" w:cs="Arial"/>
          <w:kern w:val="0"/>
          <w:lang w:eastAsia="en-GB"/>
          <w14:ligatures w14:val="none"/>
        </w:rPr>
      </w:pPr>
      <w:r w:rsidRPr="00DF364C">
        <w:rPr>
          <w:rFonts w:ascii="Arial" w:eastAsia="Times New Roman" w:hAnsi="Arial" w:cs="Arial"/>
          <w:kern w:val="0"/>
          <w:sz w:val="32"/>
          <w:szCs w:val="32"/>
          <w:lang w:eastAsia="en-GB"/>
          <w14:ligatures w14:val="none"/>
        </w:rPr>
        <w:t xml:space="preserve">4. </w:t>
      </w:r>
      <w:r w:rsidRPr="00DF364C">
        <w:rPr>
          <w:rFonts w:ascii="Arial" w:hAnsi="Arial" w:cs="Arial"/>
          <w:sz w:val="32"/>
          <w:szCs w:val="32"/>
        </w:rPr>
        <w:t>Roles, responsibilities, Benefit, and Challenges of Key stakeholders</w:t>
      </w:r>
      <w:r w:rsidRPr="00DF364C">
        <w:rPr>
          <w:rFonts w:ascii="Arial" w:eastAsia="Times New Roman" w:hAnsi="Arial" w:cs="Arial"/>
          <w:kern w:val="0"/>
          <w:sz w:val="32"/>
          <w:szCs w:val="32"/>
          <w:lang w:eastAsia="en-GB"/>
          <w14:ligatures w14:val="none"/>
        </w:rPr>
        <w:br/>
      </w:r>
      <w:r w:rsidRPr="00DF364C">
        <w:rPr>
          <w:rFonts w:ascii="Arial" w:eastAsia="Times New Roman" w:hAnsi="Arial" w:cs="Arial"/>
          <w:kern w:val="0"/>
          <w:lang w:eastAsia="en-GB"/>
          <w14:ligatures w14:val="none"/>
        </w:rPr>
        <w:t>To make an effective engagement strategy, you need to know what each stakeholder does and what problems they face (Bourne, 2016</w:t>
      </w:r>
      <w:r w:rsidR="00D27771">
        <w:rPr>
          <w:rFonts w:ascii="Arial" w:eastAsia="Times New Roman" w:hAnsi="Arial" w:cs="Arial"/>
          <w:kern w:val="0"/>
          <w:lang w:eastAsia="en-GB"/>
          <w14:ligatures w14:val="none"/>
        </w:rPr>
        <w:t>; Baharuddin et al., 2013</w:t>
      </w:r>
      <w:r w:rsidRPr="00DF364C">
        <w:rPr>
          <w:rFonts w:ascii="Arial" w:eastAsia="Times New Roman" w:hAnsi="Arial" w:cs="Arial"/>
          <w:kern w:val="0"/>
          <w:lang w:eastAsia="en-GB"/>
          <w14:ligatures w14:val="none"/>
        </w:rPr>
        <w:t xml:space="preserve">). </w:t>
      </w:r>
    </w:p>
    <w:p w14:paraId="6A4A22EE" w14:textId="77777777" w:rsidR="00DE6DFB" w:rsidRDefault="003548B1" w:rsidP="00DE6DFB">
      <w:pPr>
        <w:spacing w:after="0" w:line="360" w:lineRule="auto"/>
        <w:rPr>
          <w:rFonts w:ascii="Arial" w:eastAsia="Times New Roman" w:hAnsi="Arial" w:cs="Arial"/>
          <w:kern w:val="0"/>
          <w:lang w:eastAsia="en-GB"/>
          <w14:ligatures w14:val="none"/>
        </w:rPr>
      </w:pPr>
      <w:r w:rsidRPr="00DF364C">
        <w:rPr>
          <w:rFonts w:ascii="Arial" w:eastAsia="Times New Roman" w:hAnsi="Arial" w:cs="Arial"/>
          <w:kern w:val="0"/>
          <w:lang w:eastAsia="en-GB"/>
          <w14:ligatures w14:val="none"/>
        </w:rPr>
        <w:br/>
      </w:r>
      <w:r w:rsidRPr="00DF364C">
        <w:rPr>
          <w:rFonts w:ascii="Arial" w:eastAsia="Times New Roman" w:hAnsi="Arial" w:cs="Arial"/>
          <w:kern w:val="0"/>
          <w:sz w:val="28"/>
          <w:szCs w:val="28"/>
          <w:lang w:eastAsia="en-GB"/>
          <w14:ligatures w14:val="none"/>
        </w:rPr>
        <w:t>4.1 Team of Executive Leaders</w:t>
      </w:r>
      <w:r w:rsidRPr="00DF364C">
        <w:rPr>
          <w:rFonts w:ascii="Arial" w:eastAsia="Times New Roman" w:hAnsi="Arial" w:cs="Arial"/>
          <w:kern w:val="0"/>
          <w:lang w:eastAsia="en-GB"/>
          <w14:ligatures w14:val="none"/>
        </w:rPr>
        <w:t xml:space="preserve"> </w:t>
      </w:r>
    </w:p>
    <w:p w14:paraId="1A5C0C09" w14:textId="77777777" w:rsidR="00DE6DFB" w:rsidRDefault="003548B1" w:rsidP="00DE6DFB">
      <w:pPr>
        <w:spacing w:after="0" w:line="360" w:lineRule="auto"/>
        <w:jc w:val="both"/>
        <w:rPr>
          <w:rFonts w:ascii="Arial" w:eastAsia="Times New Roman" w:hAnsi="Arial" w:cs="Arial"/>
          <w:kern w:val="0"/>
          <w:lang w:eastAsia="en-GB"/>
          <w14:ligatures w14:val="none"/>
        </w:rPr>
      </w:pPr>
      <w:r w:rsidRPr="00DF364C">
        <w:rPr>
          <w:rFonts w:ascii="Arial" w:eastAsia="Times New Roman" w:hAnsi="Arial" w:cs="Arial"/>
          <w:kern w:val="0"/>
          <w:lang w:eastAsia="en-GB"/>
          <w14:ligatures w14:val="none"/>
        </w:rPr>
        <w:t>The E</w:t>
      </w:r>
      <w:r w:rsidR="00DE6DFB">
        <w:rPr>
          <w:rFonts w:ascii="Arial" w:eastAsia="Times New Roman" w:hAnsi="Arial" w:cs="Arial"/>
          <w:kern w:val="0"/>
          <w:lang w:eastAsia="en-GB"/>
          <w14:ligatures w14:val="none"/>
        </w:rPr>
        <w:t xml:space="preserve">xecutive Leaders Team’s (ELT) </w:t>
      </w:r>
      <w:r w:rsidRPr="00DF364C">
        <w:rPr>
          <w:rFonts w:ascii="Arial" w:eastAsia="Times New Roman" w:hAnsi="Arial" w:cs="Arial"/>
          <w:kern w:val="0"/>
          <w:lang w:eastAsia="en-GB"/>
          <w14:ligatures w14:val="none"/>
        </w:rPr>
        <w:t xml:space="preserve">job is to support </w:t>
      </w:r>
      <w:proofErr w:type="spellStart"/>
      <w:r w:rsidRPr="00DF364C">
        <w:rPr>
          <w:rFonts w:ascii="Arial" w:eastAsia="Times New Roman" w:hAnsi="Arial" w:cs="Arial"/>
          <w:kern w:val="0"/>
          <w:lang w:eastAsia="en-GB"/>
          <w14:ligatures w14:val="none"/>
        </w:rPr>
        <w:t>StaySmart</w:t>
      </w:r>
      <w:proofErr w:type="spellEnd"/>
      <w:r w:rsidRPr="00DF364C">
        <w:rPr>
          <w:rFonts w:ascii="Arial" w:eastAsia="Times New Roman" w:hAnsi="Arial" w:cs="Arial"/>
          <w:kern w:val="0"/>
          <w:lang w:eastAsia="en-GB"/>
          <w14:ligatures w14:val="none"/>
        </w:rPr>
        <w:t xml:space="preserve">+ at the board level, </w:t>
      </w:r>
      <w:r w:rsidR="00DE6DFB">
        <w:rPr>
          <w:rFonts w:ascii="Arial" w:eastAsia="Times New Roman" w:hAnsi="Arial" w:cs="Arial"/>
          <w:kern w:val="0"/>
          <w:lang w:eastAsia="en-GB"/>
          <w14:ligatures w14:val="none"/>
        </w:rPr>
        <w:t>attract</w:t>
      </w:r>
      <w:r w:rsidRPr="00DF364C">
        <w:rPr>
          <w:rFonts w:ascii="Arial" w:eastAsia="Times New Roman" w:hAnsi="Arial" w:cs="Arial"/>
          <w:kern w:val="0"/>
          <w:lang w:eastAsia="en-GB"/>
          <w14:ligatures w14:val="none"/>
        </w:rPr>
        <w:t xml:space="preserve"> money for it, and make sure it fits in with Meliá's overall business plan. In a hierarchical corporate culture, their sponsorship gives the whole organi</w:t>
      </w:r>
      <w:r w:rsidR="00DE6DFB">
        <w:rPr>
          <w:rFonts w:ascii="Arial" w:eastAsia="Times New Roman" w:hAnsi="Arial" w:cs="Arial"/>
          <w:kern w:val="0"/>
          <w:lang w:eastAsia="en-GB"/>
          <w14:ligatures w14:val="none"/>
        </w:rPr>
        <w:t>s</w:t>
      </w:r>
      <w:r w:rsidRPr="00DF364C">
        <w:rPr>
          <w:rFonts w:ascii="Arial" w:eastAsia="Times New Roman" w:hAnsi="Arial" w:cs="Arial"/>
          <w:kern w:val="0"/>
          <w:lang w:eastAsia="en-GB"/>
          <w14:ligatures w14:val="none"/>
        </w:rPr>
        <w:t>ation credibility, which is very important. But their problem is finding a balance between the money they need to spend on this six-month rollout and other capital needs, especially since Meliá is still growing in APAC and the Middle East. Mitchell et al. (1997) contend that stakeholders possessing power, legitimacy, and urgency</w:t>
      </w:r>
      <w:r w:rsidR="00DE6DFB">
        <w:rPr>
          <w:rFonts w:ascii="Arial" w:eastAsia="Times New Roman" w:hAnsi="Arial" w:cs="Arial"/>
          <w:kern w:val="0"/>
          <w:lang w:eastAsia="en-GB"/>
          <w14:ligatures w14:val="none"/>
        </w:rPr>
        <w:t xml:space="preserve">, </w:t>
      </w:r>
      <w:r w:rsidRPr="00DF364C">
        <w:rPr>
          <w:rFonts w:ascii="Arial" w:eastAsia="Times New Roman" w:hAnsi="Arial" w:cs="Arial"/>
          <w:kern w:val="0"/>
          <w:lang w:eastAsia="en-GB"/>
          <w14:ligatures w14:val="none"/>
        </w:rPr>
        <w:t>termed 'definitive stakeholders'</w:t>
      </w:r>
      <w:r w:rsidR="00DE6DFB">
        <w:rPr>
          <w:rFonts w:ascii="Arial" w:eastAsia="Times New Roman" w:hAnsi="Arial" w:cs="Arial"/>
          <w:kern w:val="0"/>
          <w:lang w:eastAsia="en-GB"/>
          <w14:ligatures w14:val="none"/>
        </w:rPr>
        <w:t xml:space="preserve">, </w:t>
      </w:r>
      <w:r w:rsidRPr="00DF364C">
        <w:rPr>
          <w:rFonts w:ascii="Arial" w:eastAsia="Times New Roman" w:hAnsi="Arial" w:cs="Arial"/>
          <w:kern w:val="0"/>
          <w:lang w:eastAsia="en-GB"/>
          <w14:ligatures w14:val="none"/>
        </w:rPr>
        <w:t xml:space="preserve">necessitate the most proactive engagement, and the ELT distinctly aligns with this categorisation. </w:t>
      </w:r>
    </w:p>
    <w:p w14:paraId="53F41113" w14:textId="77777777" w:rsidR="00D241BC" w:rsidRDefault="003548B1" w:rsidP="00D241BC">
      <w:pPr>
        <w:spacing w:after="0" w:line="360" w:lineRule="auto"/>
        <w:rPr>
          <w:rFonts w:ascii="Arial" w:eastAsia="Times New Roman" w:hAnsi="Arial" w:cs="Arial"/>
          <w:kern w:val="0"/>
          <w:lang w:eastAsia="en-GB"/>
          <w14:ligatures w14:val="none"/>
        </w:rPr>
      </w:pPr>
      <w:r w:rsidRPr="00DF364C">
        <w:rPr>
          <w:rFonts w:ascii="Arial" w:eastAsia="Times New Roman" w:hAnsi="Arial" w:cs="Arial"/>
          <w:kern w:val="0"/>
          <w:lang w:eastAsia="en-GB"/>
          <w14:ligatures w14:val="none"/>
        </w:rPr>
        <w:br/>
      </w:r>
      <w:r w:rsidRPr="00DF364C">
        <w:rPr>
          <w:rFonts w:ascii="Arial" w:eastAsia="Times New Roman" w:hAnsi="Arial" w:cs="Arial"/>
          <w:kern w:val="0"/>
          <w:sz w:val="28"/>
          <w:szCs w:val="28"/>
          <w:lang w:eastAsia="en-GB"/>
          <w14:ligatures w14:val="none"/>
        </w:rPr>
        <w:t>4.2 Product Development and Technology Team</w:t>
      </w:r>
      <w:r w:rsidRPr="00DF364C">
        <w:rPr>
          <w:rFonts w:ascii="Arial" w:eastAsia="Times New Roman" w:hAnsi="Arial" w:cs="Arial"/>
          <w:kern w:val="0"/>
          <w:lang w:eastAsia="en-GB"/>
          <w14:ligatures w14:val="none"/>
        </w:rPr>
        <w:br/>
      </w:r>
    </w:p>
    <w:p w14:paraId="75474802" w14:textId="4AA26B1D" w:rsidR="00D241BC" w:rsidRDefault="003548B1" w:rsidP="00D241BC">
      <w:pPr>
        <w:spacing w:after="0" w:line="360" w:lineRule="auto"/>
        <w:jc w:val="both"/>
        <w:rPr>
          <w:rFonts w:ascii="Arial" w:eastAsia="Times New Roman" w:hAnsi="Arial" w:cs="Arial"/>
          <w:kern w:val="0"/>
          <w:lang w:eastAsia="en-GB"/>
          <w14:ligatures w14:val="none"/>
        </w:rPr>
      </w:pPr>
      <w:r w:rsidRPr="00DF364C">
        <w:rPr>
          <w:rFonts w:ascii="Arial" w:eastAsia="Times New Roman" w:hAnsi="Arial" w:cs="Arial"/>
          <w:kern w:val="0"/>
          <w:lang w:eastAsia="en-GB"/>
          <w14:ligatures w14:val="none"/>
        </w:rPr>
        <w:lastRenderedPageBreak/>
        <w:t xml:space="preserve">This team is the most responsible for technical issues. They </w:t>
      </w:r>
      <w:r w:rsidR="00527E2E" w:rsidRPr="00DF364C">
        <w:rPr>
          <w:rFonts w:ascii="Arial" w:eastAsia="Times New Roman" w:hAnsi="Arial" w:cs="Arial"/>
          <w:kern w:val="0"/>
          <w:lang w:eastAsia="en-GB"/>
          <w14:ligatures w14:val="none"/>
        </w:rPr>
        <w:t>oversee</w:t>
      </w:r>
      <w:r w:rsidRPr="00DF364C">
        <w:rPr>
          <w:rFonts w:ascii="Arial" w:eastAsia="Times New Roman" w:hAnsi="Arial" w:cs="Arial"/>
          <w:kern w:val="0"/>
          <w:lang w:eastAsia="en-GB"/>
          <w14:ligatures w14:val="none"/>
        </w:rPr>
        <w:t xml:space="preserve"> making AI models that accurately show what guests want in different cultural settings. They </w:t>
      </w:r>
      <w:r w:rsidR="00D241BC">
        <w:rPr>
          <w:rFonts w:ascii="Arial" w:eastAsia="Times New Roman" w:hAnsi="Arial" w:cs="Arial"/>
          <w:kern w:val="0"/>
          <w:lang w:eastAsia="en-GB"/>
          <w14:ligatures w14:val="none"/>
        </w:rPr>
        <w:t>must</w:t>
      </w:r>
      <w:r w:rsidRPr="00DF364C">
        <w:rPr>
          <w:rFonts w:ascii="Arial" w:eastAsia="Times New Roman" w:hAnsi="Arial" w:cs="Arial"/>
          <w:kern w:val="0"/>
          <w:lang w:eastAsia="en-GB"/>
          <w14:ligatures w14:val="none"/>
        </w:rPr>
        <w:t xml:space="preserve"> make sure that the system works with current property management systems. The benefit they bring is that they can personalise service like never before. The challenge is big: AI training data must be fair, accurate, and follow privacy laws. O'Neil (2016) talks about how algorithmic systems can unintentionally encode biases that already exist, which could be a problem if not handled carefully. </w:t>
      </w:r>
    </w:p>
    <w:p w14:paraId="45020637" w14:textId="5E18B792" w:rsidR="003548B1" w:rsidRDefault="003548B1" w:rsidP="00D241BC">
      <w:pPr>
        <w:spacing w:after="0" w:line="240" w:lineRule="auto"/>
        <w:jc w:val="both"/>
        <w:rPr>
          <w:rFonts w:ascii="Arial" w:eastAsia="Times New Roman" w:hAnsi="Arial" w:cs="Arial"/>
          <w:kern w:val="0"/>
          <w:lang w:eastAsia="en-GB"/>
          <w14:ligatures w14:val="none"/>
        </w:rPr>
      </w:pPr>
      <w:r w:rsidRPr="00DF364C">
        <w:rPr>
          <w:rFonts w:ascii="Arial" w:eastAsia="Times New Roman" w:hAnsi="Arial" w:cs="Arial"/>
          <w:kern w:val="0"/>
          <w:lang w:eastAsia="en-GB"/>
          <w14:ligatures w14:val="none"/>
        </w:rPr>
        <w:br/>
      </w:r>
      <w:r w:rsidRPr="00DF364C">
        <w:rPr>
          <w:rFonts w:ascii="Arial" w:eastAsia="Times New Roman" w:hAnsi="Arial" w:cs="Arial"/>
          <w:kern w:val="0"/>
          <w:sz w:val="28"/>
          <w:szCs w:val="28"/>
          <w:lang w:eastAsia="en-GB"/>
          <w14:ligatures w14:val="none"/>
        </w:rPr>
        <w:t>4.3 Operations and Front-of-House Teams</w:t>
      </w:r>
      <w:r w:rsidRPr="00DF364C">
        <w:rPr>
          <w:rFonts w:ascii="Arial" w:eastAsia="Times New Roman" w:hAnsi="Arial" w:cs="Arial"/>
          <w:kern w:val="0"/>
          <w:lang w:eastAsia="en-GB"/>
          <w14:ligatures w14:val="none"/>
        </w:rPr>
        <w:t xml:space="preserve">  </w:t>
      </w:r>
    </w:p>
    <w:p w14:paraId="0ED069B1" w14:textId="77777777" w:rsidR="00D241BC" w:rsidRPr="00DF364C" w:rsidRDefault="00D241BC" w:rsidP="00D241BC">
      <w:pPr>
        <w:spacing w:after="0" w:line="240" w:lineRule="auto"/>
        <w:jc w:val="both"/>
        <w:rPr>
          <w:rFonts w:ascii="Arial" w:eastAsia="Times New Roman" w:hAnsi="Arial" w:cs="Arial"/>
          <w:kern w:val="0"/>
          <w:lang w:eastAsia="en-GB"/>
          <w14:ligatures w14:val="none"/>
        </w:rPr>
      </w:pPr>
    </w:p>
    <w:p w14:paraId="755A1157" w14:textId="73BD5504" w:rsidR="00D241BC" w:rsidRDefault="003548B1" w:rsidP="00D241BC">
      <w:pPr>
        <w:spacing w:after="0" w:line="360" w:lineRule="auto"/>
        <w:jc w:val="both"/>
        <w:rPr>
          <w:rFonts w:ascii="Arial" w:eastAsia="Times New Roman" w:hAnsi="Arial" w:cs="Arial"/>
          <w:kern w:val="0"/>
          <w:lang w:eastAsia="en-GB"/>
          <w14:ligatures w14:val="none"/>
        </w:rPr>
      </w:pPr>
      <w:proofErr w:type="spellStart"/>
      <w:r w:rsidRPr="00DF364C">
        <w:rPr>
          <w:rFonts w:ascii="Arial" w:eastAsia="Times New Roman" w:hAnsi="Arial" w:cs="Arial"/>
          <w:kern w:val="0"/>
          <w:lang w:eastAsia="en-GB"/>
          <w14:ligatures w14:val="none"/>
        </w:rPr>
        <w:t>StaySmart</w:t>
      </w:r>
      <w:proofErr w:type="spellEnd"/>
      <w:r w:rsidRPr="00DF364C">
        <w:rPr>
          <w:rFonts w:ascii="Arial" w:eastAsia="Times New Roman" w:hAnsi="Arial" w:cs="Arial"/>
          <w:kern w:val="0"/>
          <w:lang w:eastAsia="en-GB"/>
          <w14:ligatures w14:val="none"/>
        </w:rPr>
        <w:t>+ is made up of people who work on the front lines. Whether the technology feels like it's part of the system or like it's being forced on them will depend on how well they use the new tools and service scripts. The benefits are better service and more efficient workflows. The problems are resistan</w:t>
      </w:r>
      <w:r w:rsidR="00D241BC">
        <w:rPr>
          <w:rFonts w:ascii="Arial" w:eastAsia="Times New Roman" w:hAnsi="Arial" w:cs="Arial"/>
          <w:kern w:val="0"/>
          <w:lang w:eastAsia="en-GB"/>
          <w14:ligatures w14:val="none"/>
        </w:rPr>
        <w:t>ce</w:t>
      </w:r>
      <w:r w:rsidRPr="00DF364C">
        <w:rPr>
          <w:rFonts w:ascii="Arial" w:eastAsia="Times New Roman" w:hAnsi="Arial" w:cs="Arial"/>
          <w:kern w:val="0"/>
          <w:lang w:eastAsia="en-GB"/>
          <w14:ligatures w14:val="none"/>
        </w:rPr>
        <w:t xml:space="preserve"> to change, gaps in digital literacy (especially in markets where technology use is lower), and the fear that AI will take over traditional jobs. Kotter's (1996) change management research shows that technology implementations often fail to deliver the value they were supposed to without enough investment in people-side readiness. </w:t>
      </w:r>
    </w:p>
    <w:p w14:paraId="058038DB" w14:textId="77777777" w:rsidR="00D241BC" w:rsidRDefault="003548B1" w:rsidP="00D241BC">
      <w:pPr>
        <w:spacing w:after="0" w:line="240" w:lineRule="auto"/>
        <w:jc w:val="both"/>
        <w:rPr>
          <w:rFonts w:ascii="Arial" w:eastAsia="Times New Roman" w:hAnsi="Arial" w:cs="Arial"/>
          <w:kern w:val="0"/>
          <w:sz w:val="28"/>
          <w:szCs w:val="28"/>
          <w:lang w:eastAsia="en-GB"/>
          <w14:ligatures w14:val="none"/>
        </w:rPr>
      </w:pPr>
      <w:r w:rsidRPr="00DF364C">
        <w:rPr>
          <w:rFonts w:ascii="Arial" w:eastAsia="Times New Roman" w:hAnsi="Arial" w:cs="Arial"/>
          <w:kern w:val="0"/>
          <w:lang w:eastAsia="en-GB"/>
          <w14:ligatures w14:val="none"/>
        </w:rPr>
        <w:br/>
      </w:r>
      <w:r w:rsidRPr="00DF364C">
        <w:rPr>
          <w:rFonts w:ascii="Arial" w:eastAsia="Times New Roman" w:hAnsi="Arial" w:cs="Arial"/>
          <w:kern w:val="0"/>
          <w:sz w:val="28"/>
          <w:szCs w:val="28"/>
          <w:lang w:eastAsia="en-GB"/>
          <w14:ligatures w14:val="none"/>
        </w:rPr>
        <w:t xml:space="preserve">4.4 </w:t>
      </w:r>
      <w:r w:rsidR="003444AB" w:rsidRPr="00DF364C">
        <w:rPr>
          <w:rFonts w:ascii="Arial" w:eastAsia="Times New Roman" w:hAnsi="Arial" w:cs="Arial"/>
          <w:kern w:val="0"/>
          <w:sz w:val="28"/>
          <w:szCs w:val="28"/>
          <w:lang w:eastAsia="en-GB"/>
          <w14:ligatures w14:val="none"/>
        </w:rPr>
        <w:t>Technology Vendors</w:t>
      </w:r>
    </w:p>
    <w:p w14:paraId="2AB11487" w14:textId="3BF152D6" w:rsidR="00D241BC" w:rsidRDefault="003548B1" w:rsidP="00D241BC">
      <w:pPr>
        <w:spacing w:after="0" w:line="360" w:lineRule="auto"/>
        <w:jc w:val="both"/>
        <w:rPr>
          <w:rFonts w:ascii="Arial" w:eastAsia="Times New Roman" w:hAnsi="Arial" w:cs="Arial"/>
          <w:kern w:val="0"/>
          <w:lang w:eastAsia="en-GB"/>
          <w14:ligatures w14:val="none"/>
        </w:rPr>
      </w:pPr>
      <w:r w:rsidRPr="00DF364C">
        <w:rPr>
          <w:rFonts w:ascii="Arial" w:eastAsia="Times New Roman" w:hAnsi="Arial" w:cs="Arial"/>
          <w:kern w:val="0"/>
          <w:lang w:eastAsia="en-GB"/>
          <w14:ligatures w14:val="none"/>
        </w:rPr>
        <w:br/>
        <w:t>Meli</w:t>
      </w:r>
      <w:r w:rsidR="003444AB" w:rsidRPr="00DF364C">
        <w:rPr>
          <w:rFonts w:ascii="Arial" w:eastAsia="Times New Roman" w:hAnsi="Arial" w:cs="Arial"/>
          <w:kern w:val="0"/>
          <w:lang w:eastAsia="en-GB"/>
          <w14:ligatures w14:val="none"/>
        </w:rPr>
        <w:t>a</w:t>
      </w:r>
      <w:r w:rsidRPr="00DF364C">
        <w:rPr>
          <w:rFonts w:ascii="Arial" w:eastAsia="Times New Roman" w:hAnsi="Arial" w:cs="Arial"/>
          <w:kern w:val="0"/>
          <w:lang w:eastAsia="en-GB"/>
          <w14:ligatures w14:val="none"/>
        </w:rPr>
        <w:t xml:space="preserve"> doesn't have the technical know-how, platforms, or ongoing support that AI and </w:t>
      </w:r>
      <w:r w:rsidR="003444AB" w:rsidRPr="00DF364C">
        <w:rPr>
          <w:rFonts w:ascii="Arial" w:eastAsia="Times New Roman" w:hAnsi="Arial" w:cs="Arial"/>
          <w:kern w:val="0"/>
          <w:lang w:eastAsia="en-GB"/>
          <w14:ligatures w14:val="none"/>
        </w:rPr>
        <w:t xml:space="preserve">Internet of Things </w:t>
      </w:r>
      <w:r w:rsidRPr="00DF364C">
        <w:rPr>
          <w:rFonts w:ascii="Arial" w:eastAsia="Times New Roman" w:hAnsi="Arial" w:cs="Arial"/>
          <w:kern w:val="0"/>
          <w:lang w:eastAsia="en-GB"/>
          <w14:ligatures w14:val="none"/>
        </w:rPr>
        <w:t>vendors do. They provide critical infrastructure, but their challenge is to meet Meliá's customisation needs in a short six-month time frame while still following GDPR rules for data handling. It is important to carefully negotiate SLA governance and intellectual property terms</w:t>
      </w:r>
      <w:r w:rsidR="00D241BC">
        <w:rPr>
          <w:rFonts w:ascii="Arial" w:eastAsia="Times New Roman" w:hAnsi="Arial" w:cs="Arial"/>
          <w:kern w:val="0"/>
          <w:lang w:eastAsia="en-GB"/>
          <w14:ligatures w14:val="none"/>
        </w:rPr>
        <w:t xml:space="preserve"> </w:t>
      </w:r>
      <w:r w:rsidR="00CD66AF">
        <w:rPr>
          <w:rFonts w:ascii="Arial" w:eastAsia="Times New Roman" w:hAnsi="Arial" w:cs="Arial"/>
          <w:kern w:val="0"/>
          <w:lang w:eastAsia="en-GB"/>
          <w14:ligatures w14:val="none"/>
        </w:rPr>
        <w:t>(Gilbert and Gilbert, 2025)</w:t>
      </w:r>
      <w:r w:rsidRPr="00DF364C">
        <w:rPr>
          <w:rFonts w:ascii="Arial" w:eastAsia="Times New Roman" w:hAnsi="Arial" w:cs="Arial"/>
          <w:kern w:val="0"/>
          <w:lang w:eastAsia="en-GB"/>
          <w14:ligatures w14:val="none"/>
        </w:rPr>
        <w:t xml:space="preserve">. </w:t>
      </w:r>
    </w:p>
    <w:p w14:paraId="098DA395" w14:textId="77777777" w:rsidR="00D241BC" w:rsidRDefault="003548B1" w:rsidP="00D241BC">
      <w:pPr>
        <w:spacing w:after="0" w:line="240" w:lineRule="auto"/>
        <w:jc w:val="both"/>
        <w:rPr>
          <w:rFonts w:ascii="Arial" w:eastAsia="Times New Roman" w:hAnsi="Arial" w:cs="Arial"/>
          <w:kern w:val="0"/>
          <w:sz w:val="28"/>
          <w:szCs w:val="28"/>
          <w:lang w:eastAsia="en-GB"/>
          <w14:ligatures w14:val="none"/>
        </w:rPr>
      </w:pPr>
      <w:r w:rsidRPr="00DF364C">
        <w:rPr>
          <w:rFonts w:ascii="Arial" w:eastAsia="Times New Roman" w:hAnsi="Arial" w:cs="Arial"/>
          <w:kern w:val="0"/>
          <w:lang w:eastAsia="en-GB"/>
          <w14:ligatures w14:val="none"/>
        </w:rPr>
        <w:br/>
      </w:r>
      <w:r w:rsidRPr="00DF364C">
        <w:rPr>
          <w:rFonts w:ascii="Arial" w:eastAsia="Times New Roman" w:hAnsi="Arial" w:cs="Arial"/>
          <w:kern w:val="0"/>
          <w:sz w:val="28"/>
          <w:szCs w:val="28"/>
          <w:lang w:eastAsia="en-GB"/>
          <w14:ligatures w14:val="none"/>
        </w:rPr>
        <w:t xml:space="preserve">4.5 </w:t>
      </w:r>
      <w:r w:rsidR="003444AB" w:rsidRPr="00DF364C">
        <w:rPr>
          <w:rFonts w:ascii="Arial" w:eastAsia="Times New Roman" w:hAnsi="Arial" w:cs="Arial"/>
          <w:kern w:val="0"/>
          <w:sz w:val="28"/>
          <w:szCs w:val="28"/>
          <w:lang w:eastAsia="en-GB"/>
          <w14:ligatures w14:val="none"/>
        </w:rPr>
        <w:t>Guests and Loyalty Members</w:t>
      </w:r>
    </w:p>
    <w:p w14:paraId="64280A9E" w14:textId="780FF5C5" w:rsidR="00C74013" w:rsidRDefault="003548B1" w:rsidP="00C74013">
      <w:pPr>
        <w:spacing w:after="0" w:line="360" w:lineRule="auto"/>
        <w:jc w:val="both"/>
        <w:rPr>
          <w:rFonts w:ascii="Arial" w:eastAsia="Times New Roman" w:hAnsi="Arial" w:cs="Arial"/>
          <w:kern w:val="0"/>
          <w:lang w:eastAsia="en-GB"/>
          <w14:ligatures w14:val="none"/>
        </w:rPr>
      </w:pPr>
      <w:r w:rsidRPr="00DF364C">
        <w:rPr>
          <w:rFonts w:ascii="Arial" w:eastAsia="Times New Roman" w:hAnsi="Arial" w:cs="Arial"/>
          <w:kern w:val="0"/>
          <w:sz w:val="28"/>
          <w:szCs w:val="28"/>
          <w:lang w:eastAsia="en-GB"/>
          <w14:ligatures w14:val="none"/>
        </w:rPr>
        <w:br/>
      </w:r>
      <w:r w:rsidRPr="00DF364C">
        <w:rPr>
          <w:rFonts w:ascii="Arial" w:eastAsia="Times New Roman" w:hAnsi="Arial" w:cs="Arial"/>
          <w:kern w:val="0"/>
          <w:lang w:eastAsia="en-GB"/>
          <w14:ligatures w14:val="none"/>
        </w:rPr>
        <w:t xml:space="preserve">Guests bring in money and give feedback in real time, which helps the business get better all the time. But they do pose a problem for informed consent: gathering behavioural data to tailor services must be open, voluntary, and easy to understand. </w:t>
      </w:r>
      <w:r w:rsidR="00C74013">
        <w:rPr>
          <w:rFonts w:ascii="Arial" w:eastAsia="Times New Roman" w:hAnsi="Arial" w:cs="Arial"/>
          <w:kern w:val="0"/>
          <w:lang w:eastAsia="en-GB"/>
          <w14:ligatures w14:val="none"/>
        </w:rPr>
        <w:t>According to Aksoy et al. (2022</w:t>
      </w:r>
      <w:r w:rsidRPr="00DF364C">
        <w:rPr>
          <w:rFonts w:ascii="Arial" w:eastAsia="Times New Roman" w:hAnsi="Arial" w:cs="Arial"/>
          <w:kern w:val="0"/>
          <w:lang w:eastAsia="en-GB"/>
          <w14:ligatures w14:val="none"/>
        </w:rPr>
        <w:t>)</w:t>
      </w:r>
      <w:r w:rsidR="00C74013">
        <w:rPr>
          <w:rFonts w:ascii="Arial" w:eastAsia="Times New Roman" w:hAnsi="Arial" w:cs="Arial"/>
          <w:kern w:val="0"/>
          <w:lang w:eastAsia="en-GB"/>
          <w14:ligatures w14:val="none"/>
        </w:rPr>
        <w:t>,</w:t>
      </w:r>
      <w:r w:rsidRPr="00DF364C">
        <w:rPr>
          <w:rFonts w:ascii="Arial" w:eastAsia="Times New Roman" w:hAnsi="Arial" w:cs="Arial"/>
          <w:kern w:val="0"/>
          <w:lang w:eastAsia="en-GB"/>
          <w14:ligatures w14:val="none"/>
        </w:rPr>
        <w:t xml:space="preserve"> people are more likely to join loyalty programs if they think the data is being used fairly. This means that ethical data practices are both a legal requirement and a business necessity. </w:t>
      </w:r>
    </w:p>
    <w:p w14:paraId="3F60941B" w14:textId="77777777" w:rsidR="00C74013" w:rsidRDefault="003548B1" w:rsidP="00C74013">
      <w:pPr>
        <w:spacing w:after="0" w:line="240" w:lineRule="auto"/>
        <w:rPr>
          <w:rFonts w:ascii="Arial" w:eastAsia="Times New Roman" w:hAnsi="Arial" w:cs="Arial"/>
          <w:kern w:val="0"/>
          <w:lang w:eastAsia="en-GB"/>
          <w14:ligatures w14:val="none"/>
        </w:rPr>
      </w:pPr>
      <w:r w:rsidRPr="00DF364C">
        <w:rPr>
          <w:rFonts w:ascii="Arial" w:eastAsia="Times New Roman" w:hAnsi="Arial" w:cs="Arial"/>
          <w:kern w:val="0"/>
          <w:lang w:eastAsia="en-GB"/>
          <w14:ligatures w14:val="none"/>
        </w:rPr>
        <w:br/>
      </w:r>
      <w:r w:rsidRPr="00DF364C">
        <w:rPr>
          <w:rFonts w:ascii="Arial" w:eastAsia="Times New Roman" w:hAnsi="Arial" w:cs="Arial"/>
          <w:kern w:val="0"/>
          <w:sz w:val="28"/>
          <w:szCs w:val="28"/>
          <w:lang w:eastAsia="en-GB"/>
          <w14:ligatures w14:val="none"/>
        </w:rPr>
        <w:t>4.6 Franchise and Management Contract Partners</w:t>
      </w:r>
      <w:r w:rsidRPr="00DF364C">
        <w:rPr>
          <w:rFonts w:ascii="Arial" w:eastAsia="Times New Roman" w:hAnsi="Arial" w:cs="Arial"/>
          <w:kern w:val="0"/>
          <w:lang w:eastAsia="en-GB"/>
          <w14:ligatures w14:val="none"/>
        </w:rPr>
        <w:t xml:space="preserve"> </w:t>
      </w:r>
    </w:p>
    <w:p w14:paraId="29F401AC" w14:textId="4BC06754" w:rsidR="009704FD" w:rsidRDefault="003548B1" w:rsidP="00A33744">
      <w:pPr>
        <w:spacing w:after="0" w:line="360" w:lineRule="auto"/>
        <w:jc w:val="both"/>
        <w:rPr>
          <w:rFonts w:ascii="Arial" w:eastAsia="Times New Roman" w:hAnsi="Arial" w:cs="Arial"/>
          <w:kern w:val="0"/>
          <w:lang w:eastAsia="en-GB"/>
          <w14:ligatures w14:val="none"/>
        </w:rPr>
      </w:pPr>
      <w:r w:rsidRPr="00DF364C">
        <w:rPr>
          <w:rFonts w:ascii="Arial" w:eastAsia="Times New Roman" w:hAnsi="Arial" w:cs="Arial"/>
          <w:kern w:val="0"/>
          <w:lang w:eastAsia="en-GB"/>
          <w14:ligatures w14:val="none"/>
        </w:rPr>
        <w:br/>
        <w:t xml:space="preserve">These stakeholders work under contracts that may not have included these kinds of obligations when they were first written. They know the local market and are responsible for </w:t>
      </w:r>
      <w:r w:rsidRPr="00DF364C">
        <w:rPr>
          <w:rFonts w:ascii="Arial" w:eastAsia="Times New Roman" w:hAnsi="Arial" w:cs="Arial"/>
          <w:kern w:val="0"/>
          <w:lang w:eastAsia="en-GB"/>
          <w14:ligatures w14:val="none"/>
        </w:rPr>
        <w:lastRenderedPageBreak/>
        <w:t xml:space="preserve">the property level of ownership. Their problem is that they </w:t>
      </w:r>
      <w:r w:rsidR="00A33744">
        <w:rPr>
          <w:rFonts w:ascii="Arial" w:eastAsia="Times New Roman" w:hAnsi="Arial" w:cs="Arial"/>
          <w:kern w:val="0"/>
          <w:lang w:eastAsia="en-GB"/>
          <w14:ligatures w14:val="none"/>
        </w:rPr>
        <w:t>must</w:t>
      </w:r>
      <w:r w:rsidRPr="00DF364C">
        <w:rPr>
          <w:rFonts w:ascii="Arial" w:eastAsia="Times New Roman" w:hAnsi="Arial" w:cs="Arial"/>
          <w:kern w:val="0"/>
          <w:lang w:eastAsia="en-GB"/>
          <w14:ligatures w14:val="none"/>
        </w:rPr>
        <w:t xml:space="preserve"> adapt properties to meet </w:t>
      </w:r>
      <w:proofErr w:type="spellStart"/>
      <w:r w:rsidRPr="00DF364C">
        <w:rPr>
          <w:rFonts w:ascii="Arial" w:eastAsia="Times New Roman" w:hAnsi="Arial" w:cs="Arial"/>
          <w:kern w:val="0"/>
          <w:lang w:eastAsia="en-GB"/>
          <w14:ligatures w14:val="none"/>
        </w:rPr>
        <w:t>StaySmart</w:t>
      </w:r>
      <w:proofErr w:type="spellEnd"/>
      <w:r w:rsidRPr="00DF364C">
        <w:rPr>
          <w:rFonts w:ascii="Arial" w:eastAsia="Times New Roman" w:hAnsi="Arial" w:cs="Arial"/>
          <w:kern w:val="0"/>
          <w:lang w:eastAsia="en-GB"/>
          <w14:ligatures w14:val="none"/>
        </w:rPr>
        <w:t>+ standards without hurting their own return on investment agreements.</w:t>
      </w:r>
    </w:p>
    <w:p w14:paraId="1AA95180" w14:textId="77777777" w:rsidR="00A33744" w:rsidRPr="00A33744" w:rsidRDefault="00A33744" w:rsidP="00A33744">
      <w:pPr>
        <w:spacing w:after="0" w:line="360" w:lineRule="auto"/>
        <w:jc w:val="both"/>
        <w:rPr>
          <w:rFonts w:ascii="Arial" w:eastAsia="Times New Roman" w:hAnsi="Arial" w:cs="Arial"/>
          <w:kern w:val="0"/>
          <w:lang w:eastAsia="en-GB"/>
          <w14:ligatures w14:val="none"/>
        </w:rPr>
      </w:pPr>
    </w:p>
    <w:p w14:paraId="0AFA7B2F" w14:textId="7F7652DA" w:rsidR="001C7A5E" w:rsidRPr="00A33744" w:rsidRDefault="001C7A5E" w:rsidP="009704FD">
      <w:pPr>
        <w:spacing w:before="80" w:line="360" w:lineRule="auto"/>
        <w:jc w:val="both"/>
        <w:rPr>
          <w:rFonts w:ascii="Arial" w:eastAsia="Arial" w:hAnsi="Arial" w:cs="Arial"/>
          <w:sz w:val="32"/>
          <w:szCs w:val="32"/>
        </w:rPr>
      </w:pPr>
      <w:r w:rsidRPr="00A33744">
        <w:rPr>
          <w:rFonts w:ascii="Arial" w:eastAsia="Arial" w:hAnsi="Arial" w:cs="Arial"/>
          <w:sz w:val="32"/>
          <w:szCs w:val="32"/>
        </w:rPr>
        <w:t>5. Stakeholders Engagement Frameworks, Models, and Theories</w:t>
      </w:r>
    </w:p>
    <w:p w14:paraId="359C22E3" w14:textId="5F33E762" w:rsidR="001C7A5E" w:rsidRDefault="001C7A5E" w:rsidP="001C7A5E">
      <w:pPr>
        <w:spacing w:before="80" w:line="360" w:lineRule="auto"/>
        <w:jc w:val="both"/>
        <w:rPr>
          <w:rFonts w:ascii="Arial" w:eastAsia="Arial" w:hAnsi="Arial" w:cs="Arial"/>
          <w:sz w:val="28"/>
          <w:szCs w:val="28"/>
        </w:rPr>
      </w:pPr>
      <w:r w:rsidRPr="00A33744">
        <w:rPr>
          <w:rFonts w:ascii="Arial" w:eastAsia="Arial" w:hAnsi="Arial" w:cs="Arial"/>
          <w:sz w:val="28"/>
          <w:szCs w:val="28"/>
        </w:rPr>
        <w:t>5.1 The Stakeholder Power-Interest Matrix (Mendelow, 1991)</w:t>
      </w:r>
    </w:p>
    <w:p w14:paraId="55F1919D" w14:textId="2B5EF349" w:rsidR="00BF7355" w:rsidRDefault="00BF7355" w:rsidP="001C7A5E">
      <w:pPr>
        <w:spacing w:before="80" w:line="360" w:lineRule="auto"/>
        <w:jc w:val="both"/>
        <w:rPr>
          <w:rFonts w:ascii="Arial" w:eastAsia="Arial" w:hAnsi="Arial" w:cs="Arial"/>
          <w:sz w:val="28"/>
          <w:szCs w:val="28"/>
        </w:rPr>
      </w:pPr>
      <w:r w:rsidRPr="00BF7355">
        <w:rPr>
          <w:rFonts w:ascii="Arial" w:eastAsia="Arial" w:hAnsi="Arial" w:cs="Arial"/>
          <w:noProof/>
          <w:sz w:val="28"/>
          <w:szCs w:val="28"/>
        </w:rPr>
        <w:drawing>
          <wp:inline distT="0" distB="0" distL="0" distR="0" wp14:anchorId="74A811A8" wp14:editId="4B0D3B75">
            <wp:extent cx="2337793" cy="2006783"/>
            <wp:effectExtent l="0" t="0" r="5715" b="0"/>
            <wp:docPr id="1873297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97088" name=""/>
                    <pic:cNvPicPr/>
                  </pic:nvPicPr>
                  <pic:blipFill>
                    <a:blip r:embed="rId8"/>
                    <a:stretch>
                      <a:fillRect/>
                    </a:stretch>
                  </pic:blipFill>
                  <pic:spPr>
                    <a:xfrm>
                      <a:off x="0" y="0"/>
                      <a:ext cx="2360580" cy="2026344"/>
                    </a:xfrm>
                    <a:prstGeom prst="rect">
                      <a:avLst/>
                    </a:prstGeom>
                  </pic:spPr>
                </pic:pic>
              </a:graphicData>
            </a:graphic>
          </wp:inline>
        </w:drawing>
      </w:r>
    </w:p>
    <w:p w14:paraId="5F6C9BED" w14:textId="7F0319BA" w:rsidR="00BF7355" w:rsidRPr="00437BFB" w:rsidRDefault="00BF7355" w:rsidP="001C7A5E">
      <w:pPr>
        <w:spacing w:before="80" w:line="360" w:lineRule="auto"/>
        <w:jc w:val="both"/>
        <w:rPr>
          <w:rFonts w:ascii="Arial" w:eastAsia="Arial" w:hAnsi="Arial" w:cs="Arial"/>
          <w:sz w:val="18"/>
          <w:szCs w:val="18"/>
        </w:rPr>
      </w:pPr>
      <w:r w:rsidRPr="00437BFB">
        <w:rPr>
          <w:rFonts w:ascii="Arial" w:eastAsia="Arial" w:hAnsi="Arial" w:cs="Arial"/>
          <w:sz w:val="18"/>
          <w:szCs w:val="18"/>
        </w:rPr>
        <w:t xml:space="preserve">Figure 1 Power-interest matrix </w:t>
      </w:r>
      <w:r w:rsidR="00437BFB" w:rsidRPr="00437BFB">
        <w:rPr>
          <w:rFonts w:ascii="Arial" w:eastAsia="Arial" w:hAnsi="Arial" w:cs="Arial"/>
          <w:sz w:val="18"/>
          <w:szCs w:val="18"/>
        </w:rPr>
        <w:t>(</w:t>
      </w:r>
      <w:proofErr w:type="spellStart"/>
      <w:r w:rsidR="00437BFB" w:rsidRPr="00437BFB">
        <w:rPr>
          <w:rFonts w:ascii="Arial" w:eastAsia="Arial" w:hAnsi="Arial" w:cs="Arial"/>
          <w:sz w:val="18"/>
          <w:szCs w:val="18"/>
        </w:rPr>
        <w:t>Blog.Oxford</w:t>
      </w:r>
      <w:proofErr w:type="spellEnd"/>
      <w:r w:rsidR="00437BFB" w:rsidRPr="00437BFB">
        <w:rPr>
          <w:rFonts w:ascii="Arial" w:eastAsia="Arial" w:hAnsi="Arial" w:cs="Arial"/>
          <w:sz w:val="18"/>
          <w:szCs w:val="18"/>
        </w:rPr>
        <w:t xml:space="preserve"> College of marketing)</w:t>
      </w:r>
    </w:p>
    <w:p w14:paraId="55F0C7F2" w14:textId="578F4006" w:rsidR="00815B74" w:rsidRDefault="001C7A5E" w:rsidP="001C7A5E">
      <w:pPr>
        <w:spacing w:before="80" w:line="360" w:lineRule="auto"/>
        <w:jc w:val="both"/>
        <w:rPr>
          <w:rFonts w:ascii="Arial" w:eastAsia="Arial" w:hAnsi="Arial" w:cs="Arial"/>
        </w:rPr>
      </w:pPr>
      <w:r w:rsidRPr="001C7A5E">
        <w:rPr>
          <w:rFonts w:ascii="Arial" w:eastAsia="Arial" w:hAnsi="Arial" w:cs="Arial"/>
        </w:rPr>
        <w:t>Mendelow's (1991) Power-Interest Grid classifies stakeholders into four quadrants that direct the project manager's engagement strategy</w:t>
      </w:r>
      <w:r w:rsidR="00815B74">
        <w:rPr>
          <w:rFonts w:ascii="Arial" w:eastAsia="Arial" w:hAnsi="Arial" w:cs="Arial"/>
        </w:rPr>
        <w:t xml:space="preserve"> (Mariani et al., 2023)</w:t>
      </w:r>
      <w:r w:rsidRPr="001C7A5E">
        <w:rPr>
          <w:rFonts w:ascii="Arial" w:eastAsia="Arial" w:hAnsi="Arial" w:cs="Arial"/>
        </w:rPr>
        <w:t>:</w:t>
      </w:r>
    </w:p>
    <w:tbl>
      <w:tblPr>
        <w:tblStyle w:val="GridTable5Dark-Accent1"/>
        <w:tblW w:w="0" w:type="auto"/>
        <w:tblLook w:val="04A0" w:firstRow="1" w:lastRow="0" w:firstColumn="1" w:lastColumn="0" w:noHBand="0" w:noVBand="1"/>
      </w:tblPr>
      <w:tblGrid>
        <w:gridCol w:w="1838"/>
        <w:gridCol w:w="3402"/>
        <w:gridCol w:w="3776"/>
      </w:tblGrid>
      <w:tr w:rsidR="005A708E" w14:paraId="7666F1F9" w14:textId="77777777" w:rsidTr="005A70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E4A69FD" w14:textId="77777777" w:rsidR="005A708E" w:rsidRDefault="005A708E" w:rsidP="001C7A5E">
            <w:pPr>
              <w:spacing w:before="80" w:line="360" w:lineRule="auto"/>
              <w:jc w:val="both"/>
              <w:rPr>
                <w:rFonts w:ascii="Arial" w:eastAsia="Arial" w:hAnsi="Arial" w:cs="Arial"/>
              </w:rPr>
            </w:pPr>
          </w:p>
        </w:tc>
        <w:tc>
          <w:tcPr>
            <w:tcW w:w="3402" w:type="dxa"/>
          </w:tcPr>
          <w:p w14:paraId="17D0F796" w14:textId="57DC0D7A" w:rsidR="005A708E" w:rsidRDefault="005A708E" w:rsidP="001C7A5E">
            <w:pPr>
              <w:spacing w:before="80"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Stakeholders </w:t>
            </w:r>
          </w:p>
        </w:tc>
        <w:tc>
          <w:tcPr>
            <w:tcW w:w="3776" w:type="dxa"/>
          </w:tcPr>
          <w:p w14:paraId="46B705D1" w14:textId="1E6761EC" w:rsidR="005A708E" w:rsidRDefault="005A708E" w:rsidP="001C7A5E">
            <w:pPr>
              <w:spacing w:before="80"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Strategy </w:t>
            </w:r>
          </w:p>
        </w:tc>
      </w:tr>
      <w:tr w:rsidR="005A708E" w14:paraId="36AF355C" w14:textId="77777777" w:rsidTr="005A70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65DCF7F" w14:textId="1E7A3F0F" w:rsidR="005A708E" w:rsidRDefault="005A708E" w:rsidP="001C7A5E">
            <w:pPr>
              <w:spacing w:before="80" w:line="360" w:lineRule="auto"/>
              <w:jc w:val="both"/>
              <w:rPr>
                <w:rFonts w:ascii="Arial" w:eastAsia="Arial" w:hAnsi="Arial" w:cs="Arial"/>
              </w:rPr>
            </w:pPr>
            <w:r>
              <w:rPr>
                <w:rFonts w:ascii="Arial" w:eastAsia="Arial" w:hAnsi="Arial" w:cs="Arial"/>
              </w:rPr>
              <w:t>High Power / Hight Interest</w:t>
            </w:r>
          </w:p>
        </w:tc>
        <w:tc>
          <w:tcPr>
            <w:tcW w:w="3402" w:type="dxa"/>
          </w:tcPr>
          <w:p w14:paraId="37EE26A9" w14:textId="700C521B" w:rsidR="005A708E" w:rsidRPr="005A708E" w:rsidRDefault="005A708E" w:rsidP="005A708E">
            <w:pPr>
              <w:spacing w:before="8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5A708E">
              <w:rPr>
                <w:rFonts w:ascii="Arial" w:eastAsia="Arial" w:hAnsi="Arial" w:cs="Arial"/>
              </w:rPr>
              <w:t>Executive Leadership Team,</w:t>
            </w:r>
            <w:r w:rsidRPr="005A708E">
              <w:rPr>
                <w:rFonts w:ascii="Arial" w:eastAsia="Arial" w:hAnsi="Arial" w:cs="Arial"/>
                <w:color w:val="000000"/>
                <w:kern w:val="0"/>
                <w:sz w:val="20"/>
                <w:szCs w:val="20"/>
                <w:lang w:eastAsia="en-GB"/>
                <w14:ligatures w14:val="none"/>
              </w:rPr>
              <w:t xml:space="preserve"> </w:t>
            </w:r>
            <w:r w:rsidRPr="005A708E">
              <w:rPr>
                <w:rFonts w:ascii="Arial" w:eastAsia="Arial" w:hAnsi="Arial" w:cs="Arial"/>
              </w:rPr>
              <w:t>Technology Vendors, Franchise Partners</w:t>
            </w:r>
          </w:p>
        </w:tc>
        <w:tc>
          <w:tcPr>
            <w:tcW w:w="3776" w:type="dxa"/>
          </w:tcPr>
          <w:p w14:paraId="464DEDF9" w14:textId="25A5C434" w:rsidR="005A708E" w:rsidRPr="005A708E" w:rsidRDefault="005A708E" w:rsidP="005A708E">
            <w:pPr>
              <w:spacing w:before="8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5A708E">
              <w:rPr>
                <w:rFonts w:ascii="Arial" w:eastAsia="Arial" w:hAnsi="Arial" w:cs="Arial"/>
              </w:rPr>
              <w:t>Manage Closely</w:t>
            </w:r>
            <w:r w:rsidR="00BF7355">
              <w:rPr>
                <w:rFonts w:ascii="Arial" w:eastAsia="Arial" w:hAnsi="Arial" w:cs="Arial"/>
              </w:rPr>
              <w:t xml:space="preserve">, </w:t>
            </w:r>
            <w:r w:rsidRPr="005A708E">
              <w:rPr>
                <w:rFonts w:ascii="Arial" w:eastAsia="Arial" w:hAnsi="Arial" w:cs="Arial"/>
              </w:rPr>
              <w:t>active collaboration, regular briefings, co-creation workshops</w:t>
            </w:r>
          </w:p>
        </w:tc>
      </w:tr>
      <w:tr w:rsidR="005A708E" w14:paraId="282438FC" w14:textId="77777777" w:rsidTr="005A708E">
        <w:tc>
          <w:tcPr>
            <w:cnfStyle w:val="001000000000" w:firstRow="0" w:lastRow="0" w:firstColumn="1" w:lastColumn="0" w:oddVBand="0" w:evenVBand="0" w:oddHBand="0" w:evenHBand="0" w:firstRowFirstColumn="0" w:firstRowLastColumn="0" w:lastRowFirstColumn="0" w:lastRowLastColumn="0"/>
            <w:tcW w:w="1838" w:type="dxa"/>
          </w:tcPr>
          <w:p w14:paraId="7A9EE455" w14:textId="7C34CC6C" w:rsidR="005A708E" w:rsidRDefault="005A708E" w:rsidP="001C7A5E">
            <w:pPr>
              <w:spacing w:before="80" w:line="360" w:lineRule="auto"/>
              <w:jc w:val="both"/>
              <w:rPr>
                <w:rFonts w:ascii="Arial" w:eastAsia="Arial" w:hAnsi="Arial" w:cs="Arial"/>
              </w:rPr>
            </w:pPr>
            <w:r w:rsidRPr="005A708E">
              <w:rPr>
                <w:rFonts w:ascii="Arial" w:eastAsia="Arial" w:hAnsi="Arial" w:cs="Arial"/>
              </w:rPr>
              <w:t xml:space="preserve">High Power / </w:t>
            </w:r>
            <w:r>
              <w:rPr>
                <w:rFonts w:ascii="Arial" w:eastAsia="Arial" w:hAnsi="Arial" w:cs="Arial"/>
              </w:rPr>
              <w:t xml:space="preserve">Low </w:t>
            </w:r>
            <w:r w:rsidRPr="005A708E">
              <w:rPr>
                <w:rFonts w:ascii="Arial" w:eastAsia="Arial" w:hAnsi="Arial" w:cs="Arial"/>
              </w:rPr>
              <w:t>Interes</w:t>
            </w:r>
            <w:r>
              <w:rPr>
                <w:rFonts w:ascii="Arial" w:eastAsia="Arial" w:hAnsi="Arial" w:cs="Arial"/>
              </w:rPr>
              <w:t>t</w:t>
            </w:r>
          </w:p>
        </w:tc>
        <w:tc>
          <w:tcPr>
            <w:tcW w:w="3402" w:type="dxa"/>
          </w:tcPr>
          <w:p w14:paraId="3CAA8FE2" w14:textId="2603136D" w:rsidR="005A708E" w:rsidRDefault="005A708E" w:rsidP="001C7A5E">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5A708E">
              <w:rPr>
                <w:rFonts w:ascii="Arial" w:eastAsia="Arial" w:hAnsi="Arial" w:cs="Arial"/>
              </w:rPr>
              <w:t>Investors, Regulatory Bodies</w:t>
            </w:r>
          </w:p>
        </w:tc>
        <w:tc>
          <w:tcPr>
            <w:tcW w:w="3776" w:type="dxa"/>
          </w:tcPr>
          <w:p w14:paraId="765EA671" w14:textId="39706CC7" w:rsidR="005A708E" w:rsidRDefault="005A708E" w:rsidP="005A708E">
            <w:pPr>
              <w:spacing w:before="80"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5A708E">
              <w:rPr>
                <w:rFonts w:ascii="Arial" w:eastAsia="Arial" w:hAnsi="Arial" w:cs="Arial"/>
              </w:rPr>
              <w:t>Keep Satisfied</w:t>
            </w:r>
            <w:r w:rsidR="00BF7355">
              <w:rPr>
                <w:rFonts w:ascii="Arial" w:eastAsia="Arial" w:hAnsi="Arial" w:cs="Arial"/>
              </w:rPr>
              <w:t xml:space="preserve">, </w:t>
            </w:r>
            <w:r w:rsidRPr="005A708E">
              <w:rPr>
                <w:rFonts w:ascii="Arial" w:eastAsia="Arial" w:hAnsi="Arial" w:cs="Arial"/>
              </w:rPr>
              <w:t>periodic reporting, compliance assurances, Environmental, Social, and Governance updates</w:t>
            </w:r>
          </w:p>
        </w:tc>
      </w:tr>
      <w:tr w:rsidR="005A708E" w14:paraId="67F82423" w14:textId="77777777" w:rsidTr="005A70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0AADFCF" w14:textId="59EB5BFE" w:rsidR="005A708E" w:rsidRDefault="005A708E" w:rsidP="001C7A5E">
            <w:pPr>
              <w:spacing w:before="80" w:line="360" w:lineRule="auto"/>
              <w:jc w:val="both"/>
              <w:rPr>
                <w:rFonts w:ascii="Arial" w:eastAsia="Arial" w:hAnsi="Arial" w:cs="Arial"/>
              </w:rPr>
            </w:pPr>
            <w:r>
              <w:rPr>
                <w:rFonts w:ascii="Arial" w:eastAsia="Arial" w:hAnsi="Arial" w:cs="Arial"/>
              </w:rPr>
              <w:t xml:space="preserve">Low </w:t>
            </w:r>
            <w:r w:rsidRPr="005A708E">
              <w:rPr>
                <w:rFonts w:ascii="Arial" w:eastAsia="Arial" w:hAnsi="Arial" w:cs="Arial"/>
              </w:rPr>
              <w:t>Power / Hight Interes</w:t>
            </w:r>
            <w:r>
              <w:rPr>
                <w:rFonts w:ascii="Arial" w:eastAsia="Arial" w:hAnsi="Arial" w:cs="Arial"/>
              </w:rPr>
              <w:t>t</w:t>
            </w:r>
          </w:p>
        </w:tc>
        <w:tc>
          <w:tcPr>
            <w:tcW w:w="3402" w:type="dxa"/>
          </w:tcPr>
          <w:p w14:paraId="0658CDE3" w14:textId="0EF9551A" w:rsidR="005A708E" w:rsidRDefault="005A708E" w:rsidP="001C7A5E">
            <w:pPr>
              <w:spacing w:before="8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5A708E">
              <w:rPr>
                <w:rFonts w:ascii="Arial" w:eastAsia="Arial" w:hAnsi="Arial" w:cs="Arial"/>
              </w:rPr>
              <w:t xml:space="preserve">Hotel Ops Teams, Loyalty Members, </w:t>
            </w:r>
            <w:proofErr w:type="gramStart"/>
            <w:r w:rsidRPr="005A708E">
              <w:rPr>
                <w:rFonts w:ascii="Arial" w:eastAsia="Arial" w:hAnsi="Arial" w:cs="Arial"/>
              </w:rPr>
              <w:t>Non</w:t>
            </w:r>
            <w:proofErr w:type="gramEnd"/>
            <w:r w:rsidRPr="005A708E">
              <w:rPr>
                <w:rFonts w:ascii="Cambria Math" w:eastAsia="Arial" w:hAnsi="Cambria Math" w:cs="Cambria Math"/>
              </w:rPr>
              <w:t>‑</w:t>
            </w:r>
            <w:r w:rsidRPr="005A708E">
              <w:rPr>
                <w:rFonts w:ascii="Arial" w:eastAsia="Arial" w:hAnsi="Arial" w:cs="Arial"/>
              </w:rPr>
              <w:t>Governmental Organisation Partners</w:t>
            </w:r>
          </w:p>
        </w:tc>
        <w:tc>
          <w:tcPr>
            <w:tcW w:w="3776" w:type="dxa"/>
          </w:tcPr>
          <w:p w14:paraId="17DF2E19" w14:textId="138947E7" w:rsidR="005A708E" w:rsidRDefault="005A708E" w:rsidP="005A708E">
            <w:pPr>
              <w:tabs>
                <w:tab w:val="left" w:pos="987"/>
              </w:tabs>
              <w:spacing w:before="8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5A708E">
              <w:rPr>
                <w:rFonts w:ascii="Arial" w:eastAsia="Arial" w:hAnsi="Arial" w:cs="Arial"/>
              </w:rPr>
              <w:t>Keep Informed</w:t>
            </w:r>
            <w:r w:rsidR="00BF7355">
              <w:rPr>
                <w:rFonts w:ascii="Arial" w:eastAsia="Arial" w:hAnsi="Arial" w:cs="Arial"/>
              </w:rPr>
              <w:t xml:space="preserve">, </w:t>
            </w:r>
            <w:r w:rsidRPr="005A708E">
              <w:rPr>
                <w:rFonts w:ascii="Arial" w:eastAsia="Arial" w:hAnsi="Arial" w:cs="Arial"/>
              </w:rPr>
              <w:t>training, newsletters, beta testing opportunities</w:t>
            </w:r>
          </w:p>
        </w:tc>
      </w:tr>
      <w:tr w:rsidR="005A708E" w14:paraId="148D51AD" w14:textId="77777777" w:rsidTr="005A708E">
        <w:tc>
          <w:tcPr>
            <w:cnfStyle w:val="001000000000" w:firstRow="0" w:lastRow="0" w:firstColumn="1" w:lastColumn="0" w:oddVBand="0" w:evenVBand="0" w:oddHBand="0" w:evenHBand="0" w:firstRowFirstColumn="0" w:firstRowLastColumn="0" w:lastRowFirstColumn="0" w:lastRowLastColumn="0"/>
            <w:tcW w:w="1838" w:type="dxa"/>
          </w:tcPr>
          <w:p w14:paraId="358F2F41" w14:textId="56569D42" w:rsidR="005A708E" w:rsidRDefault="005A708E" w:rsidP="001C7A5E">
            <w:pPr>
              <w:spacing w:before="80" w:line="360" w:lineRule="auto"/>
              <w:jc w:val="both"/>
              <w:rPr>
                <w:rFonts w:ascii="Arial" w:eastAsia="Arial" w:hAnsi="Arial" w:cs="Arial"/>
              </w:rPr>
            </w:pPr>
            <w:r>
              <w:rPr>
                <w:rFonts w:ascii="Arial" w:eastAsia="Arial" w:hAnsi="Arial" w:cs="Arial"/>
              </w:rPr>
              <w:t>Low</w:t>
            </w:r>
            <w:r w:rsidRPr="005A708E">
              <w:rPr>
                <w:rFonts w:ascii="Arial" w:eastAsia="Arial" w:hAnsi="Arial" w:cs="Arial"/>
              </w:rPr>
              <w:t xml:space="preserve"> Power / </w:t>
            </w:r>
            <w:r>
              <w:rPr>
                <w:rFonts w:ascii="Arial" w:eastAsia="Arial" w:hAnsi="Arial" w:cs="Arial"/>
              </w:rPr>
              <w:t>Low</w:t>
            </w:r>
            <w:r w:rsidRPr="005A708E">
              <w:rPr>
                <w:rFonts w:ascii="Arial" w:eastAsia="Arial" w:hAnsi="Arial" w:cs="Arial"/>
              </w:rPr>
              <w:t xml:space="preserve"> Interes</w:t>
            </w:r>
            <w:r>
              <w:rPr>
                <w:rFonts w:ascii="Arial" w:eastAsia="Arial" w:hAnsi="Arial" w:cs="Arial"/>
              </w:rPr>
              <w:t>t</w:t>
            </w:r>
          </w:p>
        </w:tc>
        <w:tc>
          <w:tcPr>
            <w:tcW w:w="3402" w:type="dxa"/>
          </w:tcPr>
          <w:p w14:paraId="5114909A" w14:textId="53C5F3A9" w:rsidR="005A708E" w:rsidRDefault="005A708E" w:rsidP="001C7A5E">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5A708E">
              <w:rPr>
                <w:rFonts w:ascii="Arial" w:eastAsia="Arial" w:hAnsi="Arial" w:cs="Arial"/>
              </w:rPr>
              <w:t>General Media, Casual Suppliers</w:t>
            </w:r>
          </w:p>
        </w:tc>
        <w:tc>
          <w:tcPr>
            <w:tcW w:w="3776" w:type="dxa"/>
          </w:tcPr>
          <w:p w14:paraId="1CFC426F" w14:textId="0B8607BB" w:rsidR="005A708E" w:rsidRDefault="005A708E" w:rsidP="001C7A5E">
            <w:pPr>
              <w:spacing w:before="8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5A708E">
              <w:rPr>
                <w:rFonts w:ascii="Arial" w:eastAsia="Arial" w:hAnsi="Arial" w:cs="Arial"/>
              </w:rPr>
              <w:t>Monitor</w:t>
            </w:r>
            <w:r w:rsidR="00BF7355">
              <w:rPr>
                <w:rFonts w:ascii="Arial" w:eastAsia="Arial" w:hAnsi="Arial" w:cs="Arial"/>
              </w:rPr>
              <w:t xml:space="preserve">, </w:t>
            </w:r>
            <w:r w:rsidRPr="005A708E">
              <w:rPr>
                <w:rFonts w:ascii="Arial" w:eastAsia="Arial" w:hAnsi="Arial" w:cs="Arial"/>
              </w:rPr>
              <w:t>routine communications, press releases</w:t>
            </w:r>
          </w:p>
        </w:tc>
      </w:tr>
    </w:tbl>
    <w:p w14:paraId="6C439F14" w14:textId="77777777" w:rsidR="005A708E" w:rsidRPr="001C7A5E" w:rsidRDefault="005A708E" w:rsidP="001C7A5E">
      <w:pPr>
        <w:spacing w:before="80" w:line="360" w:lineRule="auto"/>
        <w:jc w:val="both"/>
        <w:rPr>
          <w:rFonts w:ascii="Arial" w:eastAsia="Arial" w:hAnsi="Arial" w:cs="Arial"/>
        </w:rPr>
      </w:pPr>
    </w:p>
    <w:p w14:paraId="4BA341E9" w14:textId="77777777" w:rsidR="008A4BE6" w:rsidRPr="00B5244C" w:rsidRDefault="008A4BE6" w:rsidP="008A4BE6">
      <w:pPr>
        <w:spacing w:before="80" w:line="360" w:lineRule="auto"/>
        <w:jc w:val="both"/>
        <w:rPr>
          <w:rFonts w:ascii="Arial" w:eastAsia="Arial" w:hAnsi="Arial" w:cs="Arial"/>
          <w:sz w:val="28"/>
          <w:szCs w:val="28"/>
        </w:rPr>
      </w:pPr>
      <w:r w:rsidRPr="00B5244C">
        <w:rPr>
          <w:rFonts w:ascii="Arial" w:eastAsia="Arial" w:hAnsi="Arial" w:cs="Arial"/>
          <w:sz w:val="28"/>
          <w:szCs w:val="28"/>
        </w:rPr>
        <w:lastRenderedPageBreak/>
        <w:t>5.2 Stakeholder Engagement Plan</w:t>
      </w:r>
    </w:p>
    <w:p w14:paraId="602F1449" w14:textId="46139275" w:rsidR="008A4BE6" w:rsidRDefault="008A4BE6" w:rsidP="008A4BE6">
      <w:pPr>
        <w:spacing w:before="80" w:line="360" w:lineRule="auto"/>
        <w:jc w:val="both"/>
        <w:rPr>
          <w:rFonts w:ascii="Arial" w:eastAsia="Arial" w:hAnsi="Arial" w:cs="Arial"/>
        </w:rPr>
      </w:pPr>
      <w:r w:rsidRPr="008A4BE6">
        <w:rPr>
          <w:rFonts w:ascii="Arial" w:eastAsia="Arial" w:hAnsi="Arial" w:cs="Arial"/>
        </w:rPr>
        <w:t xml:space="preserve">The stakeholder engagement plan sets out clear objectives, communication channels, and the frequency of interaction for each stakeholder group. For </w:t>
      </w:r>
      <w:proofErr w:type="spellStart"/>
      <w:r w:rsidRPr="008A4BE6">
        <w:rPr>
          <w:rFonts w:ascii="Arial" w:eastAsia="Arial" w:hAnsi="Arial" w:cs="Arial"/>
        </w:rPr>
        <w:t>StaySmart</w:t>
      </w:r>
      <w:proofErr w:type="spellEnd"/>
      <w:r w:rsidRPr="008A4BE6">
        <w:rPr>
          <w:rFonts w:ascii="Arial" w:eastAsia="Arial" w:hAnsi="Arial" w:cs="Arial"/>
        </w:rPr>
        <w:t>+, engagement is intentionally front</w:t>
      </w:r>
      <w:r w:rsidRPr="008A4BE6">
        <w:rPr>
          <w:rFonts w:ascii="Cambria Math" w:eastAsia="Arial" w:hAnsi="Cambria Math" w:cs="Cambria Math"/>
        </w:rPr>
        <w:t>‑</w:t>
      </w:r>
      <w:r w:rsidRPr="008A4BE6">
        <w:rPr>
          <w:rFonts w:ascii="Arial" w:eastAsia="Arial" w:hAnsi="Arial" w:cs="Arial"/>
        </w:rPr>
        <w:t>loaded: the first three months focus on intensive collaboration during design and development, when stakeholder input has the greatest influence on system quality. From month four to six, the emphasis shifts toward supporting adoption, gathering feedback, and refining the platform. This phased structure helps maintain momentum while avoiding unnecessary communication overload, ensuring that engagement remains meaningful and aligned with stakeholder needs rather than becoming a performative exercise (Eskerod and Jepsen</w:t>
      </w:r>
      <w:r>
        <w:rPr>
          <w:rFonts w:ascii="Arial" w:eastAsia="Arial" w:hAnsi="Arial" w:cs="Arial"/>
        </w:rPr>
        <w:t xml:space="preserve"> 2013</w:t>
      </w:r>
      <w:r w:rsidR="00B5244C">
        <w:rPr>
          <w:rFonts w:ascii="Arial" w:eastAsia="Arial" w:hAnsi="Arial" w:cs="Arial"/>
        </w:rPr>
        <w:t>; Aksoy et al., 2022</w:t>
      </w:r>
      <w:r>
        <w:rPr>
          <w:rFonts w:ascii="Arial" w:eastAsia="Arial" w:hAnsi="Arial" w:cs="Arial"/>
        </w:rPr>
        <w:t>)</w:t>
      </w:r>
      <w:r w:rsidR="00B5244C">
        <w:rPr>
          <w:rFonts w:ascii="Arial" w:eastAsia="Arial" w:hAnsi="Arial" w:cs="Arial"/>
        </w:rPr>
        <w:t>.</w:t>
      </w:r>
    </w:p>
    <w:p w14:paraId="7AE8BE97" w14:textId="77777777" w:rsidR="008A4BE6" w:rsidRPr="00B5244C" w:rsidRDefault="008A4BE6" w:rsidP="008A4BE6">
      <w:pPr>
        <w:spacing w:before="80" w:line="360" w:lineRule="auto"/>
        <w:jc w:val="both"/>
        <w:rPr>
          <w:rFonts w:ascii="Arial" w:eastAsia="Arial" w:hAnsi="Arial" w:cs="Arial"/>
          <w:sz w:val="28"/>
          <w:szCs w:val="28"/>
        </w:rPr>
      </w:pPr>
      <w:r w:rsidRPr="00B5244C">
        <w:rPr>
          <w:rFonts w:ascii="Arial" w:eastAsia="Arial" w:hAnsi="Arial" w:cs="Arial"/>
          <w:sz w:val="28"/>
          <w:szCs w:val="28"/>
        </w:rPr>
        <w:t>5.3 RACI Matrix</w:t>
      </w:r>
    </w:p>
    <w:p w14:paraId="062075B9" w14:textId="4DE4B3B8" w:rsidR="008A4BE6" w:rsidRDefault="008A4BE6" w:rsidP="008A4BE6">
      <w:pPr>
        <w:spacing w:before="80" w:line="360" w:lineRule="auto"/>
        <w:jc w:val="both"/>
        <w:rPr>
          <w:rFonts w:ascii="Arial" w:eastAsia="Arial" w:hAnsi="Arial" w:cs="Arial"/>
        </w:rPr>
      </w:pPr>
      <w:r w:rsidRPr="008A4BE6">
        <w:rPr>
          <w:rFonts w:ascii="Arial" w:eastAsia="Arial" w:hAnsi="Arial" w:cs="Arial"/>
        </w:rPr>
        <w:t xml:space="preserve">The RACI (Responsible, Accountable, Consulted, Informed) matrix is a widely applied project governance tool that eliminates ambiguity in roles (PMI, 2021). For key </w:t>
      </w:r>
      <w:proofErr w:type="spellStart"/>
      <w:r w:rsidRPr="008A4BE6">
        <w:rPr>
          <w:rFonts w:ascii="Arial" w:eastAsia="Arial" w:hAnsi="Arial" w:cs="Arial"/>
        </w:rPr>
        <w:t>StaySmart</w:t>
      </w:r>
      <w:proofErr w:type="spellEnd"/>
      <w:r w:rsidRPr="008A4BE6">
        <w:rPr>
          <w:rFonts w:ascii="Arial" w:eastAsia="Arial" w:hAnsi="Arial" w:cs="Arial"/>
        </w:rPr>
        <w:t>+ workstreams: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1"/>
        <w:gridCol w:w="1680"/>
        <w:gridCol w:w="1693"/>
        <w:gridCol w:w="1526"/>
        <w:gridCol w:w="1526"/>
      </w:tblGrid>
      <w:tr w:rsidR="008A4BE6" w:rsidRPr="008A4BE6" w14:paraId="78C903E1" w14:textId="77777777" w:rsidTr="00AC7CFB">
        <w:tc>
          <w:tcPr>
            <w:tcW w:w="2601" w:type="dxa"/>
            <w:tcBorders>
              <w:top w:val="single" w:sz="4" w:space="0" w:color="AAAAAA"/>
              <w:left w:val="single" w:sz="4" w:space="0" w:color="AAAAAA"/>
              <w:bottom w:val="single" w:sz="4" w:space="0" w:color="AAAAAA"/>
              <w:right w:val="single" w:sz="4" w:space="0" w:color="AAAAAA"/>
            </w:tcBorders>
            <w:shd w:val="clear" w:color="auto" w:fill="1A3A5C"/>
            <w:tcMar>
              <w:top w:w="80" w:type="dxa"/>
              <w:left w:w="120" w:type="dxa"/>
              <w:bottom w:w="80" w:type="dxa"/>
              <w:right w:w="120" w:type="dxa"/>
            </w:tcMar>
          </w:tcPr>
          <w:p w14:paraId="0640F428" w14:textId="77777777"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b/>
                <w:bCs/>
              </w:rPr>
              <w:t>Activity</w:t>
            </w:r>
          </w:p>
        </w:tc>
        <w:tc>
          <w:tcPr>
            <w:tcW w:w="1680" w:type="dxa"/>
            <w:tcBorders>
              <w:top w:val="single" w:sz="4" w:space="0" w:color="AAAAAA"/>
              <w:left w:val="single" w:sz="4" w:space="0" w:color="AAAAAA"/>
              <w:bottom w:val="single" w:sz="4" w:space="0" w:color="AAAAAA"/>
              <w:right w:val="single" w:sz="4" w:space="0" w:color="AAAAAA"/>
            </w:tcBorders>
            <w:shd w:val="clear" w:color="auto" w:fill="1A3A5C"/>
            <w:tcMar>
              <w:top w:w="80" w:type="dxa"/>
              <w:left w:w="120" w:type="dxa"/>
              <w:bottom w:w="80" w:type="dxa"/>
              <w:right w:w="120" w:type="dxa"/>
            </w:tcMar>
          </w:tcPr>
          <w:p w14:paraId="04E36452" w14:textId="77777777"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b/>
                <w:bCs/>
              </w:rPr>
              <w:t>Responsible</w:t>
            </w:r>
          </w:p>
        </w:tc>
        <w:tc>
          <w:tcPr>
            <w:tcW w:w="1693" w:type="dxa"/>
            <w:tcBorders>
              <w:top w:val="single" w:sz="4" w:space="0" w:color="AAAAAA"/>
              <w:left w:val="single" w:sz="4" w:space="0" w:color="AAAAAA"/>
              <w:bottom w:val="single" w:sz="4" w:space="0" w:color="AAAAAA"/>
              <w:right w:val="single" w:sz="4" w:space="0" w:color="AAAAAA"/>
            </w:tcBorders>
            <w:shd w:val="clear" w:color="auto" w:fill="1A3A5C"/>
            <w:tcMar>
              <w:top w:w="80" w:type="dxa"/>
              <w:left w:w="120" w:type="dxa"/>
              <w:bottom w:w="80" w:type="dxa"/>
              <w:right w:w="120" w:type="dxa"/>
            </w:tcMar>
          </w:tcPr>
          <w:p w14:paraId="228C63B3" w14:textId="77777777"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b/>
                <w:bCs/>
              </w:rPr>
              <w:t>Accountable</w:t>
            </w:r>
          </w:p>
        </w:tc>
        <w:tc>
          <w:tcPr>
            <w:tcW w:w="1526" w:type="dxa"/>
            <w:tcBorders>
              <w:top w:val="single" w:sz="4" w:space="0" w:color="AAAAAA"/>
              <w:left w:val="single" w:sz="4" w:space="0" w:color="AAAAAA"/>
              <w:bottom w:val="single" w:sz="4" w:space="0" w:color="AAAAAA"/>
              <w:right w:val="single" w:sz="4" w:space="0" w:color="AAAAAA"/>
            </w:tcBorders>
            <w:shd w:val="clear" w:color="auto" w:fill="1A3A5C"/>
            <w:tcMar>
              <w:top w:w="80" w:type="dxa"/>
              <w:left w:w="120" w:type="dxa"/>
              <w:bottom w:w="80" w:type="dxa"/>
              <w:right w:w="120" w:type="dxa"/>
            </w:tcMar>
          </w:tcPr>
          <w:p w14:paraId="7ED98F8F" w14:textId="77777777"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b/>
                <w:bCs/>
              </w:rPr>
              <w:t>Consulted</w:t>
            </w:r>
          </w:p>
        </w:tc>
        <w:tc>
          <w:tcPr>
            <w:tcW w:w="1526" w:type="dxa"/>
            <w:tcBorders>
              <w:top w:val="single" w:sz="4" w:space="0" w:color="AAAAAA"/>
              <w:left w:val="single" w:sz="4" w:space="0" w:color="AAAAAA"/>
              <w:bottom w:val="single" w:sz="4" w:space="0" w:color="AAAAAA"/>
              <w:right w:val="single" w:sz="4" w:space="0" w:color="AAAAAA"/>
            </w:tcBorders>
            <w:shd w:val="clear" w:color="auto" w:fill="1A3A5C"/>
            <w:tcMar>
              <w:top w:w="80" w:type="dxa"/>
              <w:left w:w="120" w:type="dxa"/>
              <w:bottom w:w="80" w:type="dxa"/>
              <w:right w:w="120" w:type="dxa"/>
            </w:tcMar>
          </w:tcPr>
          <w:p w14:paraId="7B65505D" w14:textId="77777777"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b/>
                <w:bCs/>
              </w:rPr>
              <w:t>Informed</w:t>
            </w:r>
          </w:p>
        </w:tc>
      </w:tr>
      <w:tr w:rsidR="008A4BE6" w:rsidRPr="008A4BE6" w14:paraId="3120BA43" w14:textId="77777777" w:rsidTr="009719DA">
        <w:trPr>
          <w:trHeight w:val="1040"/>
        </w:trPr>
        <w:tc>
          <w:tcPr>
            <w:tcW w:w="260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2A6D7EE" w14:textId="77777777" w:rsidR="008A4BE6" w:rsidRPr="009719DA" w:rsidRDefault="008A4BE6" w:rsidP="00B5244C">
            <w:pPr>
              <w:spacing w:before="80" w:line="360" w:lineRule="auto"/>
              <w:jc w:val="center"/>
              <w:rPr>
                <w:rFonts w:ascii="Arial" w:eastAsia="Arial" w:hAnsi="Arial" w:cs="Arial"/>
                <w:sz w:val="20"/>
                <w:szCs w:val="20"/>
              </w:rPr>
            </w:pPr>
            <w:r w:rsidRPr="009719DA">
              <w:rPr>
                <w:rFonts w:ascii="Arial" w:eastAsia="Arial" w:hAnsi="Arial" w:cs="Arial"/>
                <w:sz w:val="20"/>
                <w:szCs w:val="20"/>
              </w:rPr>
              <w:t>AI System Architecture</w:t>
            </w:r>
          </w:p>
        </w:tc>
        <w:tc>
          <w:tcPr>
            <w:tcW w:w="168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5B6B5C7" w14:textId="77777777" w:rsidR="008A4BE6" w:rsidRPr="009719DA" w:rsidRDefault="008A4BE6" w:rsidP="00B5244C">
            <w:pPr>
              <w:spacing w:before="80" w:line="360" w:lineRule="auto"/>
              <w:jc w:val="center"/>
              <w:rPr>
                <w:rFonts w:ascii="Arial" w:eastAsia="Arial" w:hAnsi="Arial" w:cs="Arial"/>
                <w:sz w:val="20"/>
                <w:szCs w:val="20"/>
              </w:rPr>
            </w:pPr>
            <w:r w:rsidRPr="009719DA">
              <w:rPr>
                <w:rFonts w:ascii="Arial" w:eastAsia="Arial" w:hAnsi="Arial" w:cs="Arial"/>
                <w:sz w:val="20"/>
                <w:szCs w:val="20"/>
              </w:rPr>
              <w:t>Tech Team</w:t>
            </w:r>
          </w:p>
        </w:tc>
        <w:tc>
          <w:tcPr>
            <w:tcW w:w="169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B683F5E" w14:textId="77777777" w:rsidR="00434DC1"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C</w:t>
            </w:r>
            <w:r w:rsidR="00434DC1" w:rsidRPr="009719DA">
              <w:rPr>
                <w:rFonts w:ascii="Arial" w:eastAsia="Arial" w:hAnsi="Arial" w:cs="Arial"/>
                <w:sz w:val="20"/>
                <w:szCs w:val="20"/>
              </w:rPr>
              <w:t xml:space="preserve">hief </w:t>
            </w:r>
            <w:r w:rsidRPr="009719DA">
              <w:rPr>
                <w:rFonts w:ascii="Arial" w:eastAsia="Arial" w:hAnsi="Arial" w:cs="Arial"/>
                <w:sz w:val="20"/>
                <w:szCs w:val="20"/>
              </w:rPr>
              <w:t>D</w:t>
            </w:r>
            <w:r w:rsidR="00434DC1" w:rsidRPr="009719DA">
              <w:rPr>
                <w:rFonts w:ascii="Arial" w:eastAsia="Arial" w:hAnsi="Arial" w:cs="Arial"/>
                <w:sz w:val="20"/>
                <w:szCs w:val="20"/>
              </w:rPr>
              <w:t>ata</w:t>
            </w:r>
          </w:p>
          <w:p w14:paraId="2D6877D9" w14:textId="0A2827BC"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O</w:t>
            </w:r>
            <w:r w:rsidR="00434DC1" w:rsidRPr="009719DA">
              <w:rPr>
                <w:rFonts w:ascii="Arial" w:eastAsia="Arial" w:hAnsi="Arial" w:cs="Arial"/>
                <w:sz w:val="20"/>
                <w:szCs w:val="20"/>
              </w:rPr>
              <w:t>fficer (CDO)</w:t>
            </w:r>
          </w:p>
        </w:tc>
        <w:tc>
          <w:tcPr>
            <w:tcW w:w="1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BCA9088"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Legal, Vendors</w:t>
            </w:r>
          </w:p>
        </w:tc>
        <w:tc>
          <w:tcPr>
            <w:tcW w:w="1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5177CEF" w14:textId="34935B60"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E</w:t>
            </w:r>
            <w:r w:rsidR="00434DC1" w:rsidRPr="009719DA">
              <w:rPr>
                <w:rFonts w:ascii="Arial" w:eastAsia="Arial" w:hAnsi="Arial" w:cs="Arial"/>
                <w:sz w:val="20"/>
                <w:szCs w:val="20"/>
              </w:rPr>
              <w:t xml:space="preserve">xecutive </w:t>
            </w:r>
            <w:r w:rsidRPr="009719DA">
              <w:rPr>
                <w:rFonts w:ascii="Arial" w:eastAsia="Arial" w:hAnsi="Arial" w:cs="Arial"/>
                <w:sz w:val="20"/>
                <w:szCs w:val="20"/>
              </w:rPr>
              <w:t>L</w:t>
            </w:r>
            <w:r w:rsidR="00434DC1" w:rsidRPr="009719DA">
              <w:rPr>
                <w:rFonts w:ascii="Arial" w:eastAsia="Arial" w:hAnsi="Arial" w:cs="Arial"/>
                <w:sz w:val="20"/>
                <w:szCs w:val="20"/>
              </w:rPr>
              <w:t xml:space="preserve">eadership </w:t>
            </w:r>
            <w:r w:rsidRPr="009719DA">
              <w:rPr>
                <w:rFonts w:ascii="Arial" w:eastAsia="Arial" w:hAnsi="Arial" w:cs="Arial"/>
                <w:sz w:val="20"/>
                <w:szCs w:val="20"/>
              </w:rPr>
              <w:t>T</w:t>
            </w:r>
            <w:r w:rsidR="00434DC1" w:rsidRPr="009719DA">
              <w:rPr>
                <w:rFonts w:ascii="Arial" w:eastAsia="Arial" w:hAnsi="Arial" w:cs="Arial"/>
                <w:sz w:val="20"/>
                <w:szCs w:val="20"/>
              </w:rPr>
              <w:t>eam</w:t>
            </w:r>
            <w:r w:rsidRPr="009719DA">
              <w:rPr>
                <w:rFonts w:ascii="Arial" w:eastAsia="Arial" w:hAnsi="Arial" w:cs="Arial"/>
                <w:sz w:val="20"/>
                <w:szCs w:val="20"/>
              </w:rPr>
              <w:t>, HR</w:t>
            </w:r>
          </w:p>
        </w:tc>
      </w:tr>
      <w:tr w:rsidR="008A4BE6" w:rsidRPr="008A4BE6" w14:paraId="7EA7E621" w14:textId="77777777" w:rsidTr="00AC7CFB">
        <w:tc>
          <w:tcPr>
            <w:tcW w:w="2601" w:type="dxa"/>
            <w:tcBorders>
              <w:top w:val="single" w:sz="4" w:space="0" w:color="AAAAAA"/>
              <w:left w:val="single" w:sz="4" w:space="0" w:color="AAAAAA"/>
              <w:bottom w:val="single" w:sz="4" w:space="0" w:color="AAAAAA"/>
              <w:right w:val="single" w:sz="4" w:space="0" w:color="AAAAAA"/>
            </w:tcBorders>
            <w:shd w:val="clear" w:color="auto" w:fill="F5F5F5"/>
            <w:tcMar>
              <w:top w:w="80" w:type="dxa"/>
              <w:left w:w="120" w:type="dxa"/>
              <w:bottom w:w="80" w:type="dxa"/>
              <w:right w:w="120" w:type="dxa"/>
            </w:tcMar>
          </w:tcPr>
          <w:p w14:paraId="4F966339" w14:textId="77777777" w:rsidR="008A4BE6" w:rsidRPr="009719DA" w:rsidRDefault="008A4BE6" w:rsidP="00B5244C">
            <w:pPr>
              <w:spacing w:before="80" w:line="360" w:lineRule="auto"/>
              <w:jc w:val="center"/>
              <w:rPr>
                <w:rFonts w:ascii="Arial" w:eastAsia="Arial" w:hAnsi="Arial" w:cs="Arial"/>
                <w:sz w:val="20"/>
                <w:szCs w:val="20"/>
              </w:rPr>
            </w:pPr>
            <w:r w:rsidRPr="009719DA">
              <w:rPr>
                <w:rFonts w:ascii="Arial" w:eastAsia="Arial" w:hAnsi="Arial" w:cs="Arial"/>
                <w:sz w:val="20"/>
                <w:szCs w:val="20"/>
              </w:rPr>
              <w:t>Staff Training Programme</w:t>
            </w:r>
          </w:p>
        </w:tc>
        <w:tc>
          <w:tcPr>
            <w:tcW w:w="1680" w:type="dxa"/>
            <w:tcBorders>
              <w:top w:val="single" w:sz="4" w:space="0" w:color="AAAAAA"/>
              <w:left w:val="single" w:sz="4" w:space="0" w:color="AAAAAA"/>
              <w:bottom w:val="single" w:sz="4" w:space="0" w:color="AAAAAA"/>
              <w:right w:val="single" w:sz="4" w:space="0" w:color="AAAAAA"/>
            </w:tcBorders>
            <w:shd w:val="clear" w:color="auto" w:fill="F5F5F5"/>
            <w:tcMar>
              <w:top w:w="80" w:type="dxa"/>
              <w:left w:w="120" w:type="dxa"/>
              <w:bottom w:w="80" w:type="dxa"/>
              <w:right w:w="120" w:type="dxa"/>
            </w:tcMar>
          </w:tcPr>
          <w:p w14:paraId="12206B26" w14:textId="77777777" w:rsidR="00434DC1"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HR</w:t>
            </w:r>
            <w:r w:rsidR="00434DC1" w:rsidRPr="009719DA">
              <w:rPr>
                <w:rFonts w:ascii="Arial" w:eastAsia="Arial" w:hAnsi="Arial" w:cs="Arial"/>
                <w:sz w:val="20"/>
                <w:szCs w:val="20"/>
              </w:rPr>
              <w:t>,</w:t>
            </w:r>
          </w:p>
          <w:p w14:paraId="112043EF" w14:textId="7C84EA60" w:rsidR="00B5244C"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 xml:space="preserve"> </w:t>
            </w:r>
            <w:r w:rsidR="00B5244C" w:rsidRPr="009719DA">
              <w:rPr>
                <w:rFonts w:ascii="Arial" w:eastAsia="Arial" w:hAnsi="Arial" w:cs="Arial"/>
                <w:sz w:val="20"/>
                <w:szCs w:val="20"/>
              </w:rPr>
              <w:t>Learning and</w:t>
            </w:r>
          </w:p>
          <w:p w14:paraId="5769551A" w14:textId="09E8713D" w:rsidR="008A4BE6" w:rsidRPr="009719DA" w:rsidRDefault="00B5244C"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Development</w:t>
            </w:r>
          </w:p>
        </w:tc>
        <w:tc>
          <w:tcPr>
            <w:tcW w:w="1693" w:type="dxa"/>
            <w:tcBorders>
              <w:top w:val="single" w:sz="4" w:space="0" w:color="AAAAAA"/>
              <w:left w:val="single" w:sz="4" w:space="0" w:color="AAAAAA"/>
              <w:bottom w:val="single" w:sz="4" w:space="0" w:color="AAAAAA"/>
              <w:right w:val="single" w:sz="4" w:space="0" w:color="AAAAAA"/>
            </w:tcBorders>
            <w:shd w:val="clear" w:color="auto" w:fill="F5F5F5"/>
            <w:tcMar>
              <w:top w:w="80" w:type="dxa"/>
              <w:left w:w="120" w:type="dxa"/>
              <w:bottom w:w="80" w:type="dxa"/>
              <w:right w:w="120" w:type="dxa"/>
            </w:tcMar>
          </w:tcPr>
          <w:p w14:paraId="7EF2A6A6" w14:textId="7ABF5FAE"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C</w:t>
            </w:r>
            <w:r w:rsidR="00434DC1" w:rsidRPr="009719DA">
              <w:rPr>
                <w:rFonts w:ascii="Arial" w:eastAsia="Arial" w:hAnsi="Arial" w:cs="Arial"/>
                <w:sz w:val="20"/>
                <w:szCs w:val="20"/>
              </w:rPr>
              <w:t>hief Operating Officer</w:t>
            </w:r>
          </w:p>
        </w:tc>
        <w:tc>
          <w:tcPr>
            <w:tcW w:w="1526" w:type="dxa"/>
            <w:tcBorders>
              <w:top w:val="single" w:sz="4" w:space="0" w:color="AAAAAA"/>
              <w:left w:val="single" w:sz="4" w:space="0" w:color="AAAAAA"/>
              <w:bottom w:val="single" w:sz="4" w:space="0" w:color="AAAAAA"/>
              <w:right w:val="single" w:sz="4" w:space="0" w:color="AAAAAA"/>
            </w:tcBorders>
            <w:shd w:val="clear" w:color="auto" w:fill="F5F5F5"/>
            <w:tcMar>
              <w:top w:w="80" w:type="dxa"/>
              <w:left w:w="120" w:type="dxa"/>
              <w:bottom w:w="80" w:type="dxa"/>
              <w:right w:w="120" w:type="dxa"/>
            </w:tcMar>
          </w:tcPr>
          <w:p w14:paraId="3DF03733" w14:textId="4533EC75"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Op</w:t>
            </w:r>
            <w:r w:rsidR="00434DC1" w:rsidRPr="009719DA">
              <w:rPr>
                <w:rFonts w:ascii="Arial" w:eastAsia="Arial" w:hAnsi="Arial" w:cs="Arial"/>
                <w:sz w:val="20"/>
                <w:szCs w:val="20"/>
              </w:rPr>
              <w:t>eration</w:t>
            </w:r>
            <w:r w:rsidRPr="009719DA">
              <w:rPr>
                <w:rFonts w:ascii="Arial" w:eastAsia="Arial" w:hAnsi="Arial" w:cs="Arial"/>
                <w:sz w:val="20"/>
                <w:szCs w:val="20"/>
              </w:rPr>
              <w:t xml:space="preserve"> M</w:t>
            </w:r>
            <w:r w:rsidR="00434DC1" w:rsidRPr="009719DA">
              <w:rPr>
                <w:rFonts w:ascii="Arial" w:eastAsia="Arial" w:hAnsi="Arial" w:cs="Arial"/>
                <w:sz w:val="20"/>
                <w:szCs w:val="20"/>
              </w:rPr>
              <w:t>anagers,</w:t>
            </w:r>
            <w:r w:rsidRPr="009719DA">
              <w:rPr>
                <w:rFonts w:ascii="Arial" w:eastAsia="Arial" w:hAnsi="Arial" w:cs="Arial"/>
                <w:sz w:val="20"/>
                <w:szCs w:val="20"/>
              </w:rPr>
              <w:t xml:space="preserve"> Tech Team</w:t>
            </w:r>
          </w:p>
        </w:tc>
        <w:tc>
          <w:tcPr>
            <w:tcW w:w="1526" w:type="dxa"/>
            <w:tcBorders>
              <w:top w:val="single" w:sz="4" w:space="0" w:color="AAAAAA"/>
              <w:left w:val="single" w:sz="4" w:space="0" w:color="AAAAAA"/>
              <w:bottom w:val="single" w:sz="4" w:space="0" w:color="AAAAAA"/>
              <w:right w:val="single" w:sz="4" w:space="0" w:color="AAAAAA"/>
            </w:tcBorders>
            <w:shd w:val="clear" w:color="auto" w:fill="F5F5F5"/>
            <w:tcMar>
              <w:top w:w="80" w:type="dxa"/>
              <w:left w:w="120" w:type="dxa"/>
              <w:bottom w:w="80" w:type="dxa"/>
              <w:right w:w="120" w:type="dxa"/>
            </w:tcMar>
          </w:tcPr>
          <w:p w14:paraId="438273F9"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All Staff</w:t>
            </w:r>
          </w:p>
        </w:tc>
      </w:tr>
      <w:tr w:rsidR="008A4BE6" w:rsidRPr="008A4BE6" w14:paraId="4E505906" w14:textId="77777777" w:rsidTr="00AC7CFB">
        <w:tc>
          <w:tcPr>
            <w:tcW w:w="260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A34758E" w14:textId="77777777" w:rsidR="008A4BE6" w:rsidRPr="009719DA" w:rsidRDefault="008A4BE6" w:rsidP="00B5244C">
            <w:pPr>
              <w:spacing w:before="80" w:line="360" w:lineRule="auto"/>
              <w:jc w:val="center"/>
              <w:rPr>
                <w:rFonts w:ascii="Arial" w:eastAsia="Arial" w:hAnsi="Arial" w:cs="Arial"/>
                <w:sz w:val="20"/>
                <w:szCs w:val="20"/>
              </w:rPr>
            </w:pPr>
            <w:r w:rsidRPr="009719DA">
              <w:rPr>
                <w:rFonts w:ascii="Arial" w:eastAsia="Arial" w:hAnsi="Arial" w:cs="Arial"/>
                <w:sz w:val="20"/>
                <w:szCs w:val="20"/>
              </w:rPr>
              <w:t>Guest Data Policy</w:t>
            </w:r>
          </w:p>
        </w:tc>
        <w:tc>
          <w:tcPr>
            <w:tcW w:w="168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98E7BEA" w14:textId="63EFBF4A" w:rsidR="008A4BE6" w:rsidRPr="009719DA" w:rsidRDefault="008A4BE6" w:rsidP="00B5244C">
            <w:pPr>
              <w:spacing w:before="80" w:line="360" w:lineRule="auto"/>
              <w:jc w:val="center"/>
              <w:rPr>
                <w:rFonts w:ascii="Arial" w:eastAsia="Arial" w:hAnsi="Arial" w:cs="Arial"/>
                <w:sz w:val="20"/>
                <w:szCs w:val="20"/>
              </w:rPr>
            </w:pPr>
            <w:r w:rsidRPr="009719DA">
              <w:rPr>
                <w:rFonts w:ascii="Arial" w:eastAsia="Arial" w:hAnsi="Arial" w:cs="Arial"/>
                <w:sz w:val="20"/>
                <w:szCs w:val="20"/>
              </w:rPr>
              <w:t xml:space="preserve">Legal </w:t>
            </w:r>
            <w:r w:rsidR="00B5244C" w:rsidRPr="009719DA">
              <w:rPr>
                <w:rFonts w:ascii="Arial" w:eastAsia="Arial" w:hAnsi="Arial" w:cs="Arial"/>
                <w:sz w:val="20"/>
                <w:szCs w:val="20"/>
              </w:rPr>
              <w:t>and</w:t>
            </w:r>
            <w:r w:rsidRPr="009719DA">
              <w:rPr>
                <w:rFonts w:ascii="Arial" w:eastAsia="Arial" w:hAnsi="Arial" w:cs="Arial"/>
                <w:sz w:val="20"/>
                <w:szCs w:val="20"/>
              </w:rPr>
              <w:t xml:space="preserve"> Compliance</w:t>
            </w:r>
          </w:p>
        </w:tc>
        <w:tc>
          <w:tcPr>
            <w:tcW w:w="169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A100E80" w14:textId="72EAE98D" w:rsidR="00434DC1"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C</w:t>
            </w:r>
            <w:r w:rsidR="00434DC1" w:rsidRPr="009719DA">
              <w:rPr>
                <w:rFonts w:ascii="Arial" w:eastAsia="Arial" w:hAnsi="Arial" w:cs="Arial"/>
                <w:sz w:val="20"/>
                <w:szCs w:val="20"/>
              </w:rPr>
              <w:t xml:space="preserve">hief </w:t>
            </w:r>
            <w:r w:rsidRPr="009719DA">
              <w:rPr>
                <w:rFonts w:ascii="Arial" w:eastAsia="Arial" w:hAnsi="Arial" w:cs="Arial"/>
                <w:sz w:val="20"/>
                <w:szCs w:val="20"/>
              </w:rPr>
              <w:t>F</w:t>
            </w:r>
            <w:r w:rsidR="00434DC1" w:rsidRPr="009719DA">
              <w:rPr>
                <w:rFonts w:ascii="Arial" w:eastAsia="Arial" w:hAnsi="Arial" w:cs="Arial"/>
                <w:sz w:val="20"/>
                <w:szCs w:val="20"/>
              </w:rPr>
              <w:t xml:space="preserve">inancial </w:t>
            </w:r>
            <w:r w:rsidRPr="009719DA">
              <w:rPr>
                <w:rFonts w:ascii="Arial" w:eastAsia="Arial" w:hAnsi="Arial" w:cs="Arial"/>
                <w:sz w:val="20"/>
                <w:szCs w:val="20"/>
              </w:rPr>
              <w:t>O</w:t>
            </w:r>
            <w:r w:rsidR="00434DC1" w:rsidRPr="009719DA">
              <w:rPr>
                <w:rFonts w:ascii="Arial" w:eastAsia="Arial" w:hAnsi="Arial" w:cs="Arial"/>
                <w:sz w:val="20"/>
                <w:szCs w:val="20"/>
              </w:rPr>
              <w:t>fficer and</w:t>
            </w:r>
          </w:p>
          <w:p w14:paraId="0A3483BF" w14:textId="5ED4F035"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 xml:space="preserve"> CDO</w:t>
            </w:r>
          </w:p>
        </w:tc>
        <w:tc>
          <w:tcPr>
            <w:tcW w:w="1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BAEF1A8"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Tech, Marketing</w:t>
            </w:r>
          </w:p>
        </w:tc>
        <w:tc>
          <w:tcPr>
            <w:tcW w:w="1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1798782"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Guests, Investors</w:t>
            </w:r>
          </w:p>
        </w:tc>
      </w:tr>
      <w:tr w:rsidR="008A4BE6" w:rsidRPr="008A4BE6" w14:paraId="6642BB54" w14:textId="77777777" w:rsidTr="00AC7CFB">
        <w:tc>
          <w:tcPr>
            <w:tcW w:w="2601" w:type="dxa"/>
            <w:tcBorders>
              <w:top w:val="single" w:sz="4" w:space="0" w:color="AAAAAA"/>
              <w:left w:val="single" w:sz="4" w:space="0" w:color="AAAAAA"/>
              <w:bottom w:val="single" w:sz="4" w:space="0" w:color="AAAAAA"/>
              <w:right w:val="single" w:sz="4" w:space="0" w:color="AAAAAA"/>
            </w:tcBorders>
            <w:shd w:val="clear" w:color="auto" w:fill="F5F5F5"/>
            <w:tcMar>
              <w:top w:w="80" w:type="dxa"/>
              <w:left w:w="120" w:type="dxa"/>
              <w:bottom w:w="80" w:type="dxa"/>
              <w:right w:w="120" w:type="dxa"/>
            </w:tcMar>
          </w:tcPr>
          <w:p w14:paraId="7B740A00" w14:textId="77777777" w:rsidR="008A4BE6" w:rsidRPr="009719DA" w:rsidRDefault="008A4BE6" w:rsidP="00B5244C">
            <w:pPr>
              <w:spacing w:before="80" w:line="360" w:lineRule="auto"/>
              <w:jc w:val="center"/>
              <w:rPr>
                <w:rFonts w:ascii="Arial" w:eastAsia="Arial" w:hAnsi="Arial" w:cs="Arial"/>
                <w:sz w:val="20"/>
                <w:szCs w:val="20"/>
              </w:rPr>
            </w:pPr>
            <w:r w:rsidRPr="009719DA">
              <w:rPr>
                <w:rFonts w:ascii="Arial" w:eastAsia="Arial" w:hAnsi="Arial" w:cs="Arial"/>
                <w:sz w:val="20"/>
                <w:szCs w:val="20"/>
              </w:rPr>
              <w:t>Marketing Launch Campaign</w:t>
            </w:r>
          </w:p>
        </w:tc>
        <w:tc>
          <w:tcPr>
            <w:tcW w:w="1680" w:type="dxa"/>
            <w:tcBorders>
              <w:top w:val="single" w:sz="4" w:space="0" w:color="AAAAAA"/>
              <w:left w:val="single" w:sz="4" w:space="0" w:color="AAAAAA"/>
              <w:bottom w:val="single" w:sz="4" w:space="0" w:color="AAAAAA"/>
              <w:right w:val="single" w:sz="4" w:space="0" w:color="AAAAAA"/>
            </w:tcBorders>
            <w:shd w:val="clear" w:color="auto" w:fill="F5F5F5"/>
            <w:tcMar>
              <w:top w:w="80" w:type="dxa"/>
              <w:left w:w="120" w:type="dxa"/>
              <w:bottom w:w="80" w:type="dxa"/>
              <w:right w:w="120" w:type="dxa"/>
            </w:tcMar>
          </w:tcPr>
          <w:p w14:paraId="2DB0A580"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Marketing Team</w:t>
            </w:r>
          </w:p>
        </w:tc>
        <w:tc>
          <w:tcPr>
            <w:tcW w:w="1693" w:type="dxa"/>
            <w:tcBorders>
              <w:top w:val="single" w:sz="4" w:space="0" w:color="AAAAAA"/>
              <w:left w:val="single" w:sz="4" w:space="0" w:color="AAAAAA"/>
              <w:bottom w:val="single" w:sz="4" w:space="0" w:color="AAAAAA"/>
              <w:right w:val="single" w:sz="4" w:space="0" w:color="AAAAAA"/>
            </w:tcBorders>
            <w:shd w:val="clear" w:color="auto" w:fill="F5F5F5"/>
            <w:tcMar>
              <w:top w:w="80" w:type="dxa"/>
              <w:left w:w="120" w:type="dxa"/>
              <w:bottom w:w="80" w:type="dxa"/>
              <w:right w:w="120" w:type="dxa"/>
            </w:tcMar>
          </w:tcPr>
          <w:p w14:paraId="6CC9F0F2" w14:textId="29CBFEB9"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C</w:t>
            </w:r>
            <w:r w:rsidR="00434DC1" w:rsidRPr="009719DA">
              <w:rPr>
                <w:rFonts w:ascii="Arial" w:eastAsia="Arial" w:hAnsi="Arial" w:cs="Arial"/>
                <w:sz w:val="20"/>
                <w:szCs w:val="20"/>
              </w:rPr>
              <w:t xml:space="preserve">hief </w:t>
            </w:r>
            <w:r w:rsidRPr="009719DA">
              <w:rPr>
                <w:rFonts w:ascii="Arial" w:eastAsia="Arial" w:hAnsi="Arial" w:cs="Arial"/>
                <w:sz w:val="20"/>
                <w:szCs w:val="20"/>
              </w:rPr>
              <w:t>M</w:t>
            </w:r>
            <w:r w:rsidR="00434DC1" w:rsidRPr="009719DA">
              <w:rPr>
                <w:rFonts w:ascii="Arial" w:eastAsia="Arial" w:hAnsi="Arial" w:cs="Arial"/>
                <w:sz w:val="20"/>
                <w:szCs w:val="20"/>
              </w:rPr>
              <w:t xml:space="preserve">arketing </w:t>
            </w:r>
            <w:r w:rsidRPr="009719DA">
              <w:rPr>
                <w:rFonts w:ascii="Arial" w:eastAsia="Arial" w:hAnsi="Arial" w:cs="Arial"/>
                <w:sz w:val="20"/>
                <w:szCs w:val="20"/>
              </w:rPr>
              <w:t>O</w:t>
            </w:r>
            <w:r w:rsidR="00434DC1" w:rsidRPr="009719DA">
              <w:rPr>
                <w:rFonts w:ascii="Arial" w:eastAsia="Arial" w:hAnsi="Arial" w:cs="Arial"/>
                <w:sz w:val="20"/>
                <w:szCs w:val="20"/>
              </w:rPr>
              <w:t>fficer</w:t>
            </w:r>
          </w:p>
        </w:tc>
        <w:tc>
          <w:tcPr>
            <w:tcW w:w="1526" w:type="dxa"/>
            <w:tcBorders>
              <w:top w:val="single" w:sz="4" w:space="0" w:color="AAAAAA"/>
              <w:left w:val="single" w:sz="4" w:space="0" w:color="AAAAAA"/>
              <w:bottom w:val="single" w:sz="4" w:space="0" w:color="AAAAAA"/>
              <w:right w:val="single" w:sz="4" w:space="0" w:color="AAAAAA"/>
            </w:tcBorders>
            <w:shd w:val="clear" w:color="auto" w:fill="F5F5F5"/>
            <w:tcMar>
              <w:top w:w="80" w:type="dxa"/>
              <w:left w:w="120" w:type="dxa"/>
              <w:bottom w:w="80" w:type="dxa"/>
              <w:right w:w="120" w:type="dxa"/>
            </w:tcMar>
          </w:tcPr>
          <w:p w14:paraId="1A2D5EC4"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Sales, ELT</w:t>
            </w:r>
          </w:p>
        </w:tc>
        <w:tc>
          <w:tcPr>
            <w:tcW w:w="1526" w:type="dxa"/>
            <w:tcBorders>
              <w:top w:val="single" w:sz="4" w:space="0" w:color="AAAAAA"/>
              <w:left w:val="single" w:sz="4" w:space="0" w:color="AAAAAA"/>
              <w:bottom w:val="single" w:sz="4" w:space="0" w:color="AAAAAA"/>
              <w:right w:val="single" w:sz="4" w:space="0" w:color="AAAAAA"/>
            </w:tcBorders>
            <w:shd w:val="clear" w:color="auto" w:fill="F5F5F5"/>
            <w:tcMar>
              <w:top w:w="80" w:type="dxa"/>
              <w:left w:w="120" w:type="dxa"/>
              <w:bottom w:w="80" w:type="dxa"/>
              <w:right w:w="120" w:type="dxa"/>
            </w:tcMar>
          </w:tcPr>
          <w:p w14:paraId="59993994"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Franchise Partners</w:t>
            </w:r>
          </w:p>
        </w:tc>
      </w:tr>
      <w:tr w:rsidR="008A4BE6" w:rsidRPr="008A4BE6" w14:paraId="35C16093" w14:textId="77777777" w:rsidTr="00AC7CFB">
        <w:tc>
          <w:tcPr>
            <w:tcW w:w="260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9197A2E" w14:textId="77777777" w:rsidR="008A4BE6" w:rsidRPr="009719DA" w:rsidRDefault="008A4BE6" w:rsidP="00B5244C">
            <w:pPr>
              <w:spacing w:before="80" w:line="360" w:lineRule="auto"/>
              <w:jc w:val="center"/>
              <w:rPr>
                <w:rFonts w:ascii="Arial" w:eastAsia="Arial" w:hAnsi="Arial" w:cs="Arial"/>
                <w:sz w:val="20"/>
                <w:szCs w:val="20"/>
              </w:rPr>
            </w:pPr>
            <w:r w:rsidRPr="009719DA">
              <w:rPr>
                <w:rFonts w:ascii="Arial" w:eastAsia="Arial" w:hAnsi="Arial" w:cs="Arial"/>
                <w:sz w:val="20"/>
                <w:szCs w:val="20"/>
              </w:rPr>
              <w:lastRenderedPageBreak/>
              <w:t>Sustainability Certification</w:t>
            </w:r>
          </w:p>
        </w:tc>
        <w:tc>
          <w:tcPr>
            <w:tcW w:w="168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171096E"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Sustainability Lead</w:t>
            </w:r>
          </w:p>
        </w:tc>
        <w:tc>
          <w:tcPr>
            <w:tcW w:w="169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883AF2D"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COO</w:t>
            </w:r>
          </w:p>
        </w:tc>
        <w:tc>
          <w:tcPr>
            <w:tcW w:w="1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EE458F7"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NGO Partners, Legal</w:t>
            </w:r>
          </w:p>
        </w:tc>
        <w:tc>
          <w:tcPr>
            <w:tcW w:w="1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935F33E" w14:textId="77777777" w:rsidR="008A4BE6" w:rsidRPr="009719DA" w:rsidRDefault="008A4BE6" w:rsidP="008A4BE6">
            <w:pPr>
              <w:spacing w:before="80" w:line="360" w:lineRule="auto"/>
              <w:jc w:val="both"/>
              <w:rPr>
                <w:rFonts w:ascii="Arial" w:eastAsia="Arial" w:hAnsi="Arial" w:cs="Arial"/>
                <w:sz w:val="20"/>
                <w:szCs w:val="20"/>
              </w:rPr>
            </w:pPr>
            <w:r w:rsidRPr="009719DA">
              <w:rPr>
                <w:rFonts w:ascii="Arial" w:eastAsia="Arial" w:hAnsi="Arial" w:cs="Arial"/>
                <w:sz w:val="20"/>
                <w:szCs w:val="20"/>
              </w:rPr>
              <w:t>Regulators, Media</w:t>
            </w:r>
          </w:p>
        </w:tc>
      </w:tr>
    </w:tbl>
    <w:p w14:paraId="602F08A9" w14:textId="092A1F12" w:rsidR="001C7A5E" w:rsidRDefault="001C7A5E" w:rsidP="008A4BE6">
      <w:pPr>
        <w:spacing w:before="80" w:line="360" w:lineRule="auto"/>
        <w:jc w:val="both"/>
        <w:rPr>
          <w:rFonts w:ascii="Arial" w:eastAsia="Arial" w:hAnsi="Arial" w:cs="Arial"/>
        </w:rPr>
      </w:pPr>
    </w:p>
    <w:p w14:paraId="4F5C5E34" w14:textId="77777777" w:rsidR="008A4BE6" w:rsidRPr="006A7E3F" w:rsidRDefault="008A4BE6" w:rsidP="008A4BE6">
      <w:pPr>
        <w:spacing w:before="80" w:line="360" w:lineRule="auto"/>
        <w:jc w:val="both"/>
        <w:rPr>
          <w:rFonts w:ascii="Arial" w:eastAsia="Arial" w:hAnsi="Arial" w:cs="Arial"/>
          <w:sz w:val="28"/>
          <w:szCs w:val="28"/>
        </w:rPr>
      </w:pPr>
      <w:r w:rsidRPr="006A7E3F">
        <w:rPr>
          <w:rFonts w:ascii="Arial" w:eastAsia="Arial" w:hAnsi="Arial" w:cs="Arial"/>
          <w:sz w:val="28"/>
          <w:szCs w:val="28"/>
        </w:rPr>
        <w:t>5.4 Communication Plan</w:t>
      </w:r>
    </w:p>
    <w:p w14:paraId="08B4F0D7" w14:textId="432BDD1F" w:rsidR="006A7E3F" w:rsidRDefault="008A4BE6" w:rsidP="008A4BE6">
      <w:pPr>
        <w:spacing w:before="80" w:line="360" w:lineRule="auto"/>
        <w:jc w:val="both"/>
        <w:rPr>
          <w:rFonts w:ascii="Arial" w:eastAsia="Arial" w:hAnsi="Arial" w:cs="Arial"/>
        </w:rPr>
      </w:pPr>
      <w:r w:rsidRPr="008A4BE6">
        <w:rPr>
          <w:rFonts w:ascii="Arial" w:eastAsia="Arial" w:hAnsi="Arial" w:cs="Arial"/>
        </w:rPr>
        <w:t xml:space="preserve">The communication plan follows Cleland’s (1999) view that stakeholder communication should be proactive, structured, and tailored to the needs of each audience. For </w:t>
      </w:r>
      <w:proofErr w:type="spellStart"/>
      <w:r w:rsidRPr="008A4BE6">
        <w:rPr>
          <w:rFonts w:ascii="Arial" w:eastAsia="Arial" w:hAnsi="Arial" w:cs="Arial"/>
        </w:rPr>
        <w:t>StaySmart</w:t>
      </w:r>
      <w:proofErr w:type="spellEnd"/>
      <w:r w:rsidRPr="008A4BE6">
        <w:rPr>
          <w:rFonts w:ascii="Arial" w:eastAsia="Arial" w:hAnsi="Arial" w:cs="Arial"/>
        </w:rPr>
        <w:t>+, this involves providing bi</w:t>
      </w:r>
      <w:r w:rsidRPr="008A4BE6">
        <w:rPr>
          <w:rFonts w:ascii="Cambria Math" w:eastAsia="Arial" w:hAnsi="Cambria Math" w:cs="Cambria Math"/>
        </w:rPr>
        <w:t>‑</w:t>
      </w:r>
      <w:r w:rsidRPr="008A4BE6">
        <w:rPr>
          <w:rFonts w:ascii="Arial" w:eastAsia="Arial" w:hAnsi="Arial" w:cs="Arial"/>
        </w:rPr>
        <w:t>weekly steering committee reports to the Executive Leadership Team, monthly briefing packs for franchise and contract partners, and fortnightly technical sprint reviews with the technology team</w:t>
      </w:r>
      <w:r w:rsidR="006A7E3F">
        <w:rPr>
          <w:rFonts w:ascii="Arial" w:eastAsia="Arial" w:hAnsi="Arial" w:cs="Arial"/>
        </w:rPr>
        <w:t xml:space="preserve"> (</w:t>
      </w:r>
      <w:proofErr w:type="spellStart"/>
      <w:r w:rsidR="006A7E3F">
        <w:rPr>
          <w:rFonts w:ascii="Arial" w:eastAsia="Arial" w:hAnsi="Arial" w:cs="Arial"/>
        </w:rPr>
        <w:t>Kuenkel</w:t>
      </w:r>
      <w:proofErr w:type="spellEnd"/>
      <w:r w:rsidR="006A7E3F">
        <w:rPr>
          <w:rFonts w:ascii="Arial" w:eastAsia="Arial" w:hAnsi="Arial" w:cs="Arial"/>
        </w:rPr>
        <w:t xml:space="preserve">, Gerlach and </w:t>
      </w:r>
      <w:proofErr w:type="spellStart"/>
      <w:r w:rsidR="006A7E3F">
        <w:rPr>
          <w:rFonts w:ascii="Arial" w:eastAsia="Arial" w:hAnsi="Arial" w:cs="Arial"/>
        </w:rPr>
        <w:t>Frieg</w:t>
      </w:r>
      <w:proofErr w:type="spellEnd"/>
      <w:r w:rsidR="006A7E3F">
        <w:rPr>
          <w:rFonts w:ascii="Arial" w:eastAsia="Arial" w:hAnsi="Arial" w:cs="Arial"/>
        </w:rPr>
        <w:t>, 2011)</w:t>
      </w:r>
      <w:r w:rsidRPr="008A4BE6">
        <w:rPr>
          <w:rFonts w:ascii="Arial" w:eastAsia="Arial" w:hAnsi="Arial" w:cs="Arial"/>
        </w:rPr>
        <w:t xml:space="preserve">. Investors receive quarterly updates that outline progress against sustainability performance indicators, while </w:t>
      </w:r>
      <w:proofErr w:type="spellStart"/>
      <w:r w:rsidRPr="008A4BE6">
        <w:rPr>
          <w:rFonts w:ascii="Arial" w:eastAsia="Arial" w:hAnsi="Arial" w:cs="Arial"/>
        </w:rPr>
        <w:t>MeliáRewards</w:t>
      </w:r>
      <w:proofErr w:type="spellEnd"/>
      <w:r w:rsidRPr="008A4BE6">
        <w:rPr>
          <w:rFonts w:ascii="Arial" w:eastAsia="Arial" w:hAnsi="Arial" w:cs="Arial"/>
        </w:rPr>
        <w:t xml:space="preserve"> members are engaged at months three and six through newsletters highlighting the new service benefits. Communication channels are selected to match stakeholder expectations: internal teams access digital dashboards, senior leaders and investors receive formal board</w:t>
      </w:r>
      <w:r w:rsidRPr="008A4BE6">
        <w:rPr>
          <w:rFonts w:ascii="Cambria Math" w:eastAsia="Arial" w:hAnsi="Cambria Math" w:cs="Cambria Math"/>
        </w:rPr>
        <w:t>‑</w:t>
      </w:r>
      <w:r w:rsidRPr="008A4BE6">
        <w:rPr>
          <w:rFonts w:ascii="Arial" w:eastAsia="Arial" w:hAnsi="Arial" w:cs="Arial"/>
        </w:rPr>
        <w:t>style documentation, and loyalty members receive personalised notifications through the mobile application</w:t>
      </w:r>
      <w:r w:rsidR="006A7E3F">
        <w:rPr>
          <w:rFonts w:ascii="Arial" w:eastAsia="Arial" w:hAnsi="Arial" w:cs="Arial"/>
        </w:rPr>
        <w:t xml:space="preserve"> (Manetti and Bellucci, 2016).</w:t>
      </w:r>
    </w:p>
    <w:p w14:paraId="6C1249FC" w14:textId="77777777" w:rsidR="008A4BE6" w:rsidRPr="00D528FB" w:rsidRDefault="008A4BE6" w:rsidP="008A4BE6">
      <w:pPr>
        <w:spacing w:before="80" w:line="360" w:lineRule="auto"/>
        <w:jc w:val="both"/>
        <w:rPr>
          <w:rFonts w:ascii="Arial" w:eastAsia="Arial" w:hAnsi="Arial" w:cs="Arial"/>
          <w:sz w:val="32"/>
          <w:szCs w:val="32"/>
        </w:rPr>
      </w:pPr>
      <w:r w:rsidRPr="00D528FB">
        <w:rPr>
          <w:rFonts w:ascii="Arial" w:eastAsia="Arial" w:hAnsi="Arial" w:cs="Arial"/>
          <w:sz w:val="32"/>
          <w:szCs w:val="32"/>
        </w:rPr>
        <w:t>6. The Stakeholder Engagement Process and Conflict Management: The 4C’s Model</w:t>
      </w:r>
    </w:p>
    <w:p w14:paraId="14AD2F5A" w14:textId="510AA1EB"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The 4C’s model</w:t>
      </w:r>
      <w:r w:rsidR="00716B90">
        <w:rPr>
          <w:rFonts w:ascii="Arial" w:eastAsia="Arial" w:hAnsi="Arial" w:cs="Arial"/>
        </w:rPr>
        <w:t xml:space="preserve">: </w:t>
      </w:r>
      <w:r w:rsidRPr="008A4BE6">
        <w:rPr>
          <w:rFonts w:ascii="Arial" w:eastAsia="Arial" w:hAnsi="Arial" w:cs="Arial"/>
        </w:rPr>
        <w:t>Communication, Consultation, Collaboration, and Commitment</w:t>
      </w:r>
      <w:r w:rsidR="00716B90">
        <w:rPr>
          <w:rFonts w:ascii="Arial" w:eastAsia="Arial" w:hAnsi="Arial" w:cs="Arial"/>
        </w:rPr>
        <w:t xml:space="preserve">, </w:t>
      </w:r>
      <w:r w:rsidRPr="008A4BE6">
        <w:rPr>
          <w:rFonts w:ascii="Arial" w:eastAsia="Arial" w:hAnsi="Arial" w:cs="Arial"/>
        </w:rPr>
        <w:t>offers a clear and practical framework for managing stakeholder engagement across complex, multi</w:t>
      </w:r>
      <w:r w:rsidRPr="008A4BE6">
        <w:rPr>
          <w:rFonts w:ascii="Cambria Math" w:eastAsia="Arial" w:hAnsi="Cambria Math" w:cs="Cambria Math"/>
        </w:rPr>
        <w:t>‑</w:t>
      </w:r>
      <w:r w:rsidRPr="008A4BE6">
        <w:rPr>
          <w:rFonts w:ascii="Arial" w:eastAsia="Arial" w:hAnsi="Arial" w:cs="Arial"/>
        </w:rPr>
        <w:t xml:space="preserve">stakeholder projects (Tench and Yeomans, 2017). </w:t>
      </w:r>
      <w:r w:rsidR="00CA6196">
        <w:rPr>
          <w:rFonts w:ascii="Arial" w:eastAsia="Arial" w:hAnsi="Arial" w:cs="Arial"/>
        </w:rPr>
        <w:t xml:space="preserve">It is the </w:t>
      </w:r>
      <w:r w:rsidRPr="008A4BE6">
        <w:rPr>
          <w:rFonts w:ascii="Arial" w:eastAsia="Arial" w:hAnsi="Arial" w:cs="Arial"/>
        </w:rPr>
        <w:t xml:space="preserve">project manager </w:t>
      </w:r>
      <w:r w:rsidR="00CA6196">
        <w:rPr>
          <w:rFonts w:ascii="Arial" w:eastAsia="Arial" w:hAnsi="Arial" w:cs="Arial"/>
        </w:rPr>
        <w:t xml:space="preserve">role </w:t>
      </w:r>
      <w:r w:rsidR="00F424CE">
        <w:rPr>
          <w:rFonts w:ascii="Arial" w:eastAsia="Arial" w:hAnsi="Arial" w:cs="Arial"/>
        </w:rPr>
        <w:t>to apply</w:t>
      </w:r>
      <w:r w:rsidR="00CA6196">
        <w:rPr>
          <w:rFonts w:ascii="Arial" w:eastAsia="Arial" w:hAnsi="Arial" w:cs="Arial"/>
        </w:rPr>
        <w:t xml:space="preserve"> for </w:t>
      </w:r>
      <w:proofErr w:type="spellStart"/>
      <w:r w:rsidRPr="008A4BE6">
        <w:rPr>
          <w:rFonts w:ascii="Arial" w:eastAsia="Arial" w:hAnsi="Arial" w:cs="Arial"/>
        </w:rPr>
        <w:t>StaySmart</w:t>
      </w:r>
      <w:proofErr w:type="spellEnd"/>
      <w:r w:rsidRPr="008A4BE6">
        <w:rPr>
          <w:rFonts w:ascii="Arial" w:eastAsia="Arial" w:hAnsi="Arial" w:cs="Arial"/>
        </w:rPr>
        <w:t>+ this model consistently throughout each phase of the engagement process to ensure alignment, transparency, and shared ownership</w:t>
      </w:r>
      <w:r w:rsidR="00AA5F86">
        <w:rPr>
          <w:rFonts w:ascii="Arial" w:eastAsia="Arial" w:hAnsi="Arial" w:cs="Arial"/>
        </w:rPr>
        <w:t xml:space="preserve"> (Daskalaki, 2016)</w:t>
      </w:r>
      <w:r w:rsidRPr="008A4BE6">
        <w:rPr>
          <w:rFonts w:ascii="Arial" w:eastAsia="Arial" w:hAnsi="Arial" w:cs="Arial"/>
        </w:rPr>
        <w:t>.</w:t>
      </w:r>
    </w:p>
    <w:p w14:paraId="009A32B1" w14:textId="77777777" w:rsidR="008A4BE6" w:rsidRPr="00F424CE" w:rsidRDefault="008A4BE6" w:rsidP="008A4BE6">
      <w:pPr>
        <w:spacing w:before="80" w:line="360" w:lineRule="auto"/>
        <w:jc w:val="both"/>
        <w:rPr>
          <w:rFonts w:ascii="Arial" w:eastAsia="Arial" w:hAnsi="Arial" w:cs="Arial"/>
          <w:sz w:val="28"/>
          <w:szCs w:val="28"/>
        </w:rPr>
      </w:pPr>
      <w:r w:rsidRPr="00F424CE">
        <w:rPr>
          <w:rFonts w:ascii="Arial" w:eastAsia="Arial" w:hAnsi="Arial" w:cs="Arial"/>
          <w:sz w:val="28"/>
          <w:szCs w:val="28"/>
        </w:rPr>
        <w:t>6.1 Communication</w:t>
      </w:r>
    </w:p>
    <w:p w14:paraId="3697729D" w14:textId="77777777"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 xml:space="preserve">Effective communication is the foundation of productive stakeholder relationships. Cornelissen (2020) argues that strategic communication must be purposeful, consistent, and tailored to the expectations of each audience. For </w:t>
      </w:r>
      <w:proofErr w:type="spellStart"/>
      <w:r w:rsidRPr="008A4BE6">
        <w:rPr>
          <w:rFonts w:ascii="Arial" w:eastAsia="Arial" w:hAnsi="Arial" w:cs="Arial"/>
        </w:rPr>
        <w:t>StaySmart</w:t>
      </w:r>
      <w:proofErr w:type="spellEnd"/>
      <w:r w:rsidRPr="008A4BE6">
        <w:rPr>
          <w:rFonts w:ascii="Arial" w:eastAsia="Arial" w:hAnsi="Arial" w:cs="Arial"/>
        </w:rPr>
        <w:t>+, this begins with a communication audit in the first month to map preferred channels, update frequency, and the level of technical detail required by each stakeholder group.</w:t>
      </w:r>
    </w:p>
    <w:p w14:paraId="6B14C15B" w14:textId="483A9F7F"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Internal communication will be adapted to Meliá’s diverse operational footprint across Spain, Germany, the UAE, and Mexico. Operations teams will receive multilingual briefing materials developed with regional HR business partners, ensuring clarity and cultural relevance</w:t>
      </w:r>
      <w:r w:rsidR="00F424CE">
        <w:rPr>
          <w:rFonts w:ascii="Arial" w:eastAsia="Arial" w:hAnsi="Arial" w:cs="Arial"/>
        </w:rPr>
        <w:t xml:space="preserve"> (Neil, </w:t>
      </w:r>
      <w:r w:rsidR="00F424CE">
        <w:rPr>
          <w:rFonts w:ascii="Arial" w:eastAsia="Arial" w:hAnsi="Arial" w:cs="Arial"/>
        </w:rPr>
        <w:lastRenderedPageBreak/>
        <w:t>2009; Manetti and Bellucci, 2016)</w:t>
      </w:r>
      <w:r w:rsidRPr="008A4BE6">
        <w:rPr>
          <w:rFonts w:ascii="Arial" w:eastAsia="Arial" w:hAnsi="Arial" w:cs="Arial"/>
        </w:rPr>
        <w:t xml:space="preserve">. Meliá’s intranet platform, </w:t>
      </w:r>
      <w:proofErr w:type="spellStart"/>
      <w:r w:rsidRPr="008A4BE6">
        <w:rPr>
          <w:rFonts w:ascii="Arial" w:eastAsia="Arial" w:hAnsi="Arial" w:cs="Arial"/>
        </w:rPr>
        <w:t>Melí</w:t>
      </w:r>
      <w:r>
        <w:rPr>
          <w:rFonts w:ascii="Arial" w:eastAsia="Arial" w:hAnsi="Arial" w:cs="Arial"/>
        </w:rPr>
        <w:t>a</w:t>
      </w:r>
      <w:r w:rsidRPr="008A4BE6">
        <w:rPr>
          <w:rFonts w:ascii="Arial" w:eastAsia="Arial" w:hAnsi="Arial" w:cs="Arial"/>
        </w:rPr>
        <w:t>Connect</w:t>
      </w:r>
      <w:proofErr w:type="spellEnd"/>
      <w:r w:rsidRPr="008A4BE6">
        <w:rPr>
          <w:rFonts w:ascii="Arial" w:eastAsia="Arial" w:hAnsi="Arial" w:cs="Arial"/>
        </w:rPr>
        <w:t>, will serve as the central hub for real</w:t>
      </w:r>
      <w:r w:rsidRPr="008A4BE6">
        <w:rPr>
          <w:rFonts w:ascii="Cambria Math" w:eastAsia="Arial" w:hAnsi="Cambria Math" w:cs="Cambria Math"/>
        </w:rPr>
        <w:t>‑</w:t>
      </w:r>
      <w:r w:rsidRPr="008A4BE6">
        <w:rPr>
          <w:rFonts w:ascii="Arial" w:eastAsia="Arial" w:hAnsi="Arial" w:cs="Arial"/>
        </w:rPr>
        <w:t>time updates, frequently asked questions, and feedback submissions.</w:t>
      </w:r>
    </w:p>
    <w:p w14:paraId="164AC0F0" w14:textId="744DCAE1"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 xml:space="preserve">External communication with franchise partners will be delivered through a dedicated </w:t>
      </w:r>
      <w:proofErr w:type="spellStart"/>
      <w:r w:rsidRPr="008A4BE6">
        <w:rPr>
          <w:rFonts w:ascii="Arial" w:eastAsia="Arial" w:hAnsi="Arial" w:cs="Arial"/>
        </w:rPr>
        <w:t>StaySmart</w:t>
      </w:r>
      <w:proofErr w:type="spellEnd"/>
      <w:r w:rsidRPr="008A4BE6">
        <w:rPr>
          <w:rFonts w:ascii="Arial" w:eastAsia="Arial" w:hAnsi="Arial" w:cs="Arial"/>
        </w:rPr>
        <w:t>+ partner portal containing brand guidelines, technical documentation, training resources, and financial modelling tools. For guests and loyalty members, pre</w:t>
      </w:r>
      <w:r w:rsidRPr="008A4BE6">
        <w:rPr>
          <w:rFonts w:ascii="Cambria Math" w:eastAsia="Arial" w:hAnsi="Cambria Math" w:cs="Cambria Math"/>
        </w:rPr>
        <w:t>‑</w:t>
      </w:r>
      <w:r w:rsidRPr="008A4BE6">
        <w:rPr>
          <w:rFonts w:ascii="Arial" w:eastAsia="Arial" w:hAnsi="Arial" w:cs="Arial"/>
        </w:rPr>
        <w:t>launch messaging will be carefully designed to build interest without creating unrealistic expectations, using segmented email campaigns through the Meli</w:t>
      </w:r>
      <w:r>
        <w:rPr>
          <w:rFonts w:ascii="Arial" w:eastAsia="Arial" w:hAnsi="Arial" w:cs="Arial"/>
        </w:rPr>
        <w:t xml:space="preserve">a </w:t>
      </w:r>
      <w:r w:rsidRPr="008A4BE6">
        <w:rPr>
          <w:rFonts w:ascii="Arial" w:eastAsia="Arial" w:hAnsi="Arial" w:cs="Arial"/>
        </w:rPr>
        <w:t>Rewards platform.</w:t>
      </w:r>
    </w:p>
    <w:p w14:paraId="27EDB17F" w14:textId="3A70230E"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Shannon and Weaver’s (1949) communication model highlights that noise</w:t>
      </w:r>
      <w:r w:rsidR="0021190E">
        <w:rPr>
          <w:rFonts w:ascii="Arial" w:eastAsia="Arial" w:hAnsi="Arial" w:cs="Arial"/>
        </w:rPr>
        <w:t xml:space="preserve">, </w:t>
      </w:r>
      <w:r w:rsidRPr="008A4BE6">
        <w:rPr>
          <w:rFonts w:ascii="Arial" w:eastAsia="Arial" w:hAnsi="Arial" w:cs="Arial"/>
        </w:rPr>
        <w:t>whether linguistic, cultural, or technical</w:t>
      </w:r>
      <w:r w:rsidR="0021190E">
        <w:rPr>
          <w:rFonts w:ascii="Arial" w:eastAsia="Arial" w:hAnsi="Arial" w:cs="Arial"/>
        </w:rPr>
        <w:t xml:space="preserve">, </w:t>
      </w:r>
      <w:r w:rsidRPr="008A4BE6">
        <w:rPr>
          <w:rFonts w:ascii="Arial" w:eastAsia="Arial" w:hAnsi="Arial" w:cs="Arial"/>
        </w:rPr>
        <w:t xml:space="preserve">can </w:t>
      </w:r>
      <w:r w:rsidR="0021190E">
        <w:rPr>
          <w:rFonts w:ascii="Arial" w:eastAsia="Arial" w:hAnsi="Arial" w:cs="Arial"/>
        </w:rPr>
        <w:t>alter</w:t>
      </w:r>
      <w:r w:rsidRPr="008A4BE6">
        <w:rPr>
          <w:rFonts w:ascii="Arial" w:eastAsia="Arial" w:hAnsi="Arial" w:cs="Arial"/>
        </w:rPr>
        <w:t xml:space="preserve"> messages. To minimise this risk, all communications will undergo clarity and cultural</w:t>
      </w:r>
      <w:r w:rsidRPr="008A4BE6">
        <w:rPr>
          <w:rFonts w:ascii="Cambria Math" w:eastAsia="Arial" w:hAnsi="Cambria Math" w:cs="Cambria Math"/>
        </w:rPr>
        <w:t>‑</w:t>
      </w:r>
      <w:r w:rsidRPr="008A4BE6">
        <w:rPr>
          <w:rFonts w:ascii="Arial" w:eastAsia="Arial" w:hAnsi="Arial" w:cs="Arial"/>
        </w:rPr>
        <w:t>appropriateness checks by regional managers before distribution.</w:t>
      </w:r>
    </w:p>
    <w:p w14:paraId="64BF26BB" w14:textId="77777777" w:rsidR="008A4BE6" w:rsidRPr="0021190E" w:rsidRDefault="008A4BE6" w:rsidP="008A4BE6">
      <w:pPr>
        <w:spacing w:before="80" w:line="360" w:lineRule="auto"/>
        <w:jc w:val="both"/>
        <w:rPr>
          <w:rFonts w:ascii="Arial" w:eastAsia="Arial" w:hAnsi="Arial" w:cs="Arial"/>
          <w:sz w:val="28"/>
          <w:szCs w:val="28"/>
        </w:rPr>
      </w:pPr>
      <w:r w:rsidRPr="0021190E">
        <w:rPr>
          <w:rFonts w:ascii="Arial" w:eastAsia="Arial" w:hAnsi="Arial" w:cs="Arial"/>
          <w:sz w:val="28"/>
          <w:szCs w:val="28"/>
        </w:rPr>
        <w:t>6.2 Consultation</w:t>
      </w:r>
    </w:p>
    <w:p w14:paraId="143DCCB9" w14:textId="4F917FC4"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Consultation moves engagement from one</w:t>
      </w:r>
      <w:r w:rsidRPr="008A4BE6">
        <w:rPr>
          <w:rFonts w:ascii="Cambria Math" w:eastAsia="Arial" w:hAnsi="Cambria Math" w:cs="Cambria Math"/>
        </w:rPr>
        <w:t>‑</w:t>
      </w:r>
      <w:r w:rsidRPr="008A4BE6">
        <w:rPr>
          <w:rFonts w:ascii="Arial" w:eastAsia="Arial" w:hAnsi="Arial" w:cs="Arial"/>
        </w:rPr>
        <w:t>way communication to active input</w:t>
      </w:r>
      <w:r w:rsidRPr="008A4BE6">
        <w:rPr>
          <w:rFonts w:ascii="Cambria Math" w:eastAsia="Arial" w:hAnsi="Cambria Math" w:cs="Cambria Math"/>
        </w:rPr>
        <w:t>‑</w:t>
      </w:r>
      <w:r w:rsidRPr="008A4BE6">
        <w:rPr>
          <w:rFonts w:ascii="Arial" w:eastAsia="Arial" w:hAnsi="Arial" w:cs="Arial"/>
        </w:rPr>
        <w:t>seeking</w:t>
      </w:r>
      <w:r w:rsidR="00A26935">
        <w:rPr>
          <w:rFonts w:ascii="Arial" w:eastAsia="Arial" w:hAnsi="Arial" w:cs="Arial"/>
        </w:rPr>
        <w:t xml:space="preserve"> (</w:t>
      </w:r>
      <w:proofErr w:type="spellStart"/>
      <w:r w:rsidR="00A26935">
        <w:rPr>
          <w:rFonts w:ascii="Arial" w:eastAsia="Arial" w:hAnsi="Arial" w:cs="Arial"/>
        </w:rPr>
        <w:t>Rijsberman</w:t>
      </w:r>
      <w:proofErr w:type="spellEnd"/>
      <w:r w:rsidR="00A26935">
        <w:rPr>
          <w:rFonts w:ascii="Arial" w:eastAsia="Arial" w:hAnsi="Arial" w:cs="Arial"/>
        </w:rPr>
        <w:t>, 1999)</w:t>
      </w:r>
      <w:r w:rsidRPr="008A4BE6">
        <w:rPr>
          <w:rFonts w:ascii="Arial" w:eastAsia="Arial" w:hAnsi="Arial" w:cs="Arial"/>
        </w:rPr>
        <w:t xml:space="preserve">. During the design phase (months one and two), </w:t>
      </w:r>
      <w:proofErr w:type="spellStart"/>
      <w:r w:rsidRPr="008A4BE6">
        <w:rPr>
          <w:rFonts w:ascii="Arial" w:eastAsia="Arial" w:hAnsi="Arial" w:cs="Arial"/>
        </w:rPr>
        <w:t>StaySmart</w:t>
      </w:r>
      <w:proofErr w:type="spellEnd"/>
      <w:r w:rsidRPr="008A4BE6">
        <w:rPr>
          <w:rFonts w:ascii="Arial" w:eastAsia="Arial" w:hAnsi="Arial" w:cs="Arial"/>
        </w:rPr>
        <w:t>+ will adopt a structured consultation programme that includes co</w:t>
      </w:r>
      <w:r w:rsidRPr="008A4BE6">
        <w:rPr>
          <w:rFonts w:ascii="Cambria Math" w:eastAsia="Arial" w:hAnsi="Cambria Math" w:cs="Cambria Math"/>
        </w:rPr>
        <w:t>‑</w:t>
      </w:r>
      <w:r w:rsidRPr="008A4BE6">
        <w:rPr>
          <w:rFonts w:ascii="Arial" w:eastAsia="Arial" w:hAnsi="Arial" w:cs="Arial"/>
        </w:rPr>
        <w:t>design workshops with operations managers from five pilot hotels, focus groups with Meli</w:t>
      </w:r>
      <w:r>
        <w:rPr>
          <w:rFonts w:ascii="Arial" w:eastAsia="Arial" w:hAnsi="Arial" w:cs="Arial"/>
        </w:rPr>
        <w:t xml:space="preserve">a </w:t>
      </w:r>
      <w:r w:rsidRPr="008A4BE6">
        <w:rPr>
          <w:rFonts w:ascii="Arial" w:eastAsia="Arial" w:hAnsi="Arial" w:cs="Arial"/>
        </w:rPr>
        <w:t>Rewards members to test personalisation concepts, interviews with technology vendors to understand feasibility constraints, and early regulatory discussions with the Spanish Data Protection Agency to identify compliance requirements.</w:t>
      </w:r>
    </w:p>
    <w:p w14:paraId="21E38131" w14:textId="77777777"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This approach aligns with the International Association for Public Participation (IAP2) Spectrum, which positions consultation as a commitment to consider stakeholder views in decision</w:t>
      </w:r>
      <w:r w:rsidRPr="008A4BE6">
        <w:rPr>
          <w:rFonts w:ascii="Cambria Math" w:eastAsia="Arial" w:hAnsi="Cambria Math" w:cs="Cambria Math"/>
        </w:rPr>
        <w:t>‑</w:t>
      </w:r>
      <w:r w:rsidRPr="008A4BE6">
        <w:rPr>
          <w:rFonts w:ascii="Arial" w:eastAsia="Arial" w:hAnsi="Arial" w:cs="Arial"/>
        </w:rPr>
        <w:t>making (IAP2, 2018). Arnstein’s (1969) Ladder of Citizen Participation warns that consultation becomes counterproductive when it is symbolic rather than meaningful. To avoid this, a formal “You Said, We Did” mechanism will document how stakeholder input has shaped design decisions and will be communicated back to participants to reinforce transparency and trust.</w:t>
      </w:r>
    </w:p>
    <w:p w14:paraId="2FE0002E" w14:textId="77777777" w:rsidR="008A4BE6" w:rsidRPr="008A4BE6" w:rsidRDefault="008A4BE6" w:rsidP="008A4BE6">
      <w:pPr>
        <w:spacing w:before="80" w:line="360" w:lineRule="auto"/>
        <w:jc w:val="both"/>
        <w:rPr>
          <w:rFonts w:ascii="Arial" w:eastAsia="Arial" w:hAnsi="Arial" w:cs="Arial"/>
        </w:rPr>
      </w:pPr>
    </w:p>
    <w:p w14:paraId="3F73B436" w14:textId="77777777"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6.3 Collaboration</w:t>
      </w:r>
    </w:p>
    <w:p w14:paraId="54D54ABE" w14:textId="77777777"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Collaboration shifts stakeholders from being informed contributors to active co</w:t>
      </w:r>
      <w:r w:rsidRPr="008A4BE6">
        <w:rPr>
          <w:rFonts w:ascii="Cambria Math" w:eastAsia="Arial" w:hAnsi="Cambria Math" w:cs="Cambria Math"/>
        </w:rPr>
        <w:t>‑</w:t>
      </w:r>
      <w:r w:rsidRPr="008A4BE6">
        <w:rPr>
          <w:rFonts w:ascii="Arial" w:eastAsia="Arial" w:hAnsi="Arial" w:cs="Arial"/>
        </w:rPr>
        <w:t xml:space="preserve">creators. For </w:t>
      </w:r>
      <w:proofErr w:type="spellStart"/>
      <w:r w:rsidRPr="008A4BE6">
        <w:rPr>
          <w:rFonts w:ascii="Arial" w:eastAsia="Arial" w:hAnsi="Arial" w:cs="Arial"/>
        </w:rPr>
        <w:t>StaySmart</w:t>
      </w:r>
      <w:proofErr w:type="spellEnd"/>
      <w:r w:rsidRPr="008A4BE6">
        <w:rPr>
          <w:rFonts w:ascii="Arial" w:eastAsia="Arial" w:hAnsi="Arial" w:cs="Arial"/>
        </w:rPr>
        <w:t>+, collaboration will be formalised through a Cross</w:t>
      </w:r>
      <w:r w:rsidRPr="008A4BE6">
        <w:rPr>
          <w:rFonts w:ascii="Cambria Math" w:eastAsia="Arial" w:hAnsi="Cambria Math" w:cs="Cambria Math"/>
        </w:rPr>
        <w:t>‑</w:t>
      </w:r>
      <w:r w:rsidRPr="008A4BE6">
        <w:rPr>
          <w:rFonts w:ascii="Arial" w:eastAsia="Arial" w:hAnsi="Arial" w:cs="Arial"/>
        </w:rPr>
        <w:t xml:space="preserve">Functional Steering Committee that includes representatives from Product Development, Operations, Marketing, Legal, Finance, and two external franchise partners. This committee will meet fortnightly throughout implementation, with rotating chairing responsibilities to promote shared ownership and </w:t>
      </w:r>
      <w:r w:rsidRPr="008A4BE6">
        <w:rPr>
          <w:rFonts w:ascii="Arial" w:eastAsia="Arial" w:hAnsi="Arial" w:cs="Arial"/>
        </w:rPr>
        <w:lastRenderedPageBreak/>
        <w:t>accountability. Research by Bourne and Walker (2005) shows that collaborative governance structures significantly improve stakeholder satisfaction and implementation success.</w:t>
      </w:r>
    </w:p>
    <w:p w14:paraId="15A12DAC" w14:textId="77777777"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Cultural collaboration presents additional challenges across Meliá’s global markets. Hofstede’s (2001) cultural dimensions suggest that high power</w:t>
      </w:r>
      <w:r w:rsidRPr="008A4BE6">
        <w:rPr>
          <w:rFonts w:ascii="Cambria Math" w:eastAsia="Arial" w:hAnsi="Cambria Math" w:cs="Cambria Math"/>
        </w:rPr>
        <w:t>‑</w:t>
      </w:r>
      <w:r w:rsidRPr="008A4BE6">
        <w:rPr>
          <w:rFonts w:ascii="Arial" w:eastAsia="Arial" w:hAnsi="Arial" w:cs="Arial"/>
        </w:rPr>
        <w:t>distance cultures, such as those in the UAE and parts of Asia, may be less comfortable with horizontal decision</w:t>
      </w:r>
      <w:r w:rsidRPr="008A4BE6">
        <w:rPr>
          <w:rFonts w:ascii="Cambria Math" w:eastAsia="Arial" w:hAnsi="Cambria Math" w:cs="Cambria Math"/>
        </w:rPr>
        <w:t>‑</w:t>
      </w:r>
      <w:r w:rsidRPr="008A4BE6">
        <w:rPr>
          <w:rFonts w:ascii="Arial" w:eastAsia="Arial" w:hAnsi="Arial" w:cs="Arial"/>
        </w:rPr>
        <w:t>making, while collectivist cultures may require more time for consensus building. To address this, culturally competent regional project coordinators will facilitate collaboration in ways that respect local norms while maintaining overall project governance standards.</w:t>
      </w:r>
    </w:p>
    <w:p w14:paraId="3CE981E4" w14:textId="51C4A3A1"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For technology vendors, collaboration will follow an Agile development approach, using two</w:t>
      </w:r>
      <w:r w:rsidRPr="008A4BE6">
        <w:rPr>
          <w:rFonts w:ascii="Cambria Math" w:eastAsia="Arial" w:hAnsi="Cambria Math" w:cs="Cambria Math"/>
        </w:rPr>
        <w:t>‑</w:t>
      </w:r>
      <w:r w:rsidRPr="008A4BE6">
        <w:rPr>
          <w:rFonts w:ascii="Arial" w:eastAsia="Arial" w:hAnsi="Arial" w:cs="Arial"/>
        </w:rPr>
        <w:t>week sprint cycles to enable iterative co</w:t>
      </w:r>
      <w:r w:rsidRPr="008A4BE6">
        <w:rPr>
          <w:rFonts w:ascii="Cambria Math" w:eastAsia="Arial" w:hAnsi="Cambria Math" w:cs="Cambria Math"/>
        </w:rPr>
        <w:t>‑</w:t>
      </w:r>
      <w:r w:rsidRPr="008A4BE6">
        <w:rPr>
          <w:rFonts w:ascii="Arial" w:eastAsia="Arial" w:hAnsi="Arial" w:cs="Arial"/>
        </w:rPr>
        <w:t>development of the AI concierge and personalisation engines. This ensures that operational insights from hotel teams are incorporated early, reducing the risk of post</w:t>
      </w:r>
      <w:r w:rsidRPr="008A4BE6">
        <w:rPr>
          <w:rFonts w:ascii="Cambria Math" w:eastAsia="Arial" w:hAnsi="Cambria Math" w:cs="Cambria Math"/>
        </w:rPr>
        <w:t>‑</w:t>
      </w:r>
      <w:r w:rsidRPr="008A4BE6">
        <w:rPr>
          <w:rFonts w:ascii="Arial" w:eastAsia="Arial" w:hAnsi="Arial" w:cs="Arial"/>
        </w:rPr>
        <w:t>launch issues.</w:t>
      </w:r>
    </w:p>
    <w:p w14:paraId="6528D873" w14:textId="77777777" w:rsidR="008A4BE6" w:rsidRPr="00FE7013" w:rsidRDefault="008A4BE6" w:rsidP="008A4BE6">
      <w:pPr>
        <w:spacing w:before="80" w:line="360" w:lineRule="auto"/>
        <w:jc w:val="both"/>
        <w:rPr>
          <w:rFonts w:ascii="Arial" w:eastAsia="Arial" w:hAnsi="Arial" w:cs="Arial"/>
          <w:sz w:val="28"/>
          <w:szCs w:val="28"/>
        </w:rPr>
      </w:pPr>
      <w:r w:rsidRPr="00FE7013">
        <w:rPr>
          <w:rFonts w:ascii="Arial" w:eastAsia="Arial" w:hAnsi="Arial" w:cs="Arial"/>
          <w:sz w:val="28"/>
          <w:szCs w:val="28"/>
        </w:rPr>
        <w:t>6.4 Commitment</w:t>
      </w:r>
    </w:p>
    <w:p w14:paraId="2B491A96" w14:textId="5ABEBD4E" w:rsidR="008A4BE6" w:rsidRPr="008A4BE6" w:rsidRDefault="008A4BE6" w:rsidP="008A4BE6">
      <w:pPr>
        <w:spacing w:before="80" w:line="360" w:lineRule="auto"/>
        <w:jc w:val="both"/>
        <w:rPr>
          <w:rFonts w:ascii="Arial" w:eastAsia="Arial" w:hAnsi="Arial" w:cs="Arial"/>
        </w:rPr>
      </w:pPr>
      <w:r w:rsidRPr="008A4BE6">
        <w:rPr>
          <w:rFonts w:ascii="Arial" w:eastAsia="Arial" w:hAnsi="Arial" w:cs="Arial"/>
        </w:rPr>
        <w:t>Commitment represents the point at which stakeholders internalise the project’s purpose and take ownership of their role in delivering it. As Bryson (2004) notes, commitment must be cultivated and cannot be assumed. For the Executive Leadership Team, commitment will be reinforced through clear return</w:t>
      </w:r>
      <w:r w:rsidRPr="008A4BE6">
        <w:rPr>
          <w:rFonts w:ascii="Cambria Math" w:eastAsia="Arial" w:hAnsi="Cambria Math" w:cs="Cambria Math"/>
        </w:rPr>
        <w:t>‑</w:t>
      </w:r>
      <w:r w:rsidRPr="008A4BE6">
        <w:rPr>
          <w:rFonts w:ascii="Arial" w:eastAsia="Arial" w:hAnsi="Arial" w:cs="Arial"/>
        </w:rPr>
        <w:t>on</w:t>
      </w:r>
      <w:r w:rsidRPr="008A4BE6">
        <w:rPr>
          <w:rFonts w:ascii="Cambria Math" w:eastAsia="Arial" w:hAnsi="Cambria Math" w:cs="Cambria Math"/>
        </w:rPr>
        <w:t>‑</w:t>
      </w:r>
      <w:r w:rsidRPr="008A4BE6">
        <w:rPr>
          <w:rFonts w:ascii="Arial" w:eastAsia="Arial" w:hAnsi="Arial" w:cs="Arial"/>
        </w:rPr>
        <w:t>investment projections, aligned performance indicators, and regular reporting against strategic milestones. For operations teams, commitment will grow from meaningful involvement in the consultation phase, supported by comprehensive training and a no</w:t>
      </w:r>
      <w:r w:rsidRPr="008A4BE6">
        <w:rPr>
          <w:rFonts w:ascii="Cambria Math" w:eastAsia="Arial" w:hAnsi="Cambria Math" w:cs="Cambria Math"/>
        </w:rPr>
        <w:t>‑</w:t>
      </w:r>
      <w:r w:rsidRPr="008A4BE6">
        <w:rPr>
          <w:rFonts w:ascii="Arial" w:eastAsia="Arial" w:hAnsi="Arial" w:cs="Arial"/>
        </w:rPr>
        <w:t>blame culture that encourages learning during early adoption of new technologies.</w:t>
      </w:r>
    </w:p>
    <w:p w14:paraId="2E8DB327" w14:textId="77777777" w:rsidR="008A4BE6" w:rsidRPr="00FE7013" w:rsidRDefault="008A4BE6" w:rsidP="008A4BE6">
      <w:pPr>
        <w:spacing w:before="80" w:line="360" w:lineRule="auto"/>
        <w:jc w:val="both"/>
        <w:rPr>
          <w:rFonts w:ascii="Arial" w:eastAsia="Arial" w:hAnsi="Arial" w:cs="Arial"/>
          <w:sz w:val="28"/>
          <w:szCs w:val="28"/>
        </w:rPr>
      </w:pPr>
      <w:r w:rsidRPr="00FE7013">
        <w:rPr>
          <w:rFonts w:ascii="Arial" w:eastAsia="Arial" w:hAnsi="Arial" w:cs="Arial"/>
          <w:sz w:val="28"/>
          <w:szCs w:val="28"/>
        </w:rPr>
        <w:t>6.5 Conflict Management</w:t>
      </w:r>
    </w:p>
    <w:p w14:paraId="40D3BBE2" w14:textId="15DB9C14" w:rsidR="00F94B56" w:rsidRPr="008A4BE6" w:rsidRDefault="008A4BE6" w:rsidP="008A4BE6">
      <w:pPr>
        <w:spacing w:before="80" w:line="360" w:lineRule="auto"/>
        <w:jc w:val="both"/>
        <w:rPr>
          <w:rFonts w:ascii="Arial" w:eastAsia="Arial" w:hAnsi="Arial" w:cs="Arial"/>
        </w:rPr>
      </w:pPr>
      <w:r w:rsidRPr="008A4BE6">
        <w:rPr>
          <w:rFonts w:ascii="Arial" w:eastAsia="Arial" w:hAnsi="Arial" w:cs="Arial"/>
        </w:rPr>
        <w:t>Conflict is an unavoidable aspect of multi</w:t>
      </w:r>
      <w:r w:rsidRPr="008A4BE6">
        <w:rPr>
          <w:rFonts w:ascii="Cambria Math" w:eastAsia="Arial" w:hAnsi="Cambria Math" w:cs="Cambria Math"/>
        </w:rPr>
        <w:t>‑</w:t>
      </w:r>
      <w:r w:rsidRPr="008A4BE6">
        <w:rPr>
          <w:rFonts w:ascii="Arial" w:eastAsia="Arial" w:hAnsi="Arial" w:cs="Arial"/>
        </w:rPr>
        <w:t xml:space="preserve">stakeholder projects </w:t>
      </w:r>
      <w:proofErr w:type="gramStart"/>
      <w:r w:rsidRPr="008A4BE6">
        <w:rPr>
          <w:rFonts w:ascii="Arial" w:eastAsia="Arial" w:hAnsi="Arial" w:cs="Arial"/>
        </w:rPr>
        <w:t>(</w:t>
      </w:r>
      <w:r w:rsidR="00FE7013">
        <w:rPr>
          <w:rFonts w:ascii="Arial" w:eastAsia="Arial" w:hAnsi="Arial" w:cs="Arial"/>
        </w:rPr>
        <w:t xml:space="preserve"> </w:t>
      </w:r>
      <w:proofErr w:type="spellStart"/>
      <w:r w:rsidR="00FE7013">
        <w:rPr>
          <w:rFonts w:ascii="Arial" w:eastAsia="Arial" w:hAnsi="Arial" w:cs="Arial"/>
        </w:rPr>
        <w:t>Pikley</w:t>
      </w:r>
      <w:proofErr w:type="spellEnd"/>
      <w:proofErr w:type="gramEnd"/>
      <w:r w:rsidR="00FE7013">
        <w:rPr>
          <w:rFonts w:ascii="Arial" w:eastAsia="Arial" w:hAnsi="Arial" w:cs="Arial"/>
        </w:rPr>
        <w:t xml:space="preserve"> and Northcraft, 1994; Moura and Teixeira, 2010</w:t>
      </w:r>
      <w:r w:rsidRPr="008A4BE6">
        <w:rPr>
          <w:rFonts w:ascii="Arial" w:eastAsia="Arial" w:hAnsi="Arial" w:cs="Arial"/>
        </w:rPr>
        <w:t xml:space="preserve">). In the context of </w:t>
      </w:r>
      <w:proofErr w:type="spellStart"/>
      <w:r w:rsidRPr="008A4BE6">
        <w:rPr>
          <w:rFonts w:ascii="Arial" w:eastAsia="Arial" w:hAnsi="Arial" w:cs="Arial"/>
        </w:rPr>
        <w:t>StaySmart</w:t>
      </w:r>
      <w:proofErr w:type="spellEnd"/>
      <w:r w:rsidRPr="008A4BE6">
        <w:rPr>
          <w:rFonts w:ascii="Arial" w:eastAsia="Arial" w:hAnsi="Arial" w:cs="Arial"/>
        </w:rPr>
        <w:t>+, potential conflicts may arise between the technology team’s ambition to deploy advanced AI systems and the legal team’s cautious approach to compliance; between corporate marketing and franchise partners regarding branding autonomy</w:t>
      </w:r>
      <w:r w:rsidR="003D1943">
        <w:rPr>
          <w:rFonts w:ascii="Arial" w:eastAsia="Arial" w:hAnsi="Arial" w:cs="Arial"/>
        </w:rPr>
        <w:t xml:space="preserve"> (Moore, 1986)</w:t>
      </w:r>
      <w:r w:rsidRPr="008A4BE6">
        <w:rPr>
          <w:rFonts w:ascii="Arial" w:eastAsia="Arial" w:hAnsi="Arial" w:cs="Arial"/>
        </w:rPr>
        <w:t>; or among operations staff who may fear that AI tools threaten job security.</w:t>
      </w:r>
    </w:p>
    <w:p w14:paraId="4438959F" w14:textId="77777777" w:rsidR="00F94B56" w:rsidRDefault="008A4BE6" w:rsidP="008A4BE6">
      <w:pPr>
        <w:spacing w:before="80" w:line="360" w:lineRule="auto"/>
        <w:jc w:val="both"/>
        <w:rPr>
          <w:rFonts w:ascii="Arial" w:eastAsia="Arial" w:hAnsi="Arial" w:cs="Arial"/>
        </w:rPr>
      </w:pPr>
      <w:r w:rsidRPr="008A4BE6">
        <w:rPr>
          <w:rFonts w:ascii="Arial" w:eastAsia="Arial" w:hAnsi="Arial" w:cs="Arial"/>
        </w:rPr>
        <w:t xml:space="preserve">To manage these tensions, </w:t>
      </w:r>
      <w:r w:rsidR="00F94B56">
        <w:rPr>
          <w:rFonts w:ascii="Arial" w:eastAsia="Arial" w:hAnsi="Arial" w:cs="Arial"/>
        </w:rPr>
        <w:t xml:space="preserve">the </w:t>
      </w:r>
      <w:r w:rsidRPr="008A4BE6">
        <w:rPr>
          <w:rFonts w:ascii="Arial" w:eastAsia="Arial" w:hAnsi="Arial" w:cs="Arial"/>
        </w:rPr>
        <w:t>Thomas and Kilmann’s (1974) Conflict Mode Instrument</w:t>
      </w:r>
      <w:r w:rsidR="00F94B56">
        <w:rPr>
          <w:rFonts w:ascii="Arial" w:eastAsia="Arial" w:hAnsi="Arial" w:cs="Arial"/>
        </w:rPr>
        <w:t xml:space="preserve"> was used</w:t>
      </w:r>
      <w:r w:rsidRPr="008A4BE6">
        <w:rPr>
          <w:rFonts w:ascii="Arial" w:eastAsia="Arial" w:hAnsi="Arial" w:cs="Arial"/>
        </w:rPr>
        <w:t>, adopting a collaborative approach</w:t>
      </w:r>
      <w:r w:rsidR="007319FE">
        <w:rPr>
          <w:rFonts w:ascii="Arial" w:eastAsia="Arial" w:hAnsi="Arial" w:cs="Arial"/>
        </w:rPr>
        <w:t xml:space="preserve">, </w:t>
      </w:r>
      <w:r w:rsidRPr="008A4BE6">
        <w:rPr>
          <w:rFonts w:ascii="Arial" w:eastAsia="Arial" w:hAnsi="Arial" w:cs="Arial"/>
        </w:rPr>
        <w:t>high assertiveness and high cooperativeness</w:t>
      </w:r>
      <w:r w:rsidR="007319FE">
        <w:rPr>
          <w:rFonts w:ascii="Arial" w:eastAsia="Arial" w:hAnsi="Arial" w:cs="Arial"/>
        </w:rPr>
        <w:t xml:space="preserve">, </w:t>
      </w:r>
      <w:r w:rsidRPr="008A4BE6">
        <w:rPr>
          <w:rFonts w:ascii="Arial" w:eastAsia="Arial" w:hAnsi="Arial" w:cs="Arial"/>
        </w:rPr>
        <w:t xml:space="preserve">as the default. When conflicts emerge between technical feasibility and compliance requirements, a joint working group will be convened with representatives from both areas, supported by an external legal specialist, to develop solutions that satisfy both perspectives. </w:t>
      </w:r>
    </w:p>
    <w:p w14:paraId="69EEE2FD" w14:textId="063A0807" w:rsidR="00F94B56" w:rsidRDefault="00F94B56" w:rsidP="008A4BE6">
      <w:pPr>
        <w:spacing w:before="80" w:line="360" w:lineRule="auto"/>
        <w:jc w:val="both"/>
        <w:rPr>
          <w:rFonts w:ascii="Arial" w:eastAsia="Arial" w:hAnsi="Arial" w:cs="Arial"/>
        </w:rPr>
      </w:pPr>
      <w:r>
        <w:rPr>
          <w:noProof/>
        </w:rPr>
        <w:lastRenderedPageBreak/>
        <w:drawing>
          <wp:inline distT="0" distB="0" distL="0" distR="0" wp14:anchorId="7B529FD9" wp14:editId="0C1C62D1">
            <wp:extent cx="3695643" cy="2247942"/>
            <wp:effectExtent l="0" t="0" r="63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11127" cy="2257361"/>
                    </a:xfrm>
                    <a:prstGeom prst="rect">
                      <a:avLst/>
                    </a:prstGeom>
                    <a:noFill/>
                    <a:ln>
                      <a:noFill/>
                    </a:ln>
                  </pic:spPr>
                </pic:pic>
              </a:graphicData>
            </a:graphic>
          </wp:inline>
        </w:drawing>
      </w:r>
    </w:p>
    <w:p w14:paraId="265DC7FB" w14:textId="2CB54FB3" w:rsidR="00F94B56" w:rsidRDefault="00F94B56" w:rsidP="008A4BE6">
      <w:pPr>
        <w:spacing w:before="80" w:line="360" w:lineRule="auto"/>
        <w:jc w:val="both"/>
        <w:rPr>
          <w:rFonts w:ascii="Arial" w:eastAsia="Arial" w:hAnsi="Arial" w:cs="Arial"/>
        </w:rPr>
      </w:pPr>
      <w:r>
        <w:rPr>
          <w:rFonts w:ascii="Arial" w:eastAsia="Arial" w:hAnsi="Arial" w:cs="Arial"/>
        </w:rPr>
        <w:t>Figure 2 Thomas-Kilmann Conflict Model (Mishra, 2021)</w:t>
      </w:r>
    </w:p>
    <w:p w14:paraId="185BCB41" w14:textId="49D0CA54" w:rsidR="008A4BE6" w:rsidRDefault="008A4BE6" w:rsidP="008A4BE6">
      <w:pPr>
        <w:spacing w:before="80" w:line="360" w:lineRule="auto"/>
        <w:jc w:val="both"/>
        <w:rPr>
          <w:rFonts w:ascii="Arial" w:eastAsia="Arial" w:hAnsi="Arial" w:cs="Arial"/>
        </w:rPr>
      </w:pPr>
      <w:r w:rsidRPr="008A4BE6">
        <w:rPr>
          <w:rFonts w:ascii="Arial" w:eastAsia="Arial" w:hAnsi="Arial" w:cs="Arial"/>
        </w:rPr>
        <w:t>For branding disputes with franchise partners, a Brand Flexibility Framework will define core, non</w:t>
      </w:r>
      <w:r w:rsidRPr="008A4BE6">
        <w:rPr>
          <w:rFonts w:ascii="Cambria Math" w:eastAsia="Arial" w:hAnsi="Cambria Math" w:cs="Cambria Math"/>
        </w:rPr>
        <w:t>‑</w:t>
      </w:r>
      <w:r w:rsidRPr="008A4BE6">
        <w:rPr>
          <w:rFonts w:ascii="Arial" w:eastAsia="Arial" w:hAnsi="Arial" w:cs="Arial"/>
        </w:rPr>
        <w:t xml:space="preserve">negotiable </w:t>
      </w:r>
      <w:proofErr w:type="spellStart"/>
      <w:r w:rsidRPr="008A4BE6">
        <w:rPr>
          <w:rFonts w:ascii="Arial" w:eastAsia="Arial" w:hAnsi="Arial" w:cs="Arial"/>
        </w:rPr>
        <w:t>StaySmart</w:t>
      </w:r>
      <w:proofErr w:type="spellEnd"/>
      <w:r w:rsidRPr="008A4BE6">
        <w:rPr>
          <w:rFonts w:ascii="Arial" w:eastAsia="Arial" w:hAnsi="Arial" w:cs="Arial"/>
        </w:rPr>
        <w:t xml:space="preserve">+ standards while allowing controlled local adaptation. Concerns among operations staff will be addressed through transparent communication about workforce impacts and a clear message that </w:t>
      </w:r>
      <w:proofErr w:type="spellStart"/>
      <w:r w:rsidRPr="008A4BE6">
        <w:rPr>
          <w:rFonts w:ascii="Arial" w:eastAsia="Arial" w:hAnsi="Arial" w:cs="Arial"/>
        </w:rPr>
        <w:t>StaySmart</w:t>
      </w:r>
      <w:proofErr w:type="spellEnd"/>
      <w:r w:rsidRPr="008A4BE6">
        <w:rPr>
          <w:rFonts w:ascii="Arial" w:eastAsia="Arial" w:hAnsi="Arial" w:cs="Arial"/>
        </w:rPr>
        <w:t>+ is designed to enhance, not replace, frontline roles.</w:t>
      </w:r>
    </w:p>
    <w:p w14:paraId="281E57FC" w14:textId="77777777" w:rsidR="000307EF" w:rsidRPr="00D74711" w:rsidRDefault="000307EF" w:rsidP="000307EF">
      <w:pPr>
        <w:spacing w:before="80" w:line="360" w:lineRule="auto"/>
        <w:jc w:val="both"/>
        <w:rPr>
          <w:rFonts w:ascii="Arial" w:eastAsia="Arial" w:hAnsi="Arial" w:cs="Arial"/>
          <w:sz w:val="32"/>
          <w:szCs w:val="32"/>
        </w:rPr>
      </w:pPr>
      <w:r w:rsidRPr="00D74711">
        <w:rPr>
          <w:rFonts w:ascii="Arial" w:eastAsia="Arial" w:hAnsi="Arial" w:cs="Arial"/>
          <w:sz w:val="32"/>
          <w:szCs w:val="32"/>
        </w:rPr>
        <w:t>7. Evaluating the Impact of Stakeholder Engagement on Business Performance and Recommendations</w:t>
      </w:r>
    </w:p>
    <w:p w14:paraId="2F22183E" w14:textId="77777777" w:rsidR="000307EF" w:rsidRPr="00D74711" w:rsidRDefault="000307EF" w:rsidP="000307EF">
      <w:pPr>
        <w:spacing w:before="80" w:line="360" w:lineRule="auto"/>
        <w:jc w:val="both"/>
        <w:rPr>
          <w:rFonts w:ascii="Arial" w:eastAsia="Arial" w:hAnsi="Arial" w:cs="Arial"/>
          <w:sz w:val="28"/>
          <w:szCs w:val="28"/>
        </w:rPr>
      </w:pPr>
      <w:r w:rsidRPr="00D74711">
        <w:rPr>
          <w:rFonts w:ascii="Arial" w:eastAsia="Arial" w:hAnsi="Arial" w:cs="Arial"/>
          <w:sz w:val="28"/>
          <w:szCs w:val="28"/>
        </w:rPr>
        <w:t>7.1 Impact on Business Performance</w:t>
      </w:r>
    </w:p>
    <w:p w14:paraId="4A08D71E" w14:textId="39DCB1D4"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Research consistently shows that organisations which create value for a broad range of stakeholders perform better over time than those focused narrowly on shareholder interests. Freeman et al. (2010) highlight that long</w:t>
      </w:r>
      <w:r w:rsidRPr="000307EF">
        <w:rPr>
          <w:rFonts w:ascii="Cambria Math" w:eastAsia="Arial" w:hAnsi="Cambria Math" w:cs="Cambria Math"/>
        </w:rPr>
        <w:t>‑</w:t>
      </w:r>
      <w:r w:rsidRPr="000307EF">
        <w:rPr>
          <w:rFonts w:ascii="Arial" w:eastAsia="Arial" w:hAnsi="Arial" w:cs="Arial"/>
        </w:rPr>
        <w:t>term competitive advantage emerges when multiple stakeholder groups benefit simultaneously</w:t>
      </w:r>
      <w:r w:rsidR="00D74711">
        <w:rPr>
          <w:rFonts w:ascii="Arial" w:eastAsia="Arial" w:hAnsi="Arial" w:cs="Arial"/>
        </w:rPr>
        <w:t xml:space="preserve">, </w:t>
      </w:r>
      <w:r w:rsidRPr="000307EF">
        <w:rPr>
          <w:rFonts w:ascii="Arial" w:eastAsia="Arial" w:hAnsi="Arial" w:cs="Arial"/>
        </w:rPr>
        <w:t xml:space="preserve">a principle that applies directly to Meliá’s </w:t>
      </w:r>
      <w:proofErr w:type="spellStart"/>
      <w:r w:rsidRPr="000307EF">
        <w:rPr>
          <w:rFonts w:ascii="Arial" w:eastAsia="Arial" w:hAnsi="Arial" w:cs="Arial"/>
        </w:rPr>
        <w:t>StaySmart</w:t>
      </w:r>
      <w:proofErr w:type="spellEnd"/>
      <w:r w:rsidRPr="000307EF">
        <w:rPr>
          <w:rFonts w:ascii="Arial" w:eastAsia="Arial" w:hAnsi="Arial" w:cs="Arial"/>
        </w:rPr>
        <w:t>+ initiative.</w:t>
      </w:r>
    </w:p>
    <w:p w14:paraId="50317682" w14:textId="632CFA2C"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 xml:space="preserve">Stakeholder engagement influences financial performance in several ways. Loyalty members provide the most immediate impact: Bain </w:t>
      </w:r>
      <w:r w:rsidR="00D74711">
        <w:rPr>
          <w:rFonts w:ascii="Arial" w:eastAsia="Arial" w:hAnsi="Arial" w:cs="Arial"/>
        </w:rPr>
        <w:t>and</w:t>
      </w:r>
      <w:r w:rsidRPr="000307EF">
        <w:rPr>
          <w:rFonts w:ascii="Arial" w:eastAsia="Arial" w:hAnsi="Arial" w:cs="Arial"/>
        </w:rPr>
        <w:t xml:space="preserve"> Company’s findings (2001, cited in Reichheld, 2006) show that even a small increase in customer retention can produce a substantial rise in profitability. By involving </w:t>
      </w:r>
      <w:proofErr w:type="spellStart"/>
      <w:r w:rsidRPr="000307EF">
        <w:rPr>
          <w:rFonts w:ascii="Arial" w:eastAsia="Arial" w:hAnsi="Arial" w:cs="Arial"/>
        </w:rPr>
        <w:t>MeliáRewards</w:t>
      </w:r>
      <w:proofErr w:type="spellEnd"/>
      <w:r w:rsidRPr="000307EF">
        <w:rPr>
          <w:rFonts w:ascii="Arial" w:eastAsia="Arial" w:hAnsi="Arial" w:cs="Arial"/>
        </w:rPr>
        <w:t xml:space="preserve"> members early as testers and co</w:t>
      </w:r>
      <w:r w:rsidRPr="000307EF">
        <w:rPr>
          <w:rFonts w:ascii="Cambria Math" w:eastAsia="Arial" w:hAnsi="Cambria Math" w:cs="Cambria Math"/>
        </w:rPr>
        <w:t>‑</w:t>
      </w:r>
      <w:r w:rsidRPr="000307EF">
        <w:rPr>
          <w:rFonts w:ascii="Arial" w:eastAsia="Arial" w:hAnsi="Arial" w:cs="Arial"/>
        </w:rPr>
        <w:t xml:space="preserve">designers, Meliá can expect higher adoption of </w:t>
      </w:r>
      <w:proofErr w:type="spellStart"/>
      <w:r w:rsidRPr="000307EF">
        <w:rPr>
          <w:rFonts w:ascii="Arial" w:eastAsia="Arial" w:hAnsi="Arial" w:cs="Arial"/>
        </w:rPr>
        <w:t>StaySmart</w:t>
      </w:r>
      <w:proofErr w:type="spellEnd"/>
      <w:r w:rsidRPr="000307EF">
        <w:rPr>
          <w:rFonts w:ascii="Arial" w:eastAsia="Arial" w:hAnsi="Arial" w:cs="Arial"/>
        </w:rPr>
        <w:t>+, increased spending per stay, and stronger advocacy reflected in improved Net Promoter Score results. Evidence from comparable industry initiatives</w:t>
      </w:r>
      <w:r w:rsidR="00D74711">
        <w:rPr>
          <w:rFonts w:ascii="Arial" w:eastAsia="Arial" w:hAnsi="Arial" w:cs="Arial"/>
        </w:rPr>
        <w:t xml:space="preserve">, </w:t>
      </w:r>
      <w:r w:rsidRPr="000307EF">
        <w:rPr>
          <w:rFonts w:ascii="Arial" w:eastAsia="Arial" w:hAnsi="Arial" w:cs="Arial"/>
        </w:rPr>
        <w:t>such as Hilton’s Connected Room and AccorHotels’ ALL loyalty platform</w:t>
      </w:r>
      <w:r w:rsidR="00D74711">
        <w:rPr>
          <w:rFonts w:ascii="Arial" w:eastAsia="Arial" w:hAnsi="Arial" w:cs="Arial"/>
        </w:rPr>
        <w:t xml:space="preserve">, </w:t>
      </w:r>
      <w:r w:rsidRPr="000307EF">
        <w:rPr>
          <w:rFonts w:ascii="Arial" w:eastAsia="Arial" w:hAnsi="Arial" w:cs="Arial"/>
        </w:rPr>
        <w:t>indicates that personalised, AI</w:t>
      </w:r>
      <w:r w:rsidRPr="000307EF">
        <w:rPr>
          <w:rFonts w:ascii="Cambria Math" w:eastAsia="Arial" w:hAnsi="Cambria Math" w:cs="Cambria Math"/>
        </w:rPr>
        <w:t>‑</w:t>
      </w:r>
      <w:r w:rsidRPr="000307EF">
        <w:rPr>
          <w:rFonts w:ascii="Arial" w:eastAsia="Arial" w:hAnsi="Arial" w:cs="Arial"/>
        </w:rPr>
        <w:t>supported experiences can lift ancillary revenue by 15–20 percent (</w:t>
      </w:r>
      <w:proofErr w:type="spellStart"/>
      <w:r w:rsidRPr="000307EF">
        <w:rPr>
          <w:rFonts w:ascii="Arial" w:eastAsia="Arial" w:hAnsi="Arial" w:cs="Arial"/>
        </w:rPr>
        <w:t>Phocuswire</w:t>
      </w:r>
      <w:proofErr w:type="spellEnd"/>
      <w:r w:rsidRPr="000307EF">
        <w:rPr>
          <w:rFonts w:ascii="Arial" w:eastAsia="Arial" w:hAnsi="Arial" w:cs="Arial"/>
        </w:rPr>
        <w:t>, 2023).</w:t>
      </w:r>
    </w:p>
    <w:p w14:paraId="149C468D" w14:textId="77777777"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lastRenderedPageBreak/>
        <w:t xml:space="preserve">Engagement with franchise and management contract partners also has a direct operational impact. When property owners feel consulted and commercially supported, implementation quality improves, reducing the risk of inconsistent service delivery across the portfolio. This consistency is particularly important for </w:t>
      </w:r>
      <w:proofErr w:type="spellStart"/>
      <w:r w:rsidRPr="000307EF">
        <w:rPr>
          <w:rFonts w:ascii="Arial" w:eastAsia="Arial" w:hAnsi="Arial" w:cs="Arial"/>
        </w:rPr>
        <w:t>StaySmart</w:t>
      </w:r>
      <w:proofErr w:type="spellEnd"/>
      <w:r w:rsidRPr="000307EF">
        <w:rPr>
          <w:rFonts w:ascii="Arial" w:eastAsia="Arial" w:hAnsi="Arial" w:cs="Arial"/>
        </w:rPr>
        <w:t>+, where the value of AI</w:t>
      </w:r>
      <w:r w:rsidRPr="000307EF">
        <w:rPr>
          <w:rFonts w:ascii="Cambria Math" w:eastAsia="Arial" w:hAnsi="Cambria Math" w:cs="Cambria Math"/>
        </w:rPr>
        <w:t>‑</w:t>
      </w:r>
      <w:r w:rsidRPr="000307EF">
        <w:rPr>
          <w:rFonts w:ascii="Arial" w:eastAsia="Arial" w:hAnsi="Arial" w:cs="Arial"/>
        </w:rPr>
        <w:t>driven personalisation increases as more properties participate, enriching the data ecosystem and improving algorithm accuracy.</w:t>
      </w:r>
    </w:p>
    <w:p w14:paraId="4A4B4339" w14:textId="3D46BB08"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Frontline employee engagement is another critical factor. Studies in hospitality change management (Nickson, 2013) show that staff involvement during technology transitions is the strongest predictor of service quality during the adoption period. When employees feel informed, trained, and supported, guest experience remains stable even as new systems are introduced</w:t>
      </w:r>
      <w:r w:rsidR="00DE742E">
        <w:rPr>
          <w:rFonts w:ascii="Arial" w:eastAsia="Arial" w:hAnsi="Arial" w:cs="Arial"/>
        </w:rPr>
        <w:t xml:space="preserve"> (Gordon, 1996)</w:t>
      </w:r>
      <w:r w:rsidRPr="000307EF">
        <w:rPr>
          <w:rFonts w:ascii="Arial" w:eastAsia="Arial" w:hAnsi="Arial" w:cs="Arial"/>
        </w:rPr>
        <w:t>.</w:t>
      </w:r>
    </w:p>
    <w:p w14:paraId="01A3F7A8" w14:textId="5D81F60D"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Investor and sustainability stakeholder engagement also contributes to business performance. Meliá’s Responsible Business Plan commits the organisation to net</w:t>
      </w:r>
      <w:r w:rsidRPr="000307EF">
        <w:rPr>
          <w:rFonts w:ascii="Cambria Math" w:eastAsia="Arial" w:hAnsi="Cambria Math" w:cs="Cambria Math"/>
        </w:rPr>
        <w:t>‑</w:t>
      </w:r>
      <w:r w:rsidRPr="000307EF">
        <w:rPr>
          <w:rFonts w:ascii="Arial" w:eastAsia="Arial" w:hAnsi="Arial" w:cs="Arial"/>
        </w:rPr>
        <w:t xml:space="preserve">zero operations by 2050, and </w:t>
      </w:r>
      <w:proofErr w:type="spellStart"/>
      <w:r w:rsidRPr="000307EF">
        <w:rPr>
          <w:rFonts w:ascii="Arial" w:eastAsia="Arial" w:hAnsi="Arial" w:cs="Arial"/>
        </w:rPr>
        <w:t>StaySmart</w:t>
      </w:r>
      <w:proofErr w:type="spellEnd"/>
      <w:r w:rsidRPr="000307EF">
        <w:rPr>
          <w:rFonts w:ascii="Arial" w:eastAsia="Arial" w:hAnsi="Arial" w:cs="Arial"/>
        </w:rPr>
        <w:t>+ supports this by reducing environmental impact through more sustainable amenities. As institutional investors increasingly apply environmental, social, and governance screening to hospitality portfolios (MSCI, 2023), transparent and inclusive sustainability governance can strengthen investor confidence, reduce financing costs, and improve valuation multiples.</w:t>
      </w:r>
    </w:p>
    <w:p w14:paraId="0A609285" w14:textId="77777777" w:rsidR="000307EF" w:rsidRPr="00DE742E" w:rsidRDefault="000307EF" w:rsidP="000307EF">
      <w:pPr>
        <w:spacing w:before="80" w:line="360" w:lineRule="auto"/>
        <w:jc w:val="both"/>
        <w:rPr>
          <w:rFonts w:ascii="Arial" w:eastAsia="Arial" w:hAnsi="Arial" w:cs="Arial"/>
          <w:sz w:val="28"/>
          <w:szCs w:val="28"/>
        </w:rPr>
      </w:pPr>
      <w:r w:rsidRPr="00DE742E">
        <w:rPr>
          <w:rFonts w:ascii="Arial" w:eastAsia="Arial" w:hAnsi="Arial" w:cs="Arial"/>
          <w:sz w:val="28"/>
          <w:szCs w:val="28"/>
        </w:rPr>
        <w:t>7.2 Ethical Considerations</w:t>
      </w:r>
    </w:p>
    <w:p w14:paraId="35E1AB6B" w14:textId="5AB0CB57" w:rsidR="000307EF" w:rsidRDefault="000307EF" w:rsidP="000307EF">
      <w:pPr>
        <w:spacing w:before="80" w:line="360" w:lineRule="auto"/>
        <w:jc w:val="both"/>
        <w:rPr>
          <w:rFonts w:ascii="Arial" w:eastAsia="Arial" w:hAnsi="Arial" w:cs="Arial"/>
        </w:rPr>
      </w:pPr>
      <w:r w:rsidRPr="000307EF">
        <w:rPr>
          <w:rFonts w:ascii="Arial" w:eastAsia="Arial" w:hAnsi="Arial" w:cs="Arial"/>
        </w:rPr>
        <w:t>Introducing AI</w:t>
      </w:r>
      <w:r w:rsidRPr="000307EF">
        <w:rPr>
          <w:rFonts w:ascii="Cambria Math" w:eastAsia="Arial" w:hAnsi="Cambria Math" w:cs="Cambria Math"/>
        </w:rPr>
        <w:t>‑</w:t>
      </w:r>
      <w:r w:rsidRPr="000307EF">
        <w:rPr>
          <w:rFonts w:ascii="Arial" w:eastAsia="Arial" w:hAnsi="Arial" w:cs="Arial"/>
        </w:rPr>
        <w:t xml:space="preserve">driven services raises important ethical questions that extend beyond regulatory compliance. The </w:t>
      </w:r>
      <w:proofErr w:type="spellStart"/>
      <w:r w:rsidRPr="000307EF">
        <w:rPr>
          <w:rFonts w:ascii="Arial" w:eastAsia="Arial" w:hAnsi="Arial" w:cs="Arial"/>
        </w:rPr>
        <w:t>StaySmart</w:t>
      </w:r>
      <w:proofErr w:type="spellEnd"/>
      <w:r w:rsidRPr="000307EF">
        <w:rPr>
          <w:rFonts w:ascii="Arial" w:eastAsia="Arial" w:hAnsi="Arial" w:cs="Arial"/>
        </w:rPr>
        <w:t>+ concierge system relies on continuous collection of behavioural, preference, and location data. Under Article 22 of the General Data Protection Regulation, guests have the right not to be subject to decisions based solely on automated processing that produce significant effects</w:t>
      </w:r>
      <w:r w:rsidR="0032476C">
        <w:rPr>
          <w:rFonts w:ascii="Arial" w:eastAsia="Arial" w:hAnsi="Arial" w:cs="Arial"/>
        </w:rPr>
        <w:t xml:space="preserve">, </w:t>
      </w:r>
      <w:r w:rsidRPr="000307EF">
        <w:rPr>
          <w:rFonts w:ascii="Arial" w:eastAsia="Arial" w:hAnsi="Arial" w:cs="Arial"/>
        </w:rPr>
        <w:t>directly relevant to AI</w:t>
      </w:r>
      <w:r w:rsidRPr="000307EF">
        <w:rPr>
          <w:rFonts w:ascii="Cambria Math" w:eastAsia="Arial" w:hAnsi="Cambria Math" w:cs="Cambria Math"/>
        </w:rPr>
        <w:t>‑</w:t>
      </w:r>
      <w:r w:rsidRPr="000307EF">
        <w:rPr>
          <w:rFonts w:ascii="Arial" w:eastAsia="Arial" w:hAnsi="Arial" w:cs="Arial"/>
        </w:rPr>
        <w:t>based pricing, upgrade allocation, and personalised recommendations</w:t>
      </w:r>
      <w:r w:rsidR="0032476C">
        <w:rPr>
          <w:rFonts w:ascii="Arial" w:eastAsia="Arial" w:hAnsi="Arial" w:cs="Arial"/>
        </w:rPr>
        <w:t xml:space="preserve"> (GDPR, 2018)</w:t>
      </w:r>
      <w:r w:rsidRPr="000307EF">
        <w:rPr>
          <w:rFonts w:ascii="Arial" w:eastAsia="Arial" w:hAnsi="Arial" w:cs="Arial"/>
        </w:rPr>
        <w:t>.</w:t>
      </w:r>
    </w:p>
    <w:p w14:paraId="2D7A0891" w14:textId="77777777"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 xml:space="preserve">There is also the issue of algorithmic fairness. If the AI system is trained on historical service patterns that favour certain demographic groups, it may unintentionally reinforce inequalities. </w:t>
      </w:r>
      <w:proofErr w:type="spellStart"/>
      <w:r w:rsidRPr="000307EF">
        <w:rPr>
          <w:rFonts w:ascii="Arial" w:eastAsia="Arial" w:hAnsi="Arial" w:cs="Arial"/>
        </w:rPr>
        <w:t>Floridi</w:t>
      </w:r>
      <w:proofErr w:type="spellEnd"/>
      <w:r w:rsidRPr="000307EF">
        <w:rPr>
          <w:rFonts w:ascii="Arial" w:eastAsia="Arial" w:hAnsi="Arial" w:cs="Arial"/>
        </w:rPr>
        <w:t xml:space="preserve"> et al. (2018) argue that fairness, accountability, and transparency must be embedded from the earliest stages of AI design. This requires regular bias audits and clear reporting to the Cross</w:t>
      </w:r>
      <w:r w:rsidRPr="000307EF">
        <w:rPr>
          <w:rFonts w:ascii="Cambria Math" w:eastAsia="Arial" w:hAnsi="Cambria Math" w:cs="Cambria Math"/>
        </w:rPr>
        <w:t>‑</w:t>
      </w:r>
      <w:r w:rsidRPr="000307EF">
        <w:rPr>
          <w:rFonts w:ascii="Arial" w:eastAsia="Arial" w:hAnsi="Arial" w:cs="Arial"/>
        </w:rPr>
        <w:t>Functional Steering Committee.</w:t>
      </w:r>
    </w:p>
    <w:p w14:paraId="3DA778FE" w14:textId="77777777"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Ethical considerations also apply to employees. If AI tools monitor staff</w:t>
      </w:r>
      <w:r w:rsidRPr="000307EF">
        <w:rPr>
          <w:rFonts w:ascii="Cambria Math" w:eastAsia="Arial" w:hAnsi="Cambria Math" w:cs="Cambria Math"/>
        </w:rPr>
        <w:t>‑</w:t>
      </w:r>
      <w:r w:rsidRPr="000307EF">
        <w:rPr>
          <w:rFonts w:ascii="Arial" w:eastAsia="Arial" w:hAnsi="Arial" w:cs="Arial"/>
        </w:rPr>
        <w:t>guest interactions for quality management, employees must be fully informed about what data is collected and how it will be used. In jurisdictions such as Spain, this must be discussed with works councils or trade unions, as digital monitoring intersects with workers’ rights under the Workers’ Statute.</w:t>
      </w:r>
    </w:p>
    <w:p w14:paraId="5CD98BB4" w14:textId="77777777" w:rsidR="000307EF" w:rsidRPr="000307EF" w:rsidRDefault="000307EF" w:rsidP="000307EF">
      <w:pPr>
        <w:spacing w:before="80" w:line="360" w:lineRule="auto"/>
        <w:jc w:val="both"/>
        <w:rPr>
          <w:rFonts w:ascii="Arial" w:eastAsia="Arial" w:hAnsi="Arial" w:cs="Arial"/>
        </w:rPr>
      </w:pPr>
    </w:p>
    <w:p w14:paraId="20D153A8" w14:textId="77777777" w:rsidR="000307EF" w:rsidRPr="00192569" w:rsidRDefault="000307EF" w:rsidP="000307EF">
      <w:pPr>
        <w:spacing w:before="80" w:line="360" w:lineRule="auto"/>
        <w:jc w:val="both"/>
        <w:rPr>
          <w:rFonts w:ascii="Arial" w:eastAsia="Arial" w:hAnsi="Arial" w:cs="Arial"/>
          <w:sz w:val="28"/>
          <w:szCs w:val="28"/>
        </w:rPr>
      </w:pPr>
      <w:r w:rsidRPr="00192569">
        <w:rPr>
          <w:rFonts w:ascii="Arial" w:eastAsia="Arial" w:hAnsi="Arial" w:cs="Arial"/>
          <w:sz w:val="28"/>
          <w:szCs w:val="28"/>
        </w:rPr>
        <w:t>7.3 Recommendations for Future Stakeholder Engagement</w:t>
      </w:r>
    </w:p>
    <w:p w14:paraId="34E7E73A" w14:textId="39754594" w:rsidR="00192569" w:rsidRDefault="000307EF" w:rsidP="000307EF">
      <w:pPr>
        <w:spacing w:before="80" w:line="360" w:lineRule="auto"/>
        <w:jc w:val="both"/>
        <w:rPr>
          <w:rFonts w:ascii="Arial" w:eastAsia="Arial" w:hAnsi="Arial" w:cs="Arial"/>
        </w:rPr>
      </w:pPr>
      <w:r w:rsidRPr="000307EF">
        <w:rPr>
          <w:rFonts w:ascii="Arial" w:eastAsia="Arial" w:hAnsi="Arial" w:cs="Arial"/>
        </w:rPr>
        <w:t>Institutionalise stakeholder engagement governance</w:t>
      </w:r>
      <w:r w:rsidR="00192569">
        <w:rPr>
          <w:rFonts w:ascii="Arial" w:eastAsia="Arial" w:hAnsi="Arial" w:cs="Arial"/>
        </w:rPr>
        <w:t xml:space="preserve"> </w:t>
      </w:r>
    </w:p>
    <w:p w14:paraId="198310A7" w14:textId="2DB5DCE4"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 xml:space="preserve">Create a permanent Stakeholder Engagement Office within Meliá’s project management function to provide tools, standards, and oversight for future technology and service rollouts, embedding the learning from </w:t>
      </w:r>
      <w:proofErr w:type="spellStart"/>
      <w:r w:rsidRPr="000307EF">
        <w:rPr>
          <w:rFonts w:ascii="Arial" w:eastAsia="Arial" w:hAnsi="Arial" w:cs="Arial"/>
        </w:rPr>
        <w:t>StaySmart</w:t>
      </w:r>
      <w:proofErr w:type="spellEnd"/>
      <w:r w:rsidRPr="000307EF">
        <w:rPr>
          <w:rFonts w:ascii="Arial" w:eastAsia="Arial" w:hAnsi="Arial" w:cs="Arial"/>
        </w:rPr>
        <w:t>+ (Eskerod and Jepsen, 2013).</w:t>
      </w:r>
    </w:p>
    <w:p w14:paraId="3C8BA3EA" w14:textId="62FB0340" w:rsidR="00192569" w:rsidRDefault="000307EF" w:rsidP="000307EF">
      <w:pPr>
        <w:spacing w:before="80" w:line="360" w:lineRule="auto"/>
        <w:jc w:val="both"/>
        <w:rPr>
          <w:rFonts w:ascii="Arial" w:eastAsia="Arial" w:hAnsi="Arial" w:cs="Arial"/>
        </w:rPr>
      </w:pPr>
      <w:r w:rsidRPr="000307EF">
        <w:rPr>
          <w:rFonts w:ascii="Arial" w:eastAsia="Arial" w:hAnsi="Arial" w:cs="Arial"/>
        </w:rPr>
        <w:t>Adopt dynamic stakeholder mapping</w:t>
      </w:r>
      <w:r w:rsidR="00192569">
        <w:rPr>
          <w:rFonts w:ascii="Arial" w:eastAsia="Arial" w:hAnsi="Arial" w:cs="Arial"/>
        </w:rPr>
        <w:t xml:space="preserve"> </w:t>
      </w:r>
    </w:p>
    <w:p w14:paraId="5422881F" w14:textId="3F9E7217"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Reassess stakeholder power and interest quarterly, recognising that influence shifts as AI systems mature and commercial outcomes become clearer (Mitchell et al., 1997).</w:t>
      </w:r>
    </w:p>
    <w:p w14:paraId="533A96CF" w14:textId="0C666ABD" w:rsidR="00192569" w:rsidRDefault="000307EF" w:rsidP="000307EF">
      <w:pPr>
        <w:spacing w:before="80" w:line="360" w:lineRule="auto"/>
        <w:jc w:val="both"/>
        <w:rPr>
          <w:rFonts w:ascii="Arial" w:eastAsia="Arial" w:hAnsi="Arial" w:cs="Arial"/>
        </w:rPr>
      </w:pPr>
      <w:r w:rsidRPr="000307EF">
        <w:rPr>
          <w:rFonts w:ascii="Arial" w:eastAsia="Arial" w:hAnsi="Arial" w:cs="Arial"/>
        </w:rPr>
        <w:t>Invest in cultural intelligence development</w:t>
      </w:r>
    </w:p>
    <w:p w14:paraId="4BCCE29B" w14:textId="541C0D64"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 xml:space="preserve">As </w:t>
      </w:r>
      <w:proofErr w:type="spellStart"/>
      <w:r w:rsidRPr="000307EF">
        <w:rPr>
          <w:rFonts w:ascii="Arial" w:eastAsia="Arial" w:hAnsi="Arial" w:cs="Arial"/>
        </w:rPr>
        <w:t>StaySmart</w:t>
      </w:r>
      <w:proofErr w:type="spellEnd"/>
      <w:r w:rsidRPr="000307EF">
        <w:rPr>
          <w:rFonts w:ascii="Arial" w:eastAsia="Arial" w:hAnsi="Arial" w:cs="Arial"/>
        </w:rPr>
        <w:t>+ expands into Asia</w:t>
      </w:r>
      <w:r w:rsidRPr="000307EF">
        <w:rPr>
          <w:rFonts w:ascii="Cambria Math" w:eastAsia="Arial" w:hAnsi="Cambria Math" w:cs="Cambria Math"/>
        </w:rPr>
        <w:t>‑</w:t>
      </w:r>
      <w:r w:rsidRPr="000307EF">
        <w:rPr>
          <w:rFonts w:ascii="Arial" w:eastAsia="Arial" w:hAnsi="Arial" w:cs="Arial"/>
        </w:rPr>
        <w:t>Pacific and Middle Eastern markets, strengthen the cultural competence of project and regional teams. Drawing on frameworks from Hofstede (2001) and Trompenaars and Hampden</w:t>
      </w:r>
      <w:r w:rsidRPr="000307EF">
        <w:rPr>
          <w:rFonts w:ascii="Cambria Math" w:eastAsia="Arial" w:hAnsi="Cambria Math" w:cs="Cambria Math"/>
        </w:rPr>
        <w:t>‑</w:t>
      </w:r>
      <w:r w:rsidRPr="000307EF">
        <w:rPr>
          <w:rFonts w:ascii="Arial" w:eastAsia="Arial" w:hAnsi="Arial" w:cs="Arial"/>
        </w:rPr>
        <w:t>Turner (1997) will help avoid culturally inappropriate engagement approaches.</w:t>
      </w:r>
    </w:p>
    <w:p w14:paraId="02A4E57D" w14:textId="0A38A096" w:rsidR="00192569" w:rsidRDefault="000307EF" w:rsidP="000307EF">
      <w:pPr>
        <w:spacing w:before="80" w:line="360" w:lineRule="auto"/>
        <w:jc w:val="both"/>
        <w:rPr>
          <w:rFonts w:ascii="Arial" w:eastAsia="Arial" w:hAnsi="Arial" w:cs="Arial"/>
        </w:rPr>
      </w:pPr>
      <w:r w:rsidRPr="000307EF">
        <w:rPr>
          <w:rFonts w:ascii="Arial" w:eastAsia="Arial" w:hAnsi="Arial" w:cs="Arial"/>
        </w:rPr>
        <w:t>Embed ethical AI governance from the outset</w:t>
      </w:r>
      <w:r w:rsidR="00192569">
        <w:rPr>
          <w:rFonts w:ascii="Arial" w:eastAsia="Arial" w:hAnsi="Arial" w:cs="Arial"/>
        </w:rPr>
        <w:t xml:space="preserve"> </w:t>
      </w:r>
    </w:p>
    <w:p w14:paraId="0E1E29E1" w14:textId="09B8691B"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Establish an AI Ethics Advisory Board including independent ethicists, a guest representative, a data protection specialist, and an employee delegate to oversee fairness and transparency as the system evolves.</w:t>
      </w:r>
    </w:p>
    <w:p w14:paraId="49B34D71" w14:textId="0CF7670A" w:rsidR="00192569" w:rsidRDefault="000307EF" w:rsidP="000307EF">
      <w:pPr>
        <w:spacing w:before="80" w:line="360" w:lineRule="auto"/>
        <w:jc w:val="both"/>
        <w:rPr>
          <w:rFonts w:ascii="Arial" w:eastAsia="Arial" w:hAnsi="Arial" w:cs="Arial"/>
        </w:rPr>
      </w:pPr>
      <w:r w:rsidRPr="000307EF">
        <w:rPr>
          <w:rFonts w:ascii="Arial" w:eastAsia="Arial" w:hAnsi="Arial" w:cs="Arial"/>
        </w:rPr>
        <w:t>Measure engagement quality rather than activity</w:t>
      </w:r>
      <w:r w:rsidR="00192569">
        <w:rPr>
          <w:rFonts w:ascii="Arial" w:eastAsia="Arial" w:hAnsi="Arial" w:cs="Arial"/>
        </w:rPr>
        <w:t xml:space="preserve"> </w:t>
      </w:r>
    </w:p>
    <w:p w14:paraId="363960D9" w14:textId="0B049420"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Shift from counting meetings and emails to evaluating outcomes such as stakeholder satisfaction, conflict resolution effectiveness, training completion and competency, and guest consent rates for personalisation. Bourne (2016) argues that this reframes engagement as a driver of performance rather than a compliance task.</w:t>
      </w:r>
    </w:p>
    <w:p w14:paraId="416818F9" w14:textId="77777777" w:rsidR="00192569" w:rsidRDefault="000307EF" w:rsidP="000307EF">
      <w:pPr>
        <w:spacing w:before="80" w:line="360" w:lineRule="auto"/>
        <w:jc w:val="both"/>
        <w:rPr>
          <w:rFonts w:ascii="Arial" w:eastAsia="Arial" w:hAnsi="Arial" w:cs="Arial"/>
        </w:rPr>
      </w:pPr>
      <w:r w:rsidRPr="000307EF">
        <w:rPr>
          <w:rFonts w:ascii="Arial" w:eastAsia="Arial" w:hAnsi="Arial" w:cs="Arial"/>
        </w:rPr>
        <w:t>Implement a continuous improvement framework post</w:t>
      </w:r>
      <w:r w:rsidRPr="000307EF">
        <w:rPr>
          <w:rFonts w:ascii="Cambria Math" w:eastAsia="Arial" w:hAnsi="Cambria Math" w:cs="Cambria Math"/>
        </w:rPr>
        <w:t>‑</w:t>
      </w:r>
      <w:r w:rsidRPr="000307EF">
        <w:rPr>
          <w:rFonts w:ascii="Arial" w:eastAsia="Arial" w:hAnsi="Arial" w:cs="Arial"/>
        </w:rPr>
        <w:t>launch</w:t>
      </w:r>
    </w:p>
    <w:p w14:paraId="617960CE" w14:textId="5192EF69" w:rsidR="008A4BE6" w:rsidRDefault="000307EF" w:rsidP="000307EF">
      <w:pPr>
        <w:spacing w:before="80" w:line="360" w:lineRule="auto"/>
        <w:jc w:val="both"/>
        <w:rPr>
          <w:rFonts w:ascii="Arial" w:eastAsia="Arial" w:hAnsi="Arial" w:cs="Arial"/>
        </w:rPr>
      </w:pPr>
      <w:r w:rsidRPr="000307EF">
        <w:rPr>
          <w:rFonts w:ascii="Arial" w:eastAsia="Arial" w:hAnsi="Arial" w:cs="Arial"/>
        </w:rPr>
        <w:t>Conduct a structured 90</w:t>
      </w:r>
      <w:r w:rsidRPr="000307EF">
        <w:rPr>
          <w:rFonts w:ascii="Cambria Math" w:eastAsia="Arial" w:hAnsi="Cambria Math" w:cs="Cambria Math"/>
        </w:rPr>
        <w:t>‑</w:t>
      </w:r>
      <w:r w:rsidRPr="000307EF">
        <w:rPr>
          <w:rFonts w:ascii="Arial" w:eastAsia="Arial" w:hAnsi="Arial" w:cs="Arial"/>
        </w:rPr>
        <w:t>day review after go</w:t>
      </w:r>
      <w:r w:rsidRPr="000307EF">
        <w:rPr>
          <w:rFonts w:ascii="Cambria Math" w:eastAsia="Arial" w:hAnsi="Cambria Math" w:cs="Cambria Math"/>
        </w:rPr>
        <w:t>‑</w:t>
      </w:r>
      <w:r w:rsidRPr="000307EF">
        <w:rPr>
          <w:rFonts w:ascii="Arial" w:eastAsia="Arial" w:hAnsi="Arial" w:cs="Arial"/>
        </w:rPr>
        <w:t xml:space="preserve">live, gathering insights from all major stakeholder groups to inform the development of </w:t>
      </w:r>
      <w:proofErr w:type="spellStart"/>
      <w:r w:rsidRPr="000307EF">
        <w:rPr>
          <w:rFonts w:ascii="Arial" w:eastAsia="Arial" w:hAnsi="Arial" w:cs="Arial"/>
        </w:rPr>
        <w:t>StaySmart</w:t>
      </w:r>
      <w:proofErr w:type="spellEnd"/>
      <w:r w:rsidRPr="000307EF">
        <w:rPr>
          <w:rFonts w:ascii="Arial" w:eastAsia="Arial" w:hAnsi="Arial" w:cs="Arial"/>
        </w:rPr>
        <w:t>+ Version 1.1 and shape the next engagement cycle.</w:t>
      </w:r>
    </w:p>
    <w:p w14:paraId="350E29EC" w14:textId="77777777" w:rsidR="00192569" w:rsidRDefault="00192569" w:rsidP="000307EF">
      <w:pPr>
        <w:spacing w:before="80" w:line="360" w:lineRule="auto"/>
        <w:jc w:val="both"/>
        <w:rPr>
          <w:rFonts w:ascii="Arial" w:eastAsia="Arial" w:hAnsi="Arial" w:cs="Arial"/>
        </w:rPr>
      </w:pPr>
    </w:p>
    <w:p w14:paraId="56A44B8A" w14:textId="77777777" w:rsidR="00192569" w:rsidRDefault="00192569" w:rsidP="000307EF">
      <w:pPr>
        <w:spacing w:before="80" w:line="360" w:lineRule="auto"/>
        <w:jc w:val="both"/>
        <w:rPr>
          <w:rFonts w:ascii="Arial" w:eastAsia="Arial" w:hAnsi="Arial" w:cs="Arial"/>
        </w:rPr>
      </w:pPr>
    </w:p>
    <w:p w14:paraId="39D8F855" w14:textId="77777777" w:rsidR="00192569" w:rsidRDefault="00192569" w:rsidP="000307EF">
      <w:pPr>
        <w:spacing w:before="80" w:line="360" w:lineRule="auto"/>
        <w:jc w:val="both"/>
        <w:rPr>
          <w:rFonts w:ascii="Arial" w:eastAsia="Arial" w:hAnsi="Arial" w:cs="Arial"/>
        </w:rPr>
      </w:pPr>
    </w:p>
    <w:p w14:paraId="62863421" w14:textId="77777777" w:rsidR="000307EF" w:rsidRPr="00192569" w:rsidRDefault="000307EF" w:rsidP="000307EF">
      <w:pPr>
        <w:spacing w:before="80" w:line="360" w:lineRule="auto"/>
        <w:jc w:val="both"/>
        <w:rPr>
          <w:rFonts w:ascii="Arial" w:eastAsia="Arial" w:hAnsi="Arial" w:cs="Arial"/>
          <w:sz w:val="32"/>
          <w:szCs w:val="32"/>
        </w:rPr>
      </w:pPr>
      <w:r w:rsidRPr="00192569">
        <w:rPr>
          <w:rFonts w:ascii="Arial" w:eastAsia="Arial" w:hAnsi="Arial" w:cs="Arial"/>
          <w:sz w:val="32"/>
          <w:szCs w:val="32"/>
        </w:rPr>
        <w:lastRenderedPageBreak/>
        <w:t>8. Conclusion</w:t>
      </w:r>
    </w:p>
    <w:p w14:paraId="518ABC31" w14:textId="77777777"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 xml:space="preserve">The </w:t>
      </w:r>
      <w:proofErr w:type="spellStart"/>
      <w:r w:rsidRPr="000307EF">
        <w:rPr>
          <w:rFonts w:ascii="Arial" w:eastAsia="Arial" w:hAnsi="Arial" w:cs="Arial"/>
        </w:rPr>
        <w:t>StaySmart</w:t>
      </w:r>
      <w:proofErr w:type="spellEnd"/>
      <w:r w:rsidRPr="000307EF">
        <w:rPr>
          <w:rFonts w:ascii="Arial" w:eastAsia="Arial" w:hAnsi="Arial" w:cs="Arial"/>
        </w:rPr>
        <w:t>+ initiative marks a pivotal step in Meliá Hotels International’s ambition to lead the integration of digital innovation and sustainable hospitality. As the analysis has shown, the success of this multi</w:t>
      </w:r>
      <w:r w:rsidRPr="000307EF">
        <w:rPr>
          <w:rFonts w:ascii="Cambria Math" w:eastAsia="Arial" w:hAnsi="Cambria Math" w:cs="Cambria Math"/>
        </w:rPr>
        <w:t>‑</w:t>
      </w:r>
      <w:r w:rsidRPr="000307EF">
        <w:rPr>
          <w:rFonts w:ascii="Arial" w:eastAsia="Arial" w:hAnsi="Arial" w:cs="Arial"/>
        </w:rPr>
        <w:t>market service launch depends not only on the sophistication of its technology or the strength of its sustainability proposition, but on the depth and quality of stakeholder engagement that supports every stage of its development.</w:t>
      </w:r>
    </w:p>
    <w:p w14:paraId="52627459" w14:textId="1A88F141" w:rsidR="000307EF" w:rsidRPr="000307EF" w:rsidRDefault="00192569" w:rsidP="000307EF">
      <w:pPr>
        <w:spacing w:before="80" w:line="360" w:lineRule="auto"/>
        <w:jc w:val="both"/>
        <w:rPr>
          <w:rFonts w:ascii="Arial" w:eastAsia="Arial" w:hAnsi="Arial" w:cs="Arial"/>
        </w:rPr>
      </w:pPr>
      <w:r>
        <w:rPr>
          <w:rFonts w:ascii="Arial" w:eastAsia="Arial" w:hAnsi="Arial" w:cs="Arial"/>
        </w:rPr>
        <w:t>Following</w:t>
      </w:r>
      <w:r w:rsidR="000307EF" w:rsidRPr="000307EF">
        <w:rPr>
          <w:rFonts w:ascii="Arial" w:eastAsia="Arial" w:hAnsi="Arial" w:cs="Arial"/>
        </w:rPr>
        <w:t xml:space="preserve"> Freeman’s (1984) stakeholder theory, Mendelow’s (1991) Power</w:t>
      </w:r>
      <w:r>
        <w:rPr>
          <w:rFonts w:ascii="Arial" w:eastAsia="Arial" w:hAnsi="Arial" w:cs="Arial"/>
        </w:rPr>
        <w:t>-</w:t>
      </w:r>
      <w:r w:rsidR="000307EF" w:rsidRPr="000307EF">
        <w:rPr>
          <w:rFonts w:ascii="Arial" w:eastAsia="Arial" w:hAnsi="Arial" w:cs="Arial"/>
        </w:rPr>
        <w:t>Interest Matrix, the RACI framework, and the 4C’s model of Communication, Consultation, Collaboration, and Commitment, this report has mapped the diverse network of internal and external stakeholders involved in</w:t>
      </w:r>
      <w:r>
        <w:rPr>
          <w:rFonts w:ascii="Arial" w:eastAsia="Arial" w:hAnsi="Arial" w:cs="Arial"/>
        </w:rPr>
        <w:t xml:space="preserve"> launching</w:t>
      </w:r>
      <w:r w:rsidR="000307EF" w:rsidRPr="000307EF">
        <w:rPr>
          <w:rFonts w:ascii="Arial" w:eastAsia="Arial" w:hAnsi="Arial" w:cs="Arial"/>
        </w:rPr>
        <w:t xml:space="preserve"> </w:t>
      </w:r>
      <w:proofErr w:type="spellStart"/>
      <w:r w:rsidR="000307EF" w:rsidRPr="000307EF">
        <w:rPr>
          <w:rFonts w:ascii="Arial" w:eastAsia="Arial" w:hAnsi="Arial" w:cs="Arial"/>
        </w:rPr>
        <w:t>StaySmart</w:t>
      </w:r>
      <w:proofErr w:type="spellEnd"/>
      <w:r w:rsidR="000307EF" w:rsidRPr="000307EF">
        <w:rPr>
          <w:rFonts w:ascii="Arial" w:eastAsia="Arial" w:hAnsi="Arial" w:cs="Arial"/>
        </w:rPr>
        <w:t>+. These range from the Executive Leadership Team and technology vendors to frontline staff, loyalty members, franchise partners, and regulatory authorities. The report has also outlined differentiated and culturally sensitive engagement strategies tailored to the needs, expectations, and influence of each group.</w:t>
      </w:r>
    </w:p>
    <w:p w14:paraId="26165E4A" w14:textId="5A08FAA4" w:rsidR="000307EF" w:rsidRPr="000307EF" w:rsidRDefault="000307EF" w:rsidP="000307EF">
      <w:pPr>
        <w:spacing w:before="80" w:line="360" w:lineRule="auto"/>
        <w:jc w:val="both"/>
        <w:rPr>
          <w:rFonts w:ascii="Arial" w:eastAsia="Arial" w:hAnsi="Arial" w:cs="Arial"/>
        </w:rPr>
      </w:pPr>
      <w:r w:rsidRPr="000307EF">
        <w:rPr>
          <w:rFonts w:ascii="Arial" w:eastAsia="Arial" w:hAnsi="Arial" w:cs="Arial"/>
        </w:rPr>
        <w:t xml:space="preserve">The evaluation demonstrates that strong stakeholder engagement delivers tangible business benefits, including higher guest loyalty, more consistent service delivery, enhanced sustainability performance, and reduced implementation risk. </w:t>
      </w:r>
      <w:r w:rsidR="00192569" w:rsidRPr="000307EF">
        <w:rPr>
          <w:rFonts w:ascii="Arial" w:eastAsia="Arial" w:hAnsi="Arial" w:cs="Arial"/>
        </w:rPr>
        <w:t>Simultaneously</w:t>
      </w:r>
      <w:r w:rsidRPr="000307EF">
        <w:rPr>
          <w:rFonts w:ascii="Arial" w:eastAsia="Arial" w:hAnsi="Arial" w:cs="Arial"/>
        </w:rPr>
        <w:t>, it highlights the ethical responsibilities that accompany AI</w:t>
      </w:r>
      <w:r w:rsidRPr="000307EF">
        <w:rPr>
          <w:rFonts w:ascii="Cambria Math" w:eastAsia="Arial" w:hAnsi="Cambria Math" w:cs="Cambria Math"/>
        </w:rPr>
        <w:t>‑</w:t>
      </w:r>
      <w:r w:rsidRPr="000307EF">
        <w:rPr>
          <w:rFonts w:ascii="Arial" w:eastAsia="Arial" w:hAnsi="Arial" w:cs="Arial"/>
        </w:rPr>
        <w:t>enabled services</w:t>
      </w:r>
      <w:r w:rsidR="00192569">
        <w:rPr>
          <w:rFonts w:ascii="Arial" w:eastAsia="Arial" w:hAnsi="Arial" w:cs="Arial"/>
        </w:rPr>
        <w:t xml:space="preserve">, </w:t>
      </w:r>
      <w:r w:rsidRPr="000307EF">
        <w:rPr>
          <w:rFonts w:ascii="Arial" w:eastAsia="Arial" w:hAnsi="Arial" w:cs="Arial"/>
        </w:rPr>
        <w:t>particularly around transparency, data privacy, algorithmic fairness, and employee rights</w:t>
      </w:r>
      <w:r w:rsidR="00192569">
        <w:rPr>
          <w:rFonts w:ascii="Arial" w:eastAsia="Arial" w:hAnsi="Arial" w:cs="Arial"/>
        </w:rPr>
        <w:t xml:space="preserve">, </w:t>
      </w:r>
      <w:r w:rsidRPr="000307EF">
        <w:rPr>
          <w:rFonts w:ascii="Arial" w:eastAsia="Arial" w:hAnsi="Arial" w:cs="Arial"/>
        </w:rPr>
        <w:t>which must be addressed proactively to maintain trust and regulatory alignment.</w:t>
      </w:r>
    </w:p>
    <w:p w14:paraId="1075C602" w14:textId="7D6E1EB6" w:rsidR="000307EF" w:rsidRDefault="000307EF" w:rsidP="000307EF">
      <w:pPr>
        <w:spacing w:before="80" w:line="360" w:lineRule="auto"/>
        <w:jc w:val="both"/>
        <w:rPr>
          <w:rFonts w:ascii="Arial" w:eastAsia="Arial" w:hAnsi="Arial" w:cs="Arial"/>
        </w:rPr>
      </w:pPr>
      <w:r w:rsidRPr="000307EF">
        <w:rPr>
          <w:rFonts w:ascii="Arial" w:eastAsia="Arial" w:hAnsi="Arial" w:cs="Arial"/>
        </w:rPr>
        <w:t>The recommendations presented</w:t>
      </w:r>
      <w:r w:rsidR="00192569">
        <w:rPr>
          <w:rFonts w:ascii="Arial" w:eastAsia="Arial" w:hAnsi="Arial" w:cs="Arial"/>
        </w:rPr>
        <w:t xml:space="preserve">, </w:t>
      </w:r>
      <w:r w:rsidRPr="000307EF">
        <w:rPr>
          <w:rFonts w:ascii="Arial" w:eastAsia="Arial" w:hAnsi="Arial" w:cs="Arial"/>
        </w:rPr>
        <w:t>such as establishing formal engagement governance, adopting dynamic stakeholder mapping,</w:t>
      </w:r>
      <w:r w:rsidR="007E7E21">
        <w:rPr>
          <w:rFonts w:ascii="Arial" w:eastAsia="Arial" w:hAnsi="Arial" w:cs="Arial"/>
        </w:rPr>
        <w:t xml:space="preserve"> investing in cultural intelligence development,</w:t>
      </w:r>
      <w:r w:rsidRPr="000307EF">
        <w:rPr>
          <w:rFonts w:ascii="Arial" w:eastAsia="Arial" w:hAnsi="Arial" w:cs="Arial"/>
        </w:rPr>
        <w:t xml:space="preserve"> embedding ethical AI oversight, and shifting towards </w:t>
      </w:r>
      <w:r w:rsidR="007E7E21">
        <w:rPr>
          <w:rFonts w:ascii="Arial" w:eastAsia="Arial" w:hAnsi="Arial" w:cs="Arial"/>
        </w:rPr>
        <w:t>measuring engagement quality</w:t>
      </w:r>
      <w:r w:rsidR="00192569">
        <w:rPr>
          <w:rFonts w:ascii="Arial" w:eastAsia="Arial" w:hAnsi="Arial" w:cs="Arial"/>
        </w:rPr>
        <w:t xml:space="preserve">, </w:t>
      </w:r>
      <w:r w:rsidRPr="000307EF">
        <w:rPr>
          <w:rFonts w:ascii="Arial" w:eastAsia="Arial" w:hAnsi="Arial" w:cs="Arial"/>
        </w:rPr>
        <w:t>offer Meliá a long</w:t>
      </w:r>
      <w:r w:rsidRPr="000307EF">
        <w:rPr>
          <w:rFonts w:ascii="Cambria Math" w:eastAsia="Arial" w:hAnsi="Cambria Math" w:cs="Cambria Math"/>
        </w:rPr>
        <w:t>‑</w:t>
      </w:r>
      <w:r w:rsidRPr="000307EF">
        <w:rPr>
          <w:rFonts w:ascii="Arial" w:eastAsia="Arial" w:hAnsi="Arial" w:cs="Arial"/>
        </w:rPr>
        <w:t>term framework for managing future innovation initiatives. In an increasingly competitive global hospitality sector, the ability to build genuine, productive, and ethically grounded partnerships with diverse stakeholders is not simply good practice; it is a strategic necessity.</w:t>
      </w:r>
    </w:p>
    <w:p w14:paraId="4ADD6B0D" w14:textId="77777777" w:rsidR="000641E8" w:rsidRDefault="000641E8" w:rsidP="000307EF">
      <w:pPr>
        <w:spacing w:before="80" w:line="360" w:lineRule="auto"/>
        <w:jc w:val="both"/>
        <w:rPr>
          <w:rFonts w:ascii="Arial" w:eastAsia="Arial" w:hAnsi="Arial" w:cs="Arial"/>
        </w:rPr>
      </w:pPr>
    </w:p>
    <w:p w14:paraId="36FBA0FA" w14:textId="77777777" w:rsidR="000641E8" w:rsidRDefault="000641E8" w:rsidP="000307EF">
      <w:pPr>
        <w:spacing w:before="80" w:line="360" w:lineRule="auto"/>
        <w:jc w:val="both"/>
        <w:rPr>
          <w:rFonts w:ascii="Arial" w:eastAsia="Arial" w:hAnsi="Arial" w:cs="Arial"/>
        </w:rPr>
      </w:pPr>
    </w:p>
    <w:p w14:paraId="4306CBB3" w14:textId="77777777" w:rsidR="000641E8" w:rsidRDefault="000641E8" w:rsidP="000307EF">
      <w:pPr>
        <w:spacing w:before="80" w:line="360" w:lineRule="auto"/>
        <w:jc w:val="both"/>
        <w:rPr>
          <w:rFonts w:ascii="Arial" w:eastAsia="Arial" w:hAnsi="Arial" w:cs="Arial"/>
        </w:rPr>
      </w:pPr>
    </w:p>
    <w:p w14:paraId="741D8349" w14:textId="77777777" w:rsidR="000641E8" w:rsidRDefault="000641E8" w:rsidP="000307EF">
      <w:pPr>
        <w:spacing w:before="80" w:line="360" w:lineRule="auto"/>
        <w:jc w:val="both"/>
        <w:rPr>
          <w:rFonts w:ascii="Arial" w:eastAsia="Arial" w:hAnsi="Arial" w:cs="Arial"/>
        </w:rPr>
      </w:pPr>
    </w:p>
    <w:p w14:paraId="3007B0DB" w14:textId="77777777" w:rsidR="000641E8" w:rsidRDefault="000641E8" w:rsidP="000307EF">
      <w:pPr>
        <w:spacing w:before="80" w:line="360" w:lineRule="auto"/>
        <w:jc w:val="both"/>
        <w:rPr>
          <w:rFonts w:ascii="Arial" w:eastAsia="Arial" w:hAnsi="Arial" w:cs="Arial"/>
        </w:rPr>
      </w:pPr>
    </w:p>
    <w:p w14:paraId="6A1FBDBB" w14:textId="77777777" w:rsidR="000641E8" w:rsidRDefault="000641E8" w:rsidP="000307EF">
      <w:pPr>
        <w:spacing w:before="80" w:line="360" w:lineRule="auto"/>
        <w:jc w:val="both"/>
        <w:rPr>
          <w:rFonts w:ascii="Arial" w:eastAsia="Arial" w:hAnsi="Arial" w:cs="Arial"/>
        </w:rPr>
      </w:pPr>
    </w:p>
    <w:p w14:paraId="1FD3342B" w14:textId="77777777" w:rsidR="000641E8" w:rsidRDefault="000641E8" w:rsidP="000641E8">
      <w:pPr>
        <w:spacing w:before="80" w:line="360" w:lineRule="auto"/>
        <w:jc w:val="both"/>
        <w:rPr>
          <w:rFonts w:ascii="Arial" w:eastAsia="Arial" w:hAnsi="Arial" w:cs="Arial"/>
        </w:rPr>
      </w:pPr>
      <w:r w:rsidRPr="000641E8">
        <w:rPr>
          <w:rFonts w:ascii="Arial" w:eastAsia="Arial" w:hAnsi="Arial" w:cs="Arial"/>
        </w:rPr>
        <w:lastRenderedPageBreak/>
        <w:t>References</w:t>
      </w:r>
    </w:p>
    <w:p w14:paraId="41E9493D" w14:textId="4CD22741" w:rsidR="00C74013" w:rsidRPr="000641E8" w:rsidRDefault="00000000" w:rsidP="00C74013">
      <w:pPr>
        <w:spacing w:after="0" w:line="256" w:lineRule="auto"/>
        <w:contextualSpacing/>
        <w:jc w:val="both"/>
        <w:rPr>
          <w:rFonts w:ascii="Arial" w:eastAsia="Times New Roman" w:hAnsi="Arial" w:cs="Arial"/>
          <w:kern w:val="0"/>
          <w:lang w:eastAsia="en-GB"/>
          <w14:ligatures w14:val="none"/>
        </w:rPr>
      </w:pPr>
      <w:r w:rsidRPr="007957CA">
        <w:rPr>
          <w:rFonts w:ascii="Arial" w:eastAsia="Calibri" w:hAnsi="Arial" w:cs="Arial"/>
          <w:color w:val="000000"/>
          <w:kern w:val="0"/>
          <w:lang w:eastAsia="en-GB"/>
          <w14:ligatures w14:val="none"/>
        </w:rPr>
        <w:t xml:space="preserve">Aksoy, L, Banda, S., Harmeling, C., </w:t>
      </w:r>
      <w:proofErr w:type="spellStart"/>
      <w:r w:rsidRPr="007957CA">
        <w:rPr>
          <w:rFonts w:ascii="Arial" w:eastAsia="Calibri" w:hAnsi="Arial" w:cs="Arial"/>
          <w:color w:val="000000"/>
          <w:kern w:val="0"/>
          <w:lang w:eastAsia="en-GB"/>
          <w14:ligatures w14:val="none"/>
        </w:rPr>
        <w:t>Keiningham</w:t>
      </w:r>
      <w:proofErr w:type="spellEnd"/>
      <w:r w:rsidRPr="007957CA">
        <w:rPr>
          <w:rFonts w:ascii="Arial" w:eastAsia="Calibri" w:hAnsi="Arial" w:cs="Arial"/>
          <w:color w:val="000000"/>
          <w:kern w:val="0"/>
          <w:lang w:eastAsia="en-GB"/>
          <w14:ligatures w14:val="none"/>
        </w:rPr>
        <w:t xml:space="preserve">, T., L., and </w:t>
      </w:r>
      <w:proofErr w:type="spellStart"/>
      <w:r w:rsidRPr="007957CA">
        <w:rPr>
          <w:rFonts w:ascii="Arial" w:eastAsia="Calibri" w:hAnsi="Arial" w:cs="Arial"/>
          <w:color w:val="000000"/>
          <w:kern w:val="0"/>
          <w:lang w:eastAsia="en-GB"/>
          <w14:ligatures w14:val="none"/>
        </w:rPr>
        <w:t>Pansari</w:t>
      </w:r>
      <w:proofErr w:type="spellEnd"/>
      <w:r w:rsidRPr="007957CA">
        <w:rPr>
          <w:rFonts w:ascii="Arial" w:eastAsia="Calibri" w:hAnsi="Arial" w:cs="Arial"/>
          <w:color w:val="000000"/>
          <w:kern w:val="0"/>
          <w:lang w:eastAsia="en-GB"/>
          <w14:ligatures w14:val="none"/>
        </w:rPr>
        <w:t>, A., (2022). Marketing’s Role in Multi-Stakeholder Engagement, International Journal of Research in Marketing, Vol.39, PP. 445 -461</w:t>
      </w:r>
    </w:p>
    <w:p w14:paraId="08F3E784" w14:textId="77777777" w:rsidR="000641E8" w:rsidRPr="003702A3" w:rsidRDefault="000641E8" w:rsidP="000641E8">
      <w:pPr>
        <w:spacing w:before="80" w:line="360" w:lineRule="auto"/>
        <w:jc w:val="both"/>
        <w:rPr>
          <w:rFonts w:ascii="Arial" w:eastAsia="Arial" w:hAnsi="Arial" w:cs="Arial"/>
        </w:rPr>
      </w:pPr>
      <w:r w:rsidRPr="000641E8">
        <w:rPr>
          <w:rFonts w:ascii="Arial" w:eastAsia="Arial" w:hAnsi="Arial" w:cs="Arial"/>
        </w:rPr>
        <w:t>Arnstein, S.R. (1969) 'A ladder of citizen participation', Journal of the American Institute of Planners, 35(4), pp.216–224.</w:t>
      </w:r>
    </w:p>
    <w:p w14:paraId="20B29680" w14:textId="7FD7006F" w:rsidR="00D27771" w:rsidRPr="000641E8" w:rsidRDefault="00000000" w:rsidP="003702A3">
      <w:pPr>
        <w:spacing w:line="360" w:lineRule="auto"/>
        <w:jc w:val="both"/>
        <w:rPr>
          <w:rFonts w:ascii="Arial" w:hAnsi="Arial" w:cs="Arial"/>
        </w:rPr>
      </w:pPr>
      <w:r w:rsidRPr="007957CA">
        <w:rPr>
          <w:rFonts w:ascii="Arial" w:hAnsi="Arial" w:cs="Arial"/>
        </w:rPr>
        <w:t xml:space="preserve">Baharuddin, H. E. A., Wilkinson, S., </w:t>
      </w:r>
      <w:r w:rsidR="00D27771">
        <w:rPr>
          <w:rFonts w:ascii="Arial" w:hAnsi="Arial" w:cs="Arial"/>
        </w:rPr>
        <w:t>and</w:t>
      </w:r>
      <w:r w:rsidRPr="007957CA">
        <w:rPr>
          <w:rFonts w:ascii="Arial" w:hAnsi="Arial" w:cs="Arial"/>
        </w:rPr>
        <w:t xml:space="preserve"> Costello, S. B. (2013). Evaluating Early Stakeholder Engagement (ESE) as a Process for Innovation. In CIB World Building Congress. Brisbane, Australia. </w:t>
      </w:r>
    </w:p>
    <w:p w14:paraId="100565AF"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 xml:space="preserve">Bourne, L. (2016) Stakeholder Relationship Management: A Maturity Model for Organisational Implementation. 2nd </w:t>
      </w:r>
      <w:proofErr w:type="spellStart"/>
      <w:r w:rsidRPr="000641E8">
        <w:rPr>
          <w:rFonts w:ascii="Arial" w:eastAsia="Arial" w:hAnsi="Arial" w:cs="Arial"/>
        </w:rPr>
        <w:t>edn</w:t>
      </w:r>
      <w:proofErr w:type="spellEnd"/>
      <w:r w:rsidRPr="000641E8">
        <w:rPr>
          <w:rFonts w:ascii="Arial" w:eastAsia="Arial" w:hAnsi="Arial" w:cs="Arial"/>
        </w:rPr>
        <w:t>. Farnham: Gower.</w:t>
      </w:r>
    </w:p>
    <w:p w14:paraId="3A1A9CED"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Bourne, L. and Walker, D.H.T. (2005) 'Visualising and mapping stakeholder influence', Management Decision, 43(5), pp.649–660.</w:t>
      </w:r>
    </w:p>
    <w:p w14:paraId="2A030C56"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Bryson, J.M. (2004) 'What to do when stakeholders matter: stakeholder identification and analysis techniques', Public Management Review, 6(1), pp.21–53.</w:t>
      </w:r>
    </w:p>
    <w:p w14:paraId="51FD09B8"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BSI (2017) BS ISO 44001:2017 Collaborative Business Relationship Management Systems. London: British Standards Institution.</w:t>
      </w:r>
    </w:p>
    <w:p w14:paraId="736AC6CF"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 xml:space="preserve">Cleland, D.I. (1999) Project Management: Strategic Design and Implementation. 3rd </w:t>
      </w:r>
      <w:proofErr w:type="spellStart"/>
      <w:r w:rsidRPr="000641E8">
        <w:rPr>
          <w:rFonts w:ascii="Arial" w:eastAsia="Arial" w:hAnsi="Arial" w:cs="Arial"/>
        </w:rPr>
        <w:t>edn</w:t>
      </w:r>
      <w:proofErr w:type="spellEnd"/>
      <w:r w:rsidRPr="000641E8">
        <w:rPr>
          <w:rFonts w:ascii="Arial" w:eastAsia="Arial" w:hAnsi="Arial" w:cs="Arial"/>
        </w:rPr>
        <w:t>. New York: McGraw-Hill.</w:t>
      </w:r>
    </w:p>
    <w:p w14:paraId="6259F3C6" w14:textId="77777777" w:rsidR="000641E8" w:rsidRDefault="000641E8" w:rsidP="000641E8">
      <w:pPr>
        <w:spacing w:before="80" w:line="360" w:lineRule="auto"/>
        <w:jc w:val="both"/>
        <w:rPr>
          <w:rFonts w:ascii="Arial" w:eastAsia="Arial" w:hAnsi="Arial" w:cs="Arial"/>
        </w:rPr>
      </w:pPr>
      <w:r w:rsidRPr="000641E8">
        <w:rPr>
          <w:rFonts w:ascii="Arial" w:eastAsia="Arial" w:hAnsi="Arial" w:cs="Arial"/>
        </w:rPr>
        <w:t xml:space="preserve">Cornelissen, J. (2020) Corporate Communication: A Guide to Theory and Practice. 6th </w:t>
      </w:r>
      <w:proofErr w:type="spellStart"/>
      <w:r w:rsidRPr="000641E8">
        <w:rPr>
          <w:rFonts w:ascii="Arial" w:eastAsia="Arial" w:hAnsi="Arial" w:cs="Arial"/>
        </w:rPr>
        <w:t>edn</w:t>
      </w:r>
      <w:proofErr w:type="spellEnd"/>
      <w:r w:rsidRPr="000641E8">
        <w:rPr>
          <w:rFonts w:ascii="Arial" w:eastAsia="Arial" w:hAnsi="Arial" w:cs="Arial"/>
        </w:rPr>
        <w:t>. London: SAGE Publications.</w:t>
      </w:r>
    </w:p>
    <w:p w14:paraId="0F127266" w14:textId="5AB7AAC6" w:rsidR="00C4284A" w:rsidRPr="000641E8" w:rsidRDefault="00C4284A" w:rsidP="000641E8">
      <w:pPr>
        <w:spacing w:before="80" w:line="360" w:lineRule="auto"/>
        <w:jc w:val="both"/>
        <w:rPr>
          <w:rFonts w:ascii="Arial" w:eastAsia="Arial" w:hAnsi="Arial" w:cs="Arial"/>
        </w:rPr>
      </w:pPr>
      <w:r w:rsidRPr="00AA5F86">
        <w:rPr>
          <w:rFonts w:ascii="Arial" w:eastAsia="Arial" w:hAnsi="Arial" w:cs="Arial"/>
        </w:rPr>
        <w:t>Daskalaki, E. (2016) Communication across cultures? An intercultural approach to customer service in the hotel industry: a study with globally branded hotels in the United Kingdom. PhD thesis, University of Glasgow.</w:t>
      </w:r>
    </w:p>
    <w:p w14:paraId="2FE9E772"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Eskerod, P. and Jepsen, A.L. (2013) Project Stakeholder Management. Farnham: Gower.</w:t>
      </w:r>
    </w:p>
    <w:p w14:paraId="3B60C533" w14:textId="77777777" w:rsidR="000641E8" w:rsidRPr="000641E8" w:rsidRDefault="000641E8" w:rsidP="000641E8">
      <w:pPr>
        <w:spacing w:before="80" w:line="360" w:lineRule="auto"/>
        <w:jc w:val="both"/>
        <w:rPr>
          <w:rFonts w:ascii="Arial" w:eastAsia="Arial" w:hAnsi="Arial" w:cs="Arial"/>
        </w:rPr>
      </w:pPr>
      <w:proofErr w:type="spellStart"/>
      <w:r w:rsidRPr="000641E8">
        <w:rPr>
          <w:rFonts w:ascii="Arial" w:eastAsia="Arial" w:hAnsi="Arial" w:cs="Arial"/>
        </w:rPr>
        <w:t>Floridi</w:t>
      </w:r>
      <w:proofErr w:type="spellEnd"/>
      <w:r w:rsidRPr="000641E8">
        <w:rPr>
          <w:rFonts w:ascii="Arial" w:eastAsia="Arial" w:hAnsi="Arial" w:cs="Arial"/>
        </w:rPr>
        <w:t xml:space="preserve">, L., Cowls, J., </w:t>
      </w:r>
      <w:proofErr w:type="spellStart"/>
      <w:r w:rsidRPr="000641E8">
        <w:rPr>
          <w:rFonts w:ascii="Arial" w:eastAsia="Arial" w:hAnsi="Arial" w:cs="Arial"/>
        </w:rPr>
        <w:t>Beltrametti</w:t>
      </w:r>
      <w:proofErr w:type="spellEnd"/>
      <w:r w:rsidRPr="000641E8">
        <w:rPr>
          <w:rFonts w:ascii="Arial" w:eastAsia="Arial" w:hAnsi="Arial" w:cs="Arial"/>
        </w:rPr>
        <w:t xml:space="preserve">, M., Chatila, R., </w:t>
      </w:r>
      <w:proofErr w:type="spellStart"/>
      <w:r w:rsidRPr="000641E8">
        <w:rPr>
          <w:rFonts w:ascii="Arial" w:eastAsia="Arial" w:hAnsi="Arial" w:cs="Arial"/>
        </w:rPr>
        <w:t>Chazerand</w:t>
      </w:r>
      <w:proofErr w:type="spellEnd"/>
      <w:r w:rsidRPr="000641E8">
        <w:rPr>
          <w:rFonts w:ascii="Arial" w:eastAsia="Arial" w:hAnsi="Arial" w:cs="Arial"/>
        </w:rPr>
        <w:t xml:space="preserve">, P., Dignum, V., Luetge, C., Madelin, R., </w:t>
      </w:r>
      <w:proofErr w:type="spellStart"/>
      <w:r w:rsidRPr="000641E8">
        <w:rPr>
          <w:rFonts w:ascii="Arial" w:eastAsia="Arial" w:hAnsi="Arial" w:cs="Arial"/>
        </w:rPr>
        <w:t>Pagallo</w:t>
      </w:r>
      <w:proofErr w:type="spellEnd"/>
      <w:r w:rsidRPr="000641E8">
        <w:rPr>
          <w:rFonts w:ascii="Arial" w:eastAsia="Arial" w:hAnsi="Arial" w:cs="Arial"/>
        </w:rPr>
        <w:t xml:space="preserve">, U., Rossi, F., Schafer, B., Valcke, P. and </w:t>
      </w:r>
      <w:proofErr w:type="spellStart"/>
      <w:r w:rsidRPr="000641E8">
        <w:rPr>
          <w:rFonts w:ascii="Arial" w:eastAsia="Arial" w:hAnsi="Arial" w:cs="Arial"/>
        </w:rPr>
        <w:t>Vayena</w:t>
      </w:r>
      <w:proofErr w:type="spellEnd"/>
      <w:r w:rsidRPr="000641E8">
        <w:rPr>
          <w:rFonts w:ascii="Arial" w:eastAsia="Arial" w:hAnsi="Arial" w:cs="Arial"/>
        </w:rPr>
        <w:t>, E. (2018) 'An ethical framework for a good AI society: Opportunities, risks, principles, and recommendations', Minds and Machines, 28(4), pp.689–707.</w:t>
      </w:r>
    </w:p>
    <w:p w14:paraId="0A7A05A1"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Freeman, R.E. (1984) Strategic Management: A Stakeholder Approach. Boston: Pitman.</w:t>
      </w:r>
    </w:p>
    <w:p w14:paraId="1B01B282" w14:textId="47B0C47D" w:rsidR="0032476C" w:rsidRDefault="000641E8" w:rsidP="000641E8">
      <w:pPr>
        <w:spacing w:before="80" w:line="360" w:lineRule="auto"/>
        <w:jc w:val="both"/>
        <w:rPr>
          <w:rFonts w:ascii="Arial" w:eastAsia="Arial" w:hAnsi="Arial" w:cs="Arial"/>
        </w:rPr>
      </w:pPr>
      <w:r w:rsidRPr="000641E8">
        <w:rPr>
          <w:rFonts w:ascii="Arial" w:eastAsia="Arial" w:hAnsi="Arial" w:cs="Arial"/>
        </w:rPr>
        <w:t>Freeman, R.E., Harrison, J.S., Wicks, A.C., Parmar, B.L. and de Colle, S. (2010) Stakeholder Theory: The State of the Art. Cambridge: Cambridge University Press.</w:t>
      </w:r>
    </w:p>
    <w:p w14:paraId="0A9E8B76" w14:textId="42F3EB46" w:rsidR="00C74013" w:rsidRDefault="00C74013" w:rsidP="000641E8">
      <w:pPr>
        <w:spacing w:before="80" w:line="360" w:lineRule="auto"/>
        <w:jc w:val="both"/>
        <w:rPr>
          <w:rFonts w:ascii="Arial" w:eastAsia="Arial" w:hAnsi="Arial" w:cs="Arial"/>
        </w:rPr>
      </w:pPr>
      <w:r w:rsidRPr="00C74013">
        <w:rPr>
          <w:rFonts w:ascii="Arial" w:eastAsia="Arial" w:hAnsi="Arial" w:cs="Arial"/>
        </w:rPr>
        <w:lastRenderedPageBreak/>
        <w:t>Gilbert, C. and Gilbert, M.A. (n.d.) Impact of General Data Protection Regulation (GDPR) on Data Breach Response Strategies (DBRS).</w:t>
      </w:r>
    </w:p>
    <w:p w14:paraId="3118DBA8" w14:textId="6F3966AD" w:rsidR="009559AD" w:rsidRPr="009559AD" w:rsidRDefault="00000000" w:rsidP="009559AD">
      <w:pPr>
        <w:spacing w:line="360" w:lineRule="auto"/>
        <w:jc w:val="both"/>
        <w:rPr>
          <w:rFonts w:ascii="Arial" w:hAnsi="Arial" w:cs="Arial"/>
        </w:rPr>
      </w:pPr>
      <w:r w:rsidRPr="007957CA">
        <w:rPr>
          <w:rFonts w:ascii="Arial" w:hAnsi="Arial" w:cs="Arial"/>
        </w:rPr>
        <w:t xml:space="preserve">Gordon, J.R. (1996) Organizational Behaviour: A Diagnostic Approach (5th </w:t>
      </w:r>
      <w:proofErr w:type="spellStart"/>
      <w:r w:rsidRPr="007957CA">
        <w:rPr>
          <w:rFonts w:ascii="Arial" w:hAnsi="Arial" w:cs="Arial"/>
        </w:rPr>
        <w:t>edn</w:t>
      </w:r>
      <w:proofErr w:type="spellEnd"/>
      <w:r w:rsidRPr="007957CA">
        <w:rPr>
          <w:rFonts w:ascii="Arial" w:hAnsi="Arial" w:cs="Arial"/>
        </w:rPr>
        <w:t xml:space="preserve">). Englewood Cliffs, NJ: Prentice-Hall. </w:t>
      </w:r>
    </w:p>
    <w:p w14:paraId="010CF64F" w14:textId="4AA470B0" w:rsidR="00B85B6F" w:rsidRPr="000641E8" w:rsidRDefault="00B85B6F" w:rsidP="000641E8">
      <w:pPr>
        <w:spacing w:before="80" w:line="360" w:lineRule="auto"/>
        <w:jc w:val="both"/>
        <w:rPr>
          <w:rFonts w:ascii="Arial" w:eastAsia="Arial" w:hAnsi="Arial" w:cs="Arial"/>
        </w:rPr>
      </w:pPr>
      <w:r w:rsidRPr="00B85B6F">
        <w:rPr>
          <w:rFonts w:ascii="Arial" w:eastAsia="Arial" w:hAnsi="Arial" w:cs="Arial"/>
        </w:rPr>
        <w:t>Gurel, E., &amp; Tat, M. (2017). SWOT Analysis: A Theoretical Review. The Journal of International Social Research, 10, 994-1006.</w:t>
      </w:r>
    </w:p>
    <w:p w14:paraId="7A633DE4"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 xml:space="preserve">Hofstede, G. (2001) Culture's Consequences: Comparing Values, </w:t>
      </w:r>
      <w:proofErr w:type="spellStart"/>
      <w:r w:rsidRPr="000641E8">
        <w:rPr>
          <w:rFonts w:ascii="Arial" w:eastAsia="Arial" w:hAnsi="Arial" w:cs="Arial"/>
        </w:rPr>
        <w:t>Behaviors</w:t>
      </w:r>
      <w:proofErr w:type="spellEnd"/>
      <w:r w:rsidRPr="000641E8">
        <w:rPr>
          <w:rFonts w:ascii="Arial" w:eastAsia="Arial" w:hAnsi="Arial" w:cs="Arial"/>
        </w:rPr>
        <w:t xml:space="preserve">, Institutions and Organizations Across Nations. 2nd </w:t>
      </w:r>
      <w:proofErr w:type="spellStart"/>
      <w:r w:rsidRPr="000641E8">
        <w:rPr>
          <w:rFonts w:ascii="Arial" w:eastAsia="Arial" w:hAnsi="Arial" w:cs="Arial"/>
        </w:rPr>
        <w:t>edn</w:t>
      </w:r>
      <w:proofErr w:type="spellEnd"/>
      <w:r w:rsidRPr="000641E8">
        <w:rPr>
          <w:rFonts w:ascii="Arial" w:eastAsia="Arial" w:hAnsi="Arial" w:cs="Arial"/>
        </w:rPr>
        <w:t>. Thousand Oaks: SAGE.</w:t>
      </w:r>
    </w:p>
    <w:p w14:paraId="4C4A3E13"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IAP2 (2018) IAP2 Spectrum of Public Participation. Louisville: International Association for Public Participation.</w:t>
      </w:r>
    </w:p>
    <w:p w14:paraId="573C4E9F" w14:textId="77777777" w:rsidR="000641E8" w:rsidRDefault="000641E8" w:rsidP="000641E8">
      <w:pPr>
        <w:spacing w:before="80" w:line="360" w:lineRule="auto"/>
        <w:jc w:val="both"/>
        <w:rPr>
          <w:rFonts w:ascii="Arial" w:eastAsia="Arial" w:hAnsi="Arial" w:cs="Arial"/>
        </w:rPr>
      </w:pPr>
      <w:r w:rsidRPr="000641E8">
        <w:rPr>
          <w:rFonts w:ascii="Arial" w:eastAsia="Arial" w:hAnsi="Arial" w:cs="Arial"/>
        </w:rPr>
        <w:t xml:space="preserve">Johnson, G., Whittington, R., Scholes, K., Angwin, D. and </w:t>
      </w:r>
      <w:proofErr w:type="spellStart"/>
      <w:r w:rsidRPr="000641E8">
        <w:rPr>
          <w:rFonts w:ascii="Arial" w:eastAsia="Arial" w:hAnsi="Arial" w:cs="Arial"/>
        </w:rPr>
        <w:t>Regnér</w:t>
      </w:r>
      <w:proofErr w:type="spellEnd"/>
      <w:r w:rsidRPr="000641E8">
        <w:rPr>
          <w:rFonts w:ascii="Arial" w:eastAsia="Arial" w:hAnsi="Arial" w:cs="Arial"/>
        </w:rPr>
        <w:t xml:space="preserve">, P. (2017) Exploring Strategy: Text and Cases. 11th </w:t>
      </w:r>
      <w:proofErr w:type="spellStart"/>
      <w:r w:rsidRPr="000641E8">
        <w:rPr>
          <w:rFonts w:ascii="Arial" w:eastAsia="Arial" w:hAnsi="Arial" w:cs="Arial"/>
        </w:rPr>
        <w:t>edn</w:t>
      </w:r>
      <w:proofErr w:type="spellEnd"/>
      <w:r w:rsidRPr="000641E8">
        <w:rPr>
          <w:rFonts w:ascii="Arial" w:eastAsia="Arial" w:hAnsi="Arial" w:cs="Arial"/>
        </w:rPr>
        <w:t>. Harlow: Pearson.</w:t>
      </w:r>
    </w:p>
    <w:p w14:paraId="5A57E4CD" w14:textId="4F957965" w:rsidR="00405F24" w:rsidRPr="000641E8" w:rsidRDefault="00000000" w:rsidP="000F6BAB">
      <w:pPr>
        <w:spacing w:line="360" w:lineRule="auto"/>
        <w:jc w:val="both"/>
        <w:rPr>
          <w:rFonts w:ascii="Arial" w:hAnsi="Arial" w:cs="Arial"/>
        </w:rPr>
      </w:pPr>
      <w:r w:rsidRPr="007957CA">
        <w:rPr>
          <w:rFonts w:ascii="Arial" w:hAnsi="Arial" w:cs="Arial"/>
        </w:rPr>
        <w:t xml:space="preserve">Johnson, G. and Scholes, K. (1999) </w:t>
      </w:r>
      <w:r w:rsidRPr="007957CA">
        <w:rPr>
          <w:rFonts w:ascii="Arial" w:hAnsi="Arial" w:cs="Arial"/>
          <w:i/>
          <w:iCs/>
        </w:rPr>
        <w:t xml:space="preserve">Exploring Corporate Strategy: Text and Cases </w:t>
      </w:r>
      <w:r w:rsidRPr="007957CA">
        <w:rPr>
          <w:rFonts w:ascii="Arial" w:hAnsi="Arial" w:cs="Arial"/>
        </w:rPr>
        <w:t xml:space="preserve">(5th </w:t>
      </w:r>
      <w:proofErr w:type="spellStart"/>
      <w:r w:rsidRPr="007957CA">
        <w:rPr>
          <w:rFonts w:ascii="Arial" w:hAnsi="Arial" w:cs="Arial"/>
        </w:rPr>
        <w:t>edn</w:t>
      </w:r>
      <w:proofErr w:type="spellEnd"/>
      <w:r w:rsidRPr="007957CA">
        <w:rPr>
          <w:rFonts w:ascii="Arial" w:hAnsi="Arial" w:cs="Arial"/>
        </w:rPr>
        <w:t>). London: Prentice Hall Europe.</w:t>
      </w:r>
    </w:p>
    <w:p w14:paraId="3FA0FCEF"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Kim, H.H. and Park, J. (2017) 'The role of data privacy concerns in AI-based loyalty programme adoption', International Journal of Hospitality Management, 63, pp.141–150.</w:t>
      </w:r>
    </w:p>
    <w:p w14:paraId="1E142821" w14:textId="77777777" w:rsidR="000641E8" w:rsidRDefault="000641E8" w:rsidP="000641E8">
      <w:pPr>
        <w:spacing w:before="80" w:line="360" w:lineRule="auto"/>
        <w:jc w:val="both"/>
        <w:rPr>
          <w:rFonts w:ascii="Arial" w:eastAsia="Arial" w:hAnsi="Arial" w:cs="Arial"/>
        </w:rPr>
      </w:pPr>
      <w:r w:rsidRPr="000641E8">
        <w:rPr>
          <w:rFonts w:ascii="Arial" w:eastAsia="Arial" w:hAnsi="Arial" w:cs="Arial"/>
        </w:rPr>
        <w:t>Kotter, J.P. (1996) Leading Change. Boston: Harvard Business School Press.</w:t>
      </w:r>
    </w:p>
    <w:p w14:paraId="0CB24413" w14:textId="329AC37D" w:rsidR="008C448A" w:rsidRPr="007957CA" w:rsidRDefault="00000000" w:rsidP="006A7E3F">
      <w:pPr>
        <w:spacing w:line="360" w:lineRule="auto"/>
        <w:jc w:val="both"/>
        <w:rPr>
          <w:rFonts w:ascii="Arial" w:hAnsi="Arial" w:cs="Arial"/>
        </w:rPr>
      </w:pPr>
      <w:r w:rsidRPr="007957CA">
        <w:rPr>
          <w:rFonts w:ascii="Arial" w:hAnsi="Arial" w:cs="Arial"/>
        </w:rPr>
        <w:t xml:space="preserve">Kuenkel, P., Gerlach, S., </w:t>
      </w:r>
      <w:r w:rsidR="003401DC">
        <w:rPr>
          <w:rFonts w:ascii="Arial" w:hAnsi="Arial" w:cs="Arial"/>
        </w:rPr>
        <w:t>and</w:t>
      </w:r>
      <w:r w:rsidRPr="007957CA">
        <w:rPr>
          <w:rFonts w:ascii="Arial" w:hAnsi="Arial" w:cs="Arial"/>
        </w:rPr>
        <w:t xml:space="preserve"> </w:t>
      </w:r>
      <w:proofErr w:type="spellStart"/>
      <w:r w:rsidRPr="007957CA">
        <w:rPr>
          <w:rFonts w:ascii="Arial" w:hAnsi="Arial" w:cs="Arial"/>
        </w:rPr>
        <w:t>Frieg</w:t>
      </w:r>
      <w:proofErr w:type="spellEnd"/>
      <w:r w:rsidRPr="007957CA">
        <w:rPr>
          <w:rFonts w:ascii="Arial" w:hAnsi="Arial" w:cs="Arial"/>
        </w:rPr>
        <w:t xml:space="preserve">, V. (2011). Working with Stakeholder Dialogues. Berlin: Collective Leadership Institute. </w:t>
      </w:r>
    </w:p>
    <w:p w14:paraId="1E07924A" w14:textId="3575E518" w:rsidR="006A7E3F" w:rsidRPr="000F6BAB" w:rsidRDefault="00000000" w:rsidP="000F6BAB">
      <w:pPr>
        <w:spacing w:line="360" w:lineRule="auto"/>
        <w:jc w:val="both"/>
        <w:rPr>
          <w:rFonts w:ascii="Arial" w:hAnsi="Arial" w:cs="Arial"/>
        </w:rPr>
      </w:pPr>
      <w:r w:rsidRPr="007957CA">
        <w:rPr>
          <w:rFonts w:ascii="Arial" w:hAnsi="Arial" w:cs="Arial"/>
        </w:rPr>
        <w:t xml:space="preserve">Manetti, G., </w:t>
      </w:r>
      <w:r w:rsidR="003401DC">
        <w:rPr>
          <w:rFonts w:ascii="Arial" w:hAnsi="Arial" w:cs="Arial"/>
        </w:rPr>
        <w:t>and</w:t>
      </w:r>
      <w:r w:rsidRPr="007957CA">
        <w:rPr>
          <w:rFonts w:ascii="Arial" w:hAnsi="Arial" w:cs="Arial"/>
        </w:rPr>
        <w:t xml:space="preserve"> Bellucci, M. (2016). The use of social media for engaging stakeholders in sustainability reporting. Accounting, Auditing &amp; Accountability Journal, 29(6), 985–1011. </w:t>
      </w:r>
    </w:p>
    <w:p w14:paraId="7EBDF1F4" w14:textId="1B9FB371" w:rsidR="00815B74" w:rsidRDefault="00815B74" w:rsidP="000641E8">
      <w:pPr>
        <w:spacing w:before="80" w:line="360" w:lineRule="auto"/>
        <w:jc w:val="both"/>
        <w:rPr>
          <w:rFonts w:ascii="Arial" w:eastAsia="Arial" w:hAnsi="Arial" w:cs="Arial"/>
        </w:rPr>
      </w:pPr>
      <w:r w:rsidRPr="00815B74">
        <w:rPr>
          <w:rFonts w:ascii="Arial" w:eastAsia="Arial" w:hAnsi="Arial" w:cs="Arial"/>
        </w:rPr>
        <w:t xml:space="preserve">Mariani, C., </w:t>
      </w:r>
      <w:proofErr w:type="spellStart"/>
      <w:r w:rsidRPr="00815B74">
        <w:rPr>
          <w:rFonts w:ascii="Arial" w:eastAsia="Arial" w:hAnsi="Arial" w:cs="Arial"/>
        </w:rPr>
        <w:t>Navrotska</w:t>
      </w:r>
      <w:proofErr w:type="spellEnd"/>
      <w:r w:rsidRPr="00815B74">
        <w:rPr>
          <w:rFonts w:ascii="Arial" w:eastAsia="Arial" w:hAnsi="Arial" w:cs="Arial"/>
        </w:rPr>
        <w:t>, Y. and Mancini, M. (2023) ‘Unsupervised machine learning for project stakeholder classification: Benefits and limitations’, Project Leadership and Society, 4, p. 100093.</w:t>
      </w:r>
    </w:p>
    <w:p w14:paraId="5B40AD24" w14:textId="7F7770E5" w:rsidR="003D1943" w:rsidRPr="003D1943" w:rsidRDefault="00000000" w:rsidP="003D1943">
      <w:pPr>
        <w:spacing w:line="360" w:lineRule="auto"/>
        <w:jc w:val="both"/>
        <w:rPr>
          <w:rFonts w:ascii="Arial" w:hAnsi="Arial" w:cs="Arial"/>
        </w:rPr>
      </w:pPr>
      <w:r w:rsidRPr="007957CA">
        <w:rPr>
          <w:rFonts w:ascii="Arial" w:hAnsi="Arial" w:cs="Arial"/>
        </w:rPr>
        <w:t xml:space="preserve">Moore, C. (1986) The Mediation Process, Practical Strategies for Resolving Conflict. San Francisco, CA: Jossey-Bass </w:t>
      </w:r>
    </w:p>
    <w:p w14:paraId="6C7E5AE5" w14:textId="0BECB432" w:rsidR="00FE7013" w:rsidRPr="000641E8" w:rsidRDefault="00000000" w:rsidP="00FE7013">
      <w:pPr>
        <w:spacing w:line="360" w:lineRule="auto"/>
        <w:jc w:val="both"/>
        <w:rPr>
          <w:rFonts w:ascii="Arial" w:hAnsi="Arial" w:cs="Arial"/>
        </w:rPr>
      </w:pPr>
      <w:r w:rsidRPr="007957CA">
        <w:rPr>
          <w:rFonts w:ascii="Arial" w:hAnsi="Arial" w:cs="Arial"/>
        </w:rPr>
        <w:t>Moura, H.M.P. and Teixeira, J.M.C., 2010. Managing stakeholder’s conflicts, Construction stakeholder management. Ames, Iowa: Wiley Blackwell.</w:t>
      </w:r>
    </w:p>
    <w:p w14:paraId="06544286" w14:textId="4E5C2B58"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Meliá Hotels International (2022) Annual Report and Responsible Business Plan 2022. Palma de Mallorca: Meliá Hotels International.</w:t>
      </w:r>
      <w:r w:rsidR="001E2CF9" w:rsidRPr="001E2CF9">
        <w:t xml:space="preserve"> </w:t>
      </w:r>
      <w:hyperlink r:id="rId10" w:history="1">
        <w:r w:rsidR="001E2CF9">
          <w:rPr>
            <w:rStyle w:val="Hyperlink"/>
          </w:rPr>
          <w:t>Microsoft PowerPoint - MHI Release 12M2022_EN</w:t>
        </w:r>
      </w:hyperlink>
    </w:p>
    <w:p w14:paraId="6988BB8F" w14:textId="349AED22"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lastRenderedPageBreak/>
        <w:t>Meliá Hotels International (2023) Corporate Overview 2023. Palma de Mallorca: Meliá Hotels International.</w:t>
      </w:r>
      <w:r w:rsidR="001E2CF9" w:rsidRPr="001E2CF9">
        <w:t xml:space="preserve"> </w:t>
      </w:r>
      <w:hyperlink r:id="rId11" w:history="1">
        <w:r w:rsidR="001E2CF9" w:rsidRPr="001E2CF9">
          <w:rPr>
            <w:rStyle w:val="Hyperlink"/>
            <w:rFonts w:ascii="Arial" w:eastAsia="Arial" w:hAnsi="Arial" w:cs="Arial"/>
          </w:rPr>
          <w:t>mhi_memoria_23_en_i.pdf</w:t>
        </w:r>
      </w:hyperlink>
    </w:p>
    <w:p w14:paraId="3D905596"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Mendelow, A. (1991) 'Stakeholder mapping', Proceedings of the 2nd International Conference on Information Systems. Cambridge, MA.</w:t>
      </w:r>
    </w:p>
    <w:p w14:paraId="65301FE6" w14:textId="5489DF00" w:rsidR="000641E8" w:rsidRDefault="000641E8" w:rsidP="000641E8">
      <w:pPr>
        <w:spacing w:before="80" w:line="360" w:lineRule="auto"/>
        <w:jc w:val="both"/>
      </w:pPr>
      <w:r w:rsidRPr="000641E8">
        <w:rPr>
          <w:rFonts w:ascii="Arial" w:eastAsia="Arial" w:hAnsi="Arial" w:cs="Arial"/>
        </w:rPr>
        <w:t>Mitchell, R.K., Agle, B.R. and Wood, D.J. (1997) 'Toward a theory of stakeholder identification and salience: Defining the principle of who and what really counts', Academy of Management Review, 22(4), pp.853–886.</w:t>
      </w:r>
      <w:r w:rsidR="00886195" w:rsidRPr="00886195">
        <w:t xml:space="preserve"> </w:t>
      </w:r>
      <w:hyperlink r:id="rId12" w:history="1">
        <w:r w:rsidR="00886195">
          <w:rPr>
            <w:rStyle w:val="Hyperlink"/>
          </w:rPr>
          <w:t>Toward a Theory of Stakeholder Identification and Salience: Defining the Principle of Who and What Really Counts on JSTOR</w:t>
        </w:r>
      </w:hyperlink>
    </w:p>
    <w:p w14:paraId="408EB330" w14:textId="69C1DB14" w:rsidR="00F94B56" w:rsidRPr="000641E8" w:rsidRDefault="00F94B56" w:rsidP="000641E8">
      <w:pPr>
        <w:spacing w:before="80" w:line="360" w:lineRule="auto"/>
        <w:jc w:val="both"/>
        <w:rPr>
          <w:rFonts w:ascii="Arial" w:eastAsia="Arial" w:hAnsi="Arial" w:cs="Arial"/>
        </w:rPr>
      </w:pPr>
      <w:r>
        <w:t xml:space="preserve">Mishra, A. N., (2021) Thomas Kilmann Conflict Model. Available at: </w:t>
      </w:r>
      <w:hyperlink r:id="rId13" w:history="1">
        <w:r>
          <w:rPr>
            <w:rStyle w:val="Hyperlink"/>
          </w:rPr>
          <w:t>Thomas Kilmann Conflict Model - Management Weekly</w:t>
        </w:r>
      </w:hyperlink>
      <w:r>
        <w:t xml:space="preserve"> (Accessed on 13</w:t>
      </w:r>
      <w:r w:rsidRPr="00F94B56">
        <w:rPr>
          <w:vertAlign w:val="superscript"/>
        </w:rPr>
        <w:t>th</w:t>
      </w:r>
      <w:r>
        <w:t xml:space="preserve"> March 2026)</w:t>
      </w:r>
    </w:p>
    <w:p w14:paraId="0244B48B"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MSCI (2023) ESG Trends to Watch in 2023. New York: MSCI Inc.</w:t>
      </w:r>
    </w:p>
    <w:p w14:paraId="20CEE0E2"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 xml:space="preserve">Nickson, D. (2013) Human Resource Management for the Hospitality and Tourism Industries. 2nd </w:t>
      </w:r>
      <w:proofErr w:type="spellStart"/>
      <w:r w:rsidRPr="000641E8">
        <w:rPr>
          <w:rFonts w:ascii="Arial" w:eastAsia="Arial" w:hAnsi="Arial" w:cs="Arial"/>
        </w:rPr>
        <w:t>edn</w:t>
      </w:r>
      <w:proofErr w:type="spellEnd"/>
      <w:r w:rsidRPr="000641E8">
        <w:rPr>
          <w:rFonts w:ascii="Arial" w:eastAsia="Arial" w:hAnsi="Arial" w:cs="Arial"/>
        </w:rPr>
        <w:t>. Oxford: Routledge.</w:t>
      </w:r>
    </w:p>
    <w:p w14:paraId="3B961446"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O'Neil, C. (2016) Weapons of Math Destruction: How Big Data Increases Inequality and Threatens Democracy. New York: Crown Publishers.</w:t>
      </w:r>
    </w:p>
    <w:p w14:paraId="07948791" w14:textId="06669EBD" w:rsidR="000641E8" w:rsidRPr="000641E8" w:rsidRDefault="000641E8" w:rsidP="000641E8">
      <w:pPr>
        <w:spacing w:before="80" w:line="360" w:lineRule="auto"/>
        <w:jc w:val="both"/>
        <w:rPr>
          <w:rFonts w:ascii="Arial" w:eastAsia="Arial" w:hAnsi="Arial" w:cs="Arial"/>
        </w:rPr>
      </w:pPr>
      <w:proofErr w:type="spellStart"/>
      <w:r w:rsidRPr="000641E8">
        <w:rPr>
          <w:rFonts w:ascii="Arial" w:eastAsia="Arial" w:hAnsi="Arial" w:cs="Arial"/>
        </w:rPr>
        <w:t>Phocuswire</w:t>
      </w:r>
      <w:proofErr w:type="spellEnd"/>
      <w:r w:rsidRPr="000641E8">
        <w:rPr>
          <w:rFonts w:ascii="Arial" w:eastAsia="Arial" w:hAnsi="Arial" w:cs="Arial"/>
        </w:rPr>
        <w:t xml:space="preserve"> (2023) How AI Personalisation Is Reshaping Hotel Revenue Management. Available at: </w:t>
      </w:r>
      <w:hyperlink r:id="rId14" w:history="1">
        <w:r w:rsidR="00886195">
          <w:rPr>
            <w:rStyle w:val="Hyperlink"/>
          </w:rPr>
          <w:t xml:space="preserve">News on Travel Technology, Distribution and the Digital Economy | </w:t>
        </w:r>
        <w:proofErr w:type="spellStart"/>
        <w:r w:rsidR="00886195">
          <w:rPr>
            <w:rStyle w:val="Hyperlink"/>
          </w:rPr>
          <w:t>PhocusWire</w:t>
        </w:r>
        <w:proofErr w:type="spellEnd"/>
      </w:hyperlink>
      <w:r w:rsidR="00886195" w:rsidRPr="000641E8">
        <w:rPr>
          <w:rFonts w:ascii="Arial" w:eastAsia="Arial" w:hAnsi="Arial" w:cs="Arial"/>
        </w:rPr>
        <w:t xml:space="preserve"> </w:t>
      </w:r>
      <w:r w:rsidRPr="000641E8">
        <w:rPr>
          <w:rFonts w:ascii="Arial" w:eastAsia="Arial" w:hAnsi="Arial" w:cs="Arial"/>
        </w:rPr>
        <w:t>(Accessed: 1 March 2026).</w:t>
      </w:r>
    </w:p>
    <w:p w14:paraId="682179C0"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Pinkley, R.L. and Northcraft, G.B. (1994) 'Conflict frames of reference: Implications for dispute processes and outcomes', Academy of Management Journal, 37(1), pp.193–205.</w:t>
      </w:r>
    </w:p>
    <w:p w14:paraId="67489DCE" w14:textId="77777777" w:rsidR="000641E8" w:rsidRDefault="000641E8" w:rsidP="000641E8">
      <w:pPr>
        <w:spacing w:before="80" w:line="360" w:lineRule="auto"/>
        <w:jc w:val="both"/>
        <w:rPr>
          <w:rFonts w:ascii="Arial" w:eastAsia="Arial" w:hAnsi="Arial" w:cs="Arial"/>
        </w:rPr>
      </w:pPr>
      <w:r w:rsidRPr="000641E8">
        <w:rPr>
          <w:rFonts w:ascii="Arial" w:eastAsia="Arial" w:hAnsi="Arial" w:cs="Arial"/>
        </w:rPr>
        <w:t xml:space="preserve">PMI (2021) A Guide to the Project Management Body of Knowledge (PMBOK Guide). 7th </w:t>
      </w:r>
      <w:proofErr w:type="spellStart"/>
      <w:r w:rsidRPr="000641E8">
        <w:rPr>
          <w:rFonts w:ascii="Arial" w:eastAsia="Arial" w:hAnsi="Arial" w:cs="Arial"/>
        </w:rPr>
        <w:t>edn</w:t>
      </w:r>
      <w:proofErr w:type="spellEnd"/>
      <w:r w:rsidRPr="000641E8">
        <w:rPr>
          <w:rFonts w:ascii="Arial" w:eastAsia="Arial" w:hAnsi="Arial" w:cs="Arial"/>
        </w:rPr>
        <w:t>. Newton Square: Project Management Institute.</w:t>
      </w:r>
    </w:p>
    <w:p w14:paraId="449161A1" w14:textId="1A498889" w:rsidR="00437BFB" w:rsidRDefault="00437BFB" w:rsidP="000641E8">
      <w:pPr>
        <w:spacing w:before="80" w:line="360" w:lineRule="auto"/>
        <w:jc w:val="both"/>
      </w:pPr>
      <w:r>
        <w:rPr>
          <w:rFonts w:ascii="Arial" w:eastAsia="Arial" w:hAnsi="Arial" w:cs="Arial"/>
        </w:rPr>
        <w:t xml:space="preserve">Power-interest Matrix, Available at </w:t>
      </w:r>
      <w:hyperlink r:id="rId15" w:history="1">
        <w:r>
          <w:rPr>
            <w:rStyle w:val="Hyperlink"/>
          </w:rPr>
          <w:t>What is Mendelow’s Matrix and Why Is It Useful For Marketers?</w:t>
        </w:r>
      </w:hyperlink>
      <w:r>
        <w:t xml:space="preserve"> Accessed on 12</w:t>
      </w:r>
      <w:r w:rsidRPr="00437BFB">
        <w:rPr>
          <w:vertAlign w:val="superscript"/>
        </w:rPr>
        <w:t>th</w:t>
      </w:r>
      <w:r>
        <w:t xml:space="preserve"> March 2026</w:t>
      </w:r>
    </w:p>
    <w:p w14:paraId="67DAC69E" w14:textId="2F64AEC4" w:rsidR="000641E8" w:rsidRDefault="000641E8" w:rsidP="000641E8">
      <w:pPr>
        <w:spacing w:before="80" w:line="360" w:lineRule="auto"/>
        <w:jc w:val="both"/>
        <w:rPr>
          <w:rFonts w:ascii="Arial" w:eastAsia="Arial" w:hAnsi="Arial" w:cs="Arial"/>
        </w:rPr>
      </w:pPr>
      <w:r w:rsidRPr="000641E8">
        <w:rPr>
          <w:rFonts w:ascii="Arial" w:eastAsia="Arial" w:hAnsi="Arial" w:cs="Arial"/>
        </w:rPr>
        <w:t>Reichheld, F.F. (2006) The Ultimate Question: Driving Good Profits and True Growth. Boston: Harvard Business School Press.</w:t>
      </w:r>
    </w:p>
    <w:p w14:paraId="13D84C69" w14:textId="733B3ED9" w:rsidR="00A26935" w:rsidRPr="00E56A76" w:rsidRDefault="00000000" w:rsidP="00E56A76">
      <w:pPr>
        <w:spacing w:line="360" w:lineRule="auto"/>
        <w:jc w:val="both"/>
        <w:rPr>
          <w:rFonts w:ascii="Arial" w:hAnsi="Arial" w:cs="Arial"/>
        </w:rPr>
      </w:pPr>
      <w:proofErr w:type="spellStart"/>
      <w:r w:rsidRPr="007957CA">
        <w:rPr>
          <w:rFonts w:ascii="Arial" w:hAnsi="Arial" w:cs="Arial"/>
        </w:rPr>
        <w:t>Rijsberman</w:t>
      </w:r>
      <w:proofErr w:type="spellEnd"/>
      <w:r w:rsidRPr="007957CA">
        <w:rPr>
          <w:rFonts w:ascii="Arial" w:hAnsi="Arial" w:cs="Arial"/>
        </w:rPr>
        <w:t xml:space="preserve">, F. (1999) Conflict management and consensus building for integrated coastal management in Latin America and the Caribbean. Resource Analysis Report for Inter-American Development Bank. Delft, Nederland. Available at http://idbdocs.iadb.org/wsdocs/getdocument.aspx? </w:t>
      </w:r>
      <w:proofErr w:type="spellStart"/>
      <w:r w:rsidRPr="007957CA">
        <w:rPr>
          <w:rFonts w:ascii="Arial" w:hAnsi="Arial" w:cs="Arial"/>
        </w:rPr>
        <w:t>docnum</w:t>
      </w:r>
      <w:proofErr w:type="spellEnd"/>
      <w:r w:rsidRPr="007957CA">
        <w:rPr>
          <w:rFonts w:ascii="Arial" w:hAnsi="Arial" w:cs="Arial"/>
        </w:rPr>
        <w:t xml:space="preserve">=359595 (Accessed </w:t>
      </w:r>
      <w:r w:rsidR="00E56A76" w:rsidRPr="00E56A76">
        <w:rPr>
          <w:rFonts w:ascii="Arial" w:hAnsi="Arial" w:cs="Arial"/>
        </w:rPr>
        <w:t>on 15</w:t>
      </w:r>
      <w:r w:rsidR="00E56A76" w:rsidRPr="00E56A76">
        <w:rPr>
          <w:rFonts w:ascii="Arial" w:hAnsi="Arial" w:cs="Arial"/>
          <w:vertAlign w:val="superscript"/>
        </w:rPr>
        <w:t>th</w:t>
      </w:r>
      <w:r w:rsidR="00E56A76" w:rsidRPr="00E56A76">
        <w:rPr>
          <w:rFonts w:ascii="Arial" w:hAnsi="Arial" w:cs="Arial"/>
        </w:rPr>
        <w:t xml:space="preserve"> March 2026</w:t>
      </w:r>
      <w:r w:rsidRPr="007957CA">
        <w:rPr>
          <w:rFonts w:ascii="Arial" w:hAnsi="Arial" w:cs="Arial"/>
        </w:rPr>
        <w:t>).</w:t>
      </w:r>
    </w:p>
    <w:p w14:paraId="0F989890" w14:textId="0ED08452" w:rsidR="00D27771" w:rsidRPr="000641E8" w:rsidRDefault="00000000" w:rsidP="000F6BAB">
      <w:pPr>
        <w:spacing w:after="0" w:line="360" w:lineRule="auto"/>
        <w:contextualSpacing/>
        <w:jc w:val="both"/>
        <w:rPr>
          <w:rFonts w:ascii="Arial" w:eastAsia="Times New Roman" w:hAnsi="Arial" w:cs="Arial"/>
          <w:kern w:val="0"/>
          <w:lang w:eastAsia="en-GB"/>
          <w14:ligatures w14:val="none"/>
        </w:rPr>
      </w:pPr>
      <w:r w:rsidRPr="007957CA">
        <w:rPr>
          <w:rFonts w:ascii="Arial" w:eastAsia="Calibri" w:hAnsi="Arial" w:cs="Arial"/>
          <w:color w:val="000000"/>
          <w:kern w:val="0"/>
          <w:lang w:eastAsia="en-GB"/>
          <w14:ligatures w14:val="none"/>
        </w:rPr>
        <w:lastRenderedPageBreak/>
        <w:t xml:space="preserve">Rowley, T. J. (1997). "Moving Beyond Dyadic Ties: A Network Theory of Stakeholder Influences." Academy of Management Review </w:t>
      </w:r>
      <w:r w:rsidRPr="007957CA">
        <w:rPr>
          <w:rFonts w:ascii="Arial" w:eastAsia="Calibri" w:hAnsi="Arial" w:cs="Arial"/>
          <w:b/>
          <w:bCs/>
          <w:color w:val="000000"/>
          <w:kern w:val="0"/>
          <w:lang w:eastAsia="en-GB"/>
          <w14:ligatures w14:val="none"/>
        </w:rPr>
        <w:t>22</w:t>
      </w:r>
      <w:r w:rsidRPr="007957CA">
        <w:rPr>
          <w:rFonts w:ascii="Arial" w:eastAsia="Calibri" w:hAnsi="Arial" w:cs="Arial"/>
          <w:color w:val="000000"/>
          <w:kern w:val="0"/>
          <w:lang w:eastAsia="en-GB"/>
          <w14:ligatures w14:val="none"/>
        </w:rPr>
        <w:t>(4): 887-910.</w:t>
      </w:r>
    </w:p>
    <w:p w14:paraId="4F0292FC" w14:textId="77777777" w:rsidR="000641E8" w:rsidRPr="000641E8" w:rsidRDefault="000641E8" w:rsidP="000F6BAB">
      <w:pPr>
        <w:spacing w:before="80" w:line="360" w:lineRule="auto"/>
        <w:jc w:val="both"/>
        <w:rPr>
          <w:rFonts w:ascii="Arial" w:eastAsia="Arial" w:hAnsi="Arial" w:cs="Arial"/>
        </w:rPr>
      </w:pPr>
      <w:r w:rsidRPr="000641E8">
        <w:rPr>
          <w:rFonts w:ascii="Arial" w:eastAsia="Arial" w:hAnsi="Arial" w:cs="Arial"/>
        </w:rPr>
        <w:t>Shannon, C.E. and Weaver, W. (1949) The Mathematical Theory of Communication. Urbana: University of Illinois Press.</w:t>
      </w:r>
    </w:p>
    <w:p w14:paraId="30CDA37E" w14:textId="1B533CDA"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Skift (2023) The Future of Luxury Travel: Millennial and Gen Z Trends. New York: Skift Research.</w:t>
      </w:r>
      <w:r w:rsidR="00EF0E48" w:rsidRPr="00EF0E48">
        <w:t xml:space="preserve"> </w:t>
      </w:r>
      <w:hyperlink r:id="rId16" w:history="1">
        <w:r w:rsidR="00EF0E48">
          <w:rPr>
            <w:rStyle w:val="Hyperlink"/>
          </w:rPr>
          <w:t xml:space="preserve">Skift Research Exploring Gen Z and Millennial Travel Habits | PDF | Millennials | </w:t>
        </w:r>
        <w:proofErr w:type="gramStart"/>
        <w:r w:rsidR="00EF0E48">
          <w:rPr>
            <w:rStyle w:val="Hyperlink"/>
          </w:rPr>
          <w:t>Social Media</w:t>
        </w:r>
        <w:proofErr w:type="gramEnd"/>
      </w:hyperlink>
    </w:p>
    <w:p w14:paraId="5C05D95C"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 xml:space="preserve">Tench, R. and Yeomans, L. (2017) Exploring Public Relations and Management Communication. 4th </w:t>
      </w:r>
      <w:proofErr w:type="spellStart"/>
      <w:r w:rsidRPr="000641E8">
        <w:rPr>
          <w:rFonts w:ascii="Arial" w:eastAsia="Arial" w:hAnsi="Arial" w:cs="Arial"/>
        </w:rPr>
        <w:t>edn</w:t>
      </w:r>
      <w:proofErr w:type="spellEnd"/>
      <w:r w:rsidRPr="000641E8">
        <w:rPr>
          <w:rFonts w:ascii="Arial" w:eastAsia="Arial" w:hAnsi="Arial" w:cs="Arial"/>
        </w:rPr>
        <w:t>. Harlow: Pearson.</w:t>
      </w:r>
    </w:p>
    <w:p w14:paraId="67708E4A" w14:textId="77777777" w:rsidR="000641E8" w:rsidRPr="000641E8" w:rsidRDefault="000641E8" w:rsidP="000641E8">
      <w:pPr>
        <w:spacing w:before="80" w:line="360" w:lineRule="auto"/>
        <w:jc w:val="both"/>
        <w:rPr>
          <w:rFonts w:ascii="Arial" w:eastAsia="Arial" w:hAnsi="Arial" w:cs="Arial"/>
        </w:rPr>
      </w:pPr>
      <w:r w:rsidRPr="000641E8">
        <w:rPr>
          <w:rFonts w:ascii="Arial" w:eastAsia="Arial" w:hAnsi="Arial" w:cs="Arial"/>
        </w:rPr>
        <w:t>Thomas, K.W. and Kilmann, R.H. (1974) Thomas-Kilmann Conflict Mode Instrument. Mountain View: CPP Inc.</w:t>
      </w:r>
    </w:p>
    <w:p w14:paraId="640F8DFD" w14:textId="77777777" w:rsidR="000641E8" w:rsidRDefault="000641E8" w:rsidP="000641E8">
      <w:pPr>
        <w:spacing w:before="80" w:line="360" w:lineRule="auto"/>
        <w:jc w:val="both"/>
        <w:rPr>
          <w:rFonts w:ascii="Arial" w:eastAsia="Arial" w:hAnsi="Arial" w:cs="Arial"/>
        </w:rPr>
      </w:pPr>
      <w:r w:rsidRPr="000641E8">
        <w:rPr>
          <w:rFonts w:ascii="Arial" w:eastAsia="Arial" w:hAnsi="Arial" w:cs="Arial"/>
        </w:rPr>
        <w:t xml:space="preserve">Trompenaars, F. and Hampden-Turner, C. (1997) Riding the Waves of Culture: Understanding Diversity in Global Business. 2nd </w:t>
      </w:r>
      <w:proofErr w:type="spellStart"/>
      <w:r w:rsidRPr="000641E8">
        <w:rPr>
          <w:rFonts w:ascii="Arial" w:eastAsia="Arial" w:hAnsi="Arial" w:cs="Arial"/>
        </w:rPr>
        <w:t>edn</w:t>
      </w:r>
      <w:proofErr w:type="spellEnd"/>
      <w:r w:rsidRPr="000641E8">
        <w:rPr>
          <w:rFonts w:ascii="Arial" w:eastAsia="Arial" w:hAnsi="Arial" w:cs="Arial"/>
        </w:rPr>
        <w:t>. London: Nicholas Brealey.</w:t>
      </w:r>
    </w:p>
    <w:p w14:paraId="454A4D65" w14:textId="55519223" w:rsidR="0032476C" w:rsidRPr="000307EF" w:rsidRDefault="0032476C" w:rsidP="0032476C">
      <w:pPr>
        <w:spacing w:before="80" w:line="360" w:lineRule="auto"/>
        <w:jc w:val="both"/>
        <w:rPr>
          <w:rFonts w:ascii="Arial" w:eastAsia="Arial" w:hAnsi="Arial" w:cs="Arial"/>
        </w:rPr>
      </w:pPr>
      <w:r w:rsidRPr="0032476C">
        <w:rPr>
          <w:rFonts w:ascii="Arial" w:eastAsia="Arial" w:hAnsi="Arial" w:cs="Arial"/>
        </w:rPr>
        <w:t xml:space="preserve">United Kingdom (2018) The Data Protection Act 2018 and the UK General Data Protection Regulation (UK GDPR). Available at: </w:t>
      </w:r>
      <w:hyperlink r:id="rId17" w:history="1">
        <w:r>
          <w:rPr>
            <w:rStyle w:val="Hyperlink"/>
          </w:rPr>
          <w:t>Data protection: The UK's data protection legislation - GOV.UK</w:t>
        </w:r>
      </w:hyperlink>
      <w:r w:rsidRPr="0032476C">
        <w:rPr>
          <w:rFonts w:ascii="Arial" w:eastAsia="Arial" w:hAnsi="Arial" w:cs="Arial"/>
        </w:rPr>
        <w:t xml:space="preserve"> (Accessed</w:t>
      </w:r>
      <w:r>
        <w:rPr>
          <w:rFonts w:ascii="Arial" w:eastAsia="Arial" w:hAnsi="Arial" w:cs="Arial"/>
        </w:rPr>
        <w:t xml:space="preserve"> on 12</w:t>
      </w:r>
      <w:r w:rsidRPr="0032476C">
        <w:rPr>
          <w:rFonts w:ascii="Arial" w:eastAsia="Arial" w:hAnsi="Arial" w:cs="Arial"/>
          <w:vertAlign w:val="superscript"/>
        </w:rPr>
        <w:t>th</w:t>
      </w:r>
      <w:r>
        <w:rPr>
          <w:rFonts w:ascii="Arial" w:eastAsia="Arial" w:hAnsi="Arial" w:cs="Arial"/>
        </w:rPr>
        <w:t xml:space="preserve"> March 2026</w:t>
      </w:r>
      <w:r w:rsidRPr="0032476C">
        <w:rPr>
          <w:rFonts w:ascii="Arial" w:eastAsia="Arial" w:hAnsi="Arial" w:cs="Arial"/>
        </w:rPr>
        <w:t>).</w:t>
      </w:r>
    </w:p>
    <w:p w14:paraId="2DA11D1C" w14:textId="77777777" w:rsidR="0032476C" w:rsidRPr="000641E8" w:rsidRDefault="0032476C" w:rsidP="000641E8">
      <w:pPr>
        <w:spacing w:before="80" w:line="360" w:lineRule="auto"/>
        <w:jc w:val="both"/>
        <w:rPr>
          <w:rFonts w:ascii="Arial" w:eastAsia="Arial" w:hAnsi="Arial" w:cs="Arial"/>
        </w:rPr>
      </w:pPr>
    </w:p>
    <w:p w14:paraId="531B315A" w14:textId="77777777" w:rsidR="000641E8" w:rsidRDefault="000641E8" w:rsidP="000307EF">
      <w:pPr>
        <w:spacing w:before="80" w:line="360" w:lineRule="auto"/>
        <w:jc w:val="both"/>
        <w:rPr>
          <w:rFonts w:ascii="Arial" w:eastAsia="Arial" w:hAnsi="Arial" w:cs="Arial"/>
        </w:rPr>
      </w:pPr>
    </w:p>
    <w:p w14:paraId="42612963" w14:textId="77777777" w:rsidR="000641E8" w:rsidRPr="009704FD" w:rsidRDefault="000641E8" w:rsidP="000307EF">
      <w:pPr>
        <w:spacing w:before="80" w:line="360" w:lineRule="auto"/>
        <w:jc w:val="both"/>
        <w:rPr>
          <w:rFonts w:ascii="Arial" w:eastAsia="Arial" w:hAnsi="Arial" w:cs="Arial"/>
        </w:rPr>
      </w:pPr>
    </w:p>
    <w:sectPr w:rsidR="000641E8" w:rsidRPr="009704FD" w:rsidSect="00AA7F11">
      <w:footerReference w:type="default" r:id="rId18"/>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B2E16" w14:textId="77777777" w:rsidR="008864DB" w:rsidRDefault="008864DB" w:rsidP="00753D4E">
      <w:pPr>
        <w:spacing w:after="0" w:line="240" w:lineRule="auto"/>
      </w:pPr>
      <w:r>
        <w:separator/>
      </w:r>
    </w:p>
  </w:endnote>
  <w:endnote w:type="continuationSeparator" w:id="0">
    <w:p w14:paraId="1EA1AF7D" w14:textId="77777777" w:rsidR="008864DB" w:rsidRDefault="008864DB" w:rsidP="00753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714652"/>
      <w:docPartObj>
        <w:docPartGallery w:val="Page Numbers (Bottom of Page)"/>
        <w:docPartUnique/>
      </w:docPartObj>
    </w:sdtPr>
    <w:sdtEndPr>
      <w:rPr>
        <w:noProof/>
      </w:rPr>
    </w:sdtEndPr>
    <w:sdtContent>
      <w:p w14:paraId="1CBC471B" w14:textId="5F2FAF4B" w:rsidR="00753D4E" w:rsidRDefault="00753D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94972D" w14:textId="77777777" w:rsidR="00753D4E" w:rsidRDefault="00753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773DF" w14:textId="77777777" w:rsidR="008864DB" w:rsidRDefault="008864DB" w:rsidP="00753D4E">
      <w:pPr>
        <w:spacing w:after="0" w:line="240" w:lineRule="auto"/>
      </w:pPr>
      <w:r>
        <w:separator/>
      </w:r>
    </w:p>
  </w:footnote>
  <w:footnote w:type="continuationSeparator" w:id="0">
    <w:p w14:paraId="09153891" w14:textId="77777777" w:rsidR="008864DB" w:rsidRDefault="008864DB" w:rsidP="00753D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812"/>
    <w:multiLevelType w:val="multilevel"/>
    <w:tmpl w:val="5B8EA8EA"/>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3616796"/>
    <w:multiLevelType w:val="hybridMultilevel"/>
    <w:tmpl w:val="567A09CE"/>
    <w:lvl w:ilvl="0" w:tplc="6302C0CC">
      <w:start w:val="1"/>
      <w:numFmt w:val="bullet"/>
      <w:lvlText w:val="•"/>
      <w:lvlJc w:val="left"/>
      <w:pPr>
        <w:tabs>
          <w:tab w:val="num" w:pos="720"/>
        </w:tabs>
        <w:ind w:left="720" w:hanging="360"/>
      </w:pPr>
      <w:rPr>
        <w:rFonts w:ascii="Arial" w:hAnsi="Arial" w:hint="default"/>
      </w:rPr>
    </w:lvl>
    <w:lvl w:ilvl="1" w:tplc="E8EC61C2" w:tentative="1">
      <w:start w:val="1"/>
      <w:numFmt w:val="bullet"/>
      <w:lvlText w:val="•"/>
      <w:lvlJc w:val="left"/>
      <w:pPr>
        <w:tabs>
          <w:tab w:val="num" w:pos="1440"/>
        </w:tabs>
        <w:ind w:left="1440" w:hanging="360"/>
      </w:pPr>
      <w:rPr>
        <w:rFonts w:ascii="Arial" w:hAnsi="Arial" w:hint="default"/>
      </w:rPr>
    </w:lvl>
    <w:lvl w:ilvl="2" w:tplc="EF60C9AC" w:tentative="1">
      <w:start w:val="1"/>
      <w:numFmt w:val="bullet"/>
      <w:lvlText w:val="•"/>
      <w:lvlJc w:val="left"/>
      <w:pPr>
        <w:tabs>
          <w:tab w:val="num" w:pos="2160"/>
        </w:tabs>
        <w:ind w:left="2160" w:hanging="360"/>
      </w:pPr>
      <w:rPr>
        <w:rFonts w:ascii="Arial" w:hAnsi="Arial" w:hint="default"/>
      </w:rPr>
    </w:lvl>
    <w:lvl w:ilvl="3" w:tplc="7A86F576" w:tentative="1">
      <w:start w:val="1"/>
      <w:numFmt w:val="bullet"/>
      <w:lvlText w:val="•"/>
      <w:lvlJc w:val="left"/>
      <w:pPr>
        <w:tabs>
          <w:tab w:val="num" w:pos="2880"/>
        </w:tabs>
        <w:ind w:left="2880" w:hanging="360"/>
      </w:pPr>
      <w:rPr>
        <w:rFonts w:ascii="Arial" w:hAnsi="Arial" w:hint="default"/>
      </w:rPr>
    </w:lvl>
    <w:lvl w:ilvl="4" w:tplc="42D411F8" w:tentative="1">
      <w:start w:val="1"/>
      <w:numFmt w:val="bullet"/>
      <w:lvlText w:val="•"/>
      <w:lvlJc w:val="left"/>
      <w:pPr>
        <w:tabs>
          <w:tab w:val="num" w:pos="3600"/>
        </w:tabs>
        <w:ind w:left="3600" w:hanging="360"/>
      </w:pPr>
      <w:rPr>
        <w:rFonts w:ascii="Arial" w:hAnsi="Arial" w:hint="default"/>
      </w:rPr>
    </w:lvl>
    <w:lvl w:ilvl="5" w:tplc="B624F9B2" w:tentative="1">
      <w:start w:val="1"/>
      <w:numFmt w:val="bullet"/>
      <w:lvlText w:val="•"/>
      <w:lvlJc w:val="left"/>
      <w:pPr>
        <w:tabs>
          <w:tab w:val="num" w:pos="4320"/>
        </w:tabs>
        <w:ind w:left="4320" w:hanging="360"/>
      </w:pPr>
      <w:rPr>
        <w:rFonts w:ascii="Arial" w:hAnsi="Arial" w:hint="default"/>
      </w:rPr>
    </w:lvl>
    <w:lvl w:ilvl="6" w:tplc="ABC423D6" w:tentative="1">
      <w:start w:val="1"/>
      <w:numFmt w:val="bullet"/>
      <w:lvlText w:val="•"/>
      <w:lvlJc w:val="left"/>
      <w:pPr>
        <w:tabs>
          <w:tab w:val="num" w:pos="5040"/>
        </w:tabs>
        <w:ind w:left="5040" w:hanging="360"/>
      </w:pPr>
      <w:rPr>
        <w:rFonts w:ascii="Arial" w:hAnsi="Arial" w:hint="default"/>
      </w:rPr>
    </w:lvl>
    <w:lvl w:ilvl="7" w:tplc="3E5A5592" w:tentative="1">
      <w:start w:val="1"/>
      <w:numFmt w:val="bullet"/>
      <w:lvlText w:val="•"/>
      <w:lvlJc w:val="left"/>
      <w:pPr>
        <w:tabs>
          <w:tab w:val="num" w:pos="5760"/>
        </w:tabs>
        <w:ind w:left="5760" w:hanging="360"/>
      </w:pPr>
      <w:rPr>
        <w:rFonts w:ascii="Arial" w:hAnsi="Arial" w:hint="default"/>
      </w:rPr>
    </w:lvl>
    <w:lvl w:ilvl="8" w:tplc="1C8EB94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962835"/>
    <w:multiLevelType w:val="multilevel"/>
    <w:tmpl w:val="5B8EA8EA"/>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C40602D"/>
    <w:multiLevelType w:val="hybridMultilevel"/>
    <w:tmpl w:val="C0B42CE2"/>
    <w:lvl w:ilvl="0" w:tplc="51E8BEBA">
      <w:start w:val="1"/>
      <w:numFmt w:val="bullet"/>
      <w:lvlText w:val="•"/>
      <w:lvlJc w:val="left"/>
      <w:pPr>
        <w:tabs>
          <w:tab w:val="num" w:pos="720"/>
        </w:tabs>
        <w:ind w:left="720" w:hanging="360"/>
      </w:pPr>
      <w:rPr>
        <w:rFonts w:ascii="Arial" w:hAnsi="Arial" w:hint="default"/>
      </w:rPr>
    </w:lvl>
    <w:lvl w:ilvl="1" w:tplc="6A7C8D60" w:tentative="1">
      <w:start w:val="1"/>
      <w:numFmt w:val="bullet"/>
      <w:lvlText w:val="•"/>
      <w:lvlJc w:val="left"/>
      <w:pPr>
        <w:tabs>
          <w:tab w:val="num" w:pos="1440"/>
        </w:tabs>
        <w:ind w:left="1440" w:hanging="360"/>
      </w:pPr>
      <w:rPr>
        <w:rFonts w:ascii="Arial" w:hAnsi="Arial" w:hint="default"/>
      </w:rPr>
    </w:lvl>
    <w:lvl w:ilvl="2" w:tplc="249E2ED6" w:tentative="1">
      <w:start w:val="1"/>
      <w:numFmt w:val="bullet"/>
      <w:lvlText w:val="•"/>
      <w:lvlJc w:val="left"/>
      <w:pPr>
        <w:tabs>
          <w:tab w:val="num" w:pos="2160"/>
        </w:tabs>
        <w:ind w:left="2160" w:hanging="360"/>
      </w:pPr>
      <w:rPr>
        <w:rFonts w:ascii="Arial" w:hAnsi="Arial" w:hint="default"/>
      </w:rPr>
    </w:lvl>
    <w:lvl w:ilvl="3" w:tplc="140EE0EC" w:tentative="1">
      <w:start w:val="1"/>
      <w:numFmt w:val="bullet"/>
      <w:lvlText w:val="•"/>
      <w:lvlJc w:val="left"/>
      <w:pPr>
        <w:tabs>
          <w:tab w:val="num" w:pos="2880"/>
        </w:tabs>
        <w:ind w:left="2880" w:hanging="360"/>
      </w:pPr>
      <w:rPr>
        <w:rFonts w:ascii="Arial" w:hAnsi="Arial" w:hint="default"/>
      </w:rPr>
    </w:lvl>
    <w:lvl w:ilvl="4" w:tplc="48F2E894" w:tentative="1">
      <w:start w:val="1"/>
      <w:numFmt w:val="bullet"/>
      <w:lvlText w:val="•"/>
      <w:lvlJc w:val="left"/>
      <w:pPr>
        <w:tabs>
          <w:tab w:val="num" w:pos="3600"/>
        </w:tabs>
        <w:ind w:left="3600" w:hanging="360"/>
      </w:pPr>
      <w:rPr>
        <w:rFonts w:ascii="Arial" w:hAnsi="Arial" w:hint="default"/>
      </w:rPr>
    </w:lvl>
    <w:lvl w:ilvl="5" w:tplc="FB185558" w:tentative="1">
      <w:start w:val="1"/>
      <w:numFmt w:val="bullet"/>
      <w:lvlText w:val="•"/>
      <w:lvlJc w:val="left"/>
      <w:pPr>
        <w:tabs>
          <w:tab w:val="num" w:pos="4320"/>
        </w:tabs>
        <w:ind w:left="4320" w:hanging="360"/>
      </w:pPr>
      <w:rPr>
        <w:rFonts w:ascii="Arial" w:hAnsi="Arial" w:hint="default"/>
      </w:rPr>
    </w:lvl>
    <w:lvl w:ilvl="6" w:tplc="69AC48A6" w:tentative="1">
      <w:start w:val="1"/>
      <w:numFmt w:val="bullet"/>
      <w:lvlText w:val="•"/>
      <w:lvlJc w:val="left"/>
      <w:pPr>
        <w:tabs>
          <w:tab w:val="num" w:pos="5040"/>
        </w:tabs>
        <w:ind w:left="5040" w:hanging="360"/>
      </w:pPr>
      <w:rPr>
        <w:rFonts w:ascii="Arial" w:hAnsi="Arial" w:hint="default"/>
      </w:rPr>
    </w:lvl>
    <w:lvl w:ilvl="7" w:tplc="7BD660A8" w:tentative="1">
      <w:start w:val="1"/>
      <w:numFmt w:val="bullet"/>
      <w:lvlText w:val="•"/>
      <w:lvlJc w:val="left"/>
      <w:pPr>
        <w:tabs>
          <w:tab w:val="num" w:pos="5760"/>
        </w:tabs>
        <w:ind w:left="5760" w:hanging="360"/>
      </w:pPr>
      <w:rPr>
        <w:rFonts w:ascii="Arial" w:hAnsi="Arial" w:hint="default"/>
      </w:rPr>
    </w:lvl>
    <w:lvl w:ilvl="8" w:tplc="8E6AF4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A8302A4"/>
    <w:multiLevelType w:val="hybridMultilevel"/>
    <w:tmpl w:val="74AEB506"/>
    <w:lvl w:ilvl="0" w:tplc="E742533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75591F"/>
    <w:multiLevelType w:val="multilevel"/>
    <w:tmpl w:val="5B8EA8EA"/>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37943273">
    <w:abstractNumId w:val="2"/>
  </w:num>
  <w:num w:numId="2" w16cid:durableId="1100758110">
    <w:abstractNumId w:val="5"/>
  </w:num>
  <w:num w:numId="3" w16cid:durableId="1909027256">
    <w:abstractNumId w:val="4"/>
  </w:num>
  <w:num w:numId="4" w16cid:durableId="1464301810">
    <w:abstractNumId w:val="0"/>
  </w:num>
  <w:num w:numId="5" w16cid:durableId="839277184">
    <w:abstractNumId w:val="1"/>
  </w:num>
  <w:num w:numId="6" w16cid:durableId="4923307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C32"/>
    <w:rsid w:val="000307EF"/>
    <w:rsid w:val="000641E8"/>
    <w:rsid w:val="000F6A87"/>
    <w:rsid w:val="000F6BAB"/>
    <w:rsid w:val="00192569"/>
    <w:rsid w:val="001C7A5E"/>
    <w:rsid w:val="001E2CF9"/>
    <w:rsid w:val="0020018D"/>
    <w:rsid w:val="00204D63"/>
    <w:rsid w:val="0021190E"/>
    <w:rsid w:val="0032476C"/>
    <w:rsid w:val="003401DC"/>
    <w:rsid w:val="003444AB"/>
    <w:rsid w:val="003548B1"/>
    <w:rsid w:val="003702A3"/>
    <w:rsid w:val="003D1943"/>
    <w:rsid w:val="003F418E"/>
    <w:rsid w:val="003F5D70"/>
    <w:rsid w:val="00405F24"/>
    <w:rsid w:val="0042029C"/>
    <w:rsid w:val="00434DC1"/>
    <w:rsid w:val="00437BFB"/>
    <w:rsid w:val="00464A3D"/>
    <w:rsid w:val="00527E2E"/>
    <w:rsid w:val="005A6E67"/>
    <w:rsid w:val="005A708E"/>
    <w:rsid w:val="005D45A9"/>
    <w:rsid w:val="006A0C90"/>
    <w:rsid w:val="006A7E3F"/>
    <w:rsid w:val="00716B90"/>
    <w:rsid w:val="007319FE"/>
    <w:rsid w:val="00753AC7"/>
    <w:rsid w:val="00753D4E"/>
    <w:rsid w:val="007E138E"/>
    <w:rsid w:val="007E7E21"/>
    <w:rsid w:val="00810684"/>
    <w:rsid w:val="00815B74"/>
    <w:rsid w:val="008432C1"/>
    <w:rsid w:val="00886195"/>
    <w:rsid w:val="008864DB"/>
    <w:rsid w:val="00893F0F"/>
    <w:rsid w:val="0089497E"/>
    <w:rsid w:val="008A4BE6"/>
    <w:rsid w:val="008C448A"/>
    <w:rsid w:val="008F3C33"/>
    <w:rsid w:val="008F4920"/>
    <w:rsid w:val="008F52AC"/>
    <w:rsid w:val="009559AD"/>
    <w:rsid w:val="009704FD"/>
    <w:rsid w:val="009719DA"/>
    <w:rsid w:val="00A26935"/>
    <w:rsid w:val="00A33744"/>
    <w:rsid w:val="00AA015C"/>
    <w:rsid w:val="00AA5F86"/>
    <w:rsid w:val="00AA7F11"/>
    <w:rsid w:val="00AC7CFB"/>
    <w:rsid w:val="00AF530E"/>
    <w:rsid w:val="00B5187E"/>
    <w:rsid w:val="00B5244C"/>
    <w:rsid w:val="00B85B6F"/>
    <w:rsid w:val="00BC5578"/>
    <w:rsid w:val="00BF7355"/>
    <w:rsid w:val="00C4284A"/>
    <w:rsid w:val="00C5599A"/>
    <w:rsid w:val="00C74013"/>
    <w:rsid w:val="00CA6196"/>
    <w:rsid w:val="00CD66AF"/>
    <w:rsid w:val="00CE5C32"/>
    <w:rsid w:val="00D20A5C"/>
    <w:rsid w:val="00D241BC"/>
    <w:rsid w:val="00D27771"/>
    <w:rsid w:val="00D41C2D"/>
    <w:rsid w:val="00D528FB"/>
    <w:rsid w:val="00D74711"/>
    <w:rsid w:val="00DC0F3A"/>
    <w:rsid w:val="00DE6DFB"/>
    <w:rsid w:val="00DE742E"/>
    <w:rsid w:val="00DF364C"/>
    <w:rsid w:val="00DF4F25"/>
    <w:rsid w:val="00E56A76"/>
    <w:rsid w:val="00EF0E48"/>
    <w:rsid w:val="00EF27B0"/>
    <w:rsid w:val="00F424CE"/>
    <w:rsid w:val="00F94B56"/>
    <w:rsid w:val="00FE7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2E040"/>
  <w15:chartTrackingRefBased/>
  <w15:docId w15:val="{94E93FC7-051E-4DB7-9C7E-816614AD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C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5C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5C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C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C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C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C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C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C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C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5C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5C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C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C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C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C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C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C32"/>
    <w:rPr>
      <w:rFonts w:eastAsiaTheme="majorEastAsia" w:cstheme="majorBidi"/>
      <w:color w:val="272727" w:themeColor="text1" w:themeTint="D8"/>
    </w:rPr>
  </w:style>
  <w:style w:type="paragraph" w:styleId="Title">
    <w:name w:val="Title"/>
    <w:basedOn w:val="Normal"/>
    <w:next w:val="Normal"/>
    <w:link w:val="TitleChar"/>
    <w:uiPriority w:val="10"/>
    <w:qFormat/>
    <w:rsid w:val="00CE5C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C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C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C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C32"/>
    <w:pPr>
      <w:spacing w:before="160"/>
      <w:jc w:val="center"/>
    </w:pPr>
    <w:rPr>
      <w:i/>
      <w:iCs/>
      <w:color w:val="404040" w:themeColor="text1" w:themeTint="BF"/>
    </w:rPr>
  </w:style>
  <w:style w:type="character" w:customStyle="1" w:styleId="QuoteChar">
    <w:name w:val="Quote Char"/>
    <w:basedOn w:val="DefaultParagraphFont"/>
    <w:link w:val="Quote"/>
    <w:uiPriority w:val="29"/>
    <w:rsid w:val="00CE5C32"/>
    <w:rPr>
      <w:i/>
      <w:iCs/>
      <w:color w:val="404040" w:themeColor="text1" w:themeTint="BF"/>
    </w:rPr>
  </w:style>
  <w:style w:type="paragraph" w:styleId="ListParagraph">
    <w:name w:val="List Paragraph"/>
    <w:basedOn w:val="Normal"/>
    <w:uiPriority w:val="34"/>
    <w:qFormat/>
    <w:rsid w:val="00CE5C32"/>
    <w:pPr>
      <w:ind w:left="720"/>
      <w:contextualSpacing/>
    </w:pPr>
  </w:style>
  <w:style w:type="character" w:styleId="IntenseEmphasis">
    <w:name w:val="Intense Emphasis"/>
    <w:basedOn w:val="DefaultParagraphFont"/>
    <w:uiPriority w:val="21"/>
    <w:qFormat/>
    <w:rsid w:val="00CE5C32"/>
    <w:rPr>
      <w:i/>
      <w:iCs/>
      <w:color w:val="0F4761" w:themeColor="accent1" w:themeShade="BF"/>
    </w:rPr>
  </w:style>
  <w:style w:type="paragraph" w:styleId="IntenseQuote">
    <w:name w:val="Intense Quote"/>
    <w:basedOn w:val="Normal"/>
    <w:next w:val="Normal"/>
    <w:link w:val="IntenseQuoteChar"/>
    <w:uiPriority w:val="30"/>
    <w:qFormat/>
    <w:rsid w:val="00CE5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C32"/>
    <w:rPr>
      <w:i/>
      <w:iCs/>
      <w:color w:val="0F4761" w:themeColor="accent1" w:themeShade="BF"/>
    </w:rPr>
  </w:style>
  <w:style w:type="character" w:styleId="IntenseReference">
    <w:name w:val="Intense Reference"/>
    <w:basedOn w:val="DefaultParagraphFont"/>
    <w:uiPriority w:val="32"/>
    <w:qFormat/>
    <w:rsid w:val="00CE5C32"/>
    <w:rPr>
      <w:b/>
      <w:bCs/>
      <w:smallCaps/>
      <w:color w:val="0F4761" w:themeColor="accent1" w:themeShade="BF"/>
      <w:spacing w:val="5"/>
    </w:rPr>
  </w:style>
  <w:style w:type="table" w:styleId="GridTable2-Accent6">
    <w:name w:val="Grid Table 2 Accent 6"/>
    <w:basedOn w:val="TableNormal"/>
    <w:uiPriority w:val="47"/>
    <w:rsid w:val="00AF530E"/>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eGrid">
    <w:name w:val="Table Grid"/>
    <w:basedOn w:val="TableNormal"/>
    <w:uiPriority w:val="39"/>
    <w:rsid w:val="00AF5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4">
    <w:name w:val="Grid Table 2 Accent 4"/>
    <w:basedOn w:val="TableNormal"/>
    <w:uiPriority w:val="47"/>
    <w:rsid w:val="00AF530E"/>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4">
    <w:name w:val="List Table 4 Accent 4"/>
    <w:basedOn w:val="TableNormal"/>
    <w:uiPriority w:val="49"/>
    <w:rsid w:val="00AF530E"/>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1">
    <w:name w:val="Grid Table 6 Colorful Accent 1"/>
    <w:basedOn w:val="TableNormal"/>
    <w:uiPriority w:val="51"/>
    <w:rsid w:val="00AF530E"/>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3">
    <w:name w:val="Grid Table 6 Colorful Accent 3"/>
    <w:basedOn w:val="TableNormal"/>
    <w:uiPriority w:val="51"/>
    <w:rsid w:val="00AA7F11"/>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Accent2">
    <w:name w:val="Grid Table 1 Light Accent 2"/>
    <w:basedOn w:val="TableNormal"/>
    <w:uiPriority w:val="46"/>
    <w:rsid w:val="00AA015C"/>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A015C"/>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F4F25"/>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5A70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Hyperlink">
    <w:name w:val="Hyperlink"/>
    <w:basedOn w:val="DefaultParagraphFont"/>
    <w:uiPriority w:val="99"/>
    <w:unhideWhenUsed/>
    <w:rsid w:val="001E2CF9"/>
    <w:rPr>
      <w:color w:val="0000FF"/>
      <w:u w:val="single"/>
    </w:rPr>
  </w:style>
  <w:style w:type="character" w:styleId="UnresolvedMention">
    <w:name w:val="Unresolved Mention"/>
    <w:basedOn w:val="DefaultParagraphFont"/>
    <w:uiPriority w:val="99"/>
    <w:semiHidden/>
    <w:unhideWhenUsed/>
    <w:rsid w:val="001E2CF9"/>
    <w:rPr>
      <w:color w:val="605E5C"/>
      <w:shd w:val="clear" w:color="auto" w:fill="E1DFDD"/>
    </w:rPr>
  </w:style>
  <w:style w:type="character" w:styleId="FollowedHyperlink">
    <w:name w:val="FollowedHyperlink"/>
    <w:basedOn w:val="DefaultParagraphFont"/>
    <w:uiPriority w:val="99"/>
    <w:semiHidden/>
    <w:unhideWhenUsed/>
    <w:rsid w:val="001E2CF9"/>
    <w:rPr>
      <w:color w:val="96607D" w:themeColor="followedHyperlink"/>
      <w:u w:val="single"/>
    </w:rPr>
  </w:style>
  <w:style w:type="paragraph" w:styleId="Header">
    <w:name w:val="header"/>
    <w:basedOn w:val="Normal"/>
    <w:link w:val="HeaderChar"/>
    <w:uiPriority w:val="99"/>
    <w:unhideWhenUsed/>
    <w:rsid w:val="00753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D4E"/>
  </w:style>
  <w:style w:type="paragraph" w:styleId="Footer">
    <w:name w:val="footer"/>
    <w:basedOn w:val="Normal"/>
    <w:link w:val="FooterChar"/>
    <w:uiPriority w:val="99"/>
    <w:unhideWhenUsed/>
    <w:rsid w:val="00753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managementweekly.org/thomas-kilmann-conflict-resolution-mode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stor.org/stable/259247?seq=4" TargetMode="External"/><Relationship Id="rId17" Type="http://schemas.openxmlformats.org/officeDocument/2006/relationships/hyperlink" Target="https://www.gov.uk/data-protection" TargetMode="External"/><Relationship Id="rId2" Type="http://schemas.openxmlformats.org/officeDocument/2006/relationships/styles" Target="styles.xml"/><Relationship Id="rId16" Type="http://schemas.openxmlformats.org/officeDocument/2006/relationships/hyperlink" Target="https://www.scribd.com/document/723514751/skift-research-exploring-gen-z-and-millennial-travel-habi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liahotelsinternational.com/en/ourCompany/Documents/Hist%C3%B3ricoInforme/mhi_memoria_23_en_i.pdf" TargetMode="External"/><Relationship Id="rId5" Type="http://schemas.openxmlformats.org/officeDocument/2006/relationships/footnotes" Target="footnotes.xml"/><Relationship Id="rId15" Type="http://schemas.openxmlformats.org/officeDocument/2006/relationships/hyperlink" Target="https://blog.oxfordcollegeofmarketing.com/2018/04/23/what-is-mendelows-matrix-and-how-is-it-useful/" TargetMode="External"/><Relationship Id="rId10" Type="http://schemas.openxmlformats.org/officeDocument/2006/relationships/hyperlink" Target="https://www.meliahotelsinternational.com/en/shareholdersAndInvestors/PublicDocs/2022/4Q%202022/MHI%20Release%2012M2022%20E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phocuswi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3100</TotalTime>
  <Pages>23</Pages>
  <Words>6430</Words>
  <Characters>36657</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Bogdan Sandu-Rizea (2418689)</dc:creator>
  <cp:keywords/>
  <dc:description/>
  <cp:lastModifiedBy>Nicolae Bogdan Sandu-Rizea (2418689)</cp:lastModifiedBy>
  <cp:revision>39</cp:revision>
  <cp:lastPrinted>2026-03-21T10:11:00Z</cp:lastPrinted>
  <dcterms:created xsi:type="dcterms:W3CDTF">2026-03-17T08:59:00Z</dcterms:created>
  <dcterms:modified xsi:type="dcterms:W3CDTF">2026-03-21T14:11:00Z</dcterms:modified>
</cp:coreProperties>
</file>