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Heading1"/>
        <w:spacing w:before="240" w:after="0"/>
        <w:rPr>
          <w:rFonts w:ascii="Times New Roman" w:hAnsi="Times New Roman" w:cs="Times New Roman"/>
          <w:sz w:val="24"/>
          <w:szCs w:val="24"/>
        </w:rPr>
      </w:pPr>
      <w:r>
        <w:rPr>
          <w:rFonts w:cs="Times New Roman" w:ascii="Times New Roman" w:hAnsi="Times New Roman"/>
          <w:sz w:val="24"/>
          <w:szCs w:val="24"/>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Normal"/>
        <w:rPr/>
      </w:pPr>
      <w:r>
        <w:rPr/>
      </w:r>
    </w:p>
    <w:p>
      <w:pPr>
        <w:pStyle w:val="Heading1"/>
        <w:jc w:val="center"/>
        <w:rPr>
          <w:rFonts w:ascii="Times New Roman" w:hAnsi="Times New Roman" w:cs="Times New Roman"/>
          <w:sz w:val="44"/>
          <w:szCs w:val="44"/>
        </w:rPr>
      </w:pPr>
      <w:r>
        <w:rPr>
          <w:rFonts w:cs="Times New Roman" w:ascii="Times New Roman" w:hAnsi="Times New Roman"/>
          <w:sz w:val="44"/>
          <w:szCs w:val="44"/>
        </w:rPr>
        <w:t>ORGANIZATIONAL STRUCTURE AND CULTURE OF IKEA</w:t>
      </w:r>
    </w:p>
    <w:p>
      <w:pPr>
        <w:pStyle w:val="Normal"/>
        <w:jc w:val="left"/>
        <w:rPr>
          <w:rFonts w:ascii="Times New Roman" w:hAnsi="Times New Roman" w:cs="Times New Roman"/>
          <w:b/>
          <w:b/>
          <w:sz w:val="24"/>
          <w:szCs w:val="24"/>
        </w:rPr>
      </w:pPr>
      <w:r>
        <w:rPr/>
      </w:r>
    </w:p>
    <w:p>
      <w:pPr>
        <w:pStyle w:val="Normal"/>
        <w:jc w:val="left"/>
        <w:rPr>
          <w:sz w:val="32"/>
          <w:szCs w:val="32"/>
        </w:rPr>
      </w:pPr>
      <w:r>
        <w:rPr>
          <w:rFonts w:cs="Times New Roman" w:ascii="Times New Roman" w:hAnsi="Times New Roman"/>
          <w:b/>
          <w:sz w:val="32"/>
          <w:szCs w:val="32"/>
        </w:rPr>
        <w:t>Student Name: Veronica Casian</w:t>
      </w:r>
    </w:p>
    <w:p>
      <w:pPr>
        <w:pStyle w:val="Normal"/>
        <w:jc w:val="left"/>
        <w:rPr>
          <w:sz w:val="32"/>
          <w:szCs w:val="32"/>
        </w:rPr>
      </w:pPr>
      <w:r>
        <w:rPr>
          <w:rFonts w:cs="Times New Roman" w:ascii="Times New Roman" w:hAnsi="Times New Roman"/>
          <w:b/>
          <w:sz w:val="32"/>
          <w:szCs w:val="32"/>
        </w:rPr>
        <w:t>Student Number: 1915975</w:t>
      </w:r>
    </w:p>
    <w:p>
      <w:pPr>
        <w:pStyle w:val="Normal"/>
        <w:jc w:val="left"/>
        <w:rPr>
          <w:sz w:val="32"/>
          <w:szCs w:val="32"/>
        </w:rPr>
      </w:pPr>
      <w:r>
        <w:rPr>
          <w:rFonts w:cs="Times New Roman" w:ascii="Times New Roman" w:hAnsi="Times New Roman"/>
          <w:b/>
          <w:sz w:val="32"/>
          <w:szCs w:val="32"/>
        </w:rPr>
        <w:t>Module Title: Introducing the Modern Workplace</w:t>
      </w:r>
    </w:p>
    <w:p>
      <w:pPr>
        <w:pStyle w:val="Normal"/>
        <w:jc w:val="left"/>
        <w:rPr>
          <w:sz w:val="32"/>
          <w:szCs w:val="32"/>
        </w:rPr>
      </w:pPr>
      <w:r>
        <w:rPr>
          <w:rFonts w:cs="Times New Roman" w:ascii="Times New Roman" w:hAnsi="Times New Roman"/>
          <w:b/>
          <w:sz w:val="32"/>
          <w:szCs w:val="32"/>
        </w:rPr>
        <w:t>Assingment Title: Structure and Culture</w:t>
      </w:r>
    </w:p>
    <w:p>
      <w:pPr>
        <w:pStyle w:val="Normal"/>
        <w:jc w:val="left"/>
        <w:rPr>
          <w:sz w:val="32"/>
          <w:szCs w:val="32"/>
        </w:rPr>
      </w:pPr>
      <w:r>
        <w:rPr>
          <w:rFonts w:cs="Times New Roman" w:ascii="Times New Roman" w:hAnsi="Times New Roman"/>
          <w:b/>
          <w:sz w:val="32"/>
          <w:szCs w:val="32"/>
        </w:rPr>
        <w:t>Module Lecturer’s name: Gregory Cowan</w:t>
      </w:r>
    </w:p>
    <w:p>
      <w:pPr>
        <w:pStyle w:val="Normal"/>
        <w:jc w:val="left"/>
        <w:rPr>
          <w:rFonts w:ascii="Times New Roman" w:hAnsi="Times New Roman" w:cs="Times New Roman"/>
          <w:b/>
          <w:b/>
          <w:sz w:val="24"/>
          <w:szCs w:val="24"/>
        </w:rPr>
      </w:pPr>
      <w:r>
        <w:rPr/>
      </w:r>
    </w:p>
    <w:p>
      <w:pPr>
        <w:pStyle w:val="Heading1"/>
        <w:rPr>
          <w:rFonts w:ascii="Times New Roman" w:hAnsi="Times New Roman" w:cs="Times New Roman"/>
          <w:sz w:val="24"/>
          <w:szCs w:val="24"/>
        </w:rPr>
      </w:pPr>
      <w:r>
        <w:rPr>
          <w:rFonts w:cs="Times New Roman" w:ascii="Times New Roman" w:hAnsi="Times New Roman"/>
          <w:sz w:val="24"/>
          <w:szCs w:val="24"/>
        </w:rPr>
      </w:r>
    </w:p>
    <w:p>
      <w:pPr>
        <w:pStyle w:val="Heading1"/>
        <w:rPr>
          <w:rFonts w:ascii="Times New Roman" w:hAnsi="Times New Roman" w:cs="Times New Roman"/>
          <w:sz w:val="24"/>
          <w:szCs w:val="24"/>
        </w:rPr>
      </w:pPr>
      <w:r>
        <w:rPr>
          <w:rFonts w:cs="Times New Roman" w:ascii="Times New Roman" w:hAnsi="Times New Roman"/>
          <w:sz w:val="24"/>
          <w:szCs w:val="24"/>
        </w:rPr>
      </w:r>
    </w:p>
    <w:p>
      <w:pPr>
        <w:pStyle w:val="Heading1"/>
        <w:rPr>
          <w:rFonts w:ascii="Times New Roman" w:hAnsi="Times New Roman" w:cs="Times New Roman"/>
          <w:sz w:val="24"/>
          <w:szCs w:val="24"/>
        </w:rPr>
      </w:pPr>
      <w:r>
        <w:rPr>
          <w:rFonts w:cs="Times New Roman" w:ascii="Times New Roman" w:hAnsi="Times New Roman"/>
          <w:sz w:val="24"/>
          <w:szCs w:val="24"/>
        </w:rPr>
      </w:r>
    </w:p>
    <w:p>
      <w:pPr>
        <w:pStyle w:val="Heading1"/>
        <w:rPr>
          <w:rFonts w:ascii="Times New Roman" w:hAnsi="Times New Roman" w:cs="Times New Roman"/>
          <w:sz w:val="24"/>
          <w:szCs w:val="24"/>
        </w:rPr>
      </w:pPr>
      <w:r>
        <w:rPr>
          <w:rFonts w:cs="Times New Roman" w:ascii="Times New Roman" w:hAnsi="Times New Roman"/>
          <w:sz w:val="24"/>
          <w:szCs w:val="24"/>
        </w:rPr>
      </w:r>
    </w:p>
    <w:p>
      <w:pPr>
        <w:pStyle w:val="Normal"/>
        <w:rPr>
          <w:rFonts w:ascii="Times New Roman" w:hAnsi="Times New Roman" w:eastAsia="" w:cs="Times New Roman" w:eastAsiaTheme="majorEastAsia"/>
          <w:b/>
          <w:b/>
          <w:color w:val="000000" w:themeColor="text1"/>
          <w:sz w:val="24"/>
          <w:szCs w:val="24"/>
        </w:rPr>
      </w:pPr>
      <w:r>
        <w:rPr>
          <w:rFonts w:eastAsia="" w:cs="Times New Roman" w:eastAsiaTheme="majorEastAsia" w:ascii="Times New Roman" w:hAnsi="Times New Roman"/>
          <w:b/>
          <w:color w:val="000000" w:themeColor="text1"/>
          <w:sz w:val="24"/>
          <w:szCs w:val="24"/>
        </w:rPr>
      </w:r>
      <w:r>
        <w:br w:type="page"/>
      </w:r>
    </w:p>
    <w:p>
      <w:pPr>
        <w:pStyle w:val="Heading1"/>
        <w:spacing w:lineRule="auto" w:line="480"/>
        <w:rPr>
          <w:rFonts w:ascii="Times New Roman" w:hAnsi="Times New Roman" w:cs="Times New Roman"/>
        </w:rPr>
      </w:pPr>
      <w:r>
        <w:rPr>
          <w:rFonts w:cs="Times New Roman" w:ascii="Times New Roman" w:hAnsi="Times New Roman"/>
        </w:rPr>
        <w:t>Introduction</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Today IKEA is, in reality, a private corporation operated in the Netherlands by the Stitching INGKA Foundation, which is managed by the three children of Kamprad. The foundation of the Netherlands in 2016 was worth 36 billion US dollars. IKEA Company is a multinational retailer with a retail chain for home decor and accessories with its headquarters in Denmark. It is the world's biggest retailer of furniture and is famous for its low cost, design, and style. The total home furniture revenues of IKEA are EUR 20 billion, and the IKEA Company has more than 260 outlets in 25 nations.</w:t>
      </w:r>
    </w:p>
    <w:p>
      <w:pPr>
        <w:pStyle w:val="Heading1"/>
        <w:spacing w:lineRule="auto" w:line="480"/>
        <w:rPr>
          <w:rFonts w:ascii="Times New Roman" w:hAnsi="Times New Roman" w:cs="Times New Roman"/>
        </w:rPr>
      </w:pPr>
      <w:r>
        <w:rPr>
          <w:rFonts w:cs="Times New Roman" w:ascii="Times New Roman" w:hAnsi="Times New Roman"/>
        </w:rPr>
        <w:t>The organizational structure of IKEA</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Management must be adequately robust to ensure that the approach takes part through cross-domain business processes and that knowledge is handled and exchanged around the space, organizational, regional, and seminary borders to succeed in an intensely competitive setting. At the risk of harming certain aspects of the supply chain, for example, Stakeholder concerns are frequently neglected, and the network undermined. Therefore, businesses face the problem of exchanging knowledge insofar that it helps their future rivals to obtain or maintain less profitable business intelligence. In the end, a close-knit solution winds up becoming self-defeating and threatens a more hostile rival. Ikea does not produce goods, but in their development, it plays a significant design and invention role. They will retain a competitive edge by exporting production. If another manufacturer doesn't produce the product as stated, then they can choose another supplier that cannot and doesn't incur construction cost and ROI costs. (Alvesson,2012)</w:t>
      </w:r>
    </w:p>
    <w:p>
      <w:pPr>
        <w:pStyle w:val="Heading2"/>
        <w:spacing w:lineRule="auto" w:line="480"/>
        <w:rPr>
          <w:rFonts w:ascii="Times New Roman" w:hAnsi="Times New Roman" w:cs="Times New Roman"/>
        </w:rPr>
      </w:pPr>
      <w:r>
        <w:rPr>
          <w:rFonts w:cs="Times New Roman" w:ascii="Times New Roman" w:hAnsi="Times New Roman"/>
        </w:rPr>
        <w:t>Functions in IKEA</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IKEA has about 1,220 vendors, and the company is continuously developing and advancing in their product line every day and every year. The significant knowledge technology issues with IKEA can be identified instantly. Nothing other than a business whose policy demands that a worldwide network and a large client base be supplied. This is clear to realize why cooperation between various vendors and DC is essential because there is a large community of vendors. Several cooking goods, e.g., can be manufactured by multiple producers with varying delivery dates, manufacturing capability, geographical position, distribution rates, etc. On the one side, they want to maintain a consistent supply that can accommodate variations in demand because else consumers are disappointed and are going to purchase from other countries. (Alvesson,2012) Customer demand may also vary from one country to another, for example, a country may have stores based mainly on towns where, naturally, the demand is higher, for example, for the saving space furnishings that can be produced in a country around the world. Ikea has immense logistical challenges, mainly because its mission is to produce premium medium-range goods at a low cost. The preparation of supplies is essential for this policy. Throughout these conditions, one has to predict the whole company and organize the fulfillment centers into categories and store a ton for many DCs. For strategic business planning, CDC's capability and the geographical role are critical. High CDC capacity or low capacity close CDC has reliability concerns due to their output volume and the effect they have on production time. (Ranson,2010)</w:t>
      </w:r>
    </w:p>
    <w:p>
      <w:pPr>
        <w:pStyle w:val="Heading2"/>
        <w:spacing w:lineRule="auto" w:line="480"/>
        <w:rPr>
          <w:rFonts w:ascii="Times New Roman" w:hAnsi="Times New Roman" w:cs="Times New Roman"/>
        </w:rPr>
      </w:pPr>
      <w:r>
        <w:rPr>
          <w:rFonts w:cs="Times New Roman" w:ascii="Times New Roman" w:hAnsi="Times New Roman"/>
        </w:rPr>
        <w:t>Management of IKEA</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Business management also requires finished monitoring and automation systems and a capacity to review and respond to related data rapidly, including preparation and future preparation focused on possible requirements and potential adjustments in the market climate, not spontaneous burning or reactive. Data structures may be generally categorized into transaction processing organizational stage, information level for business and office administration, decision-making level, intellectual service, and administration policy level. The software structures enable technology of the supply and demand in both the business process and for the supply chain of businesses, consumers as well as for knowledge management. Finally, all device results are analyzed, and guidance is given, as well as managerial assistance to plan, track, and execute the policy and the general workforce. (Cameron,2011)</w:t>
      </w:r>
    </w:p>
    <w:p>
      <w:pPr>
        <w:pStyle w:val="Heading2"/>
        <w:spacing w:lineRule="auto" w:line="480"/>
        <w:rPr>
          <w:rFonts w:ascii="Times New Roman" w:hAnsi="Times New Roman" w:cs="Times New Roman"/>
        </w:rPr>
      </w:pPr>
      <w:r>
        <w:rPr>
          <w:rFonts w:cs="Times New Roman" w:ascii="Times New Roman" w:hAnsi="Times New Roman"/>
        </w:rPr>
        <w:t>Marketing of service</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By 2015, IKEA had about 40 fulfillment centers by 16 separate countries worldwide; in 15 of its Distribution Centers (DC) or Consumer Distribution Centers (CDC), it launched the integrated warehouse management program. Marketing a company needs several measures, and the handling of knowledge is essential to the performance of the company. Through the beginning to the consumer, Ikea also designs &amp; creates products. To achieve so, they operate from the CAD drawings and build actual goods using their concept sketches on prototype machines. However, the manufacturing of goods is essential than just the development and testing of prototypes. Material sources, process costs, and packaging development must be taken into account with the manufacturer. IKEA is known for its flat packages, which are mainly designed to maximize space use while transporting and warehousing, and which are not only suitable for fitting into the customer's car. (Denison,2015) Early on, IKEA discovered that room is always unused during preparation or travel, which costs capital, whether or not it is utilized. It is often the concept of a flat box, with a clear expectation and practical usage of storage and transport demand. Therefore, goods must be researched and evaluated for promotion, and particular attention must be taken in delivery, forecasting, and financial matters. Failure to deal with one such area can damage the company in its entirety immensely, for example, if a product reaches the faulty shelf, it can damage the company's brand, e.g., when the process of the production is expensive to be established the cost of borrowing and capital of liquidity become significantly under pressure. This is, therefore, important to catalog, list, mark, and show the product appropriately. Both of these are part of the implementation phase, and both involve a thorough review of knowledge and the correct transmission of information. </w:t>
      </w:r>
    </w:p>
    <w:p>
      <w:pPr>
        <w:pStyle w:val="Heading2"/>
        <w:spacing w:lineRule="auto" w:line="480"/>
        <w:rPr>
          <w:rFonts w:ascii="Times New Roman" w:hAnsi="Times New Roman" w:cs="Times New Roman"/>
        </w:rPr>
      </w:pPr>
      <w:r>
        <w:rPr>
          <w:rFonts w:cs="Times New Roman" w:ascii="Times New Roman" w:hAnsi="Times New Roman"/>
        </w:rPr>
        <w:t xml:space="preserve">Rate of supervision </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Consequently, order preparation is essential to its function, and discrepancies between supply and demand can determine its outcomes. In 2015, the organization agreed to utilize Anglistics' SAP-based market forecasting software to minimize inventory rates in its fulfillment centers by 10 percent at a minimum; in 2015, this issue was described as severe. During the delivery of applications, essential infrastructure such as staff, equipment, facilities, vendors, budgets, services, stock rates must be established, and the supply and demand variations with excellent precision can be measured. (Dow,2018)</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In Japanese, 'Kaizen' means 'amelioration' and refers to a theory or activities centered on constantly enhancing development, company processes, and management procedures. Continuing progress has been an essential idea, and this transition will be guided by technology and knowledge transmission. To accommodate shifts in the knowledge process, the software structures must be scalable and versatile. The shortcomings of this versatility are determined at an early stage by the program and product choices. When there are large quantities of inventories, the business often appears as based upon its production and not customer-centered, which then does not drag the supply chain; instead, it drives it, causing a 'supply-demand gap,' of course. The Supply Chain Council is an autonomous organization comprising multinational supply chain managers and consultants who have been engaged in the study and development of the Supply Chain. Nevertheless, models also depend on assumptions and hypotheses that are accurate, but the effects of which are maybe inaccurate. The explanation is that they need vast volumes of details, which are challenging to obtain and quantify and also include estimates for entire lots. The Wilson method is one such case. Administration costs are calculated by the Wilson model to be focused on a stock storage unit expense and one-time costs, each time an order is issued. Its formulae attempt to reach a precise balance between the two factors to reduce the overall expense, regarded as the quantity of economic order. Where demand is established, the output quantity may be calculated. (Hofstede,2011)</w:t>
      </w:r>
    </w:p>
    <w:p>
      <w:pPr>
        <w:pStyle w:val="Heading1"/>
        <w:spacing w:lineRule="auto" w:line="480"/>
        <w:rPr>
          <w:rFonts w:ascii="Times New Roman" w:hAnsi="Times New Roman" w:cs="Times New Roman"/>
        </w:rPr>
      </w:pPr>
      <w:r>
        <w:rPr>
          <w:rFonts w:cs="Times New Roman" w:ascii="Times New Roman" w:hAnsi="Times New Roman"/>
        </w:rPr>
        <w:t>Culture of IKEA</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Ikea has a Chances Analyzer that follows the SCOR pattern. It is also called a potential Analyzer. The Incentive Analyzer Management integrates standard practices and primary metrics of success. The Opportunity Analyzer identifies, e.g., output success, it highlights essential core KPIs. While MIS systems may also be useful as a method for management by goals (MBO) in the generation of statistic accounts and data analysis. The goals are set with the ratio of SMART: that is, the objectives are to be precise, observable, reasonable, timely, and practical. Each MBO target would be sufficient if the improvement is continuously tracked. This may be incredibly helpful to use an MIS program to monitor this output. After all SMART goals are observable by nature, management reports can be monitored by decision-makers by producing them. (James,2010)</w:t>
      </w:r>
    </w:p>
    <w:p>
      <w:pPr>
        <w:pStyle w:val="Heading2"/>
        <w:spacing w:lineRule="auto" w:line="480"/>
        <w:rPr>
          <w:rFonts w:ascii="Times New Roman" w:hAnsi="Times New Roman" w:cs="Times New Roman"/>
        </w:rPr>
      </w:pPr>
      <w:r>
        <w:rPr>
          <w:rFonts w:cs="Times New Roman" w:ascii="Times New Roman" w:hAnsi="Times New Roman"/>
        </w:rPr>
        <w:t xml:space="preserve">Public capital employee </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With 125000 employees in 40 different countries, Ikea is also a major global employer. The culture of the organization was very Christian in its beliefs, as its ideology was to accept everyone as one might wish and its conviction is about what Japanese businesses have shown to their employees nowadays, namely the dedication and thus active employee engagement, that they must be encouraged to feel that they contribute to the business. Most production departments, for example, are entirely self-contained, but innovative, enticing items can be produced periodically. Ikea's philosophy of employment is especially welcomed in the USA, where moral situations are not going along with the employers and employees of the company; this has been led to the industry reporting one of the sectors' highest unemployment levels. Consequently, the burden of hiring and preparing substitutes at regular periods is often significant for human capital. The organization also has a tailored compensation program as it increasingly recognizes that potential motivators for discontent vary between people. </w:t>
      </w:r>
    </w:p>
    <w:p>
      <w:pPr>
        <w:pStyle w:val="Heading2"/>
        <w:spacing w:lineRule="auto" w:line="480"/>
        <w:rPr>
          <w:rFonts w:ascii="Times New Roman" w:hAnsi="Times New Roman" w:cs="Times New Roman"/>
        </w:rPr>
      </w:pPr>
      <w:r>
        <w:rPr>
          <w:rFonts w:cs="Times New Roman" w:ascii="Times New Roman" w:hAnsi="Times New Roman"/>
        </w:rPr>
        <w:t>Management by setting goals and objectives</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1. Superior informality and accessibility. In IKEA US, there are just a couple of employees that have business cards because everyone is first-name-only, so they are seated side by side at IKEA tables, and if they have an ego that wants to rub, IKEA isn't a workplace for them. The fundamental principles of IKEA: the I that wants to be placed on are the cornerstones of IKEA. </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2.IKEA has no influence, which implies freedom, fair treatment, open supervisors, and coaching staff. Power is autonomous, and administrators depend on their team leaders' expertise. People expect feedback. IKEA provides a more straightforward system as the employer/employee partnership is a deal founded on shared benefit, recruiting and advancement decisions will be made on performance only. IKEA has a women 's layout potentially. Supportive administrators, involvement in decision making. By consensus and dialogue, disputes are settled. (Lawrence,2017)</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3. Managers who tend to run as an independent show do not blend with IKEA organization. The Swedish mobilizers want to guarantee that they only recruit workers who respect their beliefs and embrace their history. Therefore, individuals wanting to enter IKEA would be given an online test that offers a set of ten job scenarios with a variety of steps. The study findings tell candidates whether they are likely to blend with IKEA's organizational culture. This includes diversity and increasing forms of doing things among workers. As of 2018, 70% of all staff and 40% of executives within Inter IKEA Group were women. The manufacturer of furniture supports the freedom to be itself with its LGBT+ staff. The organization frequently aims to improve the balance in the employees of various ethnic groups. The world's largest furniture retailer claims it leads to innovation and encourages business success by respecting discrepancies among its workers. </w:t>
      </w:r>
    </w:p>
    <w:p>
      <w:pPr>
        <w:pStyle w:val="Heading1"/>
        <w:spacing w:lineRule="auto" w:line="480"/>
        <w:rPr>
          <w:rFonts w:ascii="Times New Roman" w:hAnsi="Times New Roman" w:cs="Times New Roman"/>
        </w:rPr>
      </w:pPr>
      <w:r>
        <w:rPr>
          <w:rFonts w:cs="Times New Roman" w:ascii="Times New Roman" w:hAnsi="Times New Roman"/>
        </w:rPr>
        <w:t>Conclusion</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IKEA's creator and long-time chief Ingvar Kamprad was renowned for the frugal manner he has been with his money for the first two decades: he operates a 2013 Volvo 240 GL; he buys clothing from flea markets. He was also famous for his haircuts while he was going to developing nations to save money. IKEA's Organizational culture is the organization's "personality," the climate in which employees live. Whenever someone asks of "the way we handle it here," they speak about the atmosphere of the organization. The indigenous society is like an ocean. When they walk around the organization, they can see and hear the observable culture.  This structure and culture seem to have a significant impact on the success of IKEA, which seems to be brighter in the future.</w:t>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Normal"/>
        <w:spacing w:lineRule="auto" w:line="480"/>
        <w:rPr>
          <w:rFonts w:ascii="Times New Roman" w:hAnsi="Times New Roman" w:cs="Times New Roman"/>
        </w:rPr>
      </w:pPr>
      <w:r>
        <w:rPr>
          <w:rFonts w:cs="Times New Roman" w:ascii="Times New Roman" w:hAnsi="Times New Roman"/>
        </w:rPr>
      </w:r>
    </w:p>
    <w:p>
      <w:pPr>
        <w:pStyle w:val="Heading1"/>
        <w:spacing w:lineRule="auto" w:line="480"/>
        <w:rPr>
          <w:rFonts w:ascii="Times New Roman" w:hAnsi="Times New Roman" w:cs="Times New Roman"/>
        </w:rPr>
      </w:pPr>
      <w:r>
        <w:rPr>
          <w:rFonts w:cs="Times New Roman" w:ascii="Times New Roman" w:hAnsi="Times New Roman"/>
        </w:rPr>
        <w:t>References</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Alvesson, M. 2012. Understanding Organizational Culture. London, UK: Sage.</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Cameron, K.S. and Quinn, R.E. 2011. Diagnosing and Changing Organizational Culture: The Competing Vales Framework. Reading, Ma: Addison-Wesley. </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Denison, D. R. and Mishra, A. K. 2015. Toward a theory of Organizational Culture and Effectiveness. Organization Science, 6, pp. 204–223.</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Dow, G.K. 2018. Configurational and Coactivation Views of Organizational Structure. Academy of Management Review, 13(1), pp. 53-64.</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Hofstede, G. 2011. Culture's Consequences. Thousand Oaks, CA: Sage Publications</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 xml:space="preserve">James, L., James L. &amp; Ashe D. 2010.  Meaning of organizations: the role of cognition and values. In P. Schneider (ed.), Organizational Climate and Culture, pp 32 – 54. </w:t>
      </w:r>
    </w:p>
    <w:p>
      <w:pPr>
        <w:pStyle w:val="Normal"/>
        <w:spacing w:lineRule="auto" w:line="480"/>
        <w:rPr>
          <w:rFonts w:ascii="Times New Roman" w:hAnsi="Times New Roman" w:cs="Times New Roman"/>
          <w:sz w:val="24"/>
          <w:szCs w:val="24"/>
        </w:rPr>
      </w:pPr>
      <w:r>
        <w:rPr>
          <w:rFonts w:cs="Times New Roman" w:ascii="Times New Roman" w:hAnsi="Times New Roman"/>
          <w:sz w:val="24"/>
          <w:szCs w:val="24"/>
        </w:rPr>
        <w:t>Lawrence, P. &amp; Lorsch, J. 2017. Organization and Environment. Cambridge MA: Harvard Graduate School of Business Administration.</w:t>
      </w:r>
    </w:p>
    <w:p>
      <w:pPr>
        <w:pStyle w:val="Normal"/>
        <w:spacing w:lineRule="auto" w:line="480" w:before="0" w:after="160"/>
        <w:rPr/>
      </w:pPr>
      <w:r>
        <w:rPr>
          <w:rFonts w:cs="Times New Roman" w:ascii="Times New Roman" w:hAnsi="Times New Roman"/>
          <w:sz w:val="24"/>
          <w:szCs w:val="24"/>
        </w:rPr>
        <w:t>Ranson, S., Hinings, B. &amp; Greenwood, R. 2010. The Structuring of Organizational Structure. Administrative Science Quarterly, 25, pp.1–25</w:t>
      </w:r>
    </w:p>
    <w:sectPr>
      <w:type w:val="nextPage"/>
      <w:pgSz w:w="12240" w:h="15840"/>
      <w:pgMar w:left="1440" w:right="1440" w:header="0" w:top="1440" w:footer="0" w:bottom="1440" w:gutter="0"/>
      <w:pgNumType w:fmt="decimal"/>
      <w:formProt w:val="false"/>
      <w:textDirection w:val="lrTb"/>
      <w:docGrid w:type="default" w:linePitch="36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Calibri">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00"/>
  <w:defaultTabStop w:val="720"/>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US"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 w:asciiTheme="minorHAnsi" w:cstheme="minorBidi" w:eastAsiaTheme="minorHAnsi" w:hAnsiTheme="minorHAnsi"/>
        <w:sz w:val="22"/>
        <w:szCs w:val="22"/>
        <w:lang w:val="en-US"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Calibri" w:hAnsi="Calibri" w:eastAsia="Calibri" w:cs="" w:asciiTheme="minorHAnsi" w:cstheme="minorBidi" w:eastAsiaTheme="minorHAnsi" w:hAnsiTheme="minorHAnsi"/>
      <w:color w:val="auto"/>
      <w:kern w:val="0"/>
      <w:sz w:val="22"/>
      <w:szCs w:val="22"/>
      <w:lang w:val="en-US" w:eastAsia="en-US" w:bidi="ar-SA"/>
    </w:rPr>
  </w:style>
  <w:style w:type="paragraph" w:styleId="Heading1">
    <w:name w:val="Heading 1"/>
    <w:basedOn w:val="Normal"/>
    <w:next w:val="Normal"/>
    <w:link w:val="Heading1Char"/>
    <w:uiPriority w:val="9"/>
    <w:qFormat/>
    <w:rsid w:val="00ad0495"/>
    <w:pPr>
      <w:keepNext w:val="true"/>
      <w:keepLines/>
      <w:spacing w:before="240" w:after="0"/>
      <w:outlineLvl w:val="0"/>
    </w:pPr>
    <w:rPr>
      <w:rFonts w:eastAsia="" w:cs="" w:cstheme="majorBidi" w:eastAsiaTheme="majorEastAsia"/>
      <w:b/>
      <w:color w:val="000000" w:themeColor="text1"/>
      <w:sz w:val="28"/>
      <w:szCs w:val="32"/>
    </w:rPr>
  </w:style>
  <w:style w:type="paragraph" w:styleId="Heading2">
    <w:name w:val="Heading 2"/>
    <w:basedOn w:val="Normal"/>
    <w:next w:val="Normal"/>
    <w:link w:val="Heading2Char"/>
    <w:uiPriority w:val="9"/>
    <w:unhideWhenUsed/>
    <w:qFormat/>
    <w:rsid w:val="00ad0495"/>
    <w:pPr>
      <w:keepNext w:val="true"/>
      <w:keepLines/>
      <w:spacing w:before="40" w:after="0"/>
      <w:ind w:firstLine="432"/>
      <w:outlineLvl w:val="1"/>
    </w:pPr>
    <w:rPr>
      <w:rFonts w:eastAsia="" w:cs="" w:cstheme="majorBidi" w:eastAsiaTheme="majorEastAsia"/>
      <w:b/>
      <w:color w:val="2F5496" w:themeColor="accent1" w:themeShade="bf"/>
      <w:sz w:val="26"/>
      <w:szCs w:val="26"/>
    </w:rPr>
  </w:style>
  <w:style w:type="character" w:styleId="DefaultParagraphFont" w:default="1">
    <w:name w:val="Default Paragraph Font"/>
    <w:uiPriority w:val="1"/>
    <w:semiHidden/>
    <w:unhideWhenUsed/>
    <w:qFormat/>
    <w:rPr/>
  </w:style>
  <w:style w:type="character" w:styleId="Heading1Char" w:customStyle="1">
    <w:name w:val="Heading 1 Char"/>
    <w:basedOn w:val="DefaultParagraphFont"/>
    <w:link w:val="Heading1"/>
    <w:uiPriority w:val="9"/>
    <w:qFormat/>
    <w:rsid w:val="00ad0495"/>
    <w:rPr>
      <w:rFonts w:eastAsia="" w:cs="" w:cstheme="majorBidi" w:eastAsiaTheme="majorEastAsia"/>
      <w:b/>
      <w:color w:val="000000" w:themeColor="text1"/>
      <w:sz w:val="28"/>
      <w:szCs w:val="32"/>
    </w:rPr>
  </w:style>
  <w:style w:type="character" w:styleId="Heading2Char" w:customStyle="1">
    <w:name w:val="Heading 2 Char"/>
    <w:basedOn w:val="DefaultParagraphFont"/>
    <w:link w:val="Heading2"/>
    <w:uiPriority w:val="9"/>
    <w:qFormat/>
    <w:rsid w:val="00ad0495"/>
    <w:rPr>
      <w:rFonts w:eastAsia="" w:cs="" w:cstheme="majorBidi" w:eastAsiaTheme="majorEastAsia"/>
      <w:b/>
      <w:color w:val="2F5496" w:themeColor="accent1" w:themeShade="bf"/>
      <w:sz w:val="26"/>
      <w:szCs w:val="26"/>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e63891"/>
    <w:pPr>
      <w:spacing w:before="0" w:after="160"/>
      <w:ind w:left="720" w:hanging="0"/>
      <w:contextualSpacing/>
    </w:pPr>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Relationship Id="rId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Application>Neat_Office/6.2.8.2$Windows_x86 LibreOffice_project/</Application>
  <Pages>10</Pages>
  <Words>2186</Words>
  <Characters>12231</Characters>
  <CharactersWithSpaces>14388</CharactersWithSpaces>
  <Paragraphs>38</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2020-08-23T19:23:00Z</dcterms:created>
  <dc:creator>fariha rehman</dc:creator>
  <dc:description/>
  <dc:language>en-GB</dc:language>
  <cp:lastModifiedBy/>
  <dcterms:modified xsi:type="dcterms:W3CDTF">2020-08-24T08:49:42Z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