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B7AD1" w14:textId="77777777" w:rsidR="000A70E8" w:rsidRDefault="000A70E8">
      <w:pPr>
        <w:spacing w:after="80"/>
        <w:jc w:val="center"/>
        <w:rPr>
          <w:b/>
          <w:bCs/>
        </w:rPr>
      </w:pPr>
    </w:p>
    <w:p w14:paraId="0D11E191" w14:textId="77777777" w:rsidR="000A70E8" w:rsidRDefault="000A70E8">
      <w:pPr>
        <w:spacing w:after="80"/>
        <w:jc w:val="center"/>
        <w:rPr>
          <w:b/>
          <w:bCs/>
        </w:rPr>
      </w:pPr>
    </w:p>
    <w:p w14:paraId="69FAD2B9" w14:textId="77777777" w:rsidR="000A70E8" w:rsidRDefault="000A70E8">
      <w:pPr>
        <w:spacing w:after="80"/>
        <w:jc w:val="center"/>
        <w:rPr>
          <w:b/>
          <w:bCs/>
        </w:rPr>
      </w:pPr>
    </w:p>
    <w:p w14:paraId="1167B900" w14:textId="77777777" w:rsidR="000A70E8" w:rsidRDefault="000A70E8">
      <w:pPr>
        <w:spacing w:after="80"/>
        <w:jc w:val="center"/>
        <w:rPr>
          <w:b/>
          <w:bCs/>
        </w:rPr>
      </w:pPr>
    </w:p>
    <w:p w14:paraId="1326350A" w14:textId="77777777" w:rsidR="000A70E8" w:rsidRPr="000A70E8" w:rsidRDefault="000A70E8">
      <w:pPr>
        <w:spacing w:after="80"/>
        <w:jc w:val="center"/>
        <w:rPr>
          <w:b/>
          <w:bCs/>
          <w:u w:val="double"/>
        </w:rPr>
      </w:pPr>
    </w:p>
    <w:p w14:paraId="137478D0" w14:textId="5672F4CD" w:rsidR="003D0A61" w:rsidRPr="000A70E8" w:rsidRDefault="00E80607">
      <w:pPr>
        <w:spacing w:after="80"/>
        <w:jc w:val="center"/>
        <w:rPr>
          <w:rFonts w:ascii="Arial Black" w:hAnsi="Arial Black"/>
          <w:b/>
          <w:bCs/>
          <w:sz w:val="44"/>
          <w:szCs w:val="44"/>
          <w:u w:val="double"/>
        </w:rPr>
      </w:pPr>
      <w:r>
        <w:rPr>
          <w:rFonts w:ascii="Arial Black" w:hAnsi="Arial Black"/>
          <w:b/>
          <w:bCs/>
          <w:sz w:val="44"/>
          <w:szCs w:val="44"/>
          <w:u w:val="double"/>
        </w:rPr>
        <w:t>CASE STUDY ANALYSIS REPORT</w:t>
      </w:r>
    </w:p>
    <w:p w14:paraId="14F05262" w14:textId="77777777" w:rsidR="000A70E8" w:rsidRDefault="000A70E8" w:rsidP="000A70E8">
      <w:pPr>
        <w:spacing w:after="80"/>
      </w:pPr>
    </w:p>
    <w:p w14:paraId="764B84E6" w14:textId="77777777" w:rsidR="003D0A61" w:rsidRPr="000A70E8" w:rsidRDefault="00E80607">
      <w:pPr>
        <w:spacing w:after="240"/>
        <w:jc w:val="center"/>
        <w:rPr>
          <w:rFonts w:ascii="Arial" w:hAnsi="Arial" w:cs="Arial"/>
          <w:b/>
          <w:bCs/>
          <w:i/>
          <w:iCs/>
          <w:sz w:val="32"/>
          <w:szCs w:val="32"/>
        </w:rPr>
      </w:pPr>
      <w:r>
        <w:rPr>
          <w:rFonts w:ascii="Arial" w:hAnsi="Arial" w:cs="Arial"/>
          <w:b/>
          <w:bCs/>
          <w:i/>
          <w:iCs/>
          <w:sz w:val="32"/>
          <w:szCs w:val="32"/>
        </w:rPr>
        <w:t>The Lewis Blackman Story: Leadership Failure, Cognitive Bias, and Patient Safety</w:t>
      </w:r>
    </w:p>
    <w:p w14:paraId="57F1398B" w14:textId="77777777" w:rsidR="000A70E8" w:rsidRDefault="000A70E8">
      <w:pPr>
        <w:spacing w:after="240"/>
        <w:jc w:val="center"/>
        <w:rPr>
          <w:b/>
          <w:bCs/>
          <w:i/>
          <w:iCs/>
        </w:rPr>
      </w:pPr>
    </w:p>
    <w:p w14:paraId="23B288BD" w14:textId="77777777" w:rsidR="000A70E8" w:rsidRDefault="000A70E8">
      <w:pPr>
        <w:spacing w:after="240"/>
        <w:jc w:val="center"/>
        <w:rPr>
          <w:b/>
          <w:bCs/>
          <w:i/>
          <w:iCs/>
        </w:rPr>
      </w:pPr>
    </w:p>
    <w:p w14:paraId="61DE936E" w14:textId="77777777" w:rsidR="000A70E8" w:rsidRDefault="000A70E8">
      <w:pPr>
        <w:spacing w:after="240"/>
        <w:jc w:val="center"/>
        <w:rPr>
          <w:b/>
          <w:bCs/>
          <w:i/>
          <w:iCs/>
        </w:rPr>
      </w:pPr>
    </w:p>
    <w:p w14:paraId="2A8B2A2D" w14:textId="77777777" w:rsidR="000A70E8" w:rsidRDefault="000A70E8">
      <w:pPr>
        <w:spacing w:after="240"/>
        <w:jc w:val="center"/>
        <w:rPr>
          <w:b/>
          <w:bCs/>
          <w:i/>
          <w:iCs/>
        </w:rPr>
      </w:pPr>
    </w:p>
    <w:p w14:paraId="51F4988B" w14:textId="77777777" w:rsidR="000A70E8" w:rsidRDefault="000A70E8">
      <w:pPr>
        <w:spacing w:after="240"/>
        <w:jc w:val="center"/>
        <w:rPr>
          <w:b/>
          <w:bCs/>
          <w:i/>
          <w:iCs/>
        </w:rPr>
      </w:pPr>
    </w:p>
    <w:p w14:paraId="4DDA26FB" w14:textId="77777777" w:rsidR="000A70E8" w:rsidRDefault="000A70E8">
      <w:pPr>
        <w:spacing w:after="240"/>
        <w:jc w:val="center"/>
        <w:rPr>
          <w:b/>
          <w:bCs/>
          <w:i/>
          <w:iCs/>
        </w:rPr>
      </w:pPr>
    </w:p>
    <w:p w14:paraId="15D7C78E" w14:textId="77777777" w:rsidR="000A70E8" w:rsidRDefault="000A70E8">
      <w:pPr>
        <w:spacing w:after="240"/>
        <w:jc w:val="center"/>
        <w:rPr>
          <w:b/>
          <w:bCs/>
          <w:i/>
          <w:iCs/>
        </w:rPr>
      </w:pPr>
    </w:p>
    <w:p w14:paraId="727D9D43" w14:textId="77777777" w:rsidR="000A70E8" w:rsidRDefault="000A70E8">
      <w:pPr>
        <w:spacing w:after="240"/>
        <w:jc w:val="center"/>
        <w:rPr>
          <w:b/>
          <w:bCs/>
          <w:i/>
          <w:iCs/>
        </w:rPr>
      </w:pPr>
    </w:p>
    <w:p w14:paraId="201B88FA" w14:textId="77777777" w:rsidR="000A70E8" w:rsidRDefault="000A70E8">
      <w:pPr>
        <w:spacing w:after="240"/>
        <w:jc w:val="center"/>
        <w:rPr>
          <w:b/>
          <w:bCs/>
          <w:i/>
          <w:iCs/>
        </w:rPr>
      </w:pPr>
    </w:p>
    <w:p w14:paraId="01269715" w14:textId="77777777" w:rsidR="000A70E8" w:rsidRDefault="000A70E8" w:rsidP="000A70E8">
      <w:pPr>
        <w:pStyle w:val="IntenseQuote"/>
        <w:jc w:val="left"/>
      </w:pPr>
    </w:p>
    <w:p w14:paraId="4A365461" w14:textId="77777777" w:rsidR="003D0A61" w:rsidRPr="000A70E8" w:rsidRDefault="00E80607" w:rsidP="000A70E8">
      <w:pPr>
        <w:pStyle w:val="IntenseQuote"/>
        <w:rPr>
          <w:rFonts w:ascii="Arial" w:hAnsi="Arial" w:cs="Arial"/>
        </w:rPr>
      </w:pPr>
      <w:r>
        <w:rPr>
          <w:rFonts w:ascii="Arial" w:hAnsi="Arial" w:cs="Arial"/>
          <w:b/>
          <w:bCs/>
          <w:color w:val="000000"/>
        </w:rPr>
        <w:t>Student name:</w:t>
      </w:r>
      <w:r>
        <w:rPr>
          <w:rFonts w:ascii="Arial" w:hAnsi="Arial" w:cs="Arial"/>
          <w:color w:val="000000"/>
        </w:rPr>
        <w:t xml:space="preserve"> Ardra Sudhan</w:t>
      </w:r>
    </w:p>
    <w:p w14:paraId="214FEB93" w14:textId="77777777" w:rsidR="003D0A61" w:rsidRPr="000A70E8" w:rsidRDefault="00E80607" w:rsidP="000A70E8">
      <w:pPr>
        <w:pStyle w:val="IntenseQuote"/>
        <w:rPr>
          <w:rFonts w:ascii="Arial" w:hAnsi="Arial" w:cs="Arial"/>
        </w:rPr>
      </w:pPr>
      <w:r>
        <w:rPr>
          <w:rFonts w:ascii="Arial" w:hAnsi="Arial" w:cs="Arial"/>
          <w:b/>
          <w:bCs/>
          <w:color w:val="000000"/>
        </w:rPr>
        <w:t>Student number:</w:t>
      </w:r>
      <w:r>
        <w:rPr>
          <w:rFonts w:ascii="Arial" w:hAnsi="Arial" w:cs="Arial"/>
          <w:color w:val="000000"/>
        </w:rPr>
        <w:t xml:space="preserve"> 2529434</w:t>
      </w:r>
    </w:p>
    <w:p w14:paraId="120D342E" w14:textId="77777777" w:rsidR="003D0A61" w:rsidRPr="000A70E8" w:rsidRDefault="00E80607" w:rsidP="000A70E8">
      <w:pPr>
        <w:pStyle w:val="IntenseQuote"/>
        <w:rPr>
          <w:rFonts w:ascii="Arial" w:hAnsi="Arial" w:cs="Arial"/>
        </w:rPr>
      </w:pPr>
      <w:r>
        <w:rPr>
          <w:rFonts w:ascii="Arial" w:hAnsi="Arial" w:cs="Arial"/>
          <w:b/>
          <w:bCs/>
          <w:color w:val="000000"/>
        </w:rPr>
        <w:t>Module:</w:t>
      </w:r>
      <w:r>
        <w:rPr>
          <w:rFonts w:ascii="Arial" w:hAnsi="Arial" w:cs="Arial"/>
          <w:color w:val="000000"/>
        </w:rPr>
        <w:t xml:space="preserve"> Health Care System Organisation and Leadership</w:t>
      </w:r>
    </w:p>
    <w:p w14:paraId="1F979105" w14:textId="77777777" w:rsidR="003D0A61" w:rsidRPr="000A70E8" w:rsidRDefault="00E80607" w:rsidP="000A70E8">
      <w:pPr>
        <w:pStyle w:val="IntenseQuote"/>
        <w:rPr>
          <w:rFonts w:ascii="Arial" w:hAnsi="Arial" w:cs="Arial"/>
        </w:rPr>
      </w:pPr>
      <w:r>
        <w:rPr>
          <w:rFonts w:ascii="Arial" w:hAnsi="Arial" w:cs="Arial"/>
          <w:b/>
          <w:bCs/>
          <w:color w:val="000000"/>
        </w:rPr>
        <w:t>Module Code:</w:t>
      </w:r>
      <w:r>
        <w:rPr>
          <w:rFonts w:ascii="Arial" w:hAnsi="Arial" w:cs="Arial"/>
          <w:color w:val="000000"/>
        </w:rPr>
        <w:t xml:space="preserve"> LCHS7002</w:t>
      </w:r>
    </w:p>
    <w:p w14:paraId="14A32B29" w14:textId="77777777" w:rsidR="003D0A61" w:rsidRPr="000A70E8" w:rsidRDefault="00E80607" w:rsidP="000A70E8">
      <w:pPr>
        <w:pStyle w:val="IntenseQuote"/>
        <w:rPr>
          <w:rFonts w:ascii="Arial" w:hAnsi="Arial" w:cs="Arial"/>
        </w:rPr>
      </w:pPr>
      <w:r>
        <w:rPr>
          <w:rFonts w:ascii="Arial" w:hAnsi="Arial" w:cs="Arial"/>
          <w:b/>
          <w:bCs/>
          <w:color w:val="000000"/>
        </w:rPr>
        <w:t>Programme:</w:t>
      </w:r>
      <w:r>
        <w:rPr>
          <w:rFonts w:ascii="Arial" w:hAnsi="Arial" w:cs="Arial"/>
          <w:color w:val="000000"/>
        </w:rPr>
        <w:t xml:space="preserve"> MSc Public Health and Social Care in Practice</w:t>
      </w:r>
    </w:p>
    <w:p w14:paraId="2F41108B" w14:textId="43633CC8" w:rsidR="001C39F8" w:rsidRPr="001C39F8" w:rsidRDefault="00E80607" w:rsidP="001C39F8">
      <w:pPr>
        <w:pStyle w:val="IntenseQuote"/>
        <w:rPr>
          <w:rFonts w:ascii="Arial" w:hAnsi="Arial" w:cs="Arial"/>
          <w:color w:val="000000"/>
        </w:rPr>
      </w:pPr>
      <w:r>
        <w:rPr>
          <w:rFonts w:ascii="Arial" w:hAnsi="Arial" w:cs="Arial"/>
          <w:b/>
          <w:bCs/>
          <w:color w:val="000000"/>
        </w:rPr>
        <w:t>Lecturer:</w:t>
      </w:r>
      <w:r>
        <w:rPr>
          <w:rFonts w:ascii="Arial" w:hAnsi="Arial" w:cs="Arial"/>
          <w:color w:val="000000"/>
        </w:rPr>
        <w:t xml:space="preserve"> Tonia Babalola</w:t>
      </w:r>
    </w:p>
    <w:p w14:paraId="0DEFB92C" w14:textId="77777777" w:rsidR="001C39F8" w:rsidRPr="001C39F8" w:rsidRDefault="001C39F8" w:rsidP="001C39F8">
      <w:pPr>
        <w:jc w:val="center"/>
        <w:rPr>
          <w:rFonts w:ascii="Arial Black" w:hAnsi="Arial Black"/>
          <w:u w:val="double"/>
        </w:rPr>
      </w:pPr>
    </w:p>
    <w:p w14:paraId="1A000002" w14:textId="674F65A9" w:rsidR="00E80607" w:rsidRPr="005E4E69" w:rsidRDefault="00E80607" w:rsidP="005E4E69">
      <w:pPr>
        <w:jc w:val="center"/>
        <w:rPr>
          <w:rFonts w:ascii="Arial" w:hAnsi="Arial" w:cs="Arial"/>
          <w:b/>
          <w:bCs/>
          <w:sz w:val="32"/>
          <w:szCs w:val="32"/>
        </w:rPr>
      </w:pPr>
      <w:r w:rsidRPr="005E4E69">
        <w:rPr>
          <w:rFonts w:ascii="Arial" w:hAnsi="Arial" w:cs="Arial"/>
          <w:b/>
          <w:bCs/>
          <w:sz w:val="32"/>
          <w:szCs w:val="32"/>
        </w:rPr>
        <w:br w:type="page"/>
      </w:r>
      <w:r w:rsidRPr="005E4E69">
        <w:rPr>
          <w:rFonts w:ascii="Arial" w:hAnsi="Arial" w:cs="Arial"/>
          <w:b/>
          <w:bCs/>
          <w:sz w:val="32"/>
          <w:szCs w:val="32"/>
        </w:rPr>
        <w:lastRenderedPageBreak/>
        <w:t>Table of Contents</w:t>
      </w:r>
    </w:p>
    <w:p w14:paraId="18C7D0AB" w14:textId="0FFAE00A" w:rsidR="005E4E69" w:rsidRPr="005E4E69" w:rsidRDefault="00E80607">
      <w:pPr>
        <w:pStyle w:val="TOC1"/>
        <w:tabs>
          <w:tab w:val="right" w:leader="dot" w:pos="9016"/>
        </w:tabs>
        <w:rPr>
          <w:rFonts w:ascii="Arial" w:hAnsi="Arial" w:cs="Arial"/>
          <w:noProof/>
        </w:rPr>
      </w:pPr>
      <w:r w:rsidRPr="005E4E69">
        <w:rPr>
          <w:rFonts w:ascii="Arial" w:hAnsi="Arial" w:cs="Arial"/>
        </w:rPr>
        <w:fldChar w:fldCharType="begin"/>
      </w:r>
      <w:r w:rsidRPr="005E4E69">
        <w:rPr>
          <w:rFonts w:ascii="Arial" w:hAnsi="Arial" w:cs="Arial"/>
        </w:rPr>
        <w:instrText xml:space="preserve"> TOC \o "1-2" \h \z \u </w:instrText>
      </w:r>
      <w:r w:rsidRPr="005E4E69">
        <w:rPr>
          <w:rFonts w:ascii="Arial" w:hAnsi="Arial" w:cs="Arial"/>
        </w:rPr>
        <w:fldChar w:fldCharType="separate"/>
      </w:r>
      <w:hyperlink w:anchor="_Toc227629129" w:history="1">
        <w:r w:rsidR="005E4E69" w:rsidRPr="005E4E69">
          <w:rPr>
            <w:rStyle w:val="Hyperlink"/>
            <w:rFonts w:ascii="Arial" w:hAnsi="Arial" w:cs="Arial"/>
            <w:noProof/>
          </w:rPr>
          <w:t>1. Introduction</w:t>
        </w:r>
        <w:r w:rsidR="005E4E69" w:rsidRPr="005E4E69">
          <w:rPr>
            <w:rFonts w:ascii="Arial" w:hAnsi="Arial" w:cs="Arial"/>
            <w:noProof/>
            <w:webHidden/>
          </w:rPr>
          <w:tab/>
        </w:r>
        <w:r w:rsidR="005E4E69" w:rsidRPr="005E4E69">
          <w:rPr>
            <w:rFonts w:ascii="Arial" w:hAnsi="Arial" w:cs="Arial"/>
            <w:noProof/>
            <w:webHidden/>
          </w:rPr>
          <w:fldChar w:fldCharType="begin"/>
        </w:r>
        <w:r w:rsidR="005E4E69" w:rsidRPr="005E4E69">
          <w:rPr>
            <w:rFonts w:ascii="Arial" w:hAnsi="Arial" w:cs="Arial"/>
            <w:noProof/>
            <w:webHidden/>
          </w:rPr>
          <w:instrText xml:space="preserve"> PAGEREF _Toc227629129 \h </w:instrText>
        </w:r>
        <w:r w:rsidR="005E4E69" w:rsidRPr="005E4E69">
          <w:rPr>
            <w:rFonts w:ascii="Arial" w:hAnsi="Arial" w:cs="Arial"/>
            <w:noProof/>
            <w:webHidden/>
          </w:rPr>
        </w:r>
        <w:r w:rsidR="005E4E69" w:rsidRPr="005E4E69">
          <w:rPr>
            <w:rFonts w:ascii="Arial" w:hAnsi="Arial" w:cs="Arial"/>
            <w:noProof/>
            <w:webHidden/>
          </w:rPr>
          <w:fldChar w:fldCharType="separate"/>
        </w:r>
        <w:r w:rsidR="005E4E69" w:rsidRPr="005E4E69">
          <w:rPr>
            <w:rFonts w:ascii="Arial" w:hAnsi="Arial" w:cs="Arial"/>
            <w:noProof/>
            <w:webHidden/>
          </w:rPr>
          <w:t>1</w:t>
        </w:r>
        <w:r w:rsidR="005E4E69" w:rsidRPr="005E4E69">
          <w:rPr>
            <w:rFonts w:ascii="Arial" w:hAnsi="Arial" w:cs="Arial"/>
            <w:noProof/>
            <w:webHidden/>
          </w:rPr>
          <w:fldChar w:fldCharType="end"/>
        </w:r>
      </w:hyperlink>
    </w:p>
    <w:p w14:paraId="449CF80D" w14:textId="6CFD5829" w:rsidR="005E4E69" w:rsidRPr="005E4E69" w:rsidRDefault="005E4E69">
      <w:pPr>
        <w:pStyle w:val="TOC1"/>
        <w:tabs>
          <w:tab w:val="right" w:leader="dot" w:pos="9016"/>
        </w:tabs>
        <w:rPr>
          <w:rFonts w:ascii="Arial" w:hAnsi="Arial" w:cs="Arial"/>
          <w:noProof/>
        </w:rPr>
      </w:pPr>
      <w:hyperlink w:anchor="_Toc227629130" w:history="1">
        <w:r w:rsidRPr="005E4E69">
          <w:rPr>
            <w:rStyle w:val="Hyperlink"/>
            <w:rFonts w:ascii="Arial" w:hAnsi="Arial" w:cs="Arial"/>
            <w:noProof/>
          </w:rPr>
          <w:t>2. Identifying the Problem and Setting the System Context: Applying Systems Thinking and the Rich Picture</w:t>
        </w:r>
        <w:r w:rsidRPr="005E4E69">
          <w:rPr>
            <w:rFonts w:ascii="Arial" w:hAnsi="Arial" w:cs="Arial"/>
            <w:noProof/>
            <w:webHidden/>
          </w:rPr>
          <w:tab/>
        </w:r>
        <w:r w:rsidRPr="005E4E69">
          <w:rPr>
            <w:rFonts w:ascii="Arial" w:hAnsi="Arial" w:cs="Arial"/>
            <w:noProof/>
            <w:webHidden/>
          </w:rPr>
          <w:fldChar w:fldCharType="begin"/>
        </w:r>
        <w:r w:rsidRPr="005E4E69">
          <w:rPr>
            <w:rFonts w:ascii="Arial" w:hAnsi="Arial" w:cs="Arial"/>
            <w:noProof/>
            <w:webHidden/>
          </w:rPr>
          <w:instrText xml:space="preserve"> PAGEREF _Toc227629130 \h </w:instrText>
        </w:r>
        <w:r w:rsidRPr="005E4E69">
          <w:rPr>
            <w:rFonts w:ascii="Arial" w:hAnsi="Arial" w:cs="Arial"/>
            <w:noProof/>
            <w:webHidden/>
          </w:rPr>
        </w:r>
        <w:r w:rsidRPr="005E4E69">
          <w:rPr>
            <w:rFonts w:ascii="Arial" w:hAnsi="Arial" w:cs="Arial"/>
            <w:noProof/>
            <w:webHidden/>
          </w:rPr>
          <w:fldChar w:fldCharType="separate"/>
        </w:r>
        <w:r w:rsidRPr="005E4E69">
          <w:rPr>
            <w:rFonts w:ascii="Arial" w:hAnsi="Arial" w:cs="Arial"/>
            <w:noProof/>
            <w:webHidden/>
          </w:rPr>
          <w:t>1</w:t>
        </w:r>
        <w:r w:rsidRPr="005E4E69">
          <w:rPr>
            <w:rFonts w:ascii="Arial" w:hAnsi="Arial" w:cs="Arial"/>
            <w:noProof/>
            <w:webHidden/>
          </w:rPr>
          <w:fldChar w:fldCharType="end"/>
        </w:r>
      </w:hyperlink>
    </w:p>
    <w:p w14:paraId="54E4F2F2" w14:textId="0DB2B66A" w:rsidR="005E4E69" w:rsidRPr="005E4E69" w:rsidRDefault="005E4E69">
      <w:pPr>
        <w:pStyle w:val="TOC2"/>
        <w:tabs>
          <w:tab w:val="right" w:leader="dot" w:pos="9016"/>
        </w:tabs>
        <w:rPr>
          <w:rFonts w:ascii="Arial" w:hAnsi="Arial" w:cs="Arial"/>
          <w:noProof/>
        </w:rPr>
      </w:pPr>
      <w:hyperlink w:anchor="_Toc227629131" w:history="1">
        <w:r w:rsidRPr="005E4E69">
          <w:rPr>
            <w:rStyle w:val="Hyperlink"/>
            <w:rFonts w:ascii="Arial" w:hAnsi="Arial" w:cs="Arial"/>
            <w:noProof/>
          </w:rPr>
          <w:t>2.1 Global and National Statistical Context</w:t>
        </w:r>
        <w:r w:rsidRPr="005E4E69">
          <w:rPr>
            <w:rFonts w:ascii="Arial" w:hAnsi="Arial" w:cs="Arial"/>
            <w:noProof/>
            <w:webHidden/>
          </w:rPr>
          <w:tab/>
        </w:r>
        <w:r w:rsidRPr="005E4E69">
          <w:rPr>
            <w:rFonts w:ascii="Arial" w:hAnsi="Arial" w:cs="Arial"/>
            <w:noProof/>
            <w:webHidden/>
          </w:rPr>
          <w:fldChar w:fldCharType="begin"/>
        </w:r>
        <w:r w:rsidRPr="005E4E69">
          <w:rPr>
            <w:rFonts w:ascii="Arial" w:hAnsi="Arial" w:cs="Arial"/>
            <w:noProof/>
            <w:webHidden/>
          </w:rPr>
          <w:instrText xml:space="preserve"> PAGEREF _Toc227629131 \h </w:instrText>
        </w:r>
        <w:r w:rsidRPr="005E4E69">
          <w:rPr>
            <w:rFonts w:ascii="Arial" w:hAnsi="Arial" w:cs="Arial"/>
            <w:noProof/>
            <w:webHidden/>
          </w:rPr>
        </w:r>
        <w:r w:rsidRPr="005E4E69">
          <w:rPr>
            <w:rFonts w:ascii="Arial" w:hAnsi="Arial" w:cs="Arial"/>
            <w:noProof/>
            <w:webHidden/>
          </w:rPr>
          <w:fldChar w:fldCharType="separate"/>
        </w:r>
        <w:r w:rsidRPr="005E4E69">
          <w:rPr>
            <w:rFonts w:ascii="Arial" w:hAnsi="Arial" w:cs="Arial"/>
            <w:noProof/>
            <w:webHidden/>
          </w:rPr>
          <w:t>1</w:t>
        </w:r>
        <w:r w:rsidRPr="005E4E69">
          <w:rPr>
            <w:rFonts w:ascii="Arial" w:hAnsi="Arial" w:cs="Arial"/>
            <w:noProof/>
            <w:webHidden/>
          </w:rPr>
          <w:fldChar w:fldCharType="end"/>
        </w:r>
      </w:hyperlink>
    </w:p>
    <w:p w14:paraId="6E492127" w14:textId="30F99E58" w:rsidR="005E4E69" w:rsidRPr="005E4E69" w:rsidRDefault="005E4E69">
      <w:pPr>
        <w:pStyle w:val="TOC2"/>
        <w:tabs>
          <w:tab w:val="right" w:leader="dot" w:pos="9016"/>
        </w:tabs>
        <w:rPr>
          <w:rFonts w:ascii="Arial" w:hAnsi="Arial" w:cs="Arial"/>
          <w:noProof/>
        </w:rPr>
      </w:pPr>
      <w:hyperlink w:anchor="_Toc227629132" w:history="1">
        <w:r w:rsidRPr="005E4E69">
          <w:rPr>
            <w:rStyle w:val="Hyperlink"/>
            <w:rFonts w:ascii="Arial" w:hAnsi="Arial" w:cs="Arial"/>
            <w:noProof/>
          </w:rPr>
          <w:t>2.2 Rich Picture and Systems Analysis</w:t>
        </w:r>
        <w:r w:rsidRPr="005E4E69">
          <w:rPr>
            <w:rFonts w:ascii="Arial" w:hAnsi="Arial" w:cs="Arial"/>
            <w:noProof/>
            <w:webHidden/>
          </w:rPr>
          <w:tab/>
        </w:r>
        <w:r w:rsidRPr="005E4E69">
          <w:rPr>
            <w:rFonts w:ascii="Arial" w:hAnsi="Arial" w:cs="Arial"/>
            <w:noProof/>
            <w:webHidden/>
          </w:rPr>
          <w:fldChar w:fldCharType="begin"/>
        </w:r>
        <w:r w:rsidRPr="005E4E69">
          <w:rPr>
            <w:rFonts w:ascii="Arial" w:hAnsi="Arial" w:cs="Arial"/>
            <w:noProof/>
            <w:webHidden/>
          </w:rPr>
          <w:instrText xml:space="preserve"> PAGEREF _Toc227629132 \h </w:instrText>
        </w:r>
        <w:r w:rsidRPr="005E4E69">
          <w:rPr>
            <w:rFonts w:ascii="Arial" w:hAnsi="Arial" w:cs="Arial"/>
            <w:noProof/>
            <w:webHidden/>
          </w:rPr>
        </w:r>
        <w:r w:rsidRPr="005E4E69">
          <w:rPr>
            <w:rFonts w:ascii="Arial" w:hAnsi="Arial" w:cs="Arial"/>
            <w:noProof/>
            <w:webHidden/>
          </w:rPr>
          <w:fldChar w:fldCharType="separate"/>
        </w:r>
        <w:r w:rsidRPr="005E4E69">
          <w:rPr>
            <w:rFonts w:ascii="Arial" w:hAnsi="Arial" w:cs="Arial"/>
            <w:noProof/>
            <w:webHidden/>
          </w:rPr>
          <w:t>1</w:t>
        </w:r>
        <w:r w:rsidRPr="005E4E69">
          <w:rPr>
            <w:rFonts w:ascii="Arial" w:hAnsi="Arial" w:cs="Arial"/>
            <w:noProof/>
            <w:webHidden/>
          </w:rPr>
          <w:fldChar w:fldCharType="end"/>
        </w:r>
      </w:hyperlink>
    </w:p>
    <w:p w14:paraId="0689BCF3" w14:textId="7199FE5C" w:rsidR="005E4E69" w:rsidRPr="005E4E69" w:rsidRDefault="005E4E69">
      <w:pPr>
        <w:pStyle w:val="TOC1"/>
        <w:tabs>
          <w:tab w:val="right" w:leader="dot" w:pos="9016"/>
        </w:tabs>
        <w:rPr>
          <w:rFonts w:ascii="Arial" w:hAnsi="Arial" w:cs="Arial"/>
          <w:noProof/>
        </w:rPr>
      </w:pPr>
      <w:hyperlink w:anchor="_Toc227629133" w:history="1">
        <w:r w:rsidRPr="005E4E69">
          <w:rPr>
            <w:rStyle w:val="Hyperlink"/>
            <w:rFonts w:ascii="Arial" w:hAnsi="Arial" w:cs="Arial"/>
            <w:noProof/>
          </w:rPr>
          <w:t>3. Centralisation and Decentralisation within the Case Study</w:t>
        </w:r>
        <w:r w:rsidRPr="005E4E69">
          <w:rPr>
            <w:rFonts w:ascii="Arial" w:hAnsi="Arial" w:cs="Arial"/>
            <w:noProof/>
            <w:webHidden/>
          </w:rPr>
          <w:tab/>
        </w:r>
        <w:r w:rsidRPr="005E4E69">
          <w:rPr>
            <w:rFonts w:ascii="Arial" w:hAnsi="Arial" w:cs="Arial"/>
            <w:noProof/>
            <w:webHidden/>
          </w:rPr>
          <w:fldChar w:fldCharType="begin"/>
        </w:r>
        <w:r w:rsidRPr="005E4E69">
          <w:rPr>
            <w:rFonts w:ascii="Arial" w:hAnsi="Arial" w:cs="Arial"/>
            <w:noProof/>
            <w:webHidden/>
          </w:rPr>
          <w:instrText xml:space="preserve"> PAGEREF _Toc227629133 \h </w:instrText>
        </w:r>
        <w:r w:rsidRPr="005E4E69">
          <w:rPr>
            <w:rFonts w:ascii="Arial" w:hAnsi="Arial" w:cs="Arial"/>
            <w:noProof/>
            <w:webHidden/>
          </w:rPr>
        </w:r>
        <w:r w:rsidRPr="005E4E69">
          <w:rPr>
            <w:rFonts w:ascii="Arial" w:hAnsi="Arial" w:cs="Arial"/>
            <w:noProof/>
            <w:webHidden/>
          </w:rPr>
          <w:fldChar w:fldCharType="separate"/>
        </w:r>
        <w:r w:rsidRPr="005E4E69">
          <w:rPr>
            <w:rFonts w:ascii="Arial" w:hAnsi="Arial" w:cs="Arial"/>
            <w:noProof/>
            <w:webHidden/>
          </w:rPr>
          <w:t>1</w:t>
        </w:r>
        <w:r w:rsidRPr="005E4E69">
          <w:rPr>
            <w:rFonts w:ascii="Arial" w:hAnsi="Arial" w:cs="Arial"/>
            <w:noProof/>
            <w:webHidden/>
          </w:rPr>
          <w:fldChar w:fldCharType="end"/>
        </w:r>
      </w:hyperlink>
    </w:p>
    <w:p w14:paraId="6D22596B" w14:textId="4EDCE4A2" w:rsidR="005E4E69" w:rsidRPr="005E4E69" w:rsidRDefault="005E4E69">
      <w:pPr>
        <w:pStyle w:val="TOC2"/>
        <w:tabs>
          <w:tab w:val="right" w:leader="dot" w:pos="9016"/>
        </w:tabs>
        <w:rPr>
          <w:rFonts w:ascii="Arial" w:hAnsi="Arial" w:cs="Arial"/>
          <w:noProof/>
        </w:rPr>
      </w:pPr>
      <w:hyperlink w:anchor="_Toc227629134" w:history="1">
        <w:r w:rsidRPr="005E4E69">
          <w:rPr>
            <w:rStyle w:val="Hyperlink"/>
            <w:rFonts w:ascii="Arial" w:hAnsi="Arial" w:cs="Arial"/>
            <w:noProof/>
          </w:rPr>
          <w:t>3.1 Centralised Structures at MUSC and NHS Parallels</w:t>
        </w:r>
        <w:r w:rsidRPr="005E4E69">
          <w:rPr>
            <w:rFonts w:ascii="Arial" w:hAnsi="Arial" w:cs="Arial"/>
            <w:noProof/>
            <w:webHidden/>
          </w:rPr>
          <w:tab/>
        </w:r>
        <w:r w:rsidRPr="005E4E69">
          <w:rPr>
            <w:rFonts w:ascii="Arial" w:hAnsi="Arial" w:cs="Arial"/>
            <w:noProof/>
            <w:webHidden/>
          </w:rPr>
          <w:fldChar w:fldCharType="begin"/>
        </w:r>
        <w:r w:rsidRPr="005E4E69">
          <w:rPr>
            <w:rFonts w:ascii="Arial" w:hAnsi="Arial" w:cs="Arial"/>
            <w:noProof/>
            <w:webHidden/>
          </w:rPr>
          <w:instrText xml:space="preserve"> PAGEREF _Toc227629134 \h </w:instrText>
        </w:r>
        <w:r w:rsidRPr="005E4E69">
          <w:rPr>
            <w:rFonts w:ascii="Arial" w:hAnsi="Arial" w:cs="Arial"/>
            <w:noProof/>
            <w:webHidden/>
          </w:rPr>
        </w:r>
        <w:r w:rsidRPr="005E4E69">
          <w:rPr>
            <w:rFonts w:ascii="Arial" w:hAnsi="Arial" w:cs="Arial"/>
            <w:noProof/>
            <w:webHidden/>
          </w:rPr>
          <w:fldChar w:fldCharType="separate"/>
        </w:r>
        <w:r w:rsidRPr="005E4E69">
          <w:rPr>
            <w:rFonts w:ascii="Arial" w:hAnsi="Arial" w:cs="Arial"/>
            <w:noProof/>
            <w:webHidden/>
          </w:rPr>
          <w:t>1</w:t>
        </w:r>
        <w:r w:rsidRPr="005E4E69">
          <w:rPr>
            <w:rFonts w:ascii="Arial" w:hAnsi="Arial" w:cs="Arial"/>
            <w:noProof/>
            <w:webHidden/>
          </w:rPr>
          <w:fldChar w:fldCharType="end"/>
        </w:r>
      </w:hyperlink>
    </w:p>
    <w:p w14:paraId="59CD3EFA" w14:textId="193D7869" w:rsidR="005E4E69" w:rsidRPr="005E4E69" w:rsidRDefault="005E4E69">
      <w:pPr>
        <w:pStyle w:val="TOC2"/>
        <w:tabs>
          <w:tab w:val="right" w:leader="dot" w:pos="9016"/>
        </w:tabs>
        <w:rPr>
          <w:rFonts w:ascii="Arial" w:hAnsi="Arial" w:cs="Arial"/>
          <w:noProof/>
        </w:rPr>
      </w:pPr>
      <w:hyperlink w:anchor="_Toc227629135" w:history="1">
        <w:r w:rsidRPr="005E4E69">
          <w:rPr>
            <w:rStyle w:val="Hyperlink"/>
            <w:rFonts w:ascii="Arial" w:hAnsi="Arial" w:cs="Arial"/>
            <w:noProof/>
          </w:rPr>
          <w:t>3.2 Decentralised Elements and the Role of Empowerment</w:t>
        </w:r>
        <w:r w:rsidRPr="005E4E69">
          <w:rPr>
            <w:rFonts w:ascii="Arial" w:hAnsi="Arial" w:cs="Arial"/>
            <w:noProof/>
            <w:webHidden/>
          </w:rPr>
          <w:tab/>
        </w:r>
        <w:r w:rsidRPr="005E4E69">
          <w:rPr>
            <w:rFonts w:ascii="Arial" w:hAnsi="Arial" w:cs="Arial"/>
            <w:noProof/>
            <w:webHidden/>
          </w:rPr>
          <w:fldChar w:fldCharType="begin"/>
        </w:r>
        <w:r w:rsidRPr="005E4E69">
          <w:rPr>
            <w:rFonts w:ascii="Arial" w:hAnsi="Arial" w:cs="Arial"/>
            <w:noProof/>
            <w:webHidden/>
          </w:rPr>
          <w:instrText xml:space="preserve"> PAGEREF _Toc227629135 \h </w:instrText>
        </w:r>
        <w:r w:rsidRPr="005E4E69">
          <w:rPr>
            <w:rFonts w:ascii="Arial" w:hAnsi="Arial" w:cs="Arial"/>
            <w:noProof/>
            <w:webHidden/>
          </w:rPr>
        </w:r>
        <w:r w:rsidRPr="005E4E69">
          <w:rPr>
            <w:rFonts w:ascii="Arial" w:hAnsi="Arial" w:cs="Arial"/>
            <w:noProof/>
            <w:webHidden/>
          </w:rPr>
          <w:fldChar w:fldCharType="separate"/>
        </w:r>
        <w:r w:rsidRPr="005E4E69">
          <w:rPr>
            <w:rFonts w:ascii="Arial" w:hAnsi="Arial" w:cs="Arial"/>
            <w:noProof/>
            <w:webHidden/>
          </w:rPr>
          <w:t>1</w:t>
        </w:r>
        <w:r w:rsidRPr="005E4E69">
          <w:rPr>
            <w:rFonts w:ascii="Arial" w:hAnsi="Arial" w:cs="Arial"/>
            <w:noProof/>
            <w:webHidden/>
          </w:rPr>
          <w:fldChar w:fldCharType="end"/>
        </w:r>
      </w:hyperlink>
    </w:p>
    <w:p w14:paraId="31F5E63F" w14:textId="6A6072D1" w:rsidR="005E4E69" w:rsidRPr="005E4E69" w:rsidRDefault="005E4E69">
      <w:pPr>
        <w:pStyle w:val="TOC1"/>
        <w:tabs>
          <w:tab w:val="right" w:leader="dot" w:pos="9016"/>
        </w:tabs>
        <w:rPr>
          <w:rFonts w:ascii="Arial" w:hAnsi="Arial" w:cs="Arial"/>
          <w:noProof/>
        </w:rPr>
      </w:pPr>
      <w:hyperlink w:anchor="_Toc227629136" w:history="1">
        <w:r w:rsidRPr="005E4E69">
          <w:rPr>
            <w:rStyle w:val="Hyperlink"/>
            <w:rFonts w:ascii="Arial" w:hAnsi="Arial" w:cs="Arial"/>
            <w:noProof/>
          </w:rPr>
          <w:t>4. Leadership Theories and Application to the Case Study</w:t>
        </w:r>
        <w:r w:rsidRPr="005E4E69">
          <w:rPr>
            <w:rFonts w:ascii="Arial" w:hAnsi="Arial" w:cs="Arial"/>
            <w:noProof/>
            <w:webHidden/>
          </w:rPr>
          <w:tab/>
        </w:r>
        <w:r w:rsidRPr="005E4E69">
          <w:rPr>
            <w:rFonts w:ascii="Arial" w:hAnsi="Arial" w:cs="Arial"/>
            <w:noProof/>
            <w:webHidden/>
          </w:rPr>
          <w:fldChar w:fldCharType="begin"/>
        </w:r>
        <w:r w:rsidRPr="005E4E69">
          <w:rPr>
            <w:rFonts w:ascii="Arial" w:hAnsi="Arial" w:cs="Arial"/>
            <w:noProof/>
            <w:webHidden/>
          </w:rPr>
          <w:instrText xml:space="preserve"> PAGEREF _Toc227629136 \h </w:instrText>
        </w:r>
        <w:r w:rsidRPr="005E4E69">
          <w:rPr>
            <w:rFonts w:ascii="Arial" w:hAnsi="Arial" w:cs="Arial"/>
            <w:noProof/>
            <w:webHidden/>
          </w:rPr>
        </w:r>
        <w:r w:rsidRPr="005E4E69">
          <w:rPr>
            <w:rFonts w:ascii="Arial" w:hAnsi="Arial" w:cs="Arial"/>
            <w:noProof/>
            <w:webHidden/>
          </w:rPr>
          <w:fldChar w:fldCharType="separate"/>
        </w:r>
        <w:r w:rsidRPr="005E4E69">
          <w:rPr>
            <w:rFonts w:ascii="Arial" w:hAnsi="Arial" w:cs="Arial"/>
            <w:noProof/>
            <w:webHidden/>
          </w:rPr>
          <w:t>1</w:t>
        </w:r>
        <w:r w:rsidRPr="005E4E69">
          <w:rPr>
            <w:rFonts w:ascii="Arial" w:hAnsi="Arial" w:cs="Arial"/>
            <w:noProof/>
            <w:webHidden/>
          </w:rPr>
          <w:fldChar w:fldCharType="end"/>
        </w:r>
      </w:hyperlink>
    </w:p>
    <w:p w14:paraId="418EC82B" w14:textId="52B75823" w:rsidR="005E4E69" w:rsidRPr="005E4E69" w:rsidRDefault="005E4E69">
      <w:pPr>
        <w:pStyle w:val="TOC2"/>
        <w:tabs>
          <w:tab w:val="right" w:leader="dot" w:pos="9016"/>
        </w:tabs>
        <w:rPr>
          <w:rFonts w:ascii="Arial" w:hAnsi="Arial" w:cs="Arial"/>
          <w:noProof/>
        </w:rPr>
      </w:pPr>
      <w:hyperlink w:anchor="_Toc227629137" w:history="1">
        <w:r w:rsidRPr="005E4E69">
          <w:rPr>
            <w:rStyle w:val="Hyperlink"/>
            <w:rFonts w:ascii="Arial" w:hAnsi="Arial" w:cs="Arial"/>
            <w:noProof/>
          </w:rPr>
          <w:t>4.1 Transformational Leadership</w:t>
        </w:r>
        <w:r w:rsidRPr="005E4E69">
          <w:rPr>
            <w:rFonts w:ascii="Arial" w:hAnsi="Arial" w:cs="Arial"/>
            <w:noProof/>
            <w:webHidden/>
          </w:rPr>
          <w:tab/>
        </w:r>
        <w:r w:rsidRPr="005E4E69">
          <w:rPr>
            <w:rFonts w:ascii="Arial" w:hAnsi="Arial" w:cs="Arial"/>
            <w:noProof/>
            <w:webHidden/>
          </w:rPr>
          <w:fldChar w:fldCharType="begin"/>
        </w:r>
        <w:r w:rsidRPr="005E4E69">
          <w:rPr>
            <w:rFonts w:ascii="Arial" w:hAnsi="Arial" w:cs="Arial"/>
            <w:noProof/>
            <w:webHidden/>
          </w:rPr>
          <w:instrText xml:space="preserve"> PAGEREF _Toc227629137 \h </w:instrText>
        </w:r>
        <w:r w:rsidRPr="005E4E69">
          <w:rPr>
            <w:rFonts w:ascii="Arial" w:hAnsi="Arial" w:cs="Arial"/>
            <w:noProof/>
            <w:webHidden/>
          </w:rPr>
        </w:r>
        <w:r w:rsidRPr="005E4E69">
          <w:rPr>
            <w:rFonts w:ascii="Arial" w:hAnsi="Arial" w:cs="Arial"/>
            <w:noProof/>
            <w:webHidden/>
          </w:rPr>
          <w:fldChar w:fldCharType="separate"/>
        </w:r>
        <w:r w:rsidRPr="005E4E69">
          <w:rPr>
            <w:rFonts w:ascii="Arial" w:hAnsi="Arial" w:cs="Arial"/>
            <w:noProof/>
            <w:webHidden/>
          </w:rPr>
          <w:t>1</w:t>
        </w:r>
        <w:r w:rsidRPr="005E4E69">
          <w:rPr>
            <w:rFonts w:ascii="Arial" w:hAnsi="Arial" w:cs="Arial"/>
            <w:noProof/>
            <w:webHidden/>
          </w:rPr>
          <w:fldChar w:fldCharType="end"/>
        </w:r>
      </w:hyperlink>
    </w:p>
    <w:p w14:paraId="1DA1E5D3" w14:textId="19B4A0C8" w:rsidR="005E4E69" w:rsidRPr="005E4E69" w:rsidRDefault="005E4E69">
      <w:pPr>
        <w:pStyle w:val="TOC2"/>
        <w:tabs>
          <w:tab w:val="right" w:leader="dot" w:pos="9016"/>
        </w:tabs>
        <w:rPr>
          <w:rFonts w:ascii="Arial" w:hAnsi="Arial" w:cs="Arial"/>
          <w:noProof/>
        </w:rPr>
      </w:pPr>
      <w:hyperlink w:anchor="_Toc227629138" w:history="1">
        <w:r w:rsidRPr="005E4E69">
          <w:rPr>
            <w:rStyle w:val="Hyperlink"/>
            <w:rFonts w:ascii="Arial" w:hAnsi="Arial" w:cs="Arial"/>
            <w:noProof/>
          </w:rPr>
          <w:t>4.2 Transactional Leadership and Its Limitations</w:t>
        </w:r>
        <w:r w:rsidRPr="005E4E69">
          <w:rPr>
            <w:rFonts w:ascii="Arial" w:hAnsi="Arial" w:cs="Arial"/>
            <w:noProof/>
            <w:webHidden/>
          </w:rPr>
          <w:tab/>
        </w:r>
        <w:r w:rsidRPr="005E4E69">
          <w:rPr>
            <w:rFonts w:ascii="Arial" w:hAnsi="Arial" w:cs="Arial"/>
            <w:noProof/>
            <w:webHidden/>
          </w:rPr>
          <w:fldChar w:fldCharType="begin"/>
        </w:r>
        <w:r w:rsidRPr="005E4E69">
          <w:rPr>
            <w:rFonts w:ascii="Arial" w:hAnsi="Arial" w:cs="Arial"/>
            <w:noProof/>
            <w:webHidden/>
          </w:rPr>
          <w:instrText xml:space="preserve"> PAGEREF _Toc227629138 \h </w:instrText>
        </w:r>
        <w:r w:rsidRPr="005E4E69">
          <w:rPr>
            <w:rFonts w:ascii="Arial" w:hAnsi="Arial" w:cs="Arial"/>
            <w:noProof/>
            <w:webHidden/>
          </w:rPr>
        </w:r>
        <w:r w:rsidRPr="005E4E69">
          <w:rPr>
            <w:rFonts w:ascii="Arial" w:hAnsi="Arial" w:cs="Arial"/>
            <w:noProof/>
            <w:webHidden/>
          </w:rPr>
          <w:fldChar w:fldCharType="separate"/>
        </w:r>
        <w:r w:rsidRPr="005E4E69">
          <w:rPr>
            <w:rFonts w:ascii="Arial" w:hAnsi="Arial" w:cs="Arial"/>
            <w:noProof/>
            <w:webHidden/>
          </w:rPr>
          <w:t>1</w:t>
        </w:r>
        <w:r w:rsidRPr="005E4E69">
          <w:rPr>
            <w:rFonts w:ascii="Arial" w:hAnsi="Arial" w:cs="Arial"/>
            <w:noProof/>
            <w:webHidden/>
          </w:rPr>
          <w:fldChar w:fldCharType="end"/>
        </w:r>
      </w:hyperlink>
    </w:p>
    <w:p w14:paraId="66FA9F13" w14:textId="3A258DD7" w:rsidR="005E4E69" w:rsidRPr="005E4E69" w:rsidRDefault="005E4E69">
      <w:pPr>
        <w:pStyle w:val="TOC2"/>
        <w:tabs>
          <w:tab w:val="right" w:leader="dot" w:pos="9016"/>
        </w:tabs>
        <w:rPr>
          <w:rFonts w:ascii="Arial" w:hAnsi="Arial" w:cs="Arial"/>
          <w:noProof/>
        </w:rPr>
      </w:pPr>
      <w:hyperlink w:anchor="_Toc227629139" w:history="1">
        <w:r w:rsidRPr="005E4E69">
          <w:rPr>
            <w:rStyle w:val="Hyperlink"/>
            <w:rFonts w:ascii="Arial" w:hAnsi="Arial" w:cs="Arial"/>
            <w:noProof/>
          </w:rPr>
          <w:t>4.3 Situational and Distributed Leadership</w:t>
        </w:r>
        <w:r w:rsidRPr="005E4E69">
          <w:rPr>
            <w:rFonts w:ascii="Arial" w:hAnsi="Arial" w:cs="Arial"/>
            <w:noProof/>
            <w:webHidden/>
          </w:rPr>
          <w:tab/>
        </w:r>
        <w:r w:rsidRPr="005E4E69">
          <w:rPr>
            <w:rFonts w:ascii="Arial" w:hAnsi="Arial" w:cs="Arial"/>
            <w:noProof/>
            <w:webHidden/>
          </w:rPr>
          <w:fldChar w:fldCharType="begin"/>
        </w:r>
        <w:r w:rsidRPr="005E4E69">
          <w:rPr>
            <w:rFonts w:ascii="Arial" w:hAnsi="Arial" w:cs="Arial"/>
            <w:noProof/>
            <w:webHidden/>
          </w:rPr>
          <w:instrText xml:space="preserve"> PAGEREF _Toc227629139 \h </w:instrText>
        </w:r>
        <w:r w:rsidRPr="005E4E69">
          <w:rPr>
            <w:rFonts w:ascii="Arial" w:hAnsi="Arial" w:cs="Arial"/>
            <w:noProof/>
            <w:webHidden/>
          </w:rPr>
        </w:r>
        <w:r w:rsidRPr="005E4E69">
          <w:rPr>
            <w:rFonts w:ascii="Arial" w:hAnsi="Arial" w:cs="Arial"/>
            <w:noProof/>
            <w:webHidden/>
          </w:rPr>
          <w:fldChar w:fldCharType="separate"/>
        </w:r>
        <w:r w:rsidRPr="005E4E69">
          <w:rPr>
            <w:rFonts w:ascii="Arial" w:hAnsi="Arial" w:cs="Arial"/>
            <w:noProof/>
            <w:webHidden/>
          </w:rPr>
          <w:t>1</w:t>
        </w:r>
        <w:r w:rsidRPr="005E4E69">
          <w:rPr>
            <w:rFonts w:ascii="Arial" w:hAnsi="Arial" w:cs="Arial"/>
            <w:noProof/>
            <w:webHidden/>
          </w:rPr>
          <w:fldChar w:fldCharType="end"/>
        </w:r>
      </w:hyperlink>
    </w:p>
    <w:p w14:paraId="37B58A6C" w14:textId="3E185E2F" w:rsidR="005E4E69" w:rsidRPr="005E4E69" w:rsidRDefault="005E4E69">
      <w:pPr>
        <w:pStyle w:val="TOC2"/>
        <w:tabs>
          <w:tab w:val="right" w:leader="dot" w:pos="9016"/>
        </w:tabs>
        <w:rPr>
          <w:rFonts w:ascii="Arial" w:hAnsi="Arial" w:cs="Arial"/>
          <w:noProof/>
        </w:rPr>
      </w:pPr>
      <w:hyperlink w:anchor="_Toc227629140" w:history="1">
        <w:r w:rsidRPr="005E4E69">
          <w:rPr>
            <w:rStyle w:val="Hyperlink"/>
            <w:rFonts w:ascii="Arial" w:hAnsi="Arial" w:cs="Arial"/>
            <w:noProof/>
          </w:rPr>
          <w:t>4.4 Emotional Intelligence and Compassionate Leadership</w:t>
        </w:r>
        <w:r w:rsidRPr="005E4E69">
          <w:rPr>
            <w:rFonts w:ascii="Arial" w:hAnsi="Arial" w:cs="Arial"/>
            <w:noProof/>
            <w:webHidden/>
          </w:rPr>
          <w:tab/>
        </w:r>
        <w:r w:rsidRPr="005E4E69">
          <w:rPr>
            <w:rFonts w:ascii="Arial" w:hAnsi="Arial" w:cs="Arial"/>
            <w:noProof/>
            <w:webHidden/>
          </w:rPr>
          <w:fldChar w:fldCharType="begin"/>
        </w:r>
        <w:r w:rsidRPr="005E4E69">
          <w:rPr>
            <w:rFonts w:ascii="Arial" w:hAnsi="Arial" w:cs="Arial"/>
            <w:noProof/>
            <w:webHidden/>
          </w:rPr>
          <w:instrText xml:space="preserve"> PAGEREF _Toc227629140 \h </w:instrText>
        </w:r>
        <w:r w:rsidRPr="005E4E69">
          <w:rPr>
            <w:rFonts w:ascii="Arial" w:hAnsi="Arial" w:cs="Arial"/>
            <w:noProof/>
            <w:webHidden/>
          </w:rPr>
        </w:r>
        <w:r w:rsidRPr="005E4E69">
          <w:rPr>
            <w:rFonts w:ascii="Arial" w:hAnsi="Arial" w:cs="Arial"/>
            <w:noProof/>
            <w:webHidden/>
          </w:rPr>
          <w:fldChar w:fldCharType="separate"/>
        </w:r>
        <w:r w:rsidRPr="005E4E69">
          <w:rPr>
            <w:rFonts w:ascii="Arial" w:hAnsi="Arial" w:cs="Arial"/>
            <w:noProof/>
            <w:webHidden/>
          </w:rPr>
          <w:t>1</w:t>
        </w:r>
        <w:r w:rsidRPr="005E4E69">
          <w:rPr>
            <w:rFonts w:ascii="Arial" w:hAnsi="Arial" w:cs="Arial"/>
            <w:noProof/>
            <w:webHidden/>
          </w:rPr>
          <w:fldChar w:fldCharType="end"/>
        </w:r>
      </w:hyperlink>
    </w:p>
    <w:p w14:paraId="4A8C2800" w14:textId="42B8C7FC" w:rsidR="005E4E69" w:rsidRPr="005E4E69" w:rsidRDefault="005E4E69">
      <w:pPr>
        <w:pStyle w:val="TOC1"/>
        <w:tabs>
          <w:tab w:val="right" w:leader="dot" w:pos="9016"/>
        </w:tabs>
        <w:rPr>
          <w:rFonts w:ascii="Arial" w:hAnsi="Arial" w:cs="Arial"/>
          <w:noProof/>
        </w:rPr>
      </w:pPr>
      <w:hyperlink w:anchor="_Toc227629141" w:history="1">
        <w:r w:rsidRPr="005E4E69">
          <w:rPr>
            <w:rStyle w:val="Hyperlink"/>
            <w:rFonts w:ascii="Arial" w:hAnsi="Arial" w:cs="Arial"/>
            <w:noProof/>
          </w:rPr>
          <w:t>5. Improvement and Lessons Learned</w:t>
        </w:r>
        <w:r w:rsidRPr="005E4E69">
          <w:rPr>
            <w:rFonts w:ascii="Arial" w:hAnsi="Arial" w:cs="Arial"/>
            <w:noProof/>
            <w:webHidden/>
          </w:rPr>
          <w:tab/>
        </w:r>
        <w:r w:rsidRPr="005E4E69">
          <w:rPr>
            <w:rFonts w:ascii="Arial" w:hAnsi="Arial" w:cs="Arial"/>
            <w:noProof/>
            <w:webHidden/>
          </w:rPr>
          <w:fldChar w:fldCharType="begin"/>
        </w:r>
        <w:r w:rsidRPr="005E4E69">
          <w:rPr>
            <w:rFonts w:ascii="Arial" w:hAnsi="Arial" w:cs="Arial"/>
            <w:noProof/>
            <w:webHidden/>
          </w:rPr>
          <w:instrText xml:space="preserve"> PAGEREF _Toc227629141 \h </w:instrText>
        </w:r>
        <w:r w:rsidRPr="005E4E69">
          <w:rPr>
            <w:rFonts w:ascii="Arial" w:hAnsi="Arial" w:cs="Arial"/>
            <w:noProof/>
            <w:webHidden/>
          </w:rPr>
        </w:r>
        <w:r w:rsidRPr="005E4E69">
          <w:rPr>
            <w:rFonts w:ascii="Arial" w:hAnsi="Arial" w:cs="Arial"/>
            <w:noProof/>
            <w:webHidden/>
          </w:rPr>
          <w:fldChar w:fldCharType="separate"/>
        </w:r>
        <w:r w:rsidRPr="005E4E69">
          <w:rPr>
            <w:rFonts w:ascii="Arial" w:hAnsi="Arial" w:cs="Arial"/>
            <w:noProof/>
            <w:webHidden/>
          </w:rPr>
          <w:t>1</w:t>
        </w:r>
        <w:r w:rsidRPr="005E4E69">
          <w:rPr>
            <w:rFonts w:ascii="Arial" w:hAnsi="Arial" w:cs="Arial"/>
            <w:noProof/>
            <w:webHidden/>
          </w:rPr>
          <w:fldChar w:fldCharType="end"/>
        </w:r>
      </w:hyperlink>
    </w:p>
    <w:p w14:paraId="7DE76EE0" w14:textId="489ABAD1" w:rsidR="005E4E69" w:rsidRPr="005E4E69" w:rsidRDefault="005E4E69">
      <w:pPr>
        <w:pStyle w:val="TOC2"/>
        <w:tabs>
          <w:tab w:val="right" w:leader="dot" w:pos="9016"/>
        </w:tabs>
        <w:rPr>
          <w:rFonts w:ascii="Arial" w:hAnsi="Arial" w:cs="Arial"/>
          <w:noProof/>
        </w:rPr>
      </w:pPr>
      <w:hyperlink w:anchor="_Toc227629142" w:history="1">
        <w:r w:rsidRPr="005E4E69">
          <w:rPr>
            <w:rStyle w:val="Hyperlink"/>
            <w:rFonts w:ascii="Arial" w:hAnsi="Arial" w:cs="Arial"/>
            <w:noProof/>
          </w:rPr>
          <w:t>5.1 Problem–Solution Analysis</w:t>
        </w:r>
        <w:r w:rsidRPr="005E4E69">
          <w:rPr>
            <w:rFonts w:ascii="Arial" w:hAnsi="Arial" w:cs="Arial"/>
            <w:noProof/>
            <w:webHidden/>
          </w:rPr>
          <w:tab/>
        </w:r>
        <w:r w:rsidRPr="005E4E69">
          <w:rPr>
            <w:rFonts w:ascii="Arial" w:hAnsi="Arial" w:cs="Arial"/>
            <w:noProof/>
            <w:webHidden/>
          </w:rPr>
          <w:fldChar w:fldCharType="begin"/>
        </w:r>
        <w:r w:rsidRPr="005E4E69">
          <w:rPr>
            <w:rFonts w:ascii="Arial" w:hAnsi="Arial" w:cs="Arial"/>
            <w:noProof/>
            <w:webHidden/>
          </w:rPr>
          <w:instrText xml:space="preserve"> PAGEREF _Toc227629142 \h </w:instrText>
        </w:r>
        <w:r w:rsidRPr="005E4E69">
          <w:rPr>
            <w:rFonts w:ascii="Arial" w:hAnsi="Arial" w:cs="Arial"/>
            <w:noProof/>
            <w:webHidden/>
          </w:rPr>
        </w:r>
        <w:r w:rsidRPr="005E4E69">
          <w:rPr>
            <w:rFonts w:ascii="Arial" w:hAnsi="Arial" w:cs="Arial"/>
            <w:noProof/>
            <w:webHidden/>
          </w:rPr>
          <w:fldChar w:fldCharType="separate"/>
        </w:r>
        <w:r w:rsidRPr="005E4E69">
          <w:rPr>
            <w:rFonts w:ascii="Arial" w:hAnsi="Arial" w:cs="Arial"/>
            <w:noProof/>
            <w:webHidden/>
          </w:rPr>
          <w:t>1</w:t>
        </w:r>
        <w:r w:rsidRPr="005E4E69">
          <w:rPr>
            <w:rFonts w:ascii="Arial" w:hAnsi="Arial" w:cs="Arial"/>
            <w:noProof/>
            <w:webHidden/>
          </w:rPr>
          <w:fldChar w:fldCharType="end"/>
        </w:r>
      </w:hyperlink>
    </w:p>
    <w:p w14:paraId="32957047" w14:textId="09A28E2F" w:rsidR="005E4E69" w:rsidRPr="005E4E69" w:rsidRDefault="005E4E69">
      <w:pPr>
        <w:pStyle w:val="TOC2"/>
        <w:tabs>
          <w:tab w:val="right" w:leader="dot" w:pos="9016"/>
        </w:tabs>
        <w:rPr>
          <w:rFonts w:ascii="Arial" w:hAnsi="Arial" w:cs="Arial"/>
          <w:noProof/>
        </w:rPr>
      </w:pPr>
      <w:hyperlink w:anchor="_Toc227629143" w:history="1">
        <w:r w:rsidRPr="005E4E69">
          <w:rPr>
            <w:rStyle w:val="Hyperlink"/>
            <w:rFonts w:ascii="Arial" w:hAnsi="Arial" w:cs="Arial"/>
            <w:noProof/>
          </w:rPr>
          <w:t>5.2 Systemic Interactions and Cross-Cutting Lessons</w:t>
        </w:r>
        <w:r w:rsidRPr="005E4E69">
          <w:rPr>
            <w:rFonts w:ascii="Arial" w:hAnsi="Arial" w:cs="Arial"/>
            <w:noProof/>
            <w:webHidden/>
          </w:rPr>
          <w:tab/>
        </w:r>
        <w:r w:rsidRPr="005E4E69">
          <w:rPr>
            <w:rFonts w:ascii="Arial" w:hAnsi="Arial" w:cs="Arial"/>
            <w:noProof/>
            <w:webHidden/>
          </w:rPr>
          <w:fldChar w:fldCharType="begin"/>
        </w:r>
        <w:r w:rsidRPr="005E4E69">
          <w:rPr>
            <w:rFonts w:ascii="Arial" w:hAnsi="Arial" w:cs="Arial"/>
            <w:noProof/>
            <w:webHidden/>
          </w:rPr>
          <w:instrText xml:space="preserve"> PAGEREF _Toc227629143 \h </w:instrText>
        </w:r>
        <w:r w:rsidRPr="005E4E69">
          <w:rPr>
            <w:rFonts w:ascii="Arial" w:hAnsi="Arial" w:cs="Arial"/>
            <w:noProof/>
            <w:webHidden/>
          </w:rPr>
        </w:r>
        <w:r w:rsidRPr="005E4E69">
          <w:rPr>
            <w:rFonts w:ascii="Arial" w:hAnsi="Arial" w:cs="Arial"/>
            <w:noProof/>
            <w:webHidden/>
          </w:rPr>
          <w:fldChar w:fldCharType="separate"/>
        </w:r>
        <w:r w:rsidRPr="005E4E69">
          <w:rPr>
            <w:rFonts w:ascii="Arial" w:hAnsi="Arial" w:cs="Arial"/>
            <w:noProof/>
            <w:webHidden/>
          </w:rPr>
          <w:t>1</w:t>
        </w:r>
        <w:r w:rsidRPr="005E4E69">
          <w:rPr>
            <w:rFonts w:ascii="Arial" w:hAnsi="Arial" w:cs="Arial"/>
            <w:noProof/>
            <w:webHidden/>
          </w:rPr>
          <w:fldChar w:fldCharType="end"/>
        </w:r>
      </w:hyperlink>
    </w:p>
    <w:p w14:paraId="2A0112A9" w14:textId="6424C076" w:rsidR="005E4E69" w:rsidRPr="005E4E69" w:rsidRDefault="005E4E69">
      <w:pPr>
        <w:pStyle w:val="TOC1"/>
        <w:tabs>
          <w:tab w:val="right" w:leader="dot" w:pos="9016"/>
        </w:tabs>
        <w:rPr>
          <w:rFonts w:ascii="Arial" w:hAnsi="Arial" w:cs="Arial"/>
          <w:noProof/>
        </w:rPr>
      </w:pPr>
      <w:hyperlink w:anchor="_Toc227629144" w:history="1">
        <w:r w:rsidRPr="005E4E69">
          <w:rPr>
            <w:rStyle w:val="Hyperlink"/>
            <w:rFonts w:ascii="Arial" w:hAnsi="Arial" w:cs="Arial"/>
            <w:noProof/>
          </w:rPr>
          <w:t>6. Recommendations</w:t>
        </w:r>
        <w:r w:rsidRPr="005E4E69">
          <w:rPr>
            <w:rFonts w:ascii="Arial" w:hAnsi="Arial" w:cs="Arial"/>
            <w:noProof/>
            <w:webHidden/>
          </w:rPr>
          <w:tab/>
        </w:r>
        <w:r w:rsidRPr="005E4E69">
          <w:rPr>
            <w:rFonts w:ascii="Arial" w:hAnsi="Arial" w:cs="Arial"/>
            <w:noProof/>
            <w:webHidden/>
          </w:rPr>
          <w:fldChar w:fldCharType="begin"/>
        </w:r>
        <w:r w:rsidRPr="005E4E69">
          <w:rPr>
            <w:rFonts w:ascii="Arial" w:hAnsi="Arial" w:cs="Arial"/>
            <w:noProof/>
            <w:webHidden/>
          </w:rPr>
          <w:instrText xml:space="preserve"> PAGEREF _Toc227629144 \h </w:instrText>
        </w:r>
        <w:r w:rsidRPr="005E4E69">
          <w:rPr>
            <w:rFonts w:ascii="Arial" w:hAnsi="Arial" w:cs="Arial"/>
            <w:noProof/>
            <w:webHidden/>
          </w:rPr>
        </w:r>
        <w:r w:rsidRPr="005E4E69">
          <w:rPr>
            <w:rFonts w:ascii="Arial" w:hAnsi="Arial" w:cs="Arial"/>
            <w:noProof/>
            <w:webHidden/>
          </w:rPr>
          <w:fldChar w:fldCharType="separate"/>
        </w:r>
        <w:r w:rsidRPr="005E4E69">
          <w:rPr>
            <w:rFonts w:ascii="Arial" w:hAnsi="Arial" w:cs="Arial"/>
            <w:noProof/>
            <w:webHidden/>
          </w:rPr>
          <w:t>1</w:t>
        </w:r>
        <w:r w:rsidRPr="005E4E69">
          <w:rPr>
            <w:rFonts w:ascii="Arial" w:hAnsi="Arial" w:cs="Arial"/>
            <w:noProof/>
            <w:webHidden/>
          </w:rPr>
          <w:fldChar w:fldCharType="end"/>
        </w:r>
      </w:hyperlink>
    </w:p>
    <w:p w14:paraId="0635A016" w14:textId="056DDB5A" w:rsidR="005E4E69" w:rsidRPr="005E4E69" w:rsidRDefault="005E4E69">
      <w:pPr>
        <w:pStyle w:val="TOC1"/>
        <w:tabs>
          <w:tab w:val="right" w:leader="dot" w:pos="9016"/>
        </w:tabs>
        <w:rPr>
          <w:rFonts w:ascii="Arial" w:hAnsi="Arial" w:cs="Arial"/>
          <w:noProof/>
        </w:rPr>
      </w:pPr>
      <w:hyperlink w:anchor="_Toc227629145" w:history="1">
        <w:r w:rsidRPr="005E4E69">
          <w:rPr>
            <w:rStyle w:val="Hyperlink"/>
            <w:rFonts w:ascii="Arial" w:hAnsi="Arial" w:cs="Arial"/>
            <w:noProof/>
          </w:rPr>
          <w:t>7. Conclusion</w:t>
        </w:r>
        <w:r w:rsidRPr="005E4E69">
          <w:rPr>
            <w:rFonts w:ascii="Arial" w:hAnsi="Arial" w:cs="Arial"/>
            <w:noProof/>
            <w:webHidden/>
          </w:rPr>
          <w:tab/>
        </w:r>
        <w:r w:rsidRPr="005E4E69">
          <w:rPr>
            <w:rFonts w:ascii="Arial" w:hAnsi="Arial" w:cs="Arial"/>
            <w:noProof/>
            <w:webHidden/>
          </w:rPr>
          <w:fldChar w:fldCharType="begin"/>
        </w:r>
        <w:r w:rsidRPr="005E4E69">
          <w:rPr>
            <w:rFonts w:ascii="Arial" w:hAnsi="Arial" w:cs="Arial"/>
            <w:noProof/>
            <w:webHidden/>
          </w:rPr>
          <w:instrText xml:space="preserve"> PAGEREF _Toc227629145 \h </w:instrText>
        </w:r>
        <w:r w:rsidRPr="005E4E69">
          <w:rPr>
            <w:rFonts w:ascii="Arial" w:hAnsi="Arial" w:cs="Arial"/>
            <w:noProof/>
            <w:webHidden/>
          </w:rPr>
        </w:r>
        <w:r w:rsidRPr="005E4E69">
          <w:rPr>
            <w:rFonts w:ascii="Arial" w:hAnsi="Arial" w:cs="Arial"/>
            <w:noProof/>
            <w:webHidden/>
          </w:rPr>
          <w:fldChar w:fldCharType="separate"/>
        </w:r>
        <w:r w:rsidRPr="005E4E69">
          <w:rPr>
            <w:rFonts w:ascii="Arial" w:hAnsi="Arial" w:cs="Arial"/>
            <w:noProof/>
            <w:webHidden/>
          </w:rPr>
          <w:t>1</w:t>
        </w:r>
        <w:r w:rsidRPr="005E4E69">
          <w:rPr>
            <w:rFonts w:ascii="Arial" w:hAnsi="Arial" w:cs="Arial"/>
            <w:noProof/>
            <w:webHidden/>
          </w:rPr>
          <w:fldChar w:fldCharType="end"/>
        </w:r>
      </w:hyperlink>
    </w:p>
    <w:p w14:paraId="1A000003" w14:textId="524B126E" w:rsidR="00E80607" w:rsidRPr="005E4E69" w:rsidRDefault="00E80607">
      <w:pPr>
        <w:spacing w:after="160"/>
        <w:rPr>
          <w:rFonts w:ascii="Arial" w:hAnsi="Arial" w:cs="Arial"/>
        </w:rPr>
      </w:pPr>
      <w:r w:rsidRPr="005E4E69">
        <w:rPr>
          <w:rFonts w:ascii="Arial" w:hAnsi="Arial" w:cs="Arial"/>
        </w:rPr>
        <w:fldChar w:fldCharType="end"/>
      </w:r>
    </w:p>
    <w:p w14:paraId="1A000004" w14:textId="77777777" w:rsidR="00E80607" w:rsidRPr="005E4E69" w:rsidRDefault="00E80607">
      <w:pPr>
        <w:rPr>
          <w:rFonts w:ascii="Arial" w:hAnsi="Arial" w:cs="Arial"/>
        </w:rPr>
      </w:pPr>
      <w:r w:rsidRPr="005E4E69">
        <w:rPr>
          <w:rFonts w:ascii="Arial" w:hAnsi="Arial" w:cs="Arial"/>
        </w:rPr>
        <w:br w:type="page"/>
      </w:r>
    </w:p>
    <w:p w14:paraId="7D9740E7" w14:textId="112E7F9D" w:rsidR="003D0A61" w:rsidRPr="005E4E69" w:rsidRDefault="00E80607">
      <w:pPr>
        <w:pStyle w:val="Heading1"/>
        <w:rPr>
          <w:rFonts w:ascii="Arial" w:hAnsi="Arial" w:cs="Arial"/>
        </w:rPr>
      </w:pPr>
      <w:bookmarkStart w:id="0" w:name="_Toc227629129"/>
      <w:r w:rsidRPr="005E4E69">
        <w:rPr>
          <w:rFonts w:ascii="Arial" w:hAnsi="Arial" w:cs="Arial"/>
        </w:rPr>
        <w:lastRenderedPageBreak/>
        <w:t>1. Introduction</w:t>
      </w:r>
      <w:bookmarkEnd w:id="0"/>
    </w:p>
    <w:p w14:paraId="2EA1E278" w14:textId="77777777" w:rsidR="003D0A61" w:rsidRPr="005E4E69" w:rsidRDefault="00E80607" w:rsidP="000A70E8">
      <w:pPr>
        <w:spacing w:after="160" w:line="360" w:lineRule="auto"/>
        <w:jc w:val="both"/>
        <w:rPr>
          <w:rFonts w:ascii="Arial" w:hAnsi="Arial" w:cs="Arial"/>
        </w:rPr>
      </w:pPr>
      <w:r w:rsidRPr="005E4E69">
        <w:rPr>
          <w:rFonts w:ascii="Arial" w:hAnsi="Arial" w:cs="Arial"/>
        </w:rPr>
        <w:t>The Lewis Blackman case represents one of the most profoundly instructive tragedies in modern patient safety history. In November 2000, Lewis Blackman, a healthy fifteen-year-old boy, underwent elective surgery for pectus excavatum at the Medical University of South Carolina (MUSC), USA. Following the procedure, he developed serious complications that went unrecognised for four days, during which time critical warning signs were dismissed, escalation pathways failed, and a series of systemic and cultural br</w:t>
      </w:r>
      <w:r w:rsidRPr="005E4E69">
        <w:rPr>
          <w:rFonts w:ascii="Arial" w:hAnsi="Arial" w:cs="Arial"/>
        </w:rPr>
        <w:t>eakdowns converged to produce a wholly preventable death. Although this incident occurred in the United States, its lessons resonate powerfully within the United Kingdom’s National Health Service (NHS) context, where analogous failures in communication, hierarchy, and accountability have repeatedly emerged in high-profile inquiries including the Francis Report (2013) into Mid Staffordshire NHS Foundation Trust, the Ockenden Report (2022) on Shrewsbury and Telford Hospital NHS Trust, and the Kirkup Report (2</w:t>
      </w:r>
      <w:r w:rsidRPr="005E4E69">
        <w:rPr>
          <w:rFonts w:ascii="Arial" w:hAnsi="Arial" w:cs="Arial"/>
        </w:rPr>
        <w:t>015) regarding Morecambe Bay maternity services.</w:t>
      </w:r>
    </w:p>
    <w:p w14:paraId="1379D583" w14:textId="77777777" w:rsidR="003D0A61" w:rsidRPr="005E4E69" w:rsidRDefault="00E80607" w:rsidP="000A70E8">
      <w:pPr>
        <w:spacing w:after="160" w:line="360" w:lineRule="auto"/>
        <w:jc w:val="both"/>
        <w:rPr>
          <w:rFonts w:ascii="Arial" w:hAnsi="Arial" w:cs="Arial"/>
        </w:rPr>
      </w:pPr>
      <w:r w:rsidRPr="005E4E69">
        <w:rPr>
          <w:rFonts w:ascii="Arial" w:hAnsi="Arial" w:cs="Arial"/>
        </w:rPr>
        <w:t xml:space="preserve">Leadership in health and social care is broadly understood as the capacity to influence others towards achieving shared goals that ultimately improve patient outcomes and organisational performance (West et al., 2014). It operates at every level of a healthcare system, from ward-based clinical teams to national policy bodies, and determines how effectively resources, information, and decision-making are aligned in service of safe care (Storey and Holti, 2013). Leadership is not simply a matter of position; </w:t>
      </w:r>
      <w:r w:rsidRPr="005E4E69">
        <w:rPr>
          <w:rFonts w:ascii="Arial" w:hAnsi="Arial" w:cs="Arial"/>
        </w:rPr>
        <w:t>it encompasses the relational, communicative, and moral dimensions of professional practice (NHS Leadership Academy, 2013).</w:t>
      </w:r>
    </w:p>
    <w:p w14:paraId="4400B3BE" w14:textId="77777777" w:rsidR="003D0A61" w:rsidRPr="005E4E69" w:rsidRDefault="00E80607" w:rsidP="000A70E8">
      <w:pPr>
        <w:spacing w:after="160" w:line="360" w:lineRule="auto"/>
        <w:jc w:val="both"/>
        <w:rPr>
          <w:rFonts w:ascii="Arial" w:hAnsi="Arial" w:cs="Arial"/>
        </w:rPr>
      </w:pPr>
      <w:r w:rsidRPr="005E4E69">
        <w:rPr>
          <w:rFonts w:ascii="Arial" w:hAnsi="Arial" w:cs="Arial"/>
        </w:rPr>
        <w:t>Healthcare systems are typically structured along a spectrum from centralisation, where decision-making authority is concentrated at the apex of an organisation, to decentralisation, where authority is devolved to front-line teams or localities (WHO, 2010). Each configuration carries implications for responsiveness, accountability, and safety. Centralised systems may achieve consistency and control but risk creating hierarchies that suppress the voices of junior staff and patients; decentralised systems emp</w:t>
      </w:r>
      <w:r w:rsidRPr="005E4E69">
        <w:rPr>
          <w:rFonts w:ascii="Arial" w:hAnsi="Arial" w:cs="Arial"/>
        </w:rPr>
        <w:t>ower local actors but may sacrifice coordination and standardisation (Ham, 2009).</w:t>
      </w:r>
    </w:p>
    <w:p w14:paraId="69FC5FDB" w14:textId="77777777" w:rsidR="003D0A61" w:rsidRPr="005E4E69" w:rsidRDefault="00E80607" w:rsidP="000A70E8">
      <w:pPr>
        <w:spacing w:after="160" w:line="360" w:lineRule="auto"/>
        <w:jc w:val="both"/>
        <w:rPr>
          <w:rFonts w:ascii="Arial" w:hAnsi="Arial" w:cs="Arial"/>
        </w:rPr>
      </w:pPr>
      <w:r w:rsidRPr="005E4E69">
        <w:rPr>
          <w:rFonts w:ascii="Arial" w:hAnsi="Arial" w:cs="Arial"/>
        </w:rPr>
        <w:t xml:space="preserve">Several leadership theories are pertinent to this case. Transformational leadership focuses on inspiring and motivating followers through vision and personal engagement (Reid and Dold, 2018; Yammarino, 1993). Transactional leadership, by contrast, </w:t>
      </w:r>
      <w:r w:rsidRPr="005E4E69">
        <w:rPr>
          <w:rFonts w:ascii="Arial" w:hAnsi="Arial" w:cs="Arial"/>
        </w:rPr>
        <w:lastRenderedPageBreak/>
        <w:t>operates through reward and correction within existing structures (Reid and Dold, 2018). Situational leadership, as developed by Hersey and Blanchard (1969), holds that effective leaders adapt their style to the readiness of followers and the demands of the situation. Distributed leadership recognises that influence and expertise are spread across an organisation rather than vested in single individuals (Gronn, 2002). The Servant Leadership model emphasises responsiveness to the needs of those being led, in</w:t>
      </w:r>
      <w:r w:rsidRPr="005E4E69">
        <w:rPr>
          <w:rFonts w:ascii="Arial" w:hAnsi="Arial" w:cs="Arial"/>
        </w:rPr>
        <w:t>cluding patients and junior clinicians (Greenleaf, 1977).</w:t>
      </w:r>
    </w:p>
    <w:p w14:paraId="11F63A9D" w14:textId="77777777" w:rsidR="003D0A61" w:rsidRPr="005E4E69" w:rsidRDefault="00E80607" w:rsidP="000A70E8">
      <w:pPr>
        <w:spacing w:after="160" w:line="360" w:lineRule="auto"/>
        <w:jc w:val="both"/>
        <w:rPr>
          <w:rFonts w:ascii="Arial" w:hAnsi="Arial" w:cs="Arial"/>
        </w:rPr>
      </w:pPr>
      <w:r w:rsidRPr="005E4E69">
        <w:rPr>
          <w:rFonts w:ascii="Arial" w:hAnsi="Arial" w:cs="Arial"/>
        </w:rPr>
        <w:t>The choice of leadership style is of particular consequence in crisis and change management contexts. When systems are under pressure, hierarchical, command-driven leadership can suppress essential information flows and inhibit timely decision-making. Evidence consistently demonstrates that where cultures of psychological safety and distributed leadership are established, adverse event rates decline and staff engagement improves (Edmondson, 1999; West et al., 2014). This report examines the Lewis Blackman c</w:t>
      </w:r>
      <w:r w:rsidRPr="005E4E69">
        <w:rPr>
          <w:rFonts w:ascii="Arial" w:hAnsi="Arial" w:cs="Arial"/>
        </w:rPr>
        <w:t>ase through the lenses of systems thinking, governance, centralisation/decentralisation theory, and leadership theory, drawing extensively on UK data and scholarship to generate lessons of enduring relevance.</w:t>
      </w:r>
    </w:p>
    <w:p w14:paraId="2E335BA6" w14:textId="77777777" w:rsidR="003D0A61" w:rsidRPr="005E4E69" w:rsidRDefault="00E80607" w:rsidP="000A70E8">
      <w:pPr>
        <w:spacing w:after="160" w:line="360" w:lineRule="auto"/>
        <w:jc w:val="both"/>
        <w:rPr>
          <w:rFonts w:ascii="Arial" w:hAnsi="Arial" w:cs="Arial"/>
        </w:rPr>
      </w:pPr>
      <w:r w:rsidRPr="005E4E69">
        <w:rPr>
          <w:rFonts w:ascii="Arial" w:hAnsi="Arial" w:cs="Arial"/>
        </w:rPr>
        <w:t>The report is structured as follows: Section 2 identifies the problem and sets the system context using a rich picture approach; Section 3 analyses the centralisation/decentralisation dynamics within the case; Section 4 applies and critiques relevant leadership theories; Section 5 evaluates improvements and lessons learned; Section 6 provides recommendations; Section 7 offers a conclusion.</w:t>
      </w:r>
    </w:p>
    <w:p w14:paraId="034FB524" w14:textId="77777777" w:rsidR="003D0A61" w:rsidRPr="005E4E69" w:rsidRDefault="00E80607" w:rsidP="000A70E8">
      <w:pPr>
        <w:pStyle w:val="Heading1"/>
        <w:spacing w:line="360" w:lineRule="auto"/>
        <w:rPr>
          <w:rFonts w:ascii="Arial" w:hAnsi="Arial" w:cs="Arial"/>
        </w:rPr>
      </w:pPr>
      <w:bookmarkStart w:id="1" w:name="_Toc227629130"/>
      <w:r w:rsidRPr="005E4E69">
        <w:rPr>
          <w:rFonts w:ascii="Arial" w:hAnsi="Arial" w:cs="Arial"/>
        </w:rPr>
        <w:t>2. Identifying the Problem and Setting the System Context: Applying Systems Thinking and the Rich Picture</w:t>
      </w:r>
      <w:bookmarkEnd w:id="1"/>
    </w:p>
    <w:p w14:paraId="23E4E4A5" w14:textId="77777777" w:rsidR="003D0A61" w:rsidRPr="005E4E69" w:rsidRDefault="00E80607" w:rsidP="000A70E8">
      <w:pPr>
        <w:spacing w:after="160" w:line="360" w:lineRule="auto"/>
        <w:jc w:val="both"/>
        <w:rPr>
          <w:rFonts w:ascii="Arial" w:hAnsi="Arial" w:cs="Arial"/>
        </w:rPr>
      </w:pPr>
      <w:r w:rsidRPr="005E4E69">
        <w:rPr>
          <w:rFonts w:ascii="Arial" w:hAnsi="Arial" w:cs="Arial"/>
        </w:rPr>
        <w:t>Lewis Blackman died on 6 November 2000 following an elective repair of pectus excavatum, a congenital chest wall deformity. Although the surgery itself was completed without complication, Lewis subsequently developed internal haemorrhage and ketorolac-induced gastrointestinal bleeding that were not recognised or escalated appropriately over four days of deterioration. He received a non-steroidal anti-inflammatory drug (NSAID, specifically ketorolac) at doses and durations contraindicated in paediatric patie</w:t>
      </w:r>
      <w:r w:rsidRPr="005E4E69">
        <w:rPr>
          <w:rFonts w:ascii="Arial" w:hAnsi="Arial" w:cs="Arial"/>
        </w:rPr>
        <w:t xml:space="preserve">nts, and the nursing staff and junior doctors who repeatedly observed signs of clinical decline were either discouraged from escalating </w:t>
      </w:r>
      <w:r w:rsidRPr="005E4E69">
        <w:rPr>
          <w:rFonts w:ascii="Arial" w:hAnsi="Arial" w:cs="Arial"/>
        </w:rPr>
        <w:lastRenderedPageBreak/>
        <w:t>or lacked the systemic mechanisms to do so effectively. When Lewis eventually arrested, resuscitation was unsuccessful. His mother, Helen Haskell, subsequently became a leading advocate for patient safety reform and the founder of Mothers Against Medical Error (Patient Safety Movement, 2014).</w:t>
      </w:r>
    </w:p>
    <w:p w14:paraId="1F245B1F" w14:textId="77777777" w:rsidR="003D0A61" w:rsidRPr="005E4E69" w:rsidRDefault="00E80607" w:rsidP="000A70E8">
      <w:pPr>
        <w:spacing w:after="160" w:line="360" w:lineRule="auto"/>
        <w:jc w:val="both"/>
        <w:rPr>
          <w:rFonts w:ascii="Arial" w:hAnsi="Arial" w:cs="Arial"/>
        </w:rPr>
      </w:pPr>
      <w:r w:rsidRPr="005E4E69">
        <w:rPr>
          <w:rFonts w:ascii="Arial" w:hAnsi="Arial" w:cs="Arial"/>
        </w:rPr>
        <w:t>The problem at its core was not individual incompetence but a systemic failure characterised by cognitive bias (particularly anchoring bias and diagnostic momentum), suppressed escalation, cultural deference to seniority, and the absence of rapid response mechanisms. These are systemic weaknesses that persist across healthcare systems globally and nationally.</w:t>
      </w:r>
    </w:p>
    <w:p w14:paraId="50C88230" w14:textId="77777777" w:rsidR="003D0A61" w:rsidRPr="005E4E69" w:rsidRDefault="00E80607" w:rsidP="000A70E8">
      <w:pPr>
        <w:pStyle w:val="Heading2"/>
        <w:spacing w:line="360" w:lineRule="auto"/>
        <w:rPr>
          <w:rFonts w:ascii="Arial" w:hAnsi="Arial" w:cs="Arial"/>
        </w:rPr>
      </w:pPr>
      <w:bookmarkStart w:id="2" w:name="_Toc227629131"/>
      <w:r w:rsidRPr="005E4E69">
        <w:rPr>
          <w:rFonts w:ascii="Arial" w:hAnsi="Arial" w:cs="Arial"/>
        </w:rPr>
        <w:t>2.1 Global and National Statistical Context</w:t>
      </w:r>
      <w:bookmarkEnd w:id="2"/>
    </w:p>
    <w:p w14:paraId="373741AE" w14:textId="77777777" w:rsidR="003D0A61" w:rsidRPr="005E4E69" w:rsidRDefault="00E80607" w:rsidP="000A70E8">
      <w:pPr>
        <w:spacing w:after="160" w:line="360" w:lineRule="auto"/>
        <w:jc w:val="both"/>
        <w:rPr>
          <w:rFonts w:ascii="Arial" w:hAnsi="Arial" w:cs="Arial"/>
        </w:rPr>
      </w:pPr>
      <w:r w:rsidRPr="005E4E69">
        <w:rPr>
          <w:rFonts w:ascii="Arial" w:hAnsi="Arial" w:cs="Arial"/>
        </w:rPr>
        <w:t xml:space="preserve">Globally, patient safety is recognised as a critical public health challenge. The World Health Organization estimates that unsafe care is one of the leading causes of death and disability worldwide, and that a significant proportion of patient harm is preventable, particularly in high-income countries where an estimated one in ten patients is harmed during hospital care (WHO, 2023). The WHO Global Patient Safety Action Plan 2021–2030 identifies failures in clinical governance, communication, and leadership </w:t>
      </w:r>
      <w:r w:rsidRPr="005E4E69">
        <w:rPr>
          <w:rFonts w:ascii="Arial" w:hAnsi="Arial" w:cs="Arial"/>
        </w:rPr>
        <w:t>as root causes of preventable harm (WHO, 2021).</w:t>
      </w:r>
    </w:p>
    <w:p w14:paraId="5DDF8CAC" w14:textId="77777777" w:rsidR="003D0A61" w:rsidRPr="005E4E69" w:rsidRDefault="00E80607" w:rsidP="000A70E8">
      <w:pPr>
        <w:spacing w:after="160" w:line="360" w:lineRule="auto"/>
        <w:jc w:val="both"/>
        <w:rPr>
          <w:rFonts w:ascii="Arial" w:hAnsi="Arial" w:cs="Arial"/>
        </w:rPr>
      </w:pPr>
      <w:r w:rsidRPr="005E4E69">
        <w:rPr>
          <w:rFonts w:ascii="Arial" w:hAnsi="Arial" w:cs="Arial"/>
        </w:rPr>
        <w:t xml:space="preserve">In England, the National Reporting and Learning System (NRLS), administered by NHS England, recorded over 2.2 million patient safety incidents in 2021–2022 alone (NHS England, 2022). Of these, thousands resulted in severe harm or death. Analysis of serious incident investigations consistently identifies delayed escalation, inadequate supervision of junior staff, and communication breakdown as recurrent contributory factors (Healthcare Safety Investigation Branch, 2022). The Care Quality Commission found in </w:t>
      </w:r>
      <w:r w:rsidRPr="005E4E69">
        <w:rPr>
          <w:rFonts w:ascii="Arial" w:hAnsi="Arial" w:cs="Arial"/>
        </w:rPr>
        <w:t>its annual State of Care report that failures in clinical governance and leadership cultures remained significant drivers of patient harm across NHS trusts (CQC, 2021).</w:t>
      </w:r>
    </w:p>
    <w:p w14:paraId="642481DE" w14:textId="77777777" w:rsidR="003D0A61" w:rsidRPr="005E4E69" w:rsidRDefault="00E80607" w:rsidP="000A70E8">
      <w:pPr>
        <w:spacing w:after="160" w:line="360" w:lineRule="auto"/>
        <w:jc w:val="both"/>
        <w:rPr>
          <w:rFonts w:ascii="Arial" w:hAnsi="Arial" w:cs="Arial"/>
        </w:rPr>
      </w:pPr>
      <w:r w:rsidRPr="005E4E69">
        <w:rPr>
          <w:rFonts w:ascii="Arial" w:hAnsi="Arial" w:cs="Arial"/>
        </w:rPr>
        <w:t xml:space="preserve">The NHS Patient Safety Strategy identifies three domains for improvement: safety culture, safety systems, and safety science. The Lewis Blackman case maps onto all three domains: a hierarchical culture suppressed safety behaviours; no rapid response team or escalation protocol existed; and cognitive biases in clinical reasoning were neither recognised nor mitigated (NHS England, 2019). The National Institute for Health and Care Excellence subsequently published guidance on acutely ill adults in </w:t>
      </w:r>
      <w:r w:rsidRPr="005E4E69">
        <w:rPr>
          <w:rFonts w:ascii="Arial" w:hAnsi="Arial" w:cs="Arial"/>
        </w:rPr>
        <w:lastRenderedPageBreak/>
        <w:t>hospital (updated in 2007 and 2020), mandating early warning scoring systems and clear escalation pathways, precisely addressing the gaps illustrated in Lewis’s case (NICE, 2007).</w:t>
      </w:r>
    </w:p>
    <w:p w14:paraId="67970441" w14:textId="77777777" w:rsidR="003D0A61" w:rsidRPr="005E4E69" w:rsidRDefault="00E80607" w:rsidP="000A70E8">
      <w:pPr>
        <w:spacing w:after="160" w:line="360" w:lineRule="auto"/>
        <w:jc w:val="both"/>
        <w:rPr>
          <w:rFonts w:ascii="Arial" w:hAnsi="Arial" w:cs="Arial"/>
        </w:rPr>
      </w:pPr>
      <w:r w:rsidRPr="005E4E69">
        <w:rPr>
          <w:rFonts w:ascii="Arial" w:hAnsi="Arial" w:cs="Arial"/>
        </w:rPr>
        <w:t>The Royal College of Physicians reported that the National Early Warning Score (NEWS2) system provides a standardised, validated mechanism for detecting clinical deterioration in hospitalised patients, and its adoption is associated with measurable improvements in the recognition of and response to deteriorating patients (Royal College of Physicians, 2017). In Lewis’s case, no such system was in use. The NHS Long Term Plan subsequently committed to universal adoption of NEWS2 across all acute NHS trusts, re</w:t>
      </w:r>
      <w:r w:rsidRPr="005E4E69">
        <w:rPr>
          <w:rFonts w:ascii="Arial" w:hAnsi="Arial" w:cs="Arial"/>
        </w:rPr>
        <w:t>cognising that the conditions enabling Lewis’s death persist in varying degrees across the healthcare system (NHS England, 2019).</w:t>
      </w:r>
    </w:p>
    <w:p w14:paraId="278B0CF4" w14:textId="77777777" w:rsidR="003D0A61" w:rsidRPr="005E4E69" w:rsidRDefault="00E80607" w:rsidP="000A70E8">
      <w:pPr>
        <w:spacing w:after="160" w:line="360" w:lineRule="auto"/>
        <w:jc w:val="both"/>
        <w:rPr>
          <w:rFonts w:ascii="Arial" w:hAnsi="Arial" w:cs="Arial"/>
        </w:rPr>
      </w:pPr>
      <w:r w:rsidRPr="005E4E69">
        <w:rPr>
          <w:rFonts w:ascii="Arial" w:hAnsi="Arial" w:cs="Arial"/>
        </w:rPr>
        <w:t>In the UK, NHS Improvement (now NHS England) estimated that preventable medication errors affect a substantial number of patients annually, placing a significant burden on the NHS in terms of both human cost and financial expenditure (Elliott et al., 2021). Adverse drug events — the category within which Lewis’s ketorolac toxicity falls — represent one of the leading categories of preventable patient harm internationally (IHI, 2023).</w:t>
      </w:r>
    </w:p>
    <w:p w14:paraId="1C7CB03A" w14:textId="77777777" w:rsidR="003D0A61" w:rsidRPr="005E4E69" w:rsidRDefault="00E80607" w:rsidP="000A70E8">
      <w:pPr>
        <w:pStyle w:val="Heading2"/>
        <w:spacing w:line="360" w:lineRule="auto"/>
        <w:rPr>
          <w:rFonts w:ascii="Arial" w:hAnsi="Arial" w:cs="Arial"/>
        </w:rPr>
      </w:pPr>
      <w:bookmarkStart w:id="3" w:name="_Toc227629132"/>
      <w:r w:rsidRPr="005E4E69">
        <w:rPr>
          <w:rFonts w:ascii="Arial" w:hAnsi="Arial" w:cs="Arial"/>
        </w:rPr>
        <w:t>2.2 Rich Picture and Systems Analysis</w:t>
      </w:r>
      <w:bookmarkEnd w:id="3"/>
    </w:p>
    <w:p w14:paraId="768174C3" w14:textId="77777777" w:rsidR="003D0A61" w:rsidRPr="005E4E69" w:rsidRDefault="00E80607" w:rsidP="000A70E8">
      <w:pPr>
        <w:spacing w:after="160" w:line="360" w:lineRule="auto"/>
        <w:jc w:val="both"/>
        <w:rPr>
          <w:rFonts w:ascii="Arial" w:hAnsi="Arial" w:cs="Arial"/>
        </w:rPr>
      </w:pPr>
      <w:r w:rsidRPr="005E4E69">
        <w:rPr>
          <w:rFonts w:ascii="Arial" w:hAnsi="Arial" w:cs="Arial"/>
        </w:rPr>
        <w:t>A Rich Picture, as developed within Soft Systems Methodology (SSM) by Checkland (1981), is a visual and narrative representation of a complex situation that captures the multiple actors, relationships, processes, and conflicts within a system. Constructing a Rich Picture for the Lewis Blackman case reveals the following interacting elements.</w:t>
      </w:r>
    </w:p>
    <w:p w14:paraId="62A3F78A" w14:textId="475C50C2" w:rsidR="000A70E8" w:rsidRPr="005E4E69" w:rsidRDefault="000A70E8" w:rsidP="000A70E8">
      <w:pPr>
        <w:spacing w:after="160" w:line="360" w:lineRule="auto"/>
        <w:jc w:val="both"/>
        <w:rPr>
          <w:rFonts w:ascii="Arial" w:hAnsi="Arial" w:cs="Arial"/>
        </w:rPr>
      </w:pPr>
      <w:r w:rsidRPr="005E4E69">
        <w:rPr>
          <w:rFonts w:ascii="Arial" w:hAnsi="Arial" w:cs="Arial"/>
          <w:noProof/>
          <w:sz w:val="28"/>
          <w:szCs w:val="28"/>
        </w:rPr>
        <w:lastRenderedPageBreak/>
        <w:drawing>
          <wp:inline distT="0" distB="0" distL="0" distR="0" wp14:anchorId="3B930455" wp14:editId="0A6C4F52">
            <wp:extent cx="5731510" cy="3820795"/>
            <wp:effectExtent l="0" t="0" r="2540" b="8255"/>
            <wp:docPr id="20683493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5F6958EB" w14:textId="5CE5CEF2" w:rsidR="003D0A61" w:rsidRPr="005E4E69" w:rsidRDefault="00957203" w:rsidP="000A70E8">
      <w:pPr>
        <w:spacing w:after="160" w:line="360" w:lineRule="auto"/>
        <w:jc w:val="both"/>
        <w:rPr>
          <w:rFonts w:ascii="Arial" w:hAnsi="Arial" w:cs="Arial"/>
        </w:rPr>
      </w:pPr>
      <w:r w:rsidRPr="005E4E69">
        <w:rPr>
          <w:rFonts w:ascii="Arial" w:hAnsi="Arial" w:cs="Arial"/>
        </w:rPr>
        <w:t>The Lewis, a deteriorating post-operative patient whose physiological warning signs (rising heart rate, falling blood pressure, distended abdomen, pallor, and extreme agitation) were observed repeatedly by nursing staff over 96 hours. The Rich Picture identifies the following actors: Lewis and his mother Helen (patient and advocate); nursing staff (observers of deterioration, constrained from escalating); junior medical staff (interns and residents without adequate supervision); the supervising attending physician (largely absent, anchored to the initial diagnosis of expected post-operative discomfort); hospital administrators (focused on throughput and institutional reputation); and the pharmacy (dispensing a contraindicated medication without paediatric oversight).</w:t>
      </w:r>
    </w:p>
    <w:p w14:paraId="678527C7" w14:textId="77777777" w:rsidR="003D0A61" w:rsidRPr="005E4E69" w:rsidRDefault="00E80607" w:rsidP="000A70E8">
      <w:pPr>
        <w:spacing w:after="160" w:line="360" w:lineRule="auto"/>
        <w:jc w:val="both"/>
        <w:rPr>
          <w:rFonts w:ascii="Arial" w:hAnsi="Arial" w:cs="Arial"/>
        </w:rPr>
      </w:pPr>
      <w:r w:rsidRPr="005E4E69">
        <w:rPr>
          <w:rFonts w:ascii="Arial" w:hAnsi="Arial" w:cs="Arial"/>
        </w:rPr>
        <w:t>Key feedback loops include: nurses documenting deterioration that was not acted upon, creating a false administrative record of “monitoring”; junior doctors deferring to senior assessments despite conflicting clinical evidence; and Helen Haskell repeatedly requesting senior review but being reassured or deflected. Communication gaps are evident between nursing staff and the medical team, between the medical team and Helen, and between the bedside clinicians and institutional governance structures. Dependenc</w:t>
      </w:r>
      <w:r w:rsidRPr="005E4E69">
        <w:rPr>
          <w:rFonts w:ascii="Arial" w:hAnsi="Arial" w:cs="Arial"/>
        </w:rPr>
        <w:t xml:space="preserve">ies that influenced the outcome include the absence of </w:t>
      </w:r>
      <w:r w:rsidRPr="005E4E69">
        <w:rPr>
          <w:rFonts w:ascii="Arial" w:hAnsi="Arial" w:cs="Arial"/>
        </w:rPr>
        <w:lastRenderedPageBreak/>
        <w:t>escalation protocols, no paediatric pharmacist review of ketorolac prescribing, and a cultural norm discouraging challenge to senior clinicians.</w:t>
      </w:r>
    </w:p>
    <w:p w14:paraId="7A53F985" w14:textId="77777777" w:rsidR="003D0A61" w:rsidRPr="005E4E69" w:rsidRDefault="00E80607" w:rsidP="000A70E8">
      <w:pPr>
        <w:spacing w:after="160" w:line="360" w:lineRule="auto"/>
        <w:jc w:val="both"/>
        <w:rPr>
          <w:rFonts w:ascii="Arial" w:hAnsi="Arial" w:cs="Arial"/>
        </w:rPr>
      </w:pPr>
      <w:r w:rsidRPr="005E4E69">
        <w:rPr>
          <w:rFonts w:ascii="Arial" w:hAnsi="Arial" w:cs="Arial"/>
        </w:rPr>
        <w:t>From a systems thinking perspective, the Lewis Blackman case exemplifies a complex adaptive system in which individual actors behave rationally within local constraints that collectively produce a catastrophic outcome. The system’s design, rather than individual malice or incompetence, was the primary determinant of Lewis’s death (Senge, 1990; Plsek and Greenhalgh, 2001). This finding is directly paralleled in the NHS context by the Francis Report (2013), which concluded that the failures at Mid Staffordshi</w:t>
      </w:r>
      <w:r w:rsidRPr="005E4E69">
        <w:rPr>
          <w:rFonts w:ascii="Arial" w:hAnsi="Arial" w:cs="Arial"/>
        </w:rPr>
        <w:t>re were systemic, rooted in a culture of target-driven governance that prioritised throughput over patient welfare (Francis, 2013).</w:t>
      </w:r>
    </w:p>
    <w:p w14:paraId="029869AB" w14:textId="77777777" w:rsidR="003D0A61" w:rsidRPr="005E4E69" w:rsidRDefault="00E80607" w:rsidP="000A70E8">
      <w:pPr>
        <w:pStyle w:val="Heading1"/>
        <w:spacing w:line="360" w:lineRule="auto"/>
        <w:rPr>
          <w:rFonts w:ascii="Arial" w:hAnsi="Arial" w:cs="Arial"/>
        </w:rPr>
      </w:pPr>
      <w:bookmarkStart w:id="4" w:name="_Toc227629133"/>
      <w:r w:rsidRPr="005E4E69">
        <w:rPr>
          <w:rFonts w:ascii="Arial" w:hAnsi="Arial" w:cs="Arial"/>
        </w:rPr>
        <w:t>3. Centralisation and Decentralisation within the Case Study</w:t>
      </w:r>
      <w:bookmarkEnd w:id="4"/>
    </w:p>
    <w:p w14:paraId="2C1A6C76" w14:textId="77777777" w:rsidR="003D0A61" w:rsidRPr="005E4E69" w:rsidRDefault="00E80607" w:rsidP="000A70E8">
      <w:pPr>
        <w:pStyle w:val="Heading2"/>
        <w:spacing w:line="360" w:lineRule="auto"/>
        <w:rPr>
          <w:rFonts w:ascii="Arial" w:hAnsi="Arial" w:cs="Arial"/>
        </w:rPr>
      </w:pPr>
      <w:bookmarkStart w:id="5" w:name="_Toc227629134"/>
      <w:r w:rsidRPr="005E4E69">
        <w:rPr>
          <w:rFonts w:ascii="Arial" w:hAnsi="Arial" w:cs="Arial"/>
        </w:rPr>
        <w:t>3.1 Centralised Structures at MUSC and NHS Parallels</w:t>
      </w:r>
      <w:bookmarkEnd w:id="5"/>
    </w:p>
    <w:p w14:paraId="0CBFAC36" w14:textId="77777777" w:rsidR="003D0A61" w:rsidRPr="005E4E69" w:rsidRDefault="00E80607" w:rsidP="000A70E8">
      <w:pPr>
        <w:spacing w:after="160" w:line="360" w:lineRule="auto"/>
        <w:jc w:val="both"/>
        <w:rPr>
          <w:rFonts w:ascii="Arial" w:hAnsi="Arial" w:cs="Arial"/>
        </w:rPr>
      </w:pPr>
      <w:r w:rsidRPr="005E4E69">
        <w:rPr>
          <w:rFonts w:ascii="Arial" w:hAnsi="Arial" w:cs="Arial"/>
        </w:rPr>
        <w:t xml:space="preserve">The Medical University of South Carolina in 2000 operated within a highly centralised organisational and clinical governance structure. Decision-making authority was concentrated in the hands of senior attending physicians, and the institutional culture reinforced vertical deference as the normative mode of professional interaction. In centralised systems, authority flows downward from a strategic apex, with standardised processes and rules governing front-line behaviour (Mintzberg, 1979; Ham, 2009). Clear </w:t>
      </w:r>
      <w:r w:rsidRPr="005E4E69">
        <w:rPr>
          <w:rFonts w:ascii="Arial" w:hAnsi="Arial" w:cs="Arial"/>
        </w:rPr>
        <w:t>examples from the Lewis Blackman case include the fact that only the attending surgeon had authority to modify the treatment plan, and that nursing staff and junior doctors operated under an implicit (and sometimes explicit) norm prohibiting independent escalation to higher clinical levels without first obtaining the agreement of the primary team.</w:t>
      </w:r>
    </w:p>
    <w:p w14:paraId="303E46B8" w14:textId="77777777" w:rsidR="003D0A61" w:rsidRPr="005E4E69" w:rsidRDefault="00E80607" w:rsidP="000A70E8">
      <w:pPr>
        <w:spacing w:after="160" w:line="360" w:lineRule="auto"/>
        <w:jc w:val="both"/>
        <w:rPr>
          <w:rFonts w:ascii="Arial" w:hAnsi="Arial" w:cs="Arial"/>
        </w:rPr>
      </w:pPr>
      <w:r w:rsidRPr="005E4E69">
        <w:rPr>
          <w:rFonts w:ascii="Arial" w:hAnsi="Arial" w:cs="Arial"/>
        </w:rPr>
        <w:t>The advantages of centralised systems include consistency in decision-making, clear accountability structures, and the capacity to apply standardised protocols across large organisations (Braithwaite et al., 2018). In crisis management, a well-functioning centralised system can enable rapid, coordinated responses. However, these advantages are contingent on information flowing upward accurately and in a timely manner — a condition that did not obtain in Lewis’s case.</w:t>
      </w:r>
    </w:p>
    <w:p w14:paraId="602BD609" w14:textId="77777777" w:rsidR="003D0A61" w:rsidRPr="005E4E69" w:rsidRDefault="00E80607" w:rsidP="000A70E8">
      <w:pPr>
        <w:spacing w:after="160" w:line="360" w:lineRule="auto"/>
        <w:jc w:val="both"/>
        <w:rPr>
          <w:rFonts w:ascii="Arial" w:hAnsi="Arial" w:cs="Arial"/>
        </w:rPr>
      </w:pPr>
      <w:r w:rsidRPr="005E4E69">
        <w:rPr>
          <w:rFonts w:ascii="Arial" w:hAnsi="Arial" w:cs="Arial"/>
        </w:rPr>
        <w:t xml:space="preserve">The disadvantages of centralisation in this context were critically apparent. Hierarchical cultures associated with centralised governance have been shown to </w:t>
      </w:r>
      <w:r w:rsidRPr="005E4E69">
        <w:rPr>
          <w:rFonts w:ascii="Arial" w:hAnsi="Arial" w:cs="Arial"/>
        </w:rPr>
        <w:lastRenderedPageBreak/>
        <w:t>suppress speaking-up behaviours, particularly among nurses and junior doctors (Edmondson, 1999; Dixon-Woods et al., 2014). A systematic review found that in hierarchical healthcare settings, a significant proportion of nurses reported withholding safety concerns due to fear of negative responses from physicians (Okuyama, Wagner and Bijnen, 2014). In Lewis’s case, nursing staff documented deteriorating observations but did not independently escalate because the cultural norms of the centralised system prohib</w:t>
      </w:r>
      <w:r w:rsidRPr="005E4E69">
        <w:rPr>
          <w:rFonts w:ascii="Arial" w:hAnsi="Arial" w:cs="Arial"/>
        </w:rPr>
        <w:t>ited it. This is precisely the dynamic identified in NHS investigations: the Francis Report (2013) concluded that at Mid Staffordshire, a culture of fear within a centralised management hierarchy deterred staff from raising concerns about patient deterioration (Francis, 2013).</w:t>
      </w:r>
    </w:p>
    <w:p w14:paraId="0CBF0545" w14:textId="77777777" w:rsidR="003D0A61" w:rsidRPr="005E4E69" w:rsidRDefault="00E80607" w:rsidP="000A70E8">
      <w:pPr>
        <w:spacing w:after="160" w:line="360" w:lineRule="auto"/>
        <w:jc w:val="both"/>
        <w:rPr>
          <w:rFonts w:ascii="Arial" w:hAnsi="Arial" w:cs="Arial"/>
        </w:rPr>
      </w:pPr>
      <w:r w:rsidRPr="005E4E69">
        <w:rPr>
          <w:rFonts w:ascii="Arial" w:hAnsi="Arial" w:cs="Arial"/>
        </w:rPr>
        <w:t>In the contemporary NHS, the Health and Social Care Act 2012 introduced significant structural decentralisation through the creation of Clinical Commissioning Groups (CCGs), later replaced by Integrated Care Boards (ICBs) under the Health and Care Act 2022 (Health and Care Act, 2022). This represents a substantial devolution of commissioning authority from the centre (NHS England, 2021). However, Checkland et al. (2013) caution that formal structural decentralisation does not automatically translate into de</w:t>
      </w:r>
      <w:r w:rsidRPr="005E4E69">
        <w:rPr>
          <w:rFonts w:ascii="Arial" w:hAnsi="Arial" w:cs="Arial"/>
        </w:rPr>
        <w:t>centralisation of cultural authority within clinical teams, where hierarchical norms may persist irrespective of organisational design.</w:t>
      </w:r>
    </w:p>
    <w:p w14:paraId="1739CE0F" w14:textId="77777777" w:rsidR="003D0A61" w:rsidRPr="005E4E69" w:rsidRDefault="00E80607" w:rsidP="000A70E8">
      <w:pPr>
        <w:pStyle w:val="Heading2"/>
        <w:spacing w:line="360" w:lineRule="auto"/>
        <w:rPr>
          <w:rFonts w:ascii="Arial" w:hAnsi="Arial" w:cs="Arial"/>
        </w:rPr>
      </w:pPr>
      <w:bookmarkStart w:id="6" w:name="_Toc227629135"/>
      <w:r w:rsidRPr="005E4E69">
        <w:rPr>
          <w:rFonts w:ascii="Arial" w:hAnsi="Arial" w:cs="Arial"/>
        </w:rPr>
        <w:t>3.2 Decentralised Elements and the Role of Empowerment</w:t>
      </w:r>
      <w:bookmarkEnd w:id="6"/>
    </w:p>
    <w:p w14:paraId="1FA2CC73" w14:textId="77777777" w:rsidR="003D0A61" w:rsidRPr="005E4E69" w:rsidRDefault="00E80607" w:rsidP="000A70E8">
      <w:pPr>
        <w:spacing w:after="160" w:line="360" w:lineRule="auto"/>
        <w:jc w:val="both"/>
        <w:rPr>
          <w:rFonts w:ascii="Arial" w:hAnsi="Arial" w:cs="Arial"/>
        </w:rPr>
      </w:pPr>
      <w:r w:rsidRPr="005E4E69">
        <w:rPr>
          <w:rFonts w:ascii="Arial" w:hAnsi="Arial" w:cs="Arial"/>
        </w:rPr>
        <w:t>A degree of decentralisation is evident in the nursing observations documented during Lewis’s admission: nurses at the bedside were empowered to assess and record clinical status, reflecting a formal distribution of monitoring responsibility. However, without the authority or supported escalation pathways to act on their assessments, this partial decentralisation of observation was functionally ineffective. Decentralised systems, when properly designed, distribute authority alongside responsibility, enablin</w:t>
      </w:r>
      <w:r w:rsidRPr="005E4E69">
        <w:rPr>
          <w:rFonts w:ascii="Arial" w:hAnsi="Arial" w:cs="Arial"/>
        </w:rPr>
        <w:t>g front-line clinicians to act on the information they possess (Sheaff et al., 2003).</w:t>
      </w:r>
    </w:p>
    <w:p w14:paraId="438A17B1" w14:textId="77777777" w:rsidR="003D0A61" w:rsidRPr="005E4E69" w:rsidRDefault="00E80607" w:rsidP="000A70E8">
      <w:pPr>
        <w:spacing w:after="160" w:line="360" w:lineRule="auto"/>
        <w:jc w:val="both"/>
        <w:rPr>
          <w:rFonts w:ascii="Arial" w:hAnsi="Arial" w:cs="Arial"/>
        </w:rPr>
      </w:pPr>
      <w:r w:rsidRPr="005E4E69">
        <w:rPr>
          <w:rFonts w:ascii="Arial" w:hAnsi="Arial" w:cs="Arial"/>
        </w:rPr>
        <w:t xml:space="preserve">The advantages of decentralisation in a patient safety context include faster response to local conditions, greater engagement of front-line staff, and enhanced capacity for learning from proximate experience (Bohmer, 2016). The Berwick Review (2013), commissioned in response to the Francis Report, explicitly recommended that the NHS move towards more distributed leadership models, empowering ward-level </w:t>
      </w:r>
      <w:r w:rsidRPr="005E4E69">
        <w:rPr>
          <w:rFonts w:ascii="Arial" w:hAnsi="Arial" w:cs="Arial"/>
        </w:rPr>
        <w:lastRenderedPageBreak/>
        <w:t>teams to act on patient safety signals without requiring hierarchical authorisation (Berwick, 2013). NHS Improvement subsequently reported that trusts implementing ward-level empowerment programmes, such as the “Safety Huddle” model, achieved measurable reductions in preventable adverse events (NHS England, 2019).</w:t>
      </w:r>
    </w:p>
    <w:p w14:paraId="23BBB8D2" w14:textId="77777777" w:rsidR="003D0A61" w:rsidRPr="005E4E69" w:rsidRDefault="00E80607" w:rsidP="000A70E8">
      <w:pPr>
        <w:spacing w:after="160" w:line="360" w:lineRule="auto"/>
        <w:jc w:val="both"/>
        <w:rPr>
          <w:rFonts w:ascii="Arial" w:hAnsi="Arial" w:cs="Arial"/>
        </w:rPr>
      </w:pPr>
      <w:r w:rsidRPr="005E4E69">
        <w:rPr>
          <w:rFonts w:ascii="Arial" w:hAnsi="Arial" w:cs="Arial"/>
        </w:rPr>
        <w:t>Comparative analysis indicates that the outcome in Lewis’s case was significantly shaped by the misalignment between structural and cultural authority. While the formal organisation assigned monitoring responsibility to nursing staff, it concentrated intervention authority in the hands of the attending physician, creating a dangerous disjuncture. Had the system incorporated a Rapid Response Team (RRT), as is now standard in NHS acute trusts (NICE, 2007; NHS England, 2019), any nurse or junior doctor would h</w:t>
      </w:r>
      <w:r w:rsidRPr="005E4E69">
        <w:rPr>
          <w:rFonts w:ascii="Arial" w:hAnsi="Arial" w:cs="Arial"/>
        </w:rPr>
        <w:t>ave been empowered to trigger an independent senior clinical review without requiring the primary team’s consent. NHS England (2022) data indicate that hospitals with embedded RRT protocols have achieved meaningful reductions in in-hospital cardiac arrest rates. The absence of such a mechanism in Lewis’s case was a direct structural contributor to his death.</w:t>
      </w:r>
    </w:p>
    <w:p w14:paraId="73AE09C2" w14:textId="77777777" w:rsidR="003D0A61" w:rsidRPr="005E4E69" w:rsidRDefault="00E80607" w:rsidP="000A70E8">
      <w:pPr>
        <w:spacing w:after="160" w:line="360" w:lineRule="auto"/>
        <w:jc w:val="both"/>
        <w:rPr>
          <w:rFonts w:ascii="Arial" w:hAnsi="Arial" w:cs="Arial"/>
        </w:rPr>
      </w:pPr>
      <w:r w:rsidRPr="005E4E69">
        <w:rPr>
          <w:rFonts w:ascii="Arial" w:hAnsi="Arial" w:cs="Arial"/>
        </w:rPr>
        <w:t>A review by HSIB (2022) of serious incidents in NHS acute trusts found that in the majority of cases where patients deteriorated and died without appropriate escalation, the contributory factors included both a centralised clinical hierarchy and the absence of empowered escalation mechanisms for nursing staff (Healthcare Safety Investigation Branch, 2022). Policy compliance data from CQC (2021) confirm that as of 2020–21, a proportion of NHS acute trusts were still rated as requiring improvement or inadequa</w:t>
      </w:r>
      <w:r w:rsidRPr="005E4E69">
        <w:rPr>
          <w:rFonts w:ascii="Arial" w:hAnsi="Arial" w:cs="Arial"/>
        </w:rPr>
        <w:t>te on domains related to governance and leadership, suggesting that the structural vulnerabilities illustrated by Lewis’s case have not been fully resolved (CQC, 2021).</w:t>
      </w:r>
    </w:p>
    <w:p w14:paraId="76B93D87" w14:textId="77777777" w:rsidR="003D0A61" w:rsidRPr="005E4E69" w:rsidRDefault="00E80607" w:rsidP="000A70E8">
      <w:pPr>
        <w:pStyle w:val="Heading1"/>
        <w:spacing w:line="360" w:lineRule="auto"/>
        <w:rPr>
          <w:rFonts w:ascii="Arial" w:hAnsi="Arial" w:cs="Arial"/>
        </w:rPr>
      </w:pPr>
      <w:bookmarkStart w:id="7" w:name="_Toc227629136"/>
      <w:r w:rsidRPr="005E4E69">
        <w:rPr>
          <w:rFonts w:ascii="Arial" w:hAnsi="Arial" w:cs="Arial"/>
        </w:rPr>
        <w:t>4. Leadership Theories and Application to the Case Study</w:t>
      </w:r>
      <w:bookmarkEnd w:id="7"/>
    </w:p>
    <w:p w14:paraId="3B7A4D2B" w14:textId="77777777" w:rsidR="003D0A61" w:rsidRPr="005E4E69" w:rsidRDefault="00E80607" w:rsidP="000A70E8">
      <w:pPr>
        <w:pStyle w:val="Heading2"/>
        <w:spacing w:line="360" w:lineRule="auto"/>
        <w:rPr>
          <w:rFonts w:ascii="Arial" w:hAnsi="Arial" w:cs="Arial"/>
        </w:rPr>
      </w:pPr>
      <w:bookmarkStart w:id="8" w:name="_Toc227629137"/>
      <w:r w:rsidRPr="005E4E69">
        <w:rPr>
          <w:rFonts w:ascii="Arial" w:hAnsi="Arial" w:cs="Arial"/>
        </w:rPr>
        <w:t>4.1 Transformational Leadership</w:t>
      </w:r>
      <w:bookmarkEnd w:id="8"/>
    </w:p>
    <w:p w14:paraId="5DEF3E77" w14:textId="77777777" w:rsidR="003D0A61" w:rsidRPr="005E4E69" w:rsidRDefault="00E80607" w:rsidP="000A70E8">
      <w:pPr>
        <w:spacing w:after="160" w:line="360" w:lineRule="auto"/>
        <w:jc w:val="both"/>
        <w:rPr>
          <w:rFonts w:ascii="Arial" w:hAnsi="Arial" w:cs="Arial"/>
        </w:rPr>
      </w:pPr>
      <w:r w:rsidRPr="005E4E69">
        <w:rPr>
          <w:rFonts w:ascii="Arial" w:hAnsi="Arial" w:cs="Arial"/>
        </w:rPr>
        <w:t xml:space="preserve">Transformational leadership, as theorised by Burns (1978) and developed by Bass (1985), involves leaders inspiring followers through vision, intellectual stimulation, and individualised consideration, thereby motivating performance beyond contractual expectations. Bass and Riggio (2006) identify idealised influence, inspirational motivation, intellectual stimulation, and individualised consideration as the four key </w:t>
      </w:r>
      <w:r w:rsidRPr="005E4E69">
        <w:rPr>
          <w:rFonts w:ascii="Arial" w:hAnsi="Arial" w:cs="Arial"/>
        </w:rPr>
        <w:lastRenderedPageBreak/>
        <w:t>dimensions of transformational leadership. In healthcare, transformational leadership has been associated with improved patient outcomes, higher staff engagement, and stronger safety cultures (Cummings et al., 2010).</w:t>
      </w:r>
    </w:p>
    <w:p w14:paraId="3E3C3EE3" w14:textId="77777777" w:rsidR="003D0A61" w:rsidRPr="005E4E69" w:rsidRDefault="00E80607" w:rsidP="000A70E8">
      <w:pPr>
        <w:spacing w:after="160" w:line="360" w:lineRule="auto"/>
        <w:jc w:val="both"/>
        <w:rPr>
          <w:rFonts w:ascii="Arial" w:hAnsi="Arial" w:cs="Arial"/>
        </w:rPr>
      </w:pPr>
      <w:r w:rsidRPr="005E4E69">
        <w:rPr>
          <w:rFonts w:ascii="Arial" w:hAnsi="Arial" w:cs="Arial"/>
        </w:rPr>
        <w:t xml:space="preserve">In the Lewis Blackman case, the attending physician did not demonstrate transformational leadership. There was no articulated shared vision of patient-centred care, no intellectual stimulation of the team to interrogate the diagnosis, and no individualised consideration of the nurses’ repeated observations of deterioration. The leadership was reactive and territorial rather than transformational. The NHS Leadership Academy (2013), in its Healthcare Leadership Model, identifies “inspiring shared purpose” as </w:t>
      </w:r>
      <w:r w:rsidRPr="005E4E69">
        <w:rPr>
          <w:rFonts w:ascii="Arial" w:hAnsi="Arial" w:cs="Arial"/>
        </w:rPr>
        <w:t>a foundational leadership behaviour; its absence in Lewis’s case allowed an incorrect diagnostic frame to persist unchallenged for four days.</w:t>
      </w:r>
    </w:p>
    <w:p w14:paraId="28455445" w14:textId="77777777" w:rsidR="003D0A61" w:rsidRPr="005E4E69" w:rsidRDefault="00E80607" w:rsidP="000A70E8">
      <w:pPr>
        <w:spacing w:after="160" w:line="360" w:lineRule="auto"/>
        <w:jc w:val="both"/>
        <w:rPr>
          <w:rFonts w:ascii="Arial" w:hAnsi="Arial" w:cs="Arial"/>
        </w:rPr>
      </w:pPr>
      <w:r w:rsidRPr="005E4E69">
        <w:rPr>
          <w:rFonts w:ascii="Arial" w:hAnsi="Arial" w:cs="Arial"/>
        </w:rPr>
        <w:t>In the UK context, the Ockenden Report (2022) into Shrewsbury and Telford Hospital NHS Trust’s maternity services identified a strikingly similar dynamic: senior clinicians who were not open to challenge, who did not create psychologically safe environments for junior staff, and whose absence of transformational leadership contributed to a large number of avoidable deaths over two decades (Ockenden, 2022). NHS Staff Survey data consistently show a correlation between transformational leadership behaviours a</w:t>
      </w:r>
      <w:r w:rsidRPr="005E4E69">
        <w:rPr>
          <w:rFonts w:ascii="Arial" w:hAnsi="Arial" w:cs="Arial"/>
        </w:rPr>
        <w:t>nd both staff wellbeing and patient safety outcomes; trusts scoring highly for staff-reported leadership quality have substantially lower rates of reported harmful incidents than those in the lowest quartile (NHS England Staff Survey, 2022).</w:t>
      </w:r>
    </w:p>
    <w:p w14:paraId="06BEB1B0" w14:textId="77777777" w:rsidR="003D0A61" w:rsidRPr="005E4E69" w:rsidRDefault="00E80607" w:rsidP="000A70E8">
      <w:pPr>
        <w:pStyle w:val="Heading2"/>
        <w:spacing w:line="360" w:lineRule="auto"/>
        <w:rPr>
          <w:rFonts w:ascii="Arial" w:hAnsi="Arial" w:cs="Arial"/>
        </w:rPr>
      </w:pPr>
      <w:bookmarkStart w:id="9" w:name="_Toc227629138"/>
      <w:r w:rsidRPr="005E4E69">
        <w:rPr>
          <w:rFonts w:ascii="Arial" w:hAnsi="Arial" w:cs="Arial"/>
        </w:rPr>
        <w:t>4.2 Transactional Leadership and Its Limitations</w:t>
      </w:r>
      <w:bookmarkEnd w:id="9"/>
    </w:p>
    <w:p w14:paraId="5CB35F83" w14:textId="77777777" w:rsidR="003D0A61" w:rsidRPr="005E4E69" w:rsidRDefault="00E80607" w:rsidP="000A70E8">
      <w:pPr>
        <w:spacing w:after="160" w:line="360" w:lineRule="auto"/>
        <w:jc w:val="both"/>
        <w:rPr>
          <w:rFonts w:ascii="Arial" w:hAnsi="Arial" w:cs="Arial"/>
        </w:rPr>
      </w:pPr>
      <w:r w:rsidRPr="005E4E69">
        <w:rPr>
          <w:rFonts w:ascii="Arial" w:hAnsi="Arial" w:cs="Arial"/>
        </w:rPr>
        <w:t>Transactional leadership, characterised by Burns (1978) as an exchange relationship in which compliance is rewarded and deviation corrected, describes much of the clinical governance framework within which Lewis’s care was delivered. Junior clinicians were expected to follow the attending’s assessment; deviating from this expectation incurred social and professional cost. This transactional dynamic is consistent with research on hierarchical clinical cultures, in which the “correction” dimension of transact</w:t>
      </w:r>
      <w:r w:rsidRPr="005E4E69">
        <w:rPr>
          <w:rFonts w:ascii="Arial" w:hAnsi="Arial" w:cs="Arial"/>
        </w:rPr>
        <w:t>ional leadership operates through social sanction rather than formal discipline (Mannion and Davies, 2018).</w:t>
      </w:r>
    </w:p>
    <w:p w14:paraId="686415BB" w14:textId="77777777" w:rsidR="003D0A61" w:rsidRPr="005E4E69" w:rsidRDefault="00E80607" w:rsidP="000A70E8">
      <w:pPr>
        <w:spacing w:after="160" w:line="360" w:lineRule="auto"/>
        <w:jc w:val="both"/>
        <w:rPr>
          <w:rFonts w:ascii="Arial" w:hAnsi="Arial" w:cs="Arial"/>
        </w:rPr>
      </w:pPr>
      <w:r w:rsidRPr="005E4E69">
        <w:rPr>
          <w:rFonts w:ascii="Arial" w:hAnsi="Arial" w:cs="Arial"/>
        </w:rPr>
        <w:t xml:space="preserve">Transactional leadership is appropriate for routine, well-defined tasks in stable environments (Bass and Riggio, 2006). However, it is ill-suited to managing clinical uncertainty and deterioration, where front-line observation and adaptive reasoning are </w:t>
      </w:r>
      <w:r w:rsidRPr="005E4E69">
        <w:rPr>
          <w:rFonts w:ascii="Arial" w:hAnsi="Arial" w:cs="Arial"/>
        </w:rPr>
        <w:lastRenderedPageBreak/>
        <w:t>essential. In Lewis’s case, the transactional frame meant that nurses who documented deterioration were effectively “complying” with their monitoring duty while the system failed to translate that compliance into protective action. Research suggests that exclusively transactional leadership in NHS trusts correlates with higher rates of patient mortality, and that NHS trusts with lower staff engagement — a proxy for poor leadership quality — have higher standardised mortality ratios (Gilbert, 2017; Dawson, 2</w:t>
      </w:r>
      <w:r w:rsidRPr="005E4E69">
        <w:rPr>
          <w:rFonts w:ascii="Arial" w:hAnsi="Arial" w:cs="Arial"/>
        </w:rPr>
        <w:t>018).</w:t>
      </w:r>
    </w:p>
    <w:p w14:paraId="62A28B69" w14:textId="77777777" w:rsidR="003D0A61" w:rsidRPr="005E4E69" w:rsidRDefault="00E80607" w:rsidP="000A70E8">
      <w:pPr>
        <w:pStyle w:val="Heading2"/>
        <w:spacing w:line="360" w:lineRule="auto"/>
        <w:rPr>
          <w:rFonts w:ascii="Arial" w:hAnsi="Arial" w:cs="Arial"/>
        </w:rPr>
      </w:pPr>
      <w:bookmarkStart w:id="10" w:name="_Toc227629139"/>
      <w:r w:rsidRPr="005E4E69">
        <w:rPr>
          <w:rFonts w:ascii="Arial" w:hAnsi="Arial" w:cs="Arial"/>
        </w:rPr>
        <w:t>4.3 Situational and Distributed Leadership</w:t>
      </w:r>
      <w:bookmarkEnd w:id="10"/>
    </w:p>
    <w:p w14:paraId="10CB2B3E" w14:textId="77777777" w:rsidR="003D0A61" w:rsidRPr="005E4E69" w:rsidRDefault="00E80607" w:rsidP="000A70E8">
      <w:pPr>
        <w:spacing w:after="160" w:line="360" w:lineRule="auto"/>
        <w:jc w:val="both"/>
        <w:rPr>
          <w:rFonts w:ascii="Arial" w:hAnsi="Arial" w:cs="Arial"/>
        </w:rPr>
      </w:pPr>
      <w:r w:rsidRPr="005E4E69">
        <w:rPr>
          <w:rFonts w:ascii="Arial" w:hAnsi="Arial" w:cs="Arial"/>
        </w:rPr>
        <w:t>Hersey and Blanchard’s (1969) situational leadership model holds that leaders should adapt their style according to the competence and commitment of followers and the demands of the task. In Lewis’s case, no such adaptation occurred: the attending physician maintained a directive, low-support style even as the clinical situation escalated into genuine uncertainty. The appropriate situational response to a deteriorating post-operative patient with unexplained physiological changes would have been to shift to</w:t>
      </w:r>
      <w:r w:rsidRPr="005E4E69">
        <w:rPr>
          <w:rFonts w:ascii="Arial" w:hAnsi="Arial" w:cs="Arial"/>
        </w:rPr>
        <w:t>wards a more collaborative and coaching style, actively drawing on the nursing team’s observations and seeking specialist review.</w:t>
      </w:r>
    </w:p>
    <w:p w14:paraId="5D4692CF" w14:textId="77777777" w:rsidR="003D0A61" w:rsidRPr="005E4E69" w:rsidRDefault="00E80607" w:rsidP="000A70E8">
      <w:pPr>
        <w:spacing w:after="160" w:line="360" w:lineRule="auto"/>
        <w:jc w:val="both"/>
        <w:rPr>
          <w:rFonts w:ascii="Arial" w:hAnsi="Arial" w:cs="Arial"/>
        </w:rPr>
      </w:pPr>
      <w:r w:rsidRPr="005E4E69">
        <w:rPr>
          <w:rFonts w:ascii="Arial" w:hAnsi="Arial" w:cs="Arial"/>
        </w:rPr>
        <w:t>Distributed leadership offers perhaps the most instructive counter-factual (Gronn, 2002; Spillane, 2006). Had leadership been distributed, empowering nurses, junior doctors, and Helen Haskell herself to act as legitimate safety agents, the collective intelligence of the system would have been far more likely to identify Lewis’s deterioration in time. The NHS Improvement (2018) framework for patient safety specifically endorses distributed leadership as a mechanism for ensuring that safety-relevant informati</w:t>
      </w:r>
      <w:r w:rsidRPr="005E4E69">
        <w:rPr>
          <w:rFonts w:ascii="Arial" w:hAnsi="Arial" w:cs="Arial"/>
        </w:rPr>
        <w:t>on reaches decision-makers irrespective of hierarchical distance (NHS England, 2018). Evidence from the Virginia Mason Production System, adapted within NHS trusts including Bolton NHS Foundation Trust, demonstrates that distributed clinical leadership models can achieve substantial reductions in adverse event rates compared to hierarchical equivalents (Fillingham, 2007).</w:t>
      </w:r>
    </w:p>
    <w:p w14:paraId="777AEC42" w14:textId="77777777" w:rsidR="003D0A61" w:rsidRPr="005E4E69" w:rsidRDefault="00E80607" w:rsidP="000A70E8">
      <w:pPr>
        <w:spacing w:after="160" w:line="360" w:lineRule="auto"/>
        <w:jc w:val="both"/>
        <w:rPr>
          <w:rFonts w:ascii="Arial" w:hAnsi="Arial" w:cs="Arial"/>
        </w:rPr>
      </w:pPr>
      <w:r w:rsidRPr="005E4E69">
        <w:rPr>
          <w:rFonts w:ascii="Arial" w:hAnsi="Arial" w:cs="Arial"/>
        </w:rPr>
        <w:t xml:space="preserve">Regarding leadership effectiveness in Lewis’s case: over four days, multiple nurses documented physiological deterioration; Helen Haskell repeatedly requested senior review; at least one nurse directly expressed concern to the primary team. The leadership was not only ineffective but actively suppressive of the safety signals that the system was generating. The Patient Safety Learning Hub (2021) identifies this </w:t>
      </w:r>
      <w:r w:rsidRPr="005E4E69">
        <w:rPr>
          <w:rFonts w:ascii="Arial" w:hAnsi="Arial" w:cs="Arial"/>
        </w:rPr>
        <w:lastRenderedPageBreak/>
        <w:t>pattern — where leadership actively discounts safety-relevant information — as one of the highest-risk failure modes in clinical governance. The correct course of action would have been to institute a more distributed, emotionally intelligent leadership model in which nurses’ observations were treated as diagnostically significant, family concerns were incorporated into clinical reasoning, and the possibility of diagnostic error was actively entertained (Patient Safety Learning, 2021).</w:t>
      </w:r>
    </w:p>
    <w:p w14:paraId="41C690BE" w14:textId="77777777" w:rsidR="003D0A61" w:rsidRPr="005E4E69" w:rsidRDefault="00E80607" w:rsidP="000A70E8">
      <w:pPr>
        <w:pStyle w:val="Heading2"/>
        <w:spacing w:line="360" w:lineRule="auto"/>
        <w:rPr>
          <w:rFonts w:ascii="Arial" w:hAnsi="Arial" w:cs="Arial"/>
        </w:rPr>
      </w:pPr>
      <w:bookmarkStart w:id="11" w:name="_Toc227629140"/>
      <w:r w:rsidRPr="005E4E69">
        <w:rPr>
          <w:rFonts w:ascii="Arial" w:hAnsi="Arial" w:cs="Arial"/>
        </w:rPr>
        <w:t>4.4 Emotional Intelligence and Compassionate Leadership</w:t>
      </w:r>
      <w:bookmarkEnd w:id="11"/>
    </w:p>
    <w:p w14:paraId="79ABB118" w14:textId="77777777" w:rsidR="003D0A61" w:rsidRPr="005E4E69" w:rsidRDefault="00E80607" w:rsidP="000A70E8">
      <w:pPr>
        <w:spacing w:after="160" w:line="360" w:lineRule="auto"/>
        <w:jc w:val="both"/>
        <w:rPr>
          <w:rFonts w:ascii="Arial" w:hAnsi="Arial" w:cs="Arial"/>
        </w:rPr>
      </w:pPr>
      <w:r w:rsidRPr="005E4E69">
        <w:rPr>
          <w:rFonts w:ascii="Arial" w:hAnsi="Arial" w:cs="Arial"/>
        </w:rPr>
        <w:t>Goleman (1998) identifies emotional intelligence (EI) as comprising self-awareness, self-regulation, empathy, motivation, and social skills, all of which are essential to effective healthcare leadership. In Lewis’s case, the evident lack of empathy towards both Lewis and Helen Haskell, and the failure to self-regulate in the face of disconfirming evidence, represent failures of emotional intelligence that compounded the clinical and systemic failures. West et al. (2017) argue that compassionate leadership —</w:t>
      </w:r>
      <w:r w:rsidRPr="005E4E69">
        <w:rPr>
          <w:rFonts w:ascii="Arial" w:hAnsi="Arial" w:cs="Arial"/>
        </w:rPr>
        <w:t xml:space="preserve"> characterised by attending, understanding, empathising, and helping — is strongly associated with both staff wellbeing and patient outcomes in NHS settings. CQC (2021) found that NHS trusts rated outstanding for leadership scored significantly higher on both staff emotional intelligence training provision and patient experience metrics than those rated inadequate.</w:t>
      </w:r>
    </w:p>
    <w:p w14:paraId="4AB5F162" w14:textId="77777777" w:rsidR="003D0A61" w:rsidRPr="005E4E69" w:rsidRDefault="00E80607" w:rsidP="000A70E8">
      <w:pPr>
        <w:pStyle w:val="Heading1"/>
        <w:spacing w:line="360" w:lineRule="auto"/>
        <w:rPr>
          <w:rFonts w:ascii="Arial" w:hAnsi="Arial" w:cs="Arial"/>
        </w:rPr>
      </w:pPr>
      <w:bookmarkStart w:id="12" w:name="_Toc227629141"/>
      <w:r w:rsidRPr="005E4E69">
        <w:rPr>
          <w:rFonts w:ascii="Arial" w:hAnsi="Arial" w:cs="Arial"/>
        </w:rPr>
        <w:t>5. Improvement and Lessons Learned</w:t>
      </w:r>
      <w:bookmarkEnd w:id="12"/>
    </w:p>
    <w:p w14:paraId="40FA2C9F" w14:textId="77777777" w:rsidR="003D0A61" w:rsidRPr="005E4E69" w:rsidRDefault="00E80607" w:rsidP="000A70E8">
      <w:pPr>
        <w:pStyle w:val="Heading2"/>
        <w:spacing w:line="360" w:lineRule="auto"/>
        <w:rPr>
          <w:rFonts w:ascii="Arial" w:hAnsi="Arial" w:cs="Arial"/>
        </w:rPr>
      </w:pPr>
      <w:bookmarkStart w:id="13" w:name="_Toc227629142"/>
      <w:r w:rsidRPr="005E4E69">
        <w:rPr>
          <w:rFonts w:ascii="Arial" w:hAnsi="Arial" w:cs="Arial"/>
        </w:rPr>
        <w:t>5.1 Problem–Solution Analysis</w:t>
      </w:r>
      <w:bookmarkEnd w:id="13"/>
    </w:p>
    <w:p w14:paraId="588E9871" w14:textId="77777777" w:rsidR="003D0A61" w:rsidRPr="005E4E69" w:rsidRDefault="00E80607" w:rsidP="000A70E8">
      <w:pPr>
        <w:spacing w:after="160" w:line="360" w:lineRule="auto"/>
        <w:jc w:val="both"/>
        <w:rPr>
          <w:rFonts w:ascii="Arial" w:hAnsi="Arial" w:cs="Arial"/>
        </w:rPr>
      </w:pPr>
      <w:r w:rsidRPr="005E4E69">
        <w:rPr>
          <w:rFonts w:ascii="Arial" w:hAnsi="Arial" w:cs="Arial"/>
        </w:rPr>
        <w:t>Critically evaluating the Lewis Blackman case through the lens of leadership and governance requires identifying the points at which the system could have intervened and the evidence-based solutions that could have prevented Lewis’s death.</w:t>
      </w:r>
    </w:p>
    <w:p w14:paraId="717B083B" w14:textId="77777777" w:rsidR="003D0A61" w:rsidRPr="005E4E69" w:rsidRDefault="00E80607" w:rsidP="000A70E8">
      <w:pPr>
        <w:spacing w:after="160" w:line="360" w:lineRule="auto"/>
        <w:jc w:val="both"/>
        <w:rPr>
          <w:rFonts w:ascii="Arial" w:hAnsi="Arial" w:cs="Arial"/>
        </w:rPr>
      </w:pPr>
      <w:r w:rsidRPr="005E4E69">
        <w:rPr>
          <w:rFonts w:ascii="Arial" w:hAnsi="Arial" w:cs="Arial"/>
          <w:b/>
          <w:bCs/>
        </w:rPr>
        <w:t>Problem 1: Absence of an early warning scoring system.</w:t>
      </w:r>
      <w:r w:rsidRPr="005E4E69">
        <w:rPr>
          <w:rFonts w:ascii="Arial" w:hAnsi="Arial" w:cs="Arial"/>
        </w:rPr>
        <w:t xml:space="preserve"> Lewis’s deteriorating vital signs would have met the criteria for clinical escalation under NEWS2 at multiple points over four days. No such system existed at MUSC in 2000, and its absence meant that deterioration was documented without triggering a mandated response. The Royal College of Physicians (2017) established NEWS2 as a validated tool for standardising the assessment of acute-illness severity, and its adoption across NHS acute trusts has been associated with improved detection of and response to d</w:t>
      </w:r>
      <w:r w:rsidRPr="005E4E69">
        <w:rPr>
          <w:rFonts w:ascii="Arial" w:hAnsi="Arial" w:cs="Arial"/>
        </w:rPr>
        <w:t xml:space="preserve">eteriorating patients. In 2021, NHS England mandated NEWS2 as the standard </w:t>
      </w:r>
      <w:r w:rsidRPr="005E4E69">
        <w:rPr>
          <w:rFonts w:ascii="Arial" w:hAnsi="Arial" w:cs="Arial"/>
        </w:rPr>
        <w:lastRenderedPageBreak/>
        <w:t xml:space="preserve">deterioration alert system across all NHS acute settings (NHS England, 2019). </w:t>
      </w:r>
      <w:r w:rsidRPr="005E4E69">
        <w:rPr>
          <w:rFonts w:ascii="Arial" w:hAnsi="Arial" w:cs="Arial"/>
          <w:b/>
          <w:bCs/>
        </w:rPr>
        <w:t>Improvement:</w:t>
      </w:r>
      <w:r w:rsidRPr="005E4E69">
        <w:rPr>
          <w:rFonts w:ascii="Arial" w:hAnsi="Arial" w:cs="Arial"/>
        </w:rPr>
        <w:t xml:space="preserve"> Universal implementation of validated early warning scoring tools with mandatory escalation triggers for threshold breaches, supported by regular staff competency assessments.</w:t>
      </w:r>
    </w:p>
    <w:p w14:paraId="17F7AFD4" w14:textId="77777777" w:rsidR="003D0A61" w:rsidRPr="005E4E69" w:rsidRDefault="00E80607" w:rsidP="000A70E8">
      <w:pPr>
        <w:spacing w:after="160" w:line="360" w:lineRule="auto"/>
        <w:jc w:val="both"/>
        <w:rPr>
          <w:rFonts w:ascii="Arial" w:hAnsi="Arial" w:cs="Arial"/>
        </w:rPr>
      </w:pPr>
      <w:r w:rsidRPr="005E4E69">
        <w:rPr>
          <w:rFonts w:ascii="Arial" w:hAnsi="Arial" w:cs="Arial"/>
          <w:b/>
          <w:bCs/>
        </w:rPr>
        <w:t>Problem 2: Hierarchical culture suppressing escalation.</w:t>
      </w:r>
      <w:r w:rsidRPr="005E4E69">
        <w:rPr>
          <w:rFonts w:ascii="Arial" w:hAnsi="Arial" w:cs="Arial"/>
        </w:rPr>
        <w:t xml:space="preserve"> Multiple nurses and at least one junior doctor observed signs inconsistent with uncomplicated post-operative recovery but did not formally escalate independently. HSIB investigations consistently identify failure to escalate as a contributory factor in the majority of serious deterioration events in NHS acute trusts (Healthcare Safety Investigation Branch, 2022). NHS data on speaking-up cultures indicate that a substantial proportion of NHS staff do not feel safe raising concerns, despite Freedom to Speak </w:t>
      </w:r>
      <w:r w:rsidRPr="005E4E69">
        <w:rPr>
          <w:rFonts w:ascii="Arial" w:hAnsi="Arial" w:cs="Arial"/>
        </w:rPr>
        <w:t xml:space="preserve">Up (FTSU) Guardian policies being in place since 2016 (NHS England, 2022). </w:t>
      </w:r>
      <w:r w:rsidRPr="005E4E69">
        <w:rPr>
          <w:rFonts w:ascii="Arial" w:hAnsi="Arial" w:cs="Arial"/>
          <w:b/>
          <w:bCs/>
        </w:rPr>
        <w:t>Improvement:</w:t>
      </w:r>
      <w:r w:rsidRPr="005E4E69">
        <w:rPr>
          <w:rFonts w:ascii="Arial" w:hAnsi="Arial" w:cs="Arial"/>
        </w:rPr>
        <w:t xml:space="preserve"> Cultural interventions including psychological safety training, FTSU Guardian networks with genuinely protected reporting, and Schwartz Rounds to normalise interprofessional challenge. West et al. (2014) demonstrate that NHS trusts investing in these mechanisms achieve measurably higher staff engagement and patient safety outcomes.</w:t>
      </w:r>
    </w:p>
    <w:p w14:paraId="14211D2D" w14:textId="77777777" w:rsidR="003D0A61" w:rsidRPr="005E4E69" w:rsidRDefault="00E80607" w:rsidP="000A70E8">
      <w:pPr>
        <w:spacing w:after="160" w:line="360" w:lineRule="auto"/>
        <w:jc w:val="both"/>
        <w:rPr>
          <w:rFonts w:ascii="Arial" w:hAnsi="Arial" w:cs="Arial"/>
        </w:rPr>
      </w:pPr>
      <w:r w:rsidRPr="005E4E69">
        <w:rPr>
          <w:rFonts w:ascii="Arial" w:hAnsi="Arial" w:cs="Arial"/>
          <w:b/>
          <w:bCs/>
        </w:rPr>
        <w:t>Problem 3: Inappropriate prescribing of ketorolac without paediatric specialist oversight.</w:t>
      </w:r>
      <w:r w:rsidRPr="005E4E69">
        <w:rPr>
          <w:rFonts w:ascii="Arial" w:hAnsi="Arial" w:cs="Arial"/>
        </w:rPr>
        <w:t xml:space="preserve"> Ketorolac is contraindicated in children under 16 in the UK (British National Formulary, 2023) due to the risk of gastrointestinal haemorrhage. A centralised pharmacy without a paediatric specialist pharmacist review permitted the prescription to proceed unchallenged. Elliott et al. (2021) estimate that preventable prescribing errors impose a significant burden on the NHS in terms of both patient harm and financial cost. The WHO Medication Without Harm campaign identifies high-risk medicines in high-risk p</w:t>
      </w:r>
      <w:r w:rsidRPr="005E4E69">
        <w:rPr>
          <w:rFonts w:ascii="Arial" w:hAnsi="Arial" w:cs="Arial"/>
        </w:rPr>
        <w:t xml:space="preserve">opulations as a priority area for medication safety improvement (WHO, 2022). </w:t>
      </w:r>
      <w:r w:rsidRPr="005E4E69">
        <w:rPr>
          <w:rFonts w:ascii="Arial" w:hAnsi="Arial" w:cs="Arial"/>
          <w:b/>
          <w:bCs/>
        </w:rPr>
        <w:t>Improvement:</w:t>
      </w:r>
      <w:r w:rsidRPr="005E4E69">
        <w:rPr>
          <w:rFonts w:ascii="Arial" w:hAnsi="Arial" w:cs="Arial"/>
        </w:rPr>
        <w:t xml:space="preserve"> Mandatory pharmacist review of all NSAID prescriptions in paediatric patients; electronic prescribing systems with hard stops for contraindicated medications; and junior doctor prescribing simulation training.</w:t>
      </w:r>
    </w:p>
    <w:p w14:paraId="556913EC" w14:textId="77777777" w:rsidR="003D0A61" w:rsidRPr="005E4E69" w:rsidRDefault="00E80607" w:rsidP="000A70E8">
      <w:pPr>
        <w:spacing w:after="160" w:line="360" w:lineRule="auto"/>
        <w:jc w:val="both"/>
        <w:rPr>
          <w:rFonts w:ascii="Arial" w:hAnsi="Arial" w:cs="Arial"/>
        </w:rPr>
      </w:pPr>
      <w:r w:rsidRPr="005E4E69">
        <w:rPr>
          <w:rFonts w:ascii="Arial" w:hAnsi="Arial" w:cs="Arial"/>
          <w:b/>
          <w:bCs/>
        </w:rPr>
        <w:t>Problem 4: Family voices excluded from clinical decision-making.</w:t>
      </w:r>
      <w:r w:rsidRPr="005E4E69">
        <w:rPr>
          <w:rFonts w:ascii="Arial" w:hAnsi="Arial" w:cs="Arial"/>
        </w:rPr>
        <w:t xml:space="preserve"> Helen Haskell repeatedly communicated her concerns about Lewis’s deterioration and was reassured or dismissed. The NHS Patient Experience Framework and NICE Quality Standard QS15 establish patient and family involvement as a quality standard, yet </w:t>
      </w:r>
      <w:r w:rsidRPr="005E4E69">
        <w:rPr>
          <w:rFonts w:ascii="Arial" w:hAnsi="Arial" w:cs="Arial"/>
        </w:rPr>
        <w:lastRenderedPageBreak/>
        <w:t xml:space="preserve">HSIB (2022) investigations consistently identify family concerns being disregarded as a contributory factor in serious incidents. </w:t>
      </w:r>
      <w:r w:rsidRPr="005E4E69">
        <w:rPr>
          <w:rFonts w:ascii="Arial" w:hAnsi="Arial" w:cs="Arial"/>
          <w:b/>
          <w:bCs/>
        </w:rPr>
        <w:t>Improvement:</w:t>
      </w:r>
      <w:r w:rsidRPr="005E4E69">
        <w:rPr>
          <w:rFonts w:ascii="Arial" w:hAnsi="Arial" w:cs="Arial"/>
        </w:rPr>
        <w:t xml:space="preserve"> Systematic incorporation of family concerns into clinical reasoning through structured handover tools such as SBAR (Situa</w:t>
      </w:r>
      <w:r w:rsidRPr="005E4E69">
        <w:rPr>
          <w:rFonts w:ascii="Arial" w:hAnsi="Arial" w:cs="Arial"/>
        </w:rPr>
        <w:t>tion, Background, Assessment, Recommendation) that include a family concern section; patient-initiated escalation systems (such as REACH — “Recognise, Engage, Act, Call, Help is on its way”) modelled on programmes in NHS Scotland and Wales (NICE, 2019; Health, 2012; Healthcare Safety Investigation Branch, 2022).</w:t>
      </w:r>
    </w:p>
    <w:p w14:paraId="3B2E3700" w14:textId="77777777" w:rsidR="003D0A61" w:rsidRPr="005E4E69" w:rsidRDefault="00E80607" w:rsidP="000A70E8">
      <w:pPr>
        <w:pStyle w:val="Heading2"/>
        <w:spacing w:line="360" w:lineRule="auto"/>
        <w:rPr>
          <w:rFonts w:ascii="Arial" w:hAnsi="Arial" w:cs="Arial"/>
        </w:rPr>
      </w:pPr>
      <w:bookmarkStart w:id="14" w:name="_Toc227629143"/>
      <w:r w:rsidRPr="005E4E69">
        <w:rPr>
          <w:rFonts w:ascii="Arial" w:hAnsi="Arial" w:cs="Arial"/>
        </w:rPr>
        <w:t>5.2 Systemic Interactions and Cross-Cutting Lessons</w:t>
      </w:r>
      <w:bookmarkEnd w:id="14"/>
    </w:p>
    <w:p w14:paraId="7700D4E9" w14:textId="77777777" w:rsidR="003D0A61" w:rsidRPr="005E4E69" w:rsidRDefault="00E80607" w:rsidP="000A70E8">
      <w:pPr>
        <w:spacing w:after="160" w:line="360" w:lineRule="auto"/>
        <w:jc w:val="both"/>
        <w:rPr>
          <w:rFonts w:ascii="Arial" w:hAnsi="Arial" w:cs="Arial"/>
        </w:rPr>
      </w:pPr>
      <w:r w:rsidRPr="005E4E69">
        <w:rPr>
          <w:rFonts w:ascii="Arial" w:hAnsi="Arial" w:cs="Arial"/>
        </w:rPr>
        <w:t>The interaction between system structure, leadership style, and system feedback in the Lewis Blackman case was mutually reinforcing in a negative direction. The centralised authority structure suppressed information flow; the transactional and non-transformational leadership style failed to value front-line observations; and the absence of safety systems (NEWS, RRT, medication safety protocols) meant that even when information was generated, no systemic mechanism existed to convert it into protective action</w:t>
      </w:r>
      <w:r w:rsidRPr="005E4E69">
        <w:rPr>
          <w:rFonts w:ascii="Arial" w:hAnsi="Arial" w:cs="Arial"/>
        </w:rPr>
        <w:t>.</w:t>
      </w:r>
    </w:p>
    <w:p w14:paraId="75F4EDA5" w14:textId="77777777" w:rsidR="003D0A61" w:rsidRPr="005E4E69" w:rsidRDefault="00E80607" w:rsidP="000A70E8">
      <w:pPr>
        <w:spacing w:after="160" w:line="360" w:lineRule="auto"/>
        <w:jc w:val="both"/>
        <w:rPr>
          <w:rFonts w:ascii="Arial" w:hAnsi="Arial" w:cs="Arial"/>
        </w:rPr>
      </w:pPr>
      <w:r w:rsidRPr="005E4E69">
        <w:rPr>
          <w:rFonts w:ascii="Arial" w:hAnsi="Arial" w:cs="Arial"/>
        </w:rPr>
        <w:t>From an NHS and broader healthcare system perspective, the cross-cutting lesson is that patient safety is a system property, not an individual attribute (Reason, 2000). The Swiss Cheese Model of accident causation is directly applicable: Lewis’s death required multiple defensive layers — medication safety, escalation protocols, early warning systems, family involvement mechanisms, and compassionate leadership culture — to fail simultaneously (Reason, 1990). Building resilience requires addressing all layers</w:t>
      </w:r>
      <w:r w:rsidRPr="005E4E69">
        <w:rPr>
          <w:rFonts w:ascii="Arial" w:hAnsi="Arial" w:cs="Arial"/>
        </w:rPr>
        <w:t>, not only the most proximate.</w:t>
      </w:r>
    </w:p>
    <w:p w14:paraId="504DCEA6" w14:textId="77777777" w:rsidR="003D0A61" w:rsidRPr="005E4E69" w:rsidRDefault="00E80607" w:rsidP="000A70E8">
      <w:pPr>
        <w:spacing w:after="160" w:line="360" w:lineRule="auto"/>
        <w:jc w:val="both"/>
        <w:rPr>
          <w:rFonts w:ascii="Arial" w:hAnsi="Arial" w:cs="Arial"/>
        </w:rPr>
      </w:pPr>
      <w:r w:rsidRPr="005E4E69">
        <w:rPr>
          <w:rFonts w:ascii="Arial" w:hAnsi="Arial" w:cs="Arial"/>
        </w:rPr>
        <w:t>Continuous improvement and accountability in health systems require what Berwick (2013) calls a “learning system”: an organisation that systematically captures safety events, analyses contributory factors at a systems level, shares learning across teams, and closes the feedback loop by demonstrating that learning has been embedded. The NHS Patient Safety Incident Response Framework (PSIRF), which replaced the Serious Incident Framework in 2022, represents a significant step towards this learning system mode</w:t>
      </w:r>
      <w:r w:rsidRPr="005E4E69">
        <w:rPr>
          <w:rFonts w:ascii="Arial" w:hAnsi="Arial" w:cs="Arial"/>
        </w:rPr>
        <w:t xml:space="preserve">l, emphasising compassionate engagement with affected families and systemic rather than individual-blame investigation methodologies (NHS England, 2022). Helen Haskell’s advocacy has directly influenced similar frameworks </w:t>
      </w:r>
      <w:r w:rsidRPr="005E4E69">
        <w:rPr>
          <w:rFonts w:ascii="Arial" w:hAnsi="Arial" w:cs="Arial"/>
        </w:rPr>
        <w:lastRenderedPageBreak/>
        <w:t>in the United States and contributed to the Joint Commission’s patient safety standards.</w:t>
      </w:r>
    </w:p>
    <w:p w14:paraId="53FD8BF2" w14:textId="77777777" w:rsidR="003D0A61" w:rsidRPr="005E4E69" w:rsidRDefault="00E80607" w:rsidP="000A70E8">
      <w:pPr>
        <w:pStyle w:val="Heading1"/>
        <w:spacing w:line="360" w:lineRule="auto"/>
        <w:rPr>
          <w:rFonts w:ascii="Arial" w:hAnsi="Arial" w:cs="Arial"/>
        </w:rPr>
      </w:pPr>
      <w:bookmarkStart w:id="15" w:name="_Toc227629144"/>
      <w:r w:rsidRPr="005E4E69">
        <w:rPr>
          <w:rFonts w:ascii="Arial" w:hAnsi="Arial" w:cs="Arial"/>
        </w:rPr>
        <w:t>6. Recommendations</w:t>
      </w:r>
      <w:bookmarkEnd w:id="15"/>
    </w:p>
    <w:p w14:paraId="40EEB45B" w14:textId="77777777" w:rsidR="003D0A61" w:rsidRPr="005E4E69" w:rsidRDefault="00E80607" w:rsidP="000A70E8">
      <w:pPr>
        <w:spacing w:after="160" w:line="360" w:lineRule="auto"/>
        <w:jc w:val="both"/>
        <w:rPr>
          <w:rFonts w:ascii="Arial" w:hAnsi="Arial" w:cs="Arial"/>
        </w:rPr>
      </w:pPr>
      <w:r w:rsidRPr="005E4E69">
        <w:rPr>
          <w:rFonts w:ascii="Arial" w:hAnsi="Arial" w:cs="Arial"/>
        </w:rPr>
        <w:t>Based on the foregoing analysis, the following evidence-based recommendations are advanced for healthcare organisations seeking to embed the lessons of the Lewis Blackman case. Each recommendation identifies the underpinning rationale, likely implementation barriers, and approaches to evaluating effectiveness.</w:t>
      </w:r>
    </w:p>
    <w:p w14:paraId="2089E10D" w14:textId="77777777" w:rsidR="003D0A61" w:rsidRPr="005E4E69" w:rsidRDefault="00E80607" w:rsidP="000A70E8">
      <w:pPr>
        <w:spacing w:after="160" w:line="360" w:lineRule="auto"/>
        <w:jc w:val="both"/>
        <w:rPr>
          <w:rFonts w:ascii="Arial" w:hAnsi="Arial" w:cs="Arial"/>
        </w:rPr>
      </w:pPr>
      <w:r w:rsidRPr="005E4E69">
        <w:rPr>
          <w:rFonts w:ascii="Arial" w:hAnsi="Arial" w:cs="Arial"/>
          <w:b/>
          <w:bCs/>
        </w:rPr>
        <w:t>Recommendation 1: Adopt Transformational and Distributed Leadership as Institutional Standards.</w:t>
      </w:r>
    </w:p>
    <w:p w14:paraId="648B68F7" w14:textId="77777777" w:rsidR="003D0A61" w:rsidRPr="005E4E69" w:rsidRDefault="00E80607" w:rsidP="000A70E8">
      <w:pPr>
        <w:spacing w:after="160" w:line="360" w:lineRule="auto"/>
        <w:jc w:val="both"/>
        <w:rPr>
          <w:rFonts w:ascii="Arial" w:hAnsi="Arial" w:cs="Arial"/>
        </w:rPr>
      </w:pPr>
      <w:r w:rsidRPr="005E4E69">
        <w:rPr>
          <w:rFonts w:ascii="Arial" w:hAnsi="Arial" w:cs="Arial"/>
          <w:b/>
          <w:bCs/>
        </w:rPr>
        <w:t>Rationale:</w:t>
      </w:r>
      <w:r w:rsidRPr="005E4E69">
        <w:rPr>
          <w:rFonts w:ascii="Arial" w:hAnsi="Arial" w:cs="Arial"/>
        </w:rPr>
        <w:t xml:space="preserve"> Organisations must move beyond transactional governance frameworks towards transformational and distributed leadership models that create psychologically safe environments for all staff. This requires NHS board-level commitment to the NHS Leadership Academy’s Healthcare Leadership Model, mandatory 360-degree leadership assessments for all senior clinical staff, and investment in leadership development programmes emphasising emotional intelligence and compassionate care (NHS Leadership Academy, 2013; West e</w:t>
      </w:r>
      <w:r w:rsidRPr="005E4E69">
        <w:rPr>
          <w:rFonts w:ascii="Arial" w:hAnsi="Arial" w:cs="Arial"/>
        </w:rPr>
        <w:t>t al., 2017).</w:t>
      </w:r>
    </w:p>
    <w:p w14:paraId="5346C33E" w14:textId="77777777" w:rsidR="003D0A61" w:rsidRPr="005E4E69" w:rsidRDefault="00E80607" w:rsidP="000A70E8">
      <w:pPr>
        <w:spacing w:after="160" w:line="360" w:lineRule="auto"/>
        <w:jc w:val="both"/>
        <w:rPr>
          <w:rFonts w:ascii="Arial" w:hAnsi="Arial" w:cs="Arial"/>
        </w:rPr>
      </w:pPr>
      <w:r w:rsidRPr="005E4E69">
        <w:rPr>
          <w:rFonts w:ascii="Arial" w:hAnsi="Arial" w:cs="Arial"/>
          <w:b/>
          <w:bCs/>
        </w:rPr>
        <w:t>Implementation and barriers:</w:t>
      </w:r>
      <w:r w:rsidRPr="005E4E69">
        <w:rPr>
          <w:rFonts w:ascii="Arial" w:hAnsi="Arial" w:cs="Arial"/>
        </w:rPr>
        <w:t xml:space="preserve"> Implementation should be phased, beginning with board-level commitment and cascading to ward teams through structured leadership development programmes. Key barriers include resistance from established clinical hierarchies, time constraints on senior clinicians, and variation in access to leadership training across NHS trusts. These barriers can be mitigated by embedding leadership development within mandatory continuing professional development frameworks and by securing Clinical Excellence Awards and app</w:t>
      </w:r>
      <w:r w:rsidRPr="005E4E69">
        <w:rPr>
          <w:rFonts w:ascii="Arial" w:hAnsi="Arial" w:cs="Arial"/>
        </w:rPr>
        <w:t>raisal criteria that reward collaborative leadership behaviours.</w:t>
      </w:r>
    </w:p>
    <w:p w14:paraId="5CBCF07F" w14:textId="77777777" w:rsidR="003D0A61" w:rsidRPr="005E4E69" w:rsidRDefault="00E80607" w:rsidP="000A70E8">
      <w:pPr>
        <w:spacing w:after="160" w:line="360" w:lineRule="auto"/>
        <w:jc w:val="both"/>
        <w:rPr>
          <w:rFonts w:ascii="Arial" w:hAnsi="Arial" w:cs="Arial"/>
        </w:rPr>
      </w:pPr>
      <w:r w:rsidRPr="005E4E69">
        <w:rPr>
          <w:rFonts w:ascii="Arial" w:hAnsi="Arial" w:cs="Arial"/>
          <w:b/>
          <w:bCs/>
        </w:rPr>
        <w:t>Evaluation:</w:t>
      </w:r>
      <w:r w:rsidRPr="005E4E69">
        <w:rPr>
          <w:rFonts w:ascii="Arial" w:hAnsi="Arial" w:cs="Arial"/>
        </w:rPr>
        <w:t xml:space="preserve"> Progress should be measured through annual NHS Staff Survey scores on psychological safety and leadership quality; incident reporting rates (higher reporting typically indicates safer cultures); and CQC inspection ratings on well-led domains. Trusts should set a target of achieving top-quartile NHS Staff Survey leadership scores within three years of programme implementation.</w:t>
      </w:r>
    </w:p>
    <w:p w14:paraId="57632335" w14:textId="77777777" w:rsidR="003D0A61" w:rsidRPr="005E4E69" w:rsidRDefault="00E80607" w:rsidP="000A70E8">
      <w:pPr>
        <w:spacing w:after="160" w:line="360" w:lineRule="auto"/>
        <w:jc w:val="both"/>
        <w:rPr>
          <w:rFonts w:ascii="Arial" w:hAnsi="Arial" w:cs="Arial"/>
        </w:rPr>
      </w:pPr>
      <w:r w:rsidRPr="005E4E69">
        <w:rPr>
          <w:rFonts w:ascii="Arial" w:hAnsi="Arial" w:cs="Arial"/>
          <w:b/>
          <w:bCs/>
        </w:rPr>
        <w:lastRenderedPageBreak/>
        <w:t>Recommendation 2: Universal Implementation and Governance of NEWS2 and Rapid Response Teams.</w:t>
      </w:r>
    </w:p>
    <w:p w14:paraId="114A97C0" w14:textId="77777777" w:rsidR="003D0A61" w:rsidRPr="005E4E69" w:rsidRDefault="00E80607" w:rsidP="000A70E8">
      <w:pPr>
        <w:spacing w:after="160" w:line="360" w:lineRule="auto"/>
        <w:jc w:val="both"/>
        <w:rPr>
          <w:rFonts w:ascii="Arial" w:hAnsi="Arial" w:cs="Arial"/>
        </w:rPr>
      </w:pPr>
      <w:r w:rsidRPr="005E4E69">
        <w:rPr>
          <w:rFonts w:ascii="Arial" w:hAnsi="Arial" w:cs="Arial"/>
          <w:b/>
          <w:bCs/>
        </w:rPr>
        <w:t>Rationale:</w:t>
      </w:r>
      <w:r w:rsidRPr="005E4E69">
        <w:rPr>
          <w:rFonts w:ascii="Arial" w:hAnsi="Arial" w:cs="Arial"/>
        </w:rPr>
        <w:t xml:space="preserve"> All acute NHS trusts must ensure full compliance with NEWS2 early warning scoring, with mandatory escalation thresholds and a formally constituted RRT available 24 hours a day, seven days a week. CQC inspection frameworks should include NEWS2 governance as a specific compliance indicator (Royal College of Physicians, 2017; NHS England, 2019).</w:t>
      </w:r>
    </w:p>
    <w:p w14:paraId="75AC5F03" w14:textId="77777777" w:rsidR="003D0A61" w:rsidRPr="005E4E69" w:rsidRDefault="00E80607" w:rsidP="000A70E8">
      <w:pPr>
        <w:spacing w:after="160" w:line="360" w:lineRule="auto"/>
        <w:jc w:val="both"/>
        <w:rPr>
          <w:rFonts w:ascii="Arial" w:hAnsi="Arial" w:cs="Arial"/>
        </w:rPr>
      </w:pPr>
      <w:r w:rsidRPr="005E4E69">
        <w:rPr>
          <w:rFonts w:ascii="Arial" w:hAnsi="Arial" w:cs="Arial"/>
          <w:b/>
          <w:bCs/>
        </w:rPr>
        <w:t>Implementation and barriers:</w:t>
      </w:r>
      <w:r w:rsidRPr="005E4E69">
        <w:rPr>
          <w:rFonts w:ascii="Arial" w:hAnsi="Arial" w:cs="Arial"/>
        </w:rPr>
        <w:t xml:space="preserve"> Universal adoption requires investment in staff training, electronic observation systems, and the staffing of RRTs. Key barriers include workforce pressures limiting RRT availability, inconsistent application of NEWS2 thresholds, and variation in electronic infrastructure across NHS trusts. These barriers should be addressed through ring-fenced capital investment, mandatory simulation-based NEWS2 training for all clinical staff at induction and annually, and clear accountability at ward and divisional leve</w:t>
      </w:r>
      <w:r w:rsidRPr="005E4E69">
        <w:rPr>
          <w:rFonts w:ascii="Arial" w:hAnsi="Arial" w:cs="Arial"/>
        </w:rPr>
        <w:t>l for escalation compliance.</w:t>
      </w:r>
    </w:p>
    <w:p w14:paraId="70C5F41E" w14:textId="77777777" w:rsidR="003D0A61" w:rsidRPr="005E4E69" w:rsidRDefault="00E80607" w:rsidP="000A70E8">
      <w:pPr>
        <w:spacing w:after="160" w:line="360" w:lineRule="auto"/>
        <w:jc w:val="both"/>
        <w:rPr>
          <w:rFonts w:ascii="Arial" w:hAnsi="Arial" w:cs="Arial"/>
        </w:rPr>
      </w:pPr>
      <w:r w:rsidRPr="005E4E69">
        <w:rPr>
          <w:rFonts w:ascii="Arial" w:hAnsi="Arial" w:cs="Arial"/>
          <w:b/>
          <w:bCs/>
        </w:rPr>
        <w:t>Evaluation:</w:t>
      </w:r>
      <w:r w:rsidRPr="005E4E69">
        <w:rPr>
          <w:rFonts w:ascii="Arial" w:hAnsi="Arial" w:cs="Arial"/>
        </w:rPr>
        <w:t xml:space="preserve"> Success should be measured through the rate of unplanned ICU admissions (a sensitive proxy for failure to recognise deterioration), in-hospital cardiac arrest rates, and audit of NEWS2 compliance on a quarterly basis. NHS England should report system-wide NEWS2 implementation metrics in its annual Patient Safety Incident data publication.</w:t>
      </w:r>
    </w:p>
    <w:p w14:paraId="753310D1" w14:textId="77777777" w:rsidR="003D0A61" w:rsidRPr="005E4E69" w:rsidRDefault="00E80607" w:rsidP="000A70E8">
      <w:pPr>
        <w:spacing w:after="160" w:line="360" w:lineRule="auto"/>
        <w:jc w:val="both"/>
        <w:rPr>
          <w:rFonts w:ascii="Arial" w:hAnsi="Arial" w:cs="Arial"/>
        </w:rPr>
      </w:pPr>
      <w:r w:rsidRPr="005E4E69">
        <w:rPr>
          <w:rFonts w:ascii="Arial" w:hAnsi="Arial" w:cs="Arial"/>
          <w:b/>
          <w:bCs/>
        </w:rPr>
        <w:t>Recommendation 3: Strengthen Medication Safety through Electronic Prescribing and Pharmacist Integration.</w:t>
      </w:r>
    </w:p>
    <w:p w14:paraId="43190DBF" w14:textId="77777777" w:rsidR="003D0A61" w:rsidRPr="005E4E69" w:rsidRDefault="00E80607" w:rsidP="000A70E8">
      <w:pPr>
        <w:spacing w:after="160" w:line="360" w:lineRule="auto"/>
        <w:jc w:val="both"/>
        <w:rPr>
          <w:rFonts w:ascii="Arial" w:hAnsi="Arial" w:cs="Arial"/>
        </w:rPr>
      </w:pPr>
      <w:r w:rsidRPr="005E4E69">
        <w:rPr>
          <w:rFonts w:ascii="Arial" w:hAnsi="Arial" w:cs="Arial"/>
          <w:b/>
          <w:bCs/>
        </w:rPr>
        <w:t>Rationale:</w:t>
      </w:r>
      <w:r w:rsidRPr="005E4E69">
        <w:rPr>
          <w:rFonts w:ascii="Arial" w:hAnsi="Arial" w:cs="Arial"/>
        </w:rPr>
        <w:t xml:space="preserve"> Organisations should implement electronic prescribing systems with clinical decision support tools incorporating hard stops for contraindicated medications, particularly in high-risk populations including children and the elderly. Specialist pharmacists should be embedded in ward rounds rather than operating in isolation from clinical teams, as recommended by NICE (2015) and the Royal Pharmaceutical Society (RPS, 2020). The NHS medicines optimisation strategy provides a roadmap for this integration (NHS En</w:t>
      </w:r>
      <w:r w:rsidRPr="005E4E69">
        <w:rPr>
          <w:rFonts w:ascii="Arial" w:hAnsi="Arial" w:cs="Arial"/>
        </w:rPr>
        <w:t>gland, 2023).</w:t>
      </w:r>
    </w:p>
    <w:p w14:paraId="333140EA" w14:textId="77777777" w:rsidR="003D0A61" w:rsidRPr="005E4E69" w:rsidRDefault="00E80607" w:rsidP="000A70E8">
      <w:pPr>
        <w:spacing w:after="160" w:line="360" w:lineRule="auto"/>
        <w:jc w:val="both"/>
        <w:rPr>
          <w:rFonts w:ascii="Arial" w:hAnsi="Arial" w:cs="Arial"/>
        </w:rPr>
      </w:pPr>
      <w:r w:rsidRPr="005E4E69">
        <w:rPr>
          <w:rFonts w:ascii="Arial" w:hAnsi="Arial" w:cs="Arial"/>
          <w:b/>
          <w:bCs/>
        </w:rPr>
        <w:t>Implementation and barriers:</w:t>
      </w:r>
      <w:r w:rsidRPr="005E4E69">
        <w:rPr>
          <w:rFonts w:ascii="Arial" w:hAnsi="Arial" w:cs="Arial"/>
        </w:rPr>
        <w:t xml:space="preserve"> Electronic prescribing deployment requires significant capital investment and IT infrastructure, and pharmacy workforce shortages may limit pharmacist availability for ward-based integration. Trusts should adopt a prioritised </w:t>
      </w:r>
      <w:r w:rsidRPr="005E4E69">
        <w:rPr>
          <w:rFonts w:ascii="Arial" w:hAnsi="Arial" w:cs="Arial"/>
        </w:rPr>
        <w:lastRenderedPageBreak/>
        <w:t>approach, focusing initially on highest-risk prescribing contexts (paediatrics, elderly care, and critical care), using pharmacist-led medicines reconciliation processes at admission and transition of care.</w:t>
      </w:r>
    </w:p>
    <w:p w14:paraId="03941366" w14:textId="77777777" w:rsidR="003D0A61" w:rsidRPr="005E4E69" w:rsidRDefault="00E80607" w:rsidP="000A70E8">
      <w:pPr>
        <w:spacing w:after="160" w:line="360" w:lineRule="auto"/>
        <w:jc w:val="both"/>
        <w:rPr>
          <w:rFonts w:ascii="Arial" w:hAnsi="Arial" w:cs="Arial"/>
        </w:rPr>
      </w:pPr>
      <w:r w:rsidRPr="005E4E69">
        <w:rPr>
          <w:rFonts w:ascii="Arial" w:hAnsi="Arial" w:cs="Arial"/>
          <w:b/>
          <w:bCs/>
        </w:rPr>
        <w:t>Evaluation:</w:t>
      </w:r>
      <w:r w:rsidRPr="005E4E69">
        <w:rPr>
          <w:rFonts w:ascii="Arial" w:hAnsi="Arial" w:cs="Arial"/>
        </w:rPr>
        <w:t xml:space="preserve"> Progress should be tracked through the rate of prescribing error incidents reported via NRLS, frequency of overridden clinical decision support alerts, and pharmacy-recorded near-miss events. Benchmarking against NHS England medicines safety indicators should form part of every trust’s annual quality account.</w:t>
      </w:r>
    </w:p>
    <w:p w14:paraId="62B8E0FB" w14:textId="77777777" w:rsidR="003D0A61" w:rsidRPr="005E4E69" w:rsidRDefault="00E80607" w:rsidP="000A70E8">
      <w:pPr>
        <w:spacing w:after="160" w:line="360" w:lineRule="auto"/>
        <w:jc w:val="both"/>
        <w:rPr>
          <w:rFonts w:ascii="Arial" w:hAnsi="Arial" w:cs="Arial"/>
        </w:rPr>
      </w:pPr>
      <w:r w:rsidRPr="005E4E69">
        <w:rPr>
          <w:rFonts w:ascii="Arial" w:hAnsi="Arial" w:cs="Arial"/>
          <w:b/>
          <w:bCs/>
        </w:rPr>
        <w:t>Recommendation 4: Institutionalise Patient and Family Involvement in Clinical Safety.</w:t>
      </w:r>
    </w:p>
    <w:p w14:paraId="699BEE79" w14:textId="77777777" w:rsidR="003D0A61" w:rsidRPr="005E4E69" w:rsidRDefault="00E80607" w:rsidP="000A70E8">
      <w:pPr>
        <w:spacing w:after="160" w:line="360" w:lineRule="auto"/>
        <w:jc w:val="both"/>
        <w:rPr>
          <w:rFonts w:ascii="Arial" w:hAnsi="Arial" w:cs="Arial"/>
        </w:rPr>
      </w:pPr>
      <w:r w:rsidRPr="005E4E69">
        <w:rPr>
          <w:rFonts w:ascii="Arial" w:hAnsi="Arial" w:cs="Arial"/>
          <w:b/>
          <w:bCs/>
        </w:rPr>
        <w:t>Rationale:</w:t>
      </w:r>
      <w:r w:rsidRPr="005E4E69">
        <w:rPr>
          <w:rFonts w:ascii="Arial" w:hAnsi="Arial" w:cs="Arial"/>
        </w:rPr>
        <w:t xml:space="preserve"> Organisations should implement structured patient-initiated escalation systems such as REACH or equivalent, making it straightforward for patients and families to trigger independent senior clinical review when their concerns are not being addressed. This aligns with NICE QS15 and the commitments of the NHS Long Term Plan to person-centred care (NICE, 2019; NHS England, 2019). PSIRF should be used to ensure that family experiences are systematically incorporated into incident investigations, and that learn</w:t>
      </w:r>
      <w:r w:rsidRPr="005E4E69">
        <w:rPr>
          <w:rFonts w:ascii="Arial" w:hAnsi="Arial" w:cs="Arial"/>
        </w:rPr>
        <w:t>ing is shared through Patient Safety Incident Response Plans at both trust and ICB level (NHS England, 2022).</w:t>
      </w:r>
    </w:p>
    <w:p w14:paraId="1E188A60" w14:textId="77777777" w:rsidR="003D0A61" w:rsidRPr="005E4E69" w:rsidRDefault="00E80607" w:rsidP="000A70E8">
      <w:pPr>
        <w:spacing w:after="160" w:line="360" w:lineRule="auto"/>
        <w:jc w:val="both"/>
        <w:rPr>
          <w:rFonts w:ascii="Arial" w:hAnsi="Arial" w:cs="Arial"/>
        </w:rPr>
      </w:pPr>
      <w:r w:rsidRPr="005E4E69">
        <w:rPr>
          <w:rFonts w:ascii="Arial" w:hAnsi="Arial" w:cs="Arial"/>
          <w:b/>
          <w:bCs/>
        </w:rPr>
        <w:t>Implementation and barriers:</w:t>
      </w:r>
      <w:r w:rsidRPr="005E4E69">
        <w:rPr>
          <w:rFonts w:ascii="Arial" w:hAnsi="Arial" w:cs="Arial"/>
        </w:rPr>
        <w:t xml:space="preserve"> Patient-initiated escalation systems require cultural as well as structural change: clinical staff must be trained to respond to family-triggered escalation without defensiveness, and patients and families must be actively informed of their rights to escalate. Barriers include staff resistance to perceived erosion of clinical authority and inadequate patient-facing communication resources. These can be addressed through co-produced training involving patient advocates, Helen Haskell’s model of family-centr</w:t>
      </w:r>
      <w:r w:rsidRPr="005E4E69">
        <w:rPr>
          <w:rFonts w:ascii="Arial" w:hAnsi="Arial" w:cs="Arial"/>
        </w:rPr>
        <w:t>ed safety education, and mandatory induction content on patient rights to escalation.</w:t>
      </w:r>
    </w:p>
    <w:p w14:paraId="2E81465D" w14:textId="77777777" w:rsidR="003D0A61" w:rsidRPr="005E4E69" w:rsidRDefault="00E80607" w:rsidP="000A70E8">
      <w:pPr>
        <w:spacing w:after="160" w:line="360" w:lineRule="auto"/>
        <w:jc w:val="both"/>
        <w:rPr>
          <w:rFonts w:ascii="Arial" w:hAnsi="Arial" w:cs="Arial"/>
        </w:rPr>
      </w:pPr>
      <w:r w:rsidRPr="005E4E69">
        <w:rPr>
          <w:rFonts w:ascii="Arial" w:hAnsi="Arial" w:cs="Arial"/>
          <w:b/>
          <w:bCs/>
        </w:rPr>
        <w:t>Evaluation:</w:t>
      </w:r>
      <w:r w:rsidRPr="005E4E69">
        <w:rPr>
          <w:rFonts w:ascii="Arial" w:hAnsi="Arial" w:cs="Arial"/>
        </w:rPr>
        <w:t xml:space="preserve"> Effectiveness should be measured through patient experience survey results, specifically whether patients and families feel their concerns are heard; the number of REACH activations (an indicator of system use and normalisation); and the proportion of PSIRF investigations that include structured family testimony. Trusts should report these metrics quarterly to their Patient Safety Review Committees.</w:t>
      </w:r>
    </w:p>
    <w:p w14:paraId="30752E2F" w14:textId="77777777" w:rsidR="003D0A61" w:rsidRPr="005E4E69" w:rsidRDefault="00E80607" w:rsidP="000A70E8">
      <w:pPr>
        <w:spacing w:after="160" w:line="360" w:lineRule="auto"/>
        <w:jc w:val="both"/>
        <w:rPr>
          <w:rFonts w:ascii="Arial" w:hAnsi="Arial" w:cs="Arial"/>
        </w:rPr>
      </w:pPr>
      <w:r w:rsidRPr="005E4E69">
        <w:rPr>
          <w:rFonts w:ascii="Arial" w:hAnsi="Arial" w:cs="Arial"/>
          <w:b/>
          <w:bCs/>
        </w:rPr>
        <w:lastRenderedPageBreak/>
        <w:t>Recommendation 5: Develop Technical and Allocative Efficiency through Integrated Governance.</w:t>
      </w:r>
    </w:p>
    <w:p w14:paraId="1A799718" w14:textId="77777777" w:rsidR="003D0A61" w:rsidRPr="005E4E69" w:rsidRDefault="00E80607" w:rsidP="000A70E8">
      <w:pPr>
        <w:spacing w:after="160" w:line="360" w:lineRule="auto"/>
        <w:jc w:val="both"/>
        <w:rPr>
          <w:rFonts w:ascii="Arial" w:hAnsi="Arial" w:cs="Arial"/>
        </w:rPr>
      </w:pPr>
      <w:r w:rsidRPr="005E4E69">
        <w:rPr>
          <w:rFonts w:ascii="Arial" w:hAnsi="Arial" w:cs="Arial"/>
          <w:b/>
          <w:bCs/>
        </w:rPr>
        <w:t>Rationale:</w:t>
      </w:r>
      <w:r w:rsidRPr="005E4E69">
        <w:rPr>
          <w:rFonts w:ascii="Arial" w:hAnsi="Arial" w:cs="Arial"/>
        </w:rPr>
        <w:t xml:space="preserve"> The NHS Right Care programme provides tools for allocative efficiency that direct resources to interventions with the greatest demonstrable benefit for patient safety (NHS England, 2022). Trusts should use this framework to prioritise investment in early warning systems, RRTs, and leadership development, demonstrating return on investment through reductions in patient safety incidents, serious harm events, and associated legal and financial liabilities.</w:t>
      </w:r>
    </w:p>
    <w:p w14:paraId="45A63B46" w14:textId="77777777" w:rsidR="003D0A61" w:rsidRPr="005E4E69" w:rsidRDefault="00E80607" w:rsidP="000A70E8">
      <w:pPr>
        <w:spacing w:after="160" w:line="360" w:lineRule="auto"/>
        <w:jc w:val="both"/>
        <w:rPr>
          <w:rFonts w:ascii="Arial" w:hAnsi="Arial" w:cs="Arial"/>
        </w:rPr>
      </w:pPr>
      <w:r w:rsidRPr="005E4E69">
        <w:rPr>
          <w:rFonts w:ascii="Arial" w:hAnsi="Arial" w:cs="Arial"/>
          <w:b/>
          <w:bCs/>
        </w:rPr>
        <w:t>Implementation and barriers:</w:t>
      </w:r>
      <w:r w:rsidRPr="005E4E69">
        <w:rPr>
          <w:rFonts w:ascii="Arial" w:hAnsi="Arial" w:cs="Arial"/>
        </w:rPr>
        <w:t xml:space="preserve"> Demonstrating return on investment from safety infrastructure requires robust baseline data and consistent incident coding, both of which are variable across NHS trusts. Financial pressures may result in patient safety investments being deprioritised in favour of operational cost reduction. NHS England should establish minimum investment standards for patient safety infrastructure as a condition of provider licence, and ICBs should include safety investment as a criterion in provider performance frameworks</w:t>
      </w:r>
      <w:r w:rsidRPr="005E4E69">
        <w:rPr>
          <w:rFonts w:ascii="Arial" w:hAnsi="Arial" w:cs="Arial"/>
        </w:rPr>
        <w:t>.</w:t>
      </w:r>
    </w:p>
    <w:p w14:paraId="153CD82E" w14:textId="77777777" w:rsidR="003D0A61" w:rsidRPr="005E4E69" w:rsidRDefault="00E80607" w:rsidP="000A70E8">
      <w:pPr>
        <w:spacing w:after="160" w:line="360" w:lineRule="auto"/>
        <w:jc w:val="both"/>
        <w:rPr>
          <w:rFonts w:ascii="Arial" w:hAnsi="Arial" w:cs="Arial"/>
        </w:rPr>
      </w:pPr>
      <w:r w:rsidRPr="005E4E69">
        <w:rPr>
          <w:rFonts w:ascii="Arial" w:hAnsi="Arial" w:cs="Arial"/>
          <w:b/>
          <w:bCs/>
        </w:rPr>
        <w:t>Evaluation:</w:t>
      </w:r>
      <w:r w:rsidRPr="005E4E69">
        <w:rPr>
          <w:rFonts w:ascii="Arial" w:hAnsi="Arial" w:cs="Arial"/>
        </w:rPr>
        <w:t xml:space="preserve"> Return on investment should be calculated through avoided harm costs, including reduced litigation, shorter lengths of stay, and lower ICU utilisation. NHS England should publish system-level data on the financial impact of preventable harm annually, creating accountability for improvement over time.</w:t>
      </w:r>
    </w:p>
    <w:p w14:paraId="5A3E17D4" w14:textId="77777777" w:rsidR="003D0A61" w:rsidRPr="005E4E69" w:rsidRDefault="00E80607" w:rsidP="000A70E8">
      <w:pPr>
        <w:spacing w:after="160" w:line="360" w:lineRule="auto"/>
        <w:jc w:val="both"/>
        <w:rPr>
          <w:rFonts w:ascii="Arial" w:hAnsi="Arial" w:cs="Arial"/>
        </w:rPr>
      </w:pPr>
      <w:r w:rsidRPr="005E4E69">
        <w:rPr>
          <w:rFonts w:ascii="Arial" w:hAnsi="Arial" w:cs="Arial"/>
          <w:b/>
          <w:bCs/>
        </w:rPr>
        <w:t>Recommendation 6: Continuous Learning, Stakeholder Engagement, and Co-Production.</w:t>
      </w:r>
    </w:p>
    <w:p w14:paraId="1B2505EC" w14:textId="77777777" w:rsidR="003D0A61" w:rsidRPr="005E4E69" w:rsidRDefault="00E80607" w:rsidP="000A70E8">
      <w:pPr>
        <w:spacing w:after="160" w:line="360" w:lineRule="auto"/>
        <w:jc w:val="both"/>
        <w:rPr>
          <w:rFonts w:ascii="Arial" w:hAnsi="Arial" w:cs="Arial"/>
        </w:rPr>
      </w:pPr>
      <w:r w:rsidRPr="005E4E69">
        <w:rPr>
          <w:rFonts w:ascii="Arial" w:hAnsi="Arial" w:cs="Arial"/>
          <w:b/>
          <w:bCs/>
        </w:rPr>
        <w:t>Rationale:</w:t>
      </w:r>
      <w:r w:rsidRPr="005E4E69">
        <w:rPr>
          <w:rFonts w:ascii="Arial" w:hAnsi="Arial" w:cs="Arial"/>
        </w:rPr>
        <w:t xml:space="preserve"> Sustained improvement requires not only institutional change but co-produced learning involving patients, families, front-line staff, and external expertise. The Patient Safety Learning Hub and voluntary organisations such as Mothers Against Medical Error and Action Against Medical Accidents (AvMA) represent essential partners in this endeavour (Patient Safety Learning, 2021). NHS trusts should establish Patient Safety Partnerships, as recommended by PSIRF, and embed Schwartz Rounds as a mechanism for refl</w:t>
      </w:r>
      <w:r w:rsidRPr="005E4E69">
        <w:rPr>
          <w:rFonts w:ascii="Arial" w:hAnsi="Arial" w:cs="Arial"/>
        </w:rPr>
        <w:t>ective practice and emotional support for staff involved in serious incidents.</w:t>
      </w:r>
    </w:p>
    <w:p w14:paraId="7660E368" w14:textId="77777777" w:rsidR="003D0A61" w:rsidRPr="005E4E69" w:rsidRDefault="00E80607" w:rsidP="000A70E8">
      <w:pPr>
        <w:spacing w:after="160" w:line="360" w:lineRule="auto"/>
        <w:jc w:val="both"/>
        <w:rPr>
          <w:rFonts w:ascii="Arial" w:hAnsi="Arial" w:cs="Arial"/>
        </w:rPr>
      </w:pPr>
      <w:r w:rsidRPr="005E4E69">
        <w:rPr>
          <w:rFonts w:ascii="Arial" w:hAnsi="Arial" w:cs="Arial"/>
          <w:b/>
          <w:bCs/>
        </w:rPr>
        <w:t>Implementation and barriers:</w:t>
      </w:r>
      <w:r w:rsidRPr="005E4E69">
        <w:rPr>
          <w:rFonts w:ascii="Arial" w:hAnsi="Arial" w:cs="Arial"/>
        </w:rPr>
        <w:t xml:space="preserve"> Co-production requires genuine organisational commitment to power-sharing with patients and families, which may be resisted in </w:t>
      </w:r>
      <w:r w:rsidRPr="005E4E69">
        <w:rPr>
          <w:rFonts w:ascii="Arial" w:hAnsi="Arial" w:cs="Arial"/>
        </w:rPr>
        <w:lastRenderedPageBreak/>
        <w:t>organisations with hierarchical cultures. Trusts should appoint patient safety co-design leads and allocate dedicated time and resource for co-production activities within quality improvement programmes. The PSIRF’s emphasis on involving affected families in investigation design provides a framework for embedding this approach at scale.</w:t>
      </w:r>
    </w:p>
    <w:p w14:paraId="7E010137" w14:textId="77777777" w:rsidR="003D0A61" w:rsidRPr="005E4E69" w:rsidRDefault="00E80607" w:rsidP="000A70E8">
      <w:pPr>
        <w:spacing w:after="160" w:line="360" w:lineRule="auto"/>
        <w:jc w:val="both"/>
        <w:rPr>
          <w:rFonts w:ascii="Arial" w:hAnsi="Arial" w:cs="Arial"/>
        </w:rPr>
      </w:pPr>
      <w:r w:rsidRPr="005E4E69">
        <w:rPr>
          <w:rFonts w:ascii="Arial" w:hAnsi="Arial" w:cs="Arial"/>
          <w:b/>
          <w:bCs/>
        </w:rPr>
        <w:t>Evaluation:</w:t>
      </w:r>
      <w:r w:rsidRPr="005E4E69">
        <w:rPr>
          <w:rFonts w:ascii="Arial" w:hAnsi="Arial" w:cs="Arial"/>
        </w:rPr>
        <w:t xml:space="preserve"> Co-production effectiveness should be assessed through the proportion of quality improvement projects that include patient or family co-designers; patient-reported experience of the PSIRF investigation process; and longitudinal staff survey data on whether reflective practice opportunities (including Schwartz Rounds) are available and attended. Trusts should include co-production metrics in their annual Quality Accounts and present findings to their Boards at least twice yearly.</w:t>
      </w:r>
    </w:p>
    <w:p w14:paraId="0798A5AD" w14:textId="77777777" w:rsidR="003D0A61" w:rsidRPr="005E4E69" w:rsidRDefault="00E80607" w:rsidP="000A70E8">
      <w:pPr>
        <w:pStyle w:val="Heading1"/>
        <w:spacing w:line="360" w:lineRule="auto"/>
        <w:rPr>
          <w:rFonts w:ascii="Arial" w:hAnsi="Arial" w:cs="Arial"/>
        </w:rPr>
      </w:pPr>
      <w:bookmarkStart w:id="16" w:name="_Toc227629145"/>
      <w:r w:rsidRPr="005E4E69">
        <w:rPr>
          <w:rFonts w:ascii="Arial" w:hAnsi="Arial" w:cs="Arial"/>
        </w:rPr>
        <w:t>7. Conclusion</w:t>
      </w:r>
      <w:bookmarkEnd w:id="16"/>
    </w:p>
    <w:p w14:paraId="061899B8" w14:textId="77777777" w:rsidR="003D0A61" w:rsidRPr="005E4E69" w:rsidRDefault="00E80607" w:rsidP="000A70E8">
      <w:pPr>
        <w:spacing w:after="160" w:line="360" w:lineRule="auto"/>
        <w:jc w:val="both"/>
        <w:rPr>
          <w:rFonts w:ascii="Arial" w:hAnsi="Arial" w:cs="Arial"/>
        </w:rPr>
      </w:pPr>
      <w:r w:rsidRPr="005E4E69">
        <w:rPr>
          <w:rFonts w:ascii="Arial" w:hAnsi="Arial" w:cs="Arial"/>
        </w:rPr>
        <w:t>The Lewis Blackman case remains, over two decades after Lewis’s death, a foundational text in patient safety because it so clearly illuminates the systemic, cultural, and leadership failures that enable preventable harm. The analysis presented in this report demonstrates that Lewis’s death was not an isolated failure of individual clinical judgement but the product of a centralised governance structure that suppressed information flow, a leadership style that did not value or act upon front-line observation</w:t>
      </w:r>
      <w:r w:rsidRPr="005E4E69">
        <w:rPr>
          <w:rFonts w:ascii="Arial" w:hAnsi="Arial" w:cs="Arial"/>
        </w:rPr>
        <w:t>s, the absence of safety systems that would have mandated escalation and triggered protective responses, and a cultural norm that excluded family voices from clinical reasoning.</w:t>
      </w:r>
    </w:p>
    <w:p w14:paraId="78CDE056" w14:textId="77777777" w:rsidR="003D0A61" w:rsidRPr="005E4E69" w:rsidRDefault="00E80607" w:rsidP="000A70E8">
      <w:pPr>
        <w:spacing w:after="160" w:line="360" w:lineRule="auto"/>
        <w:jc w:val="both"/>
        <w:rPr>
          <w:rFonts w:ascii="Arial" w:hAnsi="Arial" w:cs="Arial"/>
        </w:rPr>
      </w:pPr>
      <w:r w:rsidRPr="005E4E69">
        <w:rPr>
          <w:rFonts w:ascii="Arial" w:hAnsi="Arial" w:cs="Arial"/>
        </w:rPr>
        <w:t>Drawing on UK data and scholarship, this report has shown that these failure modes are neither unique to MUSC in 2000 nor to the United States healthcare system. The Mid Staffordshire inquiry, the Ockenden Review, the Kirkup Report, and numerous HSIB investigations document precisely analogous dynamics within NHS organisations. The NHS has responded with a comprehensive suite of policy and structural interventions — including NEWS2, Freedom to Speak Up, PSIRF, and the NHS Patient Safety Strategy — that addr</w:t>
      </w:r>
      <w:r w:rsidRPr="005E4E69">
        <w:rPr>
          <w:rFonts w:ascii="Arial" w:hAnsi="Arial" w:cs="Arial"/>
        </w:rPr>
        <w:t>ess the specific vulnerabilities illustrated by Lewis’s case. However, implementation remains incomplete, and the gap between policy intent and ward-level practice continues to represent a patient safety risk.</w:t>
      </w:r>
    </w:p>
    <w:p w14:paraId="0D2441CD" w14:textId="77777777" w:rsidR="003D0A61" w:rsidRPr="005E4E69" w:rsidRDefault="00E80607" w:rsidP="000A70E8">
      <w:pPr>
        <w:spacing w:after="160" w:line="360" w:lineRule="auto"/>
        <w:jc w:val="both"/>
        <w:rPr>
          <w:rFonts w:ascii="Arial" w:hAnsi="Arial" w:cs="Arial"/>
        </w:rPr>
      </w:pPr>
      <w:r w:rsidRPr="005E4E69">
        <w:rPr>
          <w:rFonts w:ascii="Arial" w:hAnsi="Arial" w:cs="Arial"/>
        </w:rPr>
        <w:lastRenderedPageBreak/>
        <w:t>Leadership is the central variable in translating policy into practice. Where transformational, distributed, and compassionate leadership cultures are established, evidence consistently demonstrates improved safety outcomes, higher staff engagement, and greater organisational learning capacity. The recommendations advanced in this report are grounded in this evidence and are directed towards building an NHS capable both of preventing the conditions that led to Lewis Blackman’s death and, when things do go w</w:t>
      </w:r>
      <w:r w:rsidRPr="005E4E69">
        <w:rPr>
          <w:rFonts w:ascii="Arial" w:hAnsi="Arial" w:cs="Arial"/>
        </w:rPr>
        <w:t>rong, of responding with the transparency, compassion, and commitment to learning that his mother Helen Haskell has spent over two decades advocating for.</w:t>
      </w:r>
    </w:p>
    <w:p w14:paraId="42FD0102" w14:textId="77777777" w:rsidR="003D0A61" w:rsidRPr="005E4E69" w:rsidRDefault="00E80607" w:rsidP="000A70E8">
      <w:pPr>
        <w:spacing w:after="160" w:line="360" w:lineRule="auto"/>
        <w:jc w:val="both"/>
        <w:rPr>
          <w:rFonts w:ascii="Arial" w:hAnsi="Arial" w:cs="Arial"/>
        </w:rPr>
      </w:pPr>
      <w:r w:rsidRPr="005E4E69">
        <w:rPr>
          <w:rFonts w:ascii="Arial" w:hAnsi="Arial" w:cs="Arial"/>
        </w:rPr>
        <w:t>The primary findings of this report are: first, that systemic rather than individual analysis is essential to understanding and preventing patient harm; second, that governance structures must distribute authority as well as responsibility; third, that leadership must be transformational, compassionate, and distributed to create the psychological safety in which safety behaviours can flourish; and fourth, that patients and families are essential partners in the creation of safe healthcare systems. These fin</w:t>
      </w:r>
      <w:r w:rsidRPr="005E4E69">
        <w:rPr>
          <w:rFonts w:ascii="Arial" w:hAnsi="Arial" w:cs="Arial"/>
        </w:rPr>
        <w:t>dings carry direct and urgent relevance for NHS organisations and for the postgraduate public health and social care practitioners who will shape those organisations’ futures.</w:t>
      </w:r>
    </w:p>
    <w:p w14:paraId="7F1C71A7" w14:textId="77777777" w:rsidR="003D0A61" w:rsidRDefault="00E80607">
      <w:pPr>
        <w:spacing w:before="480" w:after="120"/>
      </w:pPr>
      <w:r>
        <w:rPr>
          <w:b/>
          <w:bCs/>
          <w:sz w:val="28"/>
          <w:szCs w:val="28"/>
        </w:rPr>
        <w:t>Reference List</w:t>
      </w:r>
    </w:p>
    <w:p w14:paraId="01412243"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 xml:space="preserve">Bass, B.M. and Riggio, R.E. (2006). Transformational Leadership. 2nd ed. New York: Psychology Press. </w:t>
      </w:r>
      <w:proofErr w:type="gramStart"/>
      <w:r w:rsidRPr="005E4E69">
        <w:rPr>
          <w:rFonts w:ascii="Arial" w:hAnsi="Arial" w:cs="Arial"/>
        </w:rPr>
        <w:t>doi:https://doi.org/10.4324/9781410617095</w:t>
      </w:r>
      <w:proofErr w:type="gramEnd"/>
      <w:r w:rsidRPr="005E4E69">
        <w:rPr>
          <w:rFonts w:ascii="Arial" w:hAnsi="Arial" w:cs="Arial"/>
        </w:rPr>
        <w:t>.</w:t>
      </w:r>
    </w:p>
    <w:p w14:paraId="3ACC0AEE"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Berwick, D. (2013). A promise to learn – a commitment to act: Improving the safety of patients in England. National Advisory Group on the Safety of Patients in England. Available at: https://assets.publishing.service.gov.uk/media/5a7cc74540f0b6629523bc31/Berwick_Report.pdf.</w:t>
      </w:r>
    </w:p>
    <w:p w14:paraId="40CC14D8"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 xml:space="preserve">Bohmer, R.M.J. (2016). The hard work of health care transformation. New England Journal of Medicine, 375(8), pp.709–711. </w:t>
      </w:r>
      <w:proofErr w:type="gramStart"/>
      <w:r w:rsidRPr="005E4E69">
        <w:rPr>
          <w:rFonts w:ascii="Arial" w:hAnsi="Arial" w:cs="Arial"/>
        </w:rPr>
        <w:t>doi:https://doi.org/10.1056/nejmp1606458</w:t>
      </w:r>
      <w:proofErr w:type="gramEnd"/>
      <w:r w:rsidRPr="005E4E69">
        <w:rPr>
          <w:rFonts w:ascii="Arial" w:hAnsi="Arial" w:cs="Arial"/>
        </w:rPr>
        <w:t>.</w:t>
      </w:r>
    </w:p>
    <w:p w14:paraId="7048733D"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 xml:space="preserve">Braithwaite, J., Churruca, K., Long, J.C., Ellis, L.A. and Herkes, J. (2018). When complexity science meets implementation science: a theoretical and empirical analysis of systems change. BMC Medicine, 16(1). </w:t>
      </w:r>
      <w:proofErr w:type="gramStart"/>
      <w:r w:rsidRPr="005E4E69">
        <w:rPr>
          <w:rFonts w:ascii="Arial" w:hAnsi="Arial" w:cs="Arial"/>
        </w:rPr>
        <w:t>doi:https://doi.org/10.1186/s12916-018-1057-z</w:t>
      </w:r>
      <w:proofErr w:type="gramEnd"/>
      <w:r w:rsidRPr="005E4E69">
        <w:rPr>
          <w:rFonts w:ascii="Arial" w:hAnsi="Arial" w:cs="Arial"/>
        </w:rPr>
        <w:t>.</w:t>
      </w:r>
    </w:p>
    <w:p w14:paraId="2679E405"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British National Formulary (2023). Ketorolac trometamol. NICE. Available at: https://bnf.nice.org.uk/drugs/ketorolac-trometamol/.</w:t>
      </w:r>
    </w:p>
    <w:p w14:paraId="2D2D6D35"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Burns, J.M. (1978). Leadership. New York: Harper and Row.</w:t>
      </w:r>
    </w:p>
    <w:p w14:paraId="1B000001"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lastRenderedPageBreak/>
        <w:t>Bass, B.M. (1985). Leadership and Performance Beyond Expectations. New York: Free Press.</w:t>
      </w:r>
    </w:p>
    <w:p w14:paraId="42C3587B"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 xml:space="preserve">Checkland, K., Allen, P., Coleman, A., Segar, J., McDermott, I., Harrison, S., Petsoulas, C. and Peckham, S. (2013). Accountable to whom, for what? An exploration of the early development of Clinical Commissioning Groups in the English NHS. BMJ Open, 3(12), p.e003769. </w:t>
      </w:r>
      <w:proofErr w:type="gramStart"/>
      <w:r w:rsidRPr="005E4E69">
        <w:rPr>
          <w:rFonts w:ascii="Arial" w:hAnsi="Arial" w:cs="Arial"/>
        </w:rPr>
        <w:t>doi:https://doi.org/10.1136/bmjopen-2013-003769</w:t>
      </w:r>
      <w:proofErr w:type="gramEnd"/>
      <w:r w:rsidRPr="005E4E69">
        <w:rPr>
          <w:rFonts w:ascii="Arial" w:hAnsi="Arial" w:cs="Arial"/>
        </w:rPr>
        <w:t>.</w:t>
      </w:r>
    </w:p>
    <w:p w14:paraId="5B26326F"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Checkland, P. (1981). Systems Thinking, Systems Practice. Chichester: Wiley.</w:t>
      </w:r>
    </w:p>
    <w:p w14:paraId="6369BEAA"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CQC (2021). State of Care 2020/21. Care Quality Commission. Available at: https://www.cqc.org.uk/publication/state-care-202021.</w:t>
      </w:r>
    </w:p>
    <w:p w14:paraId="6AC460A3"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 xml:space="preserve">Cummings, G.G., MacGregor, T., Davey, M., Lee, H., Wong, C.A., Lo, E., Muise, M. and Stafford, E. (2010). Leadership styles and outcome patterns for the nursing workforce and work environment: a systematic review. International Journal of Nursing Studies, 47(3), pp.363–385. </w:t>
      </w:r>
      <w:proofErr w:type="gramStart"/>
      <w:r w:rsidRPr="005E4E69">
        <w:rPr>
          <w:rFonts w:ascii="Arial" w:hAnsi="Arial" w:cs="Arial"/>
        </w:rPr>
        <w:t>doi:https://doi.org/10.1016/j.ijnurstu.2009.08.006</w:t>
      </w:r>
      <w:proofErr w:type="gramEnd"/>
      <w:r w:rsidRPr="005E4E69">
        <w:rPr>
          <w:rFonts w:ascii="Arial" w:hAnsi="Arial" w:cs="Arial"/>
        </w:rPr>
        <w:t>.</w:t>
      </w:r>
    </w:p>
    <w:p w14:paraId="0ABC481A"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Dawson, J. (2018). Links between NHS staff experience and patient satisfaction: Analysis of surveys from 2014 and 2015. NHS England. Available at: https://www.england.nhs.uk/wp-content/uploads/2018/02/links-between-nhs-staff-experience-and-patient-satisfaction-1.pdf.</w:t>
      </w:r>
    </w:p>
    <w:p w14:paraId="7426BCB9"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Dixon-Woods, M., Baker, R., Charles, K., Dawson, J., Jerzembek, G., Martin, G., McCarthy, I., McKee, L., Minion, J., Ozieranski, P., Willars, J., Wilkie, P. and West, M. (2014). Culture and behaviour in the English National Health Service: overview of lessons from a large multimethod study. BMJ Quality &amp; Safety, 23(2), pp.106–115. Available at: https://qualitysafety.bmj.com/content/23/2/106.</w:t>
      </w:r>
    </w:p>
    <w:p w14:paraId="0D22F6A7"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 xml:space="preserve">Edmondson, A. (1999). Psychological safety and learning behavior in work teams. Administrative Science Quarterly, 44(2), pp.350–383. </w:t>
      </w:r>
      <w:proofErr w:type="gramStart"/>
      <w:r w:rsidRPr="005E4E69">
        <w:rPr>
          <w:rFonts w:ascii="Arial" w:hAnsi="Arial" w:cs="Arial"/>
        </w:rPr>
        <w:t>doi:https://doi.org/10.2307/2666999</w:t>
      </w:r>
      <w:proofErr w:type="gramEnd"/>
      <w:r w:rsidRPr="005E4E69">
        <w:rPr>
          <w:rFonts w:ascii="Arial" w:hAnsi="Arial" w:cs="Arial"/>
        </w:rPr>
        <w:t>.</w:t>
      </w:r>
    </w:p>
    <w:p w14:paraId="115D1872"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 xml:space="preserve">Elliott, R.A., Camacho, E., Jankovic, D., Sculpher, M.J. and Faria, R. (2021). Economic analysis of the prevalence and clinical and economic burden of medication error in England. BMJ Quality &amp; Safety, 30(2), pp.96–105. </w:t>
      </w:r>
      <w:proofErr w:type="gramStart"/>
      <w:r w:rsidRPr="005E4E69">
        <w:rPr>
          <w:rFonts w:ascii="Arial" w:hAnsi="Arial" w:cs="Arial"/>
        </w:rPr>
        <w:t>doi:https://doi.org/10.1136/bmjqs-2019-010206</w:t>
      </w:r>
      <w:proofErr w:type="gramEnd"/>
      <w:r w:rsidRPr="005E4E69">
        <w:rPr>
          <w:rFonts w:ascii="Arial" w:hAnsi="Arial" w:cs="Arial"/>
        </w:rPr>
        <w:t>.</w:t>
      </w:r>
    </w:p>
    <w:p w14:paraId="3B7F9499"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 xml:space="preserve">Fillingham, D. (2007). Can lean save lives? Leadership in Health Services, 20(4), pp.231–241. </w:t>
      </w:r>
      <w:proofErr w:type="gramStart"/>
      <w:r w:rsidRPr="005E4E69">
        <w:rPr>
          <w:rFonts w:ascii="Arial" w:hAnsi="Arial" w:cs="Arial"/>
        </w:rPr>
        <w:t>doi:https://doi.org/10.1108/17511870710829346</w:t>
      </w:r>
      <w:proofErr w:type="gramEnd"/>
      <w:r w:rsidRPr="005E4E69">
        <w:rPr>
          <w:rFonts w:ascii="Arial" w:hAnsi="Arial" w:cs="Arial"/>
        </w:rPr>
        <w:t>.</w:t>
      </w:r>
    </w:p>
    <w:p w14:paraId="28747A7D"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Francis, R. (2013). Report of the Mid Staffordshire NHS Foundation Trust Public Inquiry. GOV.UK. Available at: https://www.gov.uk/government/publications/report-of-the-mid-staffordshire-nhs-foundation-trust-public-inquiry.</w:t>
      </w:r>
    </w:p>
    <w:p w14:paraId="178BDD23"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 xml:space="preserve">Gilbert, P. (2017). Compassion. Routledge. </w:t>
      </w:r>
      <w:proofErr w:type="gramStart"/>
      <w:r w:rsidRPr="005E4E69">
        <w:rPr>
          <w:rFonts w:ascii="Arial" w:hAnsi="Arial" w:cs="Arial"/>
        </w:rPr>
        <w:t>doi:https://doi.org/10.4324/9781315564296</w:t>
      </w:r>
      <w:proofErr w:type="gramEnd"/>
      <w:r w:rsidRPr="005E4E69">
        <w:rPr>
          <w:rFonts w:ascii="Arial" w:hAnsi="Arial" w:cs="Arial"/>
        </w:rPr>
        <w:t>.</w:t>
      </w:r>
    </w:p>
    <w:p w14:paraId="6BAF4561"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Goleman, D. (1998). What makes a leader? Harvard Business Review, 76(6), pp.93–102. Available at: https://pubmed.ncbi.nlm.nih.gov/10187249/.</w:t>
      </w:r>
    </w:p>
    <w:p w14:paraId="3E0586E2"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Greenleaf, R.K. (1977). Servant Leadership: A Journey into the Nature of Legitimate Power and Greatness. New York: Paulist Press.</w:t>
      </w:r>
    </w:p>
    <w:p w14:paraId="751474A0"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 xml:space="preserve">Gronn, P. (2002). Distributed leadership as a unit of analysis. The Leadership Quarterly, 13(4), pp.423–451. </w:t>
      </w:r>
      <w:proofErr w:type="gramStart"/>
      <w:r w:rsidRPr="005E4E69">
        <w:rPr>
          <w:rFonts w:ascii="Arial" w:hAnsi="Arial" w:cs="Arial"/>
        </w:rPr>
        <w:t>doi:https://doi.org/10.1016/S1048-9843(02)00120-0</w:t>
      </w:r>
      <w:proofErr w:type="gramEnd"/>
      <w:r w:rsidRPr="005E4E69">
        <w:rPr>
          <w:rFonts w:ascii="Arial" w:hAnsi="Arial" w:cs="Arial"/>
        </w:rPr>
        <w:t>.</w:t>
      </w:r>
    </w:p>
    <w:p w14:paraId="2CCB06E0"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lastRenderedPageBreak/>
        <w:t>Ham, C. (2009). Health Policy in Britain. 6th ed. Basingstoke: Palgrave Macmillan.</w:t>
      </w:r>
    </w:p>
    <w:p w14:paraId="03D396D2"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Health (2012). NHS Patient Experience Framework. GOV.UK. Available at: https://www.gov.uk/government/publications/nhs-patient-experience-framework.</w:t>
      </w:r>
    </w:p>
    <w:p w14:paraId="674DA8CA"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Health and Care Act (2022). Health and Care Act 2022. Legislation.gov.uk. Available at: https://www.legislation.gov.uk/ukpga/2022/31/contents.</w:t>
      </w:r>
    </w:p>
    <w:p w14:paraId="2951378F"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Healthcare Safety Investigation Branch (2022). HSIB Annual Review 2021–22. Available at: https://hssib-ovd42x6f-media.s3.amazonaws.com/production-assets/documents/hsib-annual-review-2021-22.pdf.</w:t>
      </w:r>
    </w:p>
    <w:p w14:paraId="2BCD2B30"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Hersey, P. and Blanchard, K. (1969). Life Cycle Theory of Leadership. Available at: https://assets.td.org/m/59759d86d1ed4390/original/LIFE-CYCLE-THEORY-OF-LEADERSHIP.pdf.</w:t>
      </w:r>
    </w:p>
    <w:p w14:paraId="78FE99CA"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IHI (2023). Introduction to trigger tools for identifying adverse events. Institute for Healthcare Improvement. Available at: https://www.ihi.org/library/tools/introduction-trigger-tools-identifying-adverse-events.</w:t>
      </w:r>
    </w:p>
    <w:p w14:paraId="1B000003"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Kirkup, B. (2015). The Report of the Morecambe Bay Investigation. London: The Stationery Office. Available at: https://www.gov.uk/government/publications/morecambe-bay-investigation-report.</w:t>
      </w:r>
    </w:p>
    <w:p w14:paraId="5A5ED3EA"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 xml:space="preserve">Mannion, R. and Davies, H. (2018). Understanding organisational culture for healthcare quality improvement. British Medical Journal, 363. </w:t>
      </w:r>
      <w:proofErr w:type="gramStart"/>
      <w:r w:rsidRPr="005E4E69">
        <w:rPr>
          <w:rFonts w:ascii="Arial" w:hAnsi="Arial" w:cs="Arial"/>
        </w:rPr>
        <w:t>doi:https://doi.org/10.1136/bmj.k4907</w:t>
      </w:r>
      <w:proofErr w:type="gramEnd"/>
      <w:r w:rsidRPr="005E4E69">
        <w:rPr>
          <w:rFonts w:ascii="Arial" w:hAnsi="Arial" w:cs="Arial"/>
        </w:rPr>
        <w:t>.</w:t>
      </w:r>
    </w:p>
    <w:p w14:paraId="02F4A9D4"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Mintzberg, H. (1979). The Structuring of Organizations. Prentice Hall.</w:t>
      </w:r>
    </w:p>
    <w:p w14:paraId="7F23DA1E"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NHS England (2018). Patient Experience Improvement Framework. Available at: https://www.england.nhs.uk/wp-content/uploads/2021/04/nhsi-patient-experience-improvement-framework.pdf.</w:t>
      </w:r>
    </w:p>
    <w:p w14:paraId="1D73A245"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NHS England (2019). The NHS Patient Safety Strategy. Available at: https://www.england.nhs.uk/patient-safety/the-nhs-patient-safety-strategy/.</w:t>
      </w:r>
    </w:p>
    <w:p w14:paraId="7824F4B9"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NHS England (2021). Integrated Care Systems: Guidance. Available at: https://www.england.nhs.uk/publication/integrated-care-systems-guidance/.</w:t>
      </w:r>
    </w:p>
    <w:p w14:paraId="3CCD5E3C"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NHS England (2022). Patient Safety Incident Response Framework. Available at: https://www.england.nhs.uk/patient-safety/patient-safety-insight/incident-response-framework/.</w:t>
      </w:r>
    </w:p>
    <w:p w14:paraId="1B000004"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NHS England (2023). Medicines Optimisation. Available at: https://www.england.nhs.uk/medicines-2/medicines-optimisation/.</w:t>
      </w:r>
    </w:p>
    <w:p w14:paraId="2DA4F58C"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NHS England Staff Survey (2022). Working Together to Improve NHS Staff Experiences. Available at: https://www.nhsstaffsurveys.com/.</w:t>
      </w:r>
    </w:p>
    <w:p w14:paraId="2C6CB5DB"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NHS Leadership Academy (2013). Healthcare Leadership Model: The nine dimensions of leadership behaviour. Available at: https://www.leadershipacademy.nhs.uk/wp-content/uploads/dlm_uploads/2014/10/NHSLeadership-LeadershipModel-colour.pdf.</w:t>
      </w:r>
    </w:p>
    <w:p w14:paraId="61895CA9"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NICE (2007). Acutely Ill Adults in Hospital: Recognising and Responding to Deterioration. Available at: https://www.nice.org.uk/guidance/cg50.</w:t>
      </w:r>
    </w:p>
    <w:p w14:paraId="1B000002"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lastRenderedPageBreak/>
        <w:t>NICE (2015). Medicines Optimisation: The Safe and Effective Use of Medicines to Enable the Best Possible Outcomes. Available at: https://www.nice.org.uk/guidance/ng5.</w:t>
      </w:r>
    </w:p>
    <w:p w14:paraId="6DB4B1E2"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NICE (2019). Patient Experience in Adult NHS Services. Quality Standard QS15. Available at: https://www.nice.org.uk/guidance/qs15.</w:t>
      </w:r>
    </w:p>
    <w:p w14:paraId="481919EC"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Ockenden, D. (2022). Ockenden Review: Summary of Findings, Conclusions and Essential Actions. GOV.UK. Available at: https://www.gov.uk/government/publications/final-report-of-the-ockenden-review/ockenden-review-summary-of-findings-conclusions-and-essential-actions.</w:t>
      </w:r>
    </w:p>
    <w:p w14:paraId="06043F17"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 xml:space="preserve">Okuyama, A., Wagner, C. and Bijnen, B. (2014). Speaking up for patient safety by hospital-based health care professionals: a literature review. BMC Health Services Research, 14(1). </w:t>
      </w:r>
      <w:proofErr w:type="gramStart"/>
      <w:r w:rsidRPr="005E4E69">
        <w:rPr>
          <w:rFonts w:ascii="Arial" w:hAnsi="Arial" w:cs="Arial"/>
        </w:rPr>
        <w:t>doi:https://doi.org/10.1186/1472-6963-14-61</w:t>
      </w:r>
      <w:proofErr w:type="gramEnd"/>
      <w:r w:rsidRPr="005E4E69">
        <w:rPr>
          <w:rFonts w:ascii="Arial" w:hAnsi="Arial" w:cs="Arial"/>
        </w:rPr>
        <w:t>.</w:t>
      </w:r>
    </w:p>
    <w:p w14:paraId="6BF50C5A"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Patient Safety Learning (2021). A Blueprint for Action. Available at: https://www.patientsafetylearning.org/resources/blueprint.</w:t>
      </w:r>
    </w:p>
    <w:p w14:paraId="32E7BEF9"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Patient Safety Movement (2014). Lewis Blackman. Available at: https://psmf.org/story/lewis-blackman/.</w:t>
      </w:r>
    </w:p>
    <w:p w14:paraId="7F962E0B"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 xml:space="preserve">Plsek, P.E. and Greenhalgh, T. (2001). Complexity science: the challenge of complexity in health care. BMJ, 323(7313), pp.625–628. </w:t>
      </w:r>
      <w:proofErr w:type="gramStart"/>
      <w:r w:rsidRPr="005E4E69">
        <w:rPr>
          <w:rFonts w:ascii="Arial" w:hAnsi="Arial" w:cs="Arial"/>
        </w:rPr>
        <w:t>doi:https://doi.org/10.1136/bmj.323.7313.625</w:t>
      </w:r>
      <w:proofErr w:type="gramEnd"/>
      <w:r w:rsidRPr="005E4E69">
        <w:rPr>
          <w:rFonts w:ascii="Arial" w:hAnsi="Arial" w:cs="Arial"/>
        </w:rPr>
        <w:t>.</w:t>
      </w:r>
    </w:p>
    <w:p w14:paraId="3F716929"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Reason, J. (1990). Human Error. Cambridge: Cambridge University Press.</w:t>
      </w:r>
    </w:p>
    <w:p w14:paraId="7CDC2BD3"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 xml:space="preserve">Reason, J. (2000). Human error: models and management. British Medical Journal, 320(7237), pp.768–770. </w:t>
      </w:r>
      <w:proofErr w:type="gramStart"/>
      <w:r w:rsidRPr="005E4E69">
        <w:rPr>
          <w:rFonts w:ascii="Arial" w:hAnsi="Arial" w:cs="Arial"/>
        </w:rPr>
        <w:t>doi:https://doi.org/10.1136/bmj.320.7237.768</w:t>
      </w:r>
      <w:proofErr w:type="gramEnd"/>
      <w:r w:rsidRPr="005E4E69">
        <w:rPr>
          <w:rFonts w:ascii="Arial" w:hAnsi="Arial" w:cs="Arial"/>
        </w:rPr>
        <w:t>.</w:t>
      </w:r>
    </w:p>
    <w:p w14:paraId="258A2701"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 xml:space="preserve">Reid, W.M. and Dold, C.J. (2018). Burns, Senge, and the study of leadership. Open Journal of Leadership, 07(01), pp.89–116. </w:t>
      </w:r>
      <w:proofErr w:type="gramStart"/>
      <w:r w:rsidRPr="005E4E69">
        <w:rPr>
          <w:rFonts w:ascii="Arial" w:hAnsi="Arial" w:cs="Arial"/>
        </w:rPr>
        <w:t>doi:https://doi.org/10.4236/ojl.2018.71006</w:t>
      </w:r>
      <w:proofErr w:type="gramEnd"/>
      <w:r w:rsidRPr="005E4E69">
        <w:rPr>
          <w:rFonts w:ascii="Arial" w:hAnsi="Arial" w:cs="Arial"/>
        </w:rPr>
        <w:t>.</w:t>
      </w:r>
    </w:p>
    <w:p w14:paraId="400713D3"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Royal College of Physicians (2017). National Early Warning Score (NEWS) 2: Standardising the assessment of acute-illness severity in the NHS. Available at: https://www.rcp.ac.uk/media/a4ibkkbf/news2-final-report_0_0.pdf.</w:t>
      </w:r>
    </w:p>
    <w:p w14:paraId="1B000005"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Royal Pharmaceutical Society (2020). Professional Standards for Hospital Pharmacy Services. Available at: https://www.rpharms.com/recognition/setting-professional-standards/professional-standards-for-hospital-pharmacy.</w:t>
      </w:r>
    </w:p>
    <w:p w14:paraId="6A9063E9"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Senge, P.M. (1990). The Fifth Discipline. New York: The Crown Publishing Group.</w:t>
      </w:r>
    </w:p>
    <w:p w14:paraId="4055CED1"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 xml:space="preserve">Sheaff, R., Rogers, A., Pickard, S., Marshall, M., Campbell, S., Sibbald, B., Halliwell, S. and Roland, M. (2003). A subtle governance: ‘soft’ medical leadership in English primary care. Sociology of Health &amp; Illness, 25(5), pp.408–428. </w:t>
      </w:r>
      <w:proofErr w:type="gramStart"/>
      <w:r w:rsidRPr="005E4E69">
        <w:rPr>
          <w:rFonts w:ascii="Arial" w:hAnsi="Arial" w:cs="Arial"/>
        </w:rPr>
        <w:t>doi:https://doi.org/10.1111/1467-9566.00352</w:t>
      </w:r>
      <w:proofErr w:type="gramEnd"/>
      <w:r w:rsidRPr="005E4E69">
        <w:rPr>
          <w:rFonts w:ascii="Arial" w:hAnsi="Arial" w:cs="Arial"/>
        </w:rPr>
        <w:t>.</w:t>
      </w:r>
    </w:p>
    <w:p w14:paraId="36EBF45B"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Spillane, J.P. (2006). Distributed Leadership. John Wiley &amp; Sons.</w:t>
      </w:r>
    </w:p>
    <w:p w14:paraId="150A0507"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Storey, J. and Holti, R. (2013). Towards a New Model of Leadership for the NHS. NHS Leadership Academy. Available at: https://www.leadershipacademy.nhs.uk/wp-content/uploads/2013/05/Towards-a-New-Model-of-Leadership-2013.pdf.</w:t>
      </w:r>
    </w:p>
    <w:p w14:paraId="3C6F9956"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 xml:space="preserve">West, M., Eckert, R., Collins, B. and Chowla, R. (2017). Caring to Change: How Compassionate Leadership Can Stimulate Innovation in Health Care. The King’s Fund. Available at: </w:t>
      </w:r>
      <w:r w:rsidRPr="005E4E69">
        <w:rPr>
          <w:rFonts w:ascii="Arial" w:hAnsi="Arial" w:cs="Arial"/>
        </w:rPr>
        <w:lastRenderedPageBreak/>
        <w:t>https://assets.kingsfund.org.uk/f/256914/x/0b76247d02/caring_to_change_2017.pdf.</w:t>
      </w:r>
    </w:p>
    <w:p w14:paraId="205A5023"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West, M., Eckert, R., Steward, K. and Pasmore, B. (2014). Developing Collective Leadership for Health Care. The King’s Fund. Available at: https://assets.kingsfund.org.uk/f/256914/x/9406fe95d0/developing_collective_leadership_2014.pdf.</w:t>
      </w:r>
    </w:p>
    <w:p w14:paraId="43C104AA"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WHO (2010). Monitoring the Building Blocks of Health Systems: A Handbook of Indicators and Their Measurement Strategies. Available at: https://cdn.who.int/media/docs/default-source/service-availability-and-readiness-assessment(sara)/related-links-(sara)/who_mbhss_2010_cover_toc_web.pdf.</w:t>
      </w:r>
    </w:p>
    <w:p w14:paraId="5EDCBF34"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WHO (2021). Global Patient Safety Action Plan 2021–2030. World Health Organization. Available at: https://www.who.int/teams/integrated-health-services/patient-safety/policy/global-patient-safety-action-plan.</w:t>
      </w:r>
    </w:p>
    <w:p w14:paraId="55A018BD"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WHO (2022). Medication Without Harm. World Health Organization. Available at: https://www.who.int/initiatives/medication-without-harm.</w:t>
      </w:r>
    </w:p>
    <w:p w14:paraId="79E1E53F"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WHO (2023). Patient Safety. World Health Organization. Available at: https://www.who.int/news-room/fact-sheets/detail/patient-safety.</w:t>
      </w:r>
    </w:p>
    <w:p w14:paraId="6A2492E0" w14:textId="77777777" w:rsidR="003D0A61" w:rsidRPr="005E4E69" w:rsidRDefault="00E80607">
      <w:pPr>
        <w:pStyle w:val="ListParagraph"/>
        <w:numPr>
          <w:ilvl w:val="0"/>
          <w:numId w:val="2"/>
        </w:numPr>
        <w:spacing w:before="40" w:after="80"/>
        <w:rPr>
          <w:rFonts w:ascii="Arial" w:hAnsi="Arial" w:cs="Arial"/>
        </w:rPr>
      </w:pPr>
      <w:r w:rsidRPr="005E4E69">
        <w:rPr>
          <w:rFonts w:ascii="Arial" w:hAnsi="Arial" w:cs="Arial"/>
        </w:rPr>
        <w:t xml:space="preserve">Yammarino, F.J. (1993). Transforming leadership studies: Bernard Bass’ leadership and performance beyond expectations. The Leadership Quarterly, 4(3–4), pp.379–382. </w:t>
      </w:r>
      <w:proofErr w:type="gramStart"/>
      <w:r w:rsidRPr="005E4E69">
        <w:rPr>
          <w:rFonts w:ascii="Arial" w:hAnsi="Arial" w:cs="Arial"/>
        </w:rPr>
        <w:t>doi:https://doi.org/10.1016/1048-9843(93)90043-s</w:t>
      </w:r>
      <w:proofErr w:type="gramEnd"/>
      <w:r w:rsidRPr="005E4E69">
        <w:rPr>
          <w:rFonts w:ascii="Arial" w:hAnsi="Arial" w:cs="Arial"/>
        </w:rPr>
        <w:t>.</w:t>
      </w:r>
    </w:p>
    <w:sectPr w:rsidR="003D0A61" w:rsidRPr="005E4E69">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6C0092"/>
    <w:multiLevelType w:val="hybridMultilevel"/>
    <w:tmpl w:val="07A6DB78"/>
    <w:lvl w:ilvl="0" w:tplc="272E8954">
      <w:start w:val="1"/>
      <w:numFmt w:val="bullet"/>
      <w:lvlText w:val="•"/>
      <w:lvlJc w:val="left"/>
      <w:pPr>
        <w:ind w:left="720" w:hanging="360"/>
      </w:pPr>
    </w:lvl>
    <w:lvl w:ilvl="1" w:tplc="D468211C">
      <w:numFmt w:val="decimal"/>
      <w:lvlText w:val=""/>
      <w:lvlJc w:val="left"/>
    </w:lvl>
    <w:lvl w:ilvl="2" w:tplc="A88686B0">
      <w:numFmt w:val="decimal"/>
      <w:lvlText w:val=""/>
      <w:lvlJc w:val="left"/>
    </w:lvl>
    <w:lvl w:ilvl="3" w:tplc="B3763FDA">
      <w:numFmt w:val="decimal"/>
      <w:lvlText w:val=""/>
      <w:lvlJc w:val="left"/>
    </w:lvl>
    <w:lvl w:ilvl="4" w:tplc="FA6CB4A6">
      <w:numFmt w:val="decimal"/>
      <w:lvlText w:val=""/>
      <w:lvlJc w:val="left"/>
    </w:lvl>
    <w:lvl w:ilvl="5" w:tplc="C512C3F2">
      <w:numFmt w:val="decimal"/>
      <w:lvlText w:val=""/>
      <w:lvlJc w:val="left"/>
    </w:lvl>
    <w:lvl w:ilvl="6" w:tplc="A5B6B194">
      <w:numFmt w:val="decimal"/>
      <w:lvlText w:val=""/>
      <w:lvlJc w:val="left"/>
    </w:lvl>
    <w:lvl w:ilvl="7" w:tplc="EEFCECCC">
      <w:numFmt w:val="decimal"/>
      <w:lvlText w:val=""/>
      <w:lvlJc w:val="left"/>
    </w:lvl>
    <w:lvl w:ilvl="8" w:tplc="F04883C0">
      <w:numFmt w:val="decimal"/>
      <w:lvlText w:val=""/>
      <w:lvlJc w:val="left"/>
    </w:lvl>
  </w:abstractNum>
  <w:abstractNum w:abstractNumId="1" w15:restartNumberingAfterBreak="0">
    <w:nsid w:val="4DCC42CA"/>
    <w:multiLevelType w:val="hybridMultilevel"/>
    <w:tmpl w:val="C3E26510"/>
    <w:lvl w:ilvl="0" w:tplc="96384974">
      <w:start w:val="1"/>
      <w:numFmt w:val="bullet"/>
      <w:lvlText w:val="●"/>
      <w:lvlJc w:val="left"/>
      <w:pPr>
        <w:ind w:left="720" w:hanging="360"/>
      </w:pPr>
    </w:lvl>
    <w:lvl w:ilvl="1" w:tplc="601683E2">
      <w:start w:val="1"/>
      <w:numFmt w:val="bullet"/>
      <w:lvlText w:val="○"/>
      <w:lvlJc w:val="left"/>
      <w:pPr>
        <w:ind w:left="1440" w:hanging="360"/>
      </w:pPr>
    </w:lvl>
    <w:lvl w:ilvl="2" w:tplc="13AC1050">
      <w:start w:val="1"/>
      <w:numFmt w:val="bullet"/>
      <w:lvlText w:val="■"/>
      <w:lvlJc w:val="left"/>
      <w:pPr>
        <w:ind w:left="2160" w:hanging="360"/>
      </w:pPr>
    </w:lvl>
    <w:lvl w:ilvl="3" w:tplc="2766CE8E">
      <w:start w:val="1"/>
      <w:numFmt w:val="bullet"/>
      <w:lvlText w:val="●"/>
      <w:lvlJc w:val="left"/>
      <w:pPr>
        <w:ind w:left="2880" w:hanging="360"/>
      </w:pPr>
    </w:lvl>
    <w:lvl w:ilvl="4" w:tplc="B3CABEFE">
      <w:start w:val="1"/>
      <w:numFmt w:val="bullet"/>
      <w:lvlText w:val="○"/>
      <w:lvlJc w:val="left"/>
      <w:pPr>
        <w:ind w:left="3600" w:hanging="360"/>
      </w:pPr>
    </w:lvl>
    <w:lvl w:ilvl="5" w:tplc="A53A3A64">
      <w:start w:val="1"/>
      <w:numFmt w:val="bullet"/>
      <w:lvlText w:val="■"/>
      <w:lvlJc w:val="left"/>
      <w:pPr>
        <w:ind w:left="4320" w:hanging="360"/>
      </w:pPr>
    </w:lvl>
    <w:lvl w:ilvl="6" w:tplc="808AC7C4">
      <w:start w:val="1"/>
      <w:numFmt w:val="bullet"/>
      <w:lvlText w:val="●"/>
      <w:lvlJc w:val="left"/>
      <w:pPr>
        <w:ind w:left="5040" w:hanging="360"/>
      </w:pPr>
    </w:lvl>
    <w:lvl w:ilvl="7" w:tplc="4ED6E66A">
      <w:start w:val="1"/>
      <w:numFmt w:val="bullet"/>
      <w:lvlText w:val="●"/>
      <w:lvlJc w:val="left"/>
      <w:pPr>
        <w:ind w:left="5760" w:hanging="360"/>
      </w:pPr>
    </w:lvl>
    <w:lvl w:ilvl="8" w:tplc="047A174E">
      <w:start w:val="1"/>
      <w:numFmt w:val="bullet"/>
      <w:lvlText w:val="●"/>
      <w:lvlJc w:val="left"/>
      <w:pPr>
        <w:ind w:left="6480" w:hanging="360"/>
      </w:pPr>
    </w:lvl>
  </w:abstractNum>
  <w:abstractNum w:abstractNumId="2" w15:restartNumberingAfterBreak="0">
    <w:nsid w:val="5661127C"/>
    <w:multiLevelType w:val="hybridMultilevel"/>
    <w:tmpl w:val="A8926A46"/>
    <w:lvl w:ilvl="0" w:tplc="76BED02A">
      <w:start w:val="1"/>
      <w:numFmt w:val="bullet"/>
      <w:lvlText w:val="-"/>
      <w:lvlJc w:val="left"/>
      <w:pPr>
        <w:ind w:left="360" w:hanging="180"/>
      </w:pPr>
    </w:lvl>
    <w:lvl w:ilvl="1" w:tplc="5BEA7FE8">
      <w:numFmt w:val="decimal"/>
      <w:lvlText w:val=""/>
      <w:lvlJc w:val="left"/>
    </w:lvl>
    <w:lvl w:ilvl="2" w:tplc="6A0A7FBA">
      <w:numFmt w:val="decimal"/>
      <w:lvlText w:val=""/>
      <w:lvlJc w:val="left"/>
    </w:lvl>
    <w:lvl w:ilvl="3" w:tplc="744C1212">
      <w:numFmt w:val="decimal"/>
      <w:lvlText w:val=""/>
      <w:lvlJc w:val="left"/>
    </w:lvl>
    <w:lvl w:ilvl="4" w:tplc="B9209EA8">
      <w:numFmt w:val="decimal"/>
      <w:lvlText w:val=""/>
      <w:lvlJc w:val="left"/>
    </w:lvl>
    <w:lvl w:ilvl="5" w:tplc="1D267EE0">
      <w:numFmt w:val="decimal"/>
      <w:lvlText w:val=""/>
      <w:lvlJc w:val="left"/>
    </w:lvl>
    <w:lvl w:ilvl="6" w:tplc="FC52653E">
      <w:numFmt w:val="decimal"/>
      <w:lvlText w:val=""/>
      <w:lvlJc w:val="left"/>
    </w:lvl>
    <w:lvl w:ilvl="7" w:tplc="52B66F44">
      <w:numFmt w:val="decimal"/>
      <w:lvlText w:val=""/>
      <w:lvlJc w:val="left"/>
    </w:lvl>
    <w:lvl w:ilvl="8" w:tplc="0E22AE34">
      <w:numFmt w:val="decimal"/>
      <w:lvlText w:val=""/>
      <w:lvlJc w:val="left"/>
    </w:lvl>
  </w:abstractNum>
  <w:num w:numId="1" w16cid:durableId="1714232882">
    <w:abstractNumId w:val="1"/>
    <w:lvlOverride w:ilvl="0">
      <w:startOverride w:val="1"/>
    </w:lvlOverride>
  </w:num>
  <w:num w:numId="2" w16cid:durableId="1521043186">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A61"/>
    <w:rsid w:val="000A70E8"/>
    <w:rsid w:val="001C39F8"/>
    <w:rsid w:val="003D0A61"/>
    <w:rsid w:val="005E4E69"/>
    <w:rsid w:val="00957203"/>
    <w:rsid w:val="00A02EA9"/>
    <w:rsid w:val="00BC2C8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91C92"/>
  <w15:docId w15:val="{AF421DD2-D8A4-4128-961F-41D4F0E3E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sz w:val="24"/>
        <w:szCs w:val="24"/>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120"/>
      <w:outlineLvl w:val="0"/>
    </w:pPr>
    <w:rPr>
      <w:b/>
      <w:bCs/>
      <w:sz w:val="28"/>
      <w:szCs w:val="28"/>
    </w:rPr>
  </w:style>
  <w:style w:type="paragraph" w:styleId="Heading2">
    <w:name w:val="heading 2"/>
    <w:uiPriority w:val="9"/>
    <w:unhideWhenUsed/>
    <w:qFormat/>
    <w:pPr>
      <w:spacing w:before="240" w:after="80"/>
      <w:outlineLvl w:val="1"/>
    </w:pPr>
    <w:rPr>
      <w:b/>
      <w:bCs/>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IntenseQuote">
    <w:name w:val="Intense Quote"/>
    <w:basedOn w:val="Normal"/>
    <w:next w:val="Normal"/>
    <w:link w:val="IntenseQuoteChar"/>
    <w:uiPriority w:val="30"/>
    <w:qFormat/>
    <w:rsid w:val="000A70E8"/>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character" w:customStyle="1" w:styleId="IntenseQuoteChar">
    <w:name w:val="Intense Quote Char"/>
    <w:basedOn w:val="DefaultParagraphFont"/>
    <w:link w:val="IntenseQuote"/>
    <w:uiPriority w:val="30"/>
    <w:rsid w:val="000A70E8"/>
    <w:rPr>
      <w:i/>
      <w:iCs/>
      <w:color w:val="156082" w:themeColor="accent1"/>
    </w:rPr>
  </w:style>
  <w:style w:type="paragraph" w:styleId="TOC1">
    <w:name w:val="toc 1"/>
    <w:basedOn w:val="Normal"/>
    <w:next w:val="Normal"/>
    <w:autoRedefine/>
    <w:uiPriority w:val="39"/>
    <w:unhideWhenUsed/>
    <w:rsid w:val="005E4E69"/>
    <w:pPr>
      <w:spacing w:after="100"/>
    </w:pPr>
  </w:style>
  <w:style w:type="paragraph" w:styleId="TOC2">
    <w:name w:val="toc 2"/>
    <w:basedOn w:val="Normal"/>
    <w:next w:val="Normal"/>
    <w:autoRedefine/>
    <w:uiPriority w:val="39"/>
    <w:unhideWhenUsed/>
    <w:rsid w:val="005E4E6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8290</Words>
  <Characters>47257</Characters>
  <Application>Microsoft Office Word</Application>
  <DocSecurity>0</DocSecurity>
  <Lines>393</Lines>
  <Paragraphs>110</Paragraphs>
  <ScaleCrop>false</ScaleCrop>
  <Company/>
  <LinksUpToDate>false</LinksUpToDate>
  <CharactersWithSpaces>55437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Ardra Sudhan</cp:lastModifiedBy>
  <cp:revision>2</cp:revision>
  <dcterms:created xsi:type="dcterms:W3CDTF">2026-04-20T20:31:00Z</dcterms:created>
  <dcterms:modified xsi:type="dcterms:W3CDTF">2026-04-20T20:31:00Z</dcterms:modified>
</cp:coreProperties>
</file>