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4B6CD8" w14:textId="77777777" w:rsidR="00286C72" w:rsidRDefault="00286C72"/>
    <w:p w14:paraId="7667952D" w14:textId="77777777" w:rsidR="00677726" w:rsidRDefault="00677726"/>
    <w:p w14:paraId="7780A51B" w14:textId="245F9123" w:rsidR="00677726" w:rsidRPr="00677726" w:rsidRDefault="00677726" w:rsidP="00677726">
      <w:pPr>
        <w:spacing w:line="360" w:lineRule="auto"/>
        <w:rPr>
          <w:rFonts w:ascii="Calibri" w:hAnsi="Calibri" w:cs="Calibri"/>
        </w:rPr>
      </w:pPr>
    </w:p>
    <w:p w14:paraId="6C12CD7D" w14:textId="14817A92" w:rsidR="00677726" w:rsidRPr="00677726" w:rsidRDefault="00677726" w:rsidP="00677726">
      <w:pPr>
        <w:spacing w:line="360" w:lineRule="auto"/>
        <w:rPr>
          <w:rFonts w:ascii="Calibri" w:hAnsi="Calibri" w:cs="Calibri"/>
        </w:rPr>
      </w:pPr>
      <w:r w:rsidRPr="00677726">
        <w:rPr>
          <w:rFonts w:ascii="Calibri" w:hAnsi="Calibri" w:cs="Calibri"/>
        </w:rPr>
        <w:t>Ellie Bowen (2200584)</w:t>
      </w:r>
    </w:p>
    <w:p w14:paraId="51E14AEA" w14:textId="0EA403CB" w:rsidR="00677726" w:rsidRPr="00677726" w:rsidRDefault="00677726" w:rsidP="00677726">
      <w:pPr>
        <w:spacing w:line="360" w:lineRule="auto"/>
        <w:rPr>
          <w:rFonts w:ascii="Calibri" w:hAnsi="Calibri" w:cs="Calibri"/>
        </w:rPr>
      </w:pPr>
      <w:r w:rsidRPr="00677726">
        <w:rPr>
          <w:rFonts w:ascii="Calibri" w:hAnsi="Calibri" w:cs="Calibri"/>
        </w:rPr>
        <w:t xml:space="preserve">Public Protection and Counter- Terrorism </w:t>
      </w:r>
      <w:r>
        <w:rPr>
          <w:rFonts w:ascii="Calibri" w:hAnsi="Calibri" w:cs="Calibri"/>
        </w:rPr>
        <w:t>(BMPL</w:t>
      </w:r>
      <w:r w:rsidR="007732CB">
        <w:rPr>
          <w:rFonts w:ascii="Calibri" w:hAnsi="Calibri" w:cs="Calibri"/>
        </w:rPr>
        <w:t>6014)</w:t>
      </w:r>
    </w:p>
    <w:p w14:paraId="6AF18209" w14:textId="05564664" w:rsidR="000672CB" w:rsidRDefault="00677726" w:rsidP="00677726">
      <w:pPr>
        <w:spacing w:line="360" w:lineRule="auto"/>
        <w:rPr>
          <w:rFonts w:ascii="Calibri" w:hAnsi="Calibri" w:cs="Calibri"/>
        </w:rPr>
      </w:pPr>
      <w:r w:rsidRPr="00677726">
        <w:rPr>
          <w:rFonts w:ascii="Calibri" w:hAnsi="Calibri" w:cs="Calibri"/>
        </w:rPr>
        <w:t xml:space="preserve">Examine the cycle of abuse and its impact on the victim’s. How can this cycle be broken, and what role does early intervention play? </w:t>
      </w:r>
    </w:p>
    <w:p w14:paraId="6434E435" w14:textId="77777777" w:rsidR="00B42833" w:rsidRPr="00B42833" w:rsidRDefault="00B42833" w:rsidP="00B42833">
      <w:pPr>
        <w:spacing w:line="360" w:lineRule="auto"/>
        <w:rPr>
          <w:rFonts w:ascii="Calibri" w:hAnsi="Calibri" w:cs="Calibri"/>
        </w:rPr>
      </w:pPr>
    </w:p>
    <w:p w14:paraId="5C23AEFA" w14:textId="32A105FD" w:rsidR="00B42833" w:rsidRPr="00B42833" w:rsidRDefault="00B42833" w:rsidP="00B42833">
      <w:pPr>
        <w:spacing w:line="360" w:lineRule="auto"/>
        <w:rPr>
          <w:rFonts w:ascii="Calibri" w:hAnsi="Calibri" w:cs="Calibri"/>
        </w:rPr>
      </w:pPr>
      <w:r w:rsidRPr="00B42833">
        <w:rPr>
          <w:rFonts w:ascii="Calibri" w:hAnsi="Calibri" w:cs="Calibri"/>
        </w:rPr>
        <w:t xml:space="preserve">This essay will examine the cycle of abuse and its impact on victims while suggesting ways to break the cycle and highlighting the critical role of early intervention. The cycle of abuse is a concept that utilises four elements to attempt to explain the abuse, including tension, incident, reconciliation, and calm (Walker, 1977). This cycle illustrates the deceptive routine integrated within abusive relationships, which may entrap the victim and make it challenging for them to leave. The term abuse can be applied in various contexts but primarily refers to a violation or a repeat violation of a person’s human and civil rights by another (Department of Health and Social Care, 2015). However, abuse can be physical, psychological, </w:t>
      </w:r>
      <w:r w:rsidR="00971EAC">
        <w:rPr>
          <w:rFonts w:ascii="Calibri" w:hAnsi="Calibri" w:cs="Calibri"/>
        </w:rPr>
        <w:t xml:space="preserve">emotional </w:t>
      </w:r>
      <w:r w:rsidR="00D2673F">
        <w:rPr>
          <w:rFonts w:ascii="Calibri" w:hAnsi="Calibri" w:cs="Calibri"/>
        </w:rPr>
        <w:t>or financial</w:t>
      </w:r>
      <w:r w:rsidRPr="00B42833">
        <w:rPr>
          <w:rFonts w:ascii="Calibri" w:hAnsi="Calibri" w:cs="Calibri"/>
        </w:rPr>
        <w:t xml:space="preserve">. It is evident that some individuals are more susceptible to becoming victims if they are vulnerable or have experienced specific events. A vulnerable person can be defined as an individual who is less capable of caring for themselves or protecting themselves from exploitation (His Majesty’s Inspectorate of Constabulary and Fire &amp; Rescue Services, 2023). This includes those with physical or mental impairments and children. Identifying vulnerability is essential for deterring and responding to abuse, especially by implementing early intervention strategies. </w:t>
      </w:r>
    </w:p>
    <w:p w14:paraId="5FFC91F9" w14:textId="77777777" w:rsidR="00B42833" w:rsidRPr="00B42833" w:rsidRDefault="00B42833" w:rsidP="00B42833">
      <w:pPr>
        <w:spacing w:line="360" w:lineRule="auto"/>
        <w:rPr>
          <w:rFonts w:ascii="Calibri" w:hAnsi="Calibri" w:cs="Calibri"/>
        </w:rPr>
      </w:pPr>
    </w:p>
    <w:p w14:paraId="7778DF89" w14:textId="77777777" w:rsidR="00B42833" w:rsidRPr="00B42833" w:rsidRDefault="00B42833" w:rsidP="00B42833">
      <w:pPr>
        <w:spacing w:line="360" w:lineRule="auto"/>
        <w:rPr>
          <w:rFonts w:ascii="Calibri" w:hAnsi="Calibri" w:cs="Calibri"/>
        </w:rPr>
      </w:pPr>
      <w:r w:rsidRPr="00B42833">
        <w:rPr>
          <w:rFonts w:ascii="Calibri" w:hAnsi="Calibri" w:cs="Calibri"/>
        </w:rPr>
        <w:t xml:space="preserve">Abuse has a detrimental impact on its victims, especially those who experience abuse repetitively. Those who are victims of abuse generally experience trauma such as mental health issues, sleep deprivation, and addiction (CAHM, 2024). This is a direct result of the emotional, physical, or psychological abuse inflicted by the perpetrator. Additionally, abusive cycles normalise unacceptable behaviour which deceives the victim. This results in abuse being underreported with more than half of the estimated domestic violence incidents remaining unrecorded (Office for National Statistics, 2023). This further affects the ability to identify vulnerability and implement early intervention strategies to break the cycle of abuse. Evidence suggests that those who are repeat victims of abuse are more susceptible to becoming offenders. This can be supported by a study that concluded that there is an 84% correlation between victimisation and offending (Farrell and Zimmerman, 2017). The impact of the cycle of abuse on its victims demonstrates the critical need for a comprehensive support system that addresses the immediate requirements of victims and develops improved strategies that prevent abuse. </w:t>
      </w:r>
    </w:p>
    <w:p w14:paraId="7324820D" w14:textId="77777777" w:rsidR="00B42833" w:rsidRPr="00B42833" w:rsidRDefault="00B42833" w:rsidP="00B42833">
      <w:pPr>
        <w:spacing w:line="360" w:lineRule="auto"/>
        <w:rPr>
          <w:rFonts w:ascii="Calibri" w:hAnsi="Calibri" w:cs="Calibri"/>
        </w:rPr>
      </w:pPr>
    </w:p>
    <w:p w14:paraId="5A9E3384" w14:textId="66F7B20D" w:rsidR="00B42833" w:rsidRPr="00B42833" w:rsidRDefault="00B42833" w:rsidP="00B42833">
      <w:pPr>
        <w:spacing w:line="360" w:lineRule="auto"/>
        <w:rPr>
          <w:rFonts w:ascii="Calibri" w:hAnsi="Calibri" w:cs="Calibri"/>
        </w:rPr>
      </w:pPr>
      <w:r w:rsidRPr="00B42833">
        <w:rPr>
          <w:rFonts w:ascii="Calibri" w:hAnsi="Calibri" w:cs="Calibri"/>
        </w:rPr>
        <w:lastRenderedPageBreak/>
        <w:t xml:space="preserve">The cycle of abuse and its impacts on the victims can be demonstrated through the tragic death of Fiona Pilkington and her daughter Francecca Hardwick. This family were repeat victims of anti-social behaviour and were specifically targeted due to being vulnerable. The tension phase can be demonstrated through the harassment the family endured over time, creating a sense of fearlessness and helplessness. It was recorded that Pilkington and other associates had contacted the police on thirty-two occasions to report the continuous bullying, reflecting the breakdown of community safety and support (Equality and Human Rights Commission, 2011). The police and other agencies would respond to the reports of anti-social behaviour, attempting to temporarily deter the offenders from provoking and intimidating the family. However, this offers the victims a false sense of security. In this case, the calm phase was overshadowed </w:t>
      </w:r>
      <w:r w:rsidR="0080686A">
        <w:rPr>
          <w:rFonts w:ascii="Calibri" w:hAnsi="Calibri" w:cs="Calibri"/>
        </w:rPr>
        <w:t xml:space="preserve">for </w:t>
      </w:r>
      <w:r w:rsidRPr="00B42833">
        <w:rPr>
          <w:rFonts w:ascii="Calibri" w:hAnsi="Calibri" w:cs="Calibri"/>
        </w:rPr>
        <w:t xml:space="preserve">Pilkington as a result of ongoing threats and abuse. This can be attributed to the police’s inability to identify vulnerability and implement effective strategies to better protect these victims. A review of this case made several suggestions on how the police and other authorities could have implemented better-safeguarding strategies that would have broken the cycle of abuse. The Independent Police Complaints Commission (2009) concluded that improved multi-agency collaboration, establishing the criteria of vulnerability, and training are essential for responding to repeat victims of abuse. Moreover, it also highlighted the significance of early intervention and the influence this has on preventing abuse. </w:t>
      </w:r>
    </w:p>
    <w:p w14:paraId="022B4678" w14:textId="77777777" w:rsidR="00B42833" w:rsidRPr="00B42833" w:rsidRDefault="00B42833" w:rsidP="00B42833">
      <w:pPr>
        <w:spacing w:line="360" w:lineRule="auto"/>
        <w:rPr>
          <w:rFonts w:ascii="Calibri" w:hAnsi="Calibri" w:cs="Calibri"/>
        </w:rPr>
      </w:pPr>
      <w:r w:rsidRPr="00B42833">
        <w:rPr>
          <w:rFonts w:ascii="Calibri" w:hAnsi="Calibri" w:cs="Calibri"/>
        </w:rPr>
        <w:t xml:space="preserve"> </w:t>
      </w:r>
    </w:p>
    <w:p w14:paraId="513B1234" w14:textId="5FDA15CA" w:rsidR="00B42833" w:rsidRPr="00B42833" w:rsidRDefault="00B42833" w:rsidP="00B42833">
      <w:pPr>
        <w:spacing w:line="360" w:lineRule="auto"/>
        <w:rPr>
          <w:rFonts w:ascii="Calibri" w:hAnsi="Calibri" w:cs="Calibri"/>
        </w:rPr>
      </w:pPr>
      <w:r w:rsidRPr="00B42833">
        <w:rPr>
          <w:rFonts w:ascii="Calibri" w:hAnsi="Calibri" w:cs="Calibri"/>
        </w:rPr>
        <w:t xml:space="preserve">Early intervention in abuse cases is crucial because it can significantly reduce the immediate and long-term effects of abuse, while also helping to break the cycle. Police services will apply the THRIVE module to their investigation process to identify vulnerability and protect victims from further harm or exploitation (College of Policing, 2021). The module consists of six elements including threat, harm, risk, investigation, vulnerability, and engagement. Through applying this </w:t>
      </w:r>
      <w:proofErr w:type="gramStart"/>
      <w:r w:rsidRPr="00B42833">
        <w:rPr>
          <w:rFonts w:ascii="Calibri" w:hAnsi="Calibri" w:cs="Calibri"/>
        </w:rPr>
        <w:t>initiative</w:t>
      </w:r>
      <w:proofErr w:type="gramEnd"/>
      <w:r w:rsidRPr="00B42833">
        <w:rPr>
          <w:rFonts w:ascii="Calibri" w:hAnsi="Calibri" w:cs="Calibri"/>
        </w:rPr>
        <w:t xml:space="preserve"> the police will identify vulnerability, acknowledge </w:t>
      </w:r>
      <w:r w:rsidR="008D0622">
        <w:rPr>
          <w:rFonts w:ascii="Calibri" w:hAnsi="Calibri" w:cs="Calibri"/>
        </w:rPr>
        <w:t xml:space="preserve">its </w:t>
      </w:r>
      <w:r w:rsidRPr="00B42833">
        <w:rPr>
          <w:rFonts w:ascii="Calibri" w:hAnsi="Calibri" w:cs="Calibri"/>
        </w:rPr>
        <w:t>impact, risk assess, and respond appropriately. Identifying signs of abuse prematurely will enable authorities and support services to protect the victim before it develops into a routine. This is an essential aspect of policing child abuse, as adverse childhood experiences result in poor mental health, educational difficulties, and violence (Powell and Gheera, 2021). Addressing abuse early will ensure that the cycle of abuse is disrupted and will reduce the impact on the victim. Victims will be provided with the recourses that they require such as counselling, safe housing, or legal support to ensure that they maintain a routine that breaks the cycle of abuse</w:t>
      </w:r>
      <w:r w:rsidR="00636E3F">
        <w:rPr>
          <w:rFonts w:ascii="Calibri" w:hAnsi="Calibri" w:cs="Calibri"/>
        </w:rPr>
        <w:t xml:space="preserve"> </w:t>
      </w:r>
      <w:r w:rsidR="00923AA0">
        <w:rPr>
          <w:rFonts w:ascii="Calibri" w:hAnsi="Calibri" w:cs="Calibri"/>
        </w:rPr>
        <w:t xml:space="preserve">(Home Office, 2022). </w:t>
      </w:r>
      <w:r w:rsidRPr="00B42833">
        <w:rPr>
          <w:rFonts w:ascii="Calibri" w:hAnsi="Calibri" w:cs="Calibri"/>
        </w:rPr>
        <w:t>Although early intervention may be successful in some cases, it does not always break the cycle. Those who are victims of abuse generally form an attachment to their abuser and continue</w:t>
      </w:r>
      <w:r w:rsidR="00A11986">
        <w:rPr>
          <w:rFonts w:ascii="Calibri" w:hAnsi="Calibri" w:cs="Calibri"/>
        </w:rPr>
        <w:t xml:space="preserve"> </w:t>
      </w:r>
      <w:r w:rsidRPr="00B42833">
        <w:rPr>
          <w:rFonts w:ascii="Calibri" w:hAnsi="Calibri" w:cs="Calibri"/>
        </w:rPr>
        <w:t xml:space="preserve">the cycle or will discover a new abusive relationship (Condino et al., 2020). Alongside early intervention, it is important to utilise strategies that will continue to support victims of abuse. </w:t>
      </w:r>
    </w:p>
    <w:p w14:paraId="62363FF7" w14:textId="77777777" w:rsidR="00B42833" w:rsidRPr="00B42833" w:rsidRDefault="00B42833" w:rsidP="00B42833">
      <w:pPr>
        <w:spacing w:line="360" w:lineRule="auto"/>
        <w:rPr>
          <w:rFonts w:ascii="Calibri" w:hAnsi="Calibri" w:cs="Calibri"/>
        </w:rPr>
      </w:pPr>
    </w:p>
    <w:p w14:paraId="5640C6DD" w14:textId="2A53E073" w:rsidR="00B42833" w:rsidRPr="00B42833" w:rsidRDefault="00B42833" w:rsidP="00B42833">
      <w:pPr>
        <w:spacing w:line="360" w:lineRule="auto"/>
        <w:rPr>
          <w:rFonts w:ascii="Calibri" w:hAnsi="Calibri" w:cs="Calibri"/>
        </w:rPr>
      </w:pPr>
      <w:r w:rsidRPr="00B42833">
        <w:rPr>
          <w:rFonts w:ascii="Calibri" w:hAnsi="Calibri" w:cs="Calibri"/>
        </w:rPr>
        <w:lastRenderedPageBreak/>
        <w:t>Tragedies such as the Fiona Pilkington case and other abusive relationships have provided public services with the knowledge to enhance their intervention and deterrence strategies. This includes the implementation of the Victim Code, which outlines the victim’s rights and the standard that organisations must operate to safeguard them (Ministry of Justice, 2024). The criminal justice</w:t>
      </w:r>
      <w:r w:rsidR="00226B10">
        <w:rPr>
          <w:rFonts w:ascii="Calibri" w:hAnsi="Calibri" w:cs="Calibri"/>
        </w:rPr>
        <w:t xml:space="preserve"> system</w:t>
      </w:r>
      <w:r w:rsidRPr="00B42833">
        <w:rPr>
          <w:rFonts w:ascii="Calibri" w:hAnsi="Calibri" w:cs="Calibri"/>
        </w:rPr>
        <w:t xml:space="preserve"> ensures that victims are supported through providing support systems, respectful treatment, and protecting vulnerable individuals from further harm. </w:t>
      </w:r>
      <w:r w:rsidR="007F1162">
        <w:rPr>
          <w:rFonts w:ascii="Calibri" w:hAnsi="Calibri" w:cs="Calibri"/>
        </w:rPr>
        <w:t>T</w:t>
      </w:r>
      <w:r w:rsidRPr="00B42833">
        <w:rPr>
          <w:rFonts w:ascii="Calibri" w:hAnsi="Calibri" w:cs="Calibri"/>
        </w:rPr>
        <w:t>his strategy has been a crucial aspect of responding to abuse and preventing further victimisation. Since the implementation of this strategy, there have been several amendments made to improve its effectiveness. This includes the changes made to how police service must operate, such as utilising their discretion, providing evidence that supports their decision, and having a dedicated officer for each victim (College of Policing, 2021). Despite the implementation of the Victim Code, there are limitations associated with this strategy. Baird (2022) acknowledges that those who are from minority communities, including people with disabilities are more likely to be abused but fewer support systems are available to them. It is essential that those who are most vulnerable are prioritised within our criminal justice system and improvements must be made to ensure this. The Ministry of Justice addressed these issues, proposing that amendments should be made to the Victim Code regarding repeat victim</w:t>
      </w:r>
      <w:r w:rsidR="00EC46E7">
        <w:rPr>
          <w:rFonts w:ascii="Calibri" w:hAnsi="Calibri" w:cs="Calibri"/>
        </w:rPr>
        <w:t xml:space="preserve">isation </w:t>
      </w:r>
      <w:r w:rsidRPr="00B42833">
        <w:rPr>
          <w:rFonts w:ascii="Calibri" w:hAnsi="Calibri" w:cs="Calibri"/>
        </w:rPr>
        <w:t xml:space="preserve">and those most vulnerable (Law Commission, 2012). Through implementing effective strategies that protect individuals from further victimisation and providing them with enhanced entitlements will enable the cycle of abuse to be broken. </w:t>
      </w:r>
    </w:p>
    <w:p w14:paraId="0E19E7DA" w14:textId="77777777" w:rsidR="00B42833" w:rsidRPr="00B42833" w:rsidRDefault="00B42833" w:rsidP="00B42833">
      <w:pPr>
        <w:spacing w:line="360" w:lineRule="auto"/>
        <w:rPr>
          <w:rFonts w:ascii="Calibri" w:hAnsi="Calibri" w:cs="Calibri"/>
        </w:rPr>
      </w:pPr>
    </w:p>
    <w:p w14:paraId="12E04853" w14:textId="77777777" w:rsidR="00B42833" w:rsidRPr="00B42833" w:rsidRDefault="00B42833" w:rsidP="00B42833">
      <w:pPr>
        <w:spacing w:line="360" w:lineRule="auto"/>
        <w:rPr>
          <w:rFonts w:ascii="Calibri" w:hAnsi="Calibri" w:cs="Calibri"/>
        </w:rPr>
      </w:pPr>
      <w:r w:rsidRPr="00B42833">
        <w:rPr>
          <w:rFonts w:ascii="Calibri" w:hAnsi="Calibri" w:cs="Calibri"/>
        </w:rPr>
        <w:t xml:space="preserve">The National Vulnerability Action Plan was introduced to identify vulnerability and protect individuals through seven key principles (Vulnerability Knowledge &amp; Practice Programme, 2023). This strategy emphasises the importance of early intervention and prevention through subtle methods such as community outreach initiatives and dispersing recourses to increase public knowledge of abuse. Implementing strategies like this will educate the victim, potentially influencing the cycle of abuse. Therefore, emphasising the importance of early intervention strategies. It is also being used to respond to emerging methods of abuse, such as cyber-crime, and is heavily focused on protecting vulnerable individuals (Police Professional, 2017). This demonstrates the versatility of this strategy and its impact on deterring crime. In addition to this, this initiative proposes that utilising information and intelligence will enhance multi-agency collaboration which will effectively help identify and deter abuse. </w:t>
      </w:r>
    </w:p>
    <w:p w14:paraId="41435F7C" w14:textId="77777777" w:rsidR="00B42833" w:rsidRPr="00B42833" w:rsidRDefault="00B42833" w:rsidP="00B42833">
      <w:pPr>
        <w:spacing w:line="360" w:lineRule="auto"/>
        <w:rPr>
          <w:rFonts w:ascii="Calibri" w:hAnsi="Calibri" w:cs="Calibri"/>
        </w:rPr>
      </w:pPr>
    </w:p>
    <w:p w14:paraId="50B2EEE3" w14:textId="7F46B53D" w:rsidR="00B42833" w:rsidRPr="00B42833" w:rsidRDefault="00B42833" w:rsidP="00B42833">
      <w:pPr>
        <w:spacing w:line="360" w:lineRule="auto"/>
        <w:rPr>
          <w:rFonts w:ascii="Calibri" w:hAnsi="Calibri" w:cs="Calibri"/>
        </w:rPr>
      </w:pPr>
      <w:r w:rsidRPr="00B42833">
        <w:rPr>
          <w:rFonts w:ascii="Calibri" w:hAnsi="Calibri" w:cs="Calibri"/>
        </w:rPr>
        <w:t xml:space="preserve">Another method that has been implemented to recognise abuse and break its cycle is multi-agency collaboration. Multi-agency </w:t>
      </w:r>
      <w:r w:rsidR="00753888">
        <w:rPr>
          <w:rFonts w:ascii="Calibri" w:hAnsi="Calibri" w:cs="Calibri"/>
        </w:rPr>
        <w:t xml:space="preserve">work </w:t>
      </w:r>
      <w:r w:rsidRPr="00B42833">
        <w:rPr>
          <w:rFonts w:ascii="Calibri" w:hAnsi="Calibri" w:cs="Calibri"/>
        </w:rPr>
        <w:t xml:space="preserve">is an essential element of identifying abuse early and safeguarding victims. They will do this through risk assessments, information sharing, collaborative decision-making, and employing coordinated strategies that will evaluate, control, and reduce risk (College of Policing, 2018).  A collaborative approach ensures that agencies can combine their knowledge and expertise to identify </w:t>
      </w:r>
      <w:r w:rsidRPr="00B42833">
        <w:rPr>
          <w:rFonts w:ascii="Calibri" w:hAnsi="Calibri" w:cs="Calibri"/>
        </w:rPr>
        <w:lastRenderedPageBreak/>
        <w:t xml:space="preserve">vulnerability and break the cycle of abuse. The multi-agency public protection arrangement (MAPPA) was introduced to inform the criminal justice system and other agencies on how to protect victims of crime by addressing violent offenders (His Majesty’s Prison and Probation Service, 2024).  This strategy is designed to be adaptable to individual needs, ensuring that victims receive an effective response.  It has become evident that multi-agency working has become a preferred method in investigating abuse cases. This can be demonstrated through the research of Davies (2021) which acknowledges the success of a collaborative approach in responding to domestic abuse. Moreover, multi-agency work reflects the challenging aspects of responding to abuse but also highlights its effectiveness. </w:t>
      </w:r>
    </w:p>
    <w:p w14:paraId="7B83684E" w14:textId="77777777" w:rsidR="00B42833" w:rsidRPr="00B42833" w:rsidRDefault="00B42833" w:rsidP="00B42833">
      <w:pPr>
        <w:spacing w:line="360" w:lineRule="auto"/>
        <w:rPr>
          <w:rFonts w:ascii="Calibri" w:hAnsi="Calibri" w:cs="Calibri"/>
        </w:rPr>
      </w:pPr>
    </w:p>
    <w:p w14:paraId="7B458379" w14:textId="74ED3FDF" w:rsidR="00B42833" w:rsidRPr="00B42833" w:rsidRDefault="00B42833" w:rsidP="00B42833">
      <w:pPr>
        <w:spacing w:line="360" w:lineRule="auto"/>
        <w:rPr>
          <w:rFonts w:ascii="Calibri" w:hAnsi="Calibri" w:cs="Calibri"/>
        </w:rPr>
      </w:pPr>
      <w:r w:rsidRPr="00B42833">
        <w:rPr>
          <w:rFonts w:ascii="Calibri" w:hAnsi="Calibri" w:cs="Calibri"/>
        </w:rPr>
        <w:t>In addition to this, public services have utilised theories to inform their practices regarding vulnerability and victimisation. A theory that attempts to explain victimisation is the routine activity theory. This theory was introduced by Cohen and Felson (1979) to explain crime from the offender's perspective and the elements that make a suitable target. Unlike other theories that focus on crime, this theory does not illustrate an offender but suggests that certain factors must be present to offend. This theory suggests that the absence of a capable guardian and a suitable target will increase offending (And</w:t>
      </w:r>
      <w:r w:rsidR="005E25E3">
        <w:rPr>
          <w:rFonts w:ascii="Calibri" w:hAnsi="Calibri" w:cs="Calibri"/>
        </w:rPr>
        <w:t>re</w:t>
      </w:r>
      <w:r w:rsidRPr="00B42833">
        <w:rPr>
          <w:rFonts w:ascii="Calibri" w:hAnsi="Calibri" w:cs="Calibri"/>
        </w:rPr>
        <w:t xml:space="preserve">sen and Ha, 2017).  The theory can be applied to abuse, as victims are often vulnerable and serve as a suitable target for perpetrators. This can be demonstrated through the death of Pilkington and her daughter, </w:t>
      </w:r>
      <w:r w:rsidR="004B1F13">
        <w:rPr>
          <w:rFonts w:ascii="Calibri" w:hAnsi="Calibri" w:cs="Calibri"/>
        </w:rPr>
        <w:t>both</w:t>
      </w:r>
      <w:r w:rsidRPr="00B42833">
        <w:rPr>
          <w:rFonts w:ascii="Calibri" w:hAnsi="Calibri" w:cs="Calibri"/>
        </w:rPr>
        <w:t xml:space="preserve"> were vulnerable, the perpetrators were motivated offenders and there was a critical absence of capable guardians including police response and community support. Schreck and Fisher (2004) suggest that those who maintain healthy relationships and have support systems are less likely to become victims of crime. Therefore, emphasising the requirement for improved intervention strategies and support systems to break the cycle of abuse. </w:t>
      </w:r>
    </w:p>
    <w:p w14:paraId="34D1C500" w14:textId="77777777" w:rsidR="00B42833" w:rsidRPr="00B42833" w:rsidRDefault="00B42833" w:rsidP="00B42833">
      <w:pPr>
        <w:spacing w:line="360" w:lineRule="auto"/>
        <w:rPr>
          <w:rFonts w:ascii="Calibri" w:hAnsi="Calibri" w:cs="Calibri"/>
        </w:rPr>
      </w:pPr>
    </w:p>
    <w:p w14:paraId="7E1109E6" w14:textId="5A5856F8" w:rsidR="00677726" w:rsidRDefault="00B42833" w:rsidP="00B42833">
      <w:pPr>
        <w:spacing w:line="360" w:lineRule="auto"/>
        <w:rPr>
          <w:rFonts w:ascii="Calibri" w:hAnsi="Calibri" w:cs="Calibri"/>
        </w:rPr>
      </w:pPr>
      <w:r w:rsidRPr="00B42833">
        <w:rPr>
          <w:rFonts w:ascii="Calibri" w:hAnsi="Calibri" w:cs="Calibri"/>
        </w:rPr>
        <w:t>The cycle of abuse is a damaging pattern that affects victims, often resulting in long-term trauma. The effect of abusive cycles demonstrates the importance of early intervention, by identifying abuse before it develops into a routine and providing victims with the support that they require. While strategies like the Victim Code, the National Vulnerability Action Plan, and multi-agency collaboration have improved the response to abuse</w:t>
      </w:r>
      <w:r w:rsidR="00BE6747">
        <w:rPr>
          <w:rFonts w:ascii="Calibri" w:hAnsi="Calibri" w:cs="Calibri"/>
        </w:rPr>
        <w:t xml:space="preserve"> t</w:t>
      </w:r>
      <w:r w:rsidRPr="00B42833">
        <w:rPr>
          <w:rFonts w:ascii="Calibri" w:hAnsi="Calibri" w:cs="Calibri"/>
        </w:rPr>
        <w:t xml:space="preserve">he criminal justice system and other relevant agencies must continue to review the current strategies implemented. This will ensure that marginalised and vulnerable individuals will receive an exemplary response. In addition to this, the police must use previous examples of abuse to inform their practices. The death of Fiona Pilkington and her daughter emphasised the importance of early intervention strategies and ensuring that victims and vulnerable individuals are supported efficiently. Moreover, existing strategies and theories that inform practices are crucial aspects for breaking the cycle of abuse and should be utilised. To ensure that the cycle of abuse remains disrupted, stronger support systems, community </w:t>
      </w:r>
      <w:r w:rsidRPr="00B42833">
        <w:rPr>
          <w:rFonts w:ascii="Calibri" w:hAnsi="Calibri" w:cs="Calibri"/>
        </w:rPr>
        <w:lastRenderedPageBreak/>
        <w:t xml:space="preserve">involvement, and systematic change are required. Through implementing a comprehensive approach, the cycle of abuse can be effectively broken and victims are given the opportunity to rehabilitate.    </w:t>
      </w:r>
    </w:p>
    <w:p w14:paraId="4B50AF34" w14:textId="77777777" w:rsidR="00B42833" w:rsidRDefault="00B42833" w:rsidP="00B42833">
      <w:pPr>
        <w:spacing w:line="360" w:lineRule="auto"/>
        <w:rPr>
          <w:rFonts w:ascii="Calibri" w:hAnsi="Calibri" w:cs="Calibri"/>
        </w:rPr>
      </w:pPr>
    </w:p>
    <w:p w14:paraId="1AEE510E" w14:textId="77777777" w:rsidR="00C655AD" w:rsidRDefault="00C655AD" w:rsidP="00677726">
      <w:pPr>
        <w:spacing w:line="360" w:lineRule="auto"/>
        <w:rPr>
          <w:rFonts w:ascii="Calibri" w:hAnsi="Calibri" w:cs="Calibri"/>
        </w:rPr>
      </w:pPr>
    </w:p>
    <w:p w14:paraId="2B91EE7F" w14:textId="77777777" w:rsidR="00C655AD" w:rsidRDefault="00C655AD" w:rsidP="00677726">
      <w:pPr>
        <w:spacing w:line="360" w:lineRule="auto"/>
        <w:rPr>
          <w:rFonts w:ascii="Calibri" w:hAnsi="Calibri" w:cs="Calibri"/>
        </w:rPr>
      </w:pPr>
    </w:p>
    <w:p w14:paraId="35AAA12A" w14:textId="77777777" w:rsidR="00C655AD" w:rsidRDefault="00C655AD" w:rsidP="00677726">
      <w:pPr>
        <w:spacing w:line="360" w:lineRule="auto"/>
        <w:rPr>
          <w:rFonts w:ascii="Calibri" w:hAnsi="Calibri" w:cs="Calibri"/>
        </w:rPr>
      </w:pPr>
    </w:p>
    <w:p w14:paraId="03A8E723" w14:textId="77777777" w:rsidR="00C655AD" w:rsidRDefault="00C655AD" w:rsidP="00677726">
      <w:pPr>
        <w:spacing w:line="360" w:lineRule="auto"/>
        <w:rPr>
          <w:rFonts w:ascii="Calibri" w:hAnsi="Calibri" w:cs="Calibri"/>
        </w:rPr>
      </w:pPr>
    </w:p>
    <w:p w14:paraId="0590B3C5" w14:textId="77777777" w:rsidR="00C655AD" w:rsidRDefault="00C655AD" w:rsidP="00677726">
      <w:pPr>
        <w:spacing w:line="360" w:lineRule="auto"/>
        <w:rPr>
          <w:rFonts w:ascii="Calibri" w:hAnsi="Calibri" w:cs="Calibri"/>
        </w:rPr>
      </w:pPr>
    </w:p>
    <w:p w14:paraId="7DFACA86" w14:textId="77777777" w:rsidR="00C655AD" w:rsidRDefault="00C655AD" w:rsidP="00677726">
      <w:pPr>
        <w:spacing w:line="360" w:lineRule="auto"/>
        <w:rPr>
          <w:rFonts w:ascii="Calibri" w:hAnsi="Calibri" w:cs="Calibri"/>
        </w:rPr>
      </w:pPr>
    </w:p>
    <w:p w14:paraId="26DF2625" w14:textId="77777777" w:rsidR="00C655AD" w:rsidRDefault="00C655AD" w:rsidP="00677726">
      <w:pPr>
        <w:spacing w:line="360" w:lineRule="auto"/>
        <w:rPr>
          <w:rFonts w:ascii="Calibri" w:hAnsi="Calibri" w:cs="Calibri"/>
        </w:rPr>
      </w:pPr>
    </w:p>
    <w:p w14:paraId="480499FA" w14:textId="77777777" w:rsidR="00C655AD" w:rsidRDefault="00C655AD" w:rsidP="00677726">
      <w:pPr>
        <w:spacing w:line="360" w:lineRule="auto"/>
        <w:rPr>
          <w:rFonts w:ascii="Calibri" w:hAnsi="Calibri" w:cs="Calibri"/>
        </w:rPr>
      </w:pPr>
    </w:p>
    <w:p w14:paraId="0D1D67B7" w14:textId="77777777" w:rsidR="00C655AD" w:rsidRDefault="00C655AD" w:rsidP="00677726">
      <w:pPr>
        <w:spacing w:line="360" w:lineRule="auto"/>
        <w:rPr>
          <w:rFonts w:ascii="Calibri" w:hAnsi="Calibri" w:cs="Calibri"/>
        </w:rPr>
      </w:pPr>
    </w:p>
    <w:p w14:paraId="47E16647" w14:textId="77777777" w:rsidR="00C655AD" w:rsidRDefault="00C655AD" w:rsidP="00677726">
      <w:pPr>
        <w:spacing w:line="360" w:lineRule="auto"/>
        <w:rPr>
          <w:rFonts w:ascii="Calibri" w:hAnsi="Calibri" w:cs="Calibri"/>
        </w:rPr>
      </w:pPr>
    </w:p>
    <w:p w14:paraId="63710147" w14:textId="77777777" w:rsidR="00C655AD" w:rsidRDefault="00C655AD" w:rsidP="00677726">
      <w:pPr>
        <w:spacing w:line="360" w:lineRule="auto"/>
        <w:rPr>
          <w:rFonts w:ascii="Calibri" w:hAnsi="Calibri" w:cs="Calibri"/>
        </w:rPr>
      </w:pPr>
    </w:p>
    <w:p w14:paraId="32A368A4" w14:textId="77777777" w:rsidR="00C655AD" w:rsidRDefault="00C655AD" w:rsidP="00677726">
      <w:pPr>
        <w:spacing w:line="360" w:lineRule="auto"/>
        <w:rPr>
          <w:rFonts w:ascii="Calibri" w:hAnsi="Calibri" w:cs="Calibri"/>
        </w:rPr>
      </w:pPr>
    </w:p>
    <w:p w14:paraId="03123165" w14:textId="77777777" w:rsidR="00C655AD" w:rsidRDefault="00C655AD" w:rsidP="00677726">
      <w:pPr>
        <w:spacing w:line="360" w:lineRule="auto"/>
        <w:rPr>
          <w:rFonts w:ascii="Calibri" w:hAnsi="Calibri" w:cs="Calibri"/>
        </w:rPr>
      </w:pPr>
    </w:p>
    <w:p w14:paraId="7C35BC9F" w14:textId="77777777" w:rsidR="00C655AD" w:rsidRDefault="00C655AD" w:rsidP="00677726">
      <w:pPr>
        <w:spacing w:line="360" w:lineRule="auto"/>
        <w:rPr>
          <w:rFonts w:ascii="Calibri" w:hAnsi="Calibri" w:cs="Calibri"/>
        </w:rPr>
      </w:pPr>
    </w:p>
    <w:p w14:paraId="621DF84A" w14:textId="77777777" w:rsidR="00C655AD" w:rsidRDefault="00C655AD" w:rsidP="00677726">
      <w:pPr>
        <w:spacing w:line="360" w:lineRule="auto"/>
        <w:rPr>
          <w:rFonts w:ascii="Calibri" w:hAnsi="Calibri" w:cs="Calibri"/>
        </w:rPr>
      </w:pPr>
    </w:p>
    <w:p w14:paraId="35872B6F" w14:textId="77777777" w:rsidR="00C655AD" w:rsidRDefault="00C655AD" w:rsidP="00677726">
      <w:pPr>
        <w:spacing w:line="360" w:lineRule="auto"/>
        <w:rPr>
          <w:rFonts w:ascii="Calibri" w:hAnsi="Calibri" w:cs="Calibri"/>
        </w:rPr>
      </w:pPr>
    </w:p>
    <w:p w14:paraId="3D5B7D0F" w14:textId="77777777" w:rsidR="00C655AD" w:rsidRDefault="00C655AD" w:rsidP="00677726">
      <w:pPr>
        <w:spacing w:line="360" w:lineRule="auto"/>
        <w:rPr>
          <w:rFonts w:ascii="Calibri" w:hAnsi="Calibri" w:cs="Calibri"/>
        </w:rPr>
      </w:pPr>
    </w:p>
    <w:p w14:paraId="264E9ABE" w14:textId="77777777" w:rsidR="00C655AD" w:rsidRDefault="00C655AD" w:rsidP="00677726">
      <w:pPr>
        <w:spacing w:line="360" w:lineRule="auto"/>
        <w:rPr>
          <w:rFonts w:ascii="Calibri" w:hAnsi="Calibri" w:cs="Calibri"/>
        </w:rPr>
      </w:pPr>
    </w:p>
    <w:p w14:paraId="1778E100" w14:textId="77777777" w:rsidR="00C655AD" w:rsidRDefault="00C655AD" w:rsidP="00677726">
      <w:pPr>
        <w:spacing w:line="360" w:lineRule="auto"/>
        <w:rPr>
          <w:rFonts w:ascii="Calibri" w:hAnsi="Calibri" w:cs="Calibri"/>
        </w:rPr>
      </w:pPr>
    </w:p>
    <w:p w14:paraId="604D5C36" w14:textId="77777777" w:rsidR="00C655AD" w:rsidRDefault="00C655AD" w:rsidP="00677726">
      <w:pPr>
        <w:spacing w:line="360" w:lineRule="auto"/>
        <w:rPr>
          <w:rFonts w:ascii="Calibri" w:hAnsi="Calibri" w:cs="Calibri"/>
        </w:rPr>
      </w:pPr>
    </w:p>
    <w:p w14:paraId="6AEFA5C3" w14:textId="77777777" w:rsidR="00C655AD" w:rsidRDefault="00C655AD" w:rsidP="00677726">
      <w:pPr>
        <w:spacing w:line="360" w:lineRule="auto"/>
        <w:rPr>
          <w:rFonts w:ascii="Calibri" w:hAnsi="Calibri" w:cs="Calibri"/>
        </w:rPr>
      </w:pPr>
    </w:p>
    <w:p w14:paraId="36DE32E8" w14:textId="77777777" w:rsidR="00C655AD" w:rsidRDefault="00C655AD" w:rsidP="00677726">
      <w:pPr>
        <w:spacing w:line="360" w:lineRule="auto"/>
        <w:rPr>
          <w:rFonts w:ascii="Calibri" w:hAnsi="Calibri" w:cs="Calibri"/>
        </w:rPr>
      </w:pPr>
    </w:p>
    <w:p w14:paraId="24FA9954" w14:textId="30CE6DA3" w:rsidR="00E82B16" w:rsidRDefault="00E82B16" w:rsidP="00677726">
      <w:pPr>
        <w:spacing w:line="360" w:lineRule="auto"/>
        <w:rPr>
          <w:rFonts w:ascii="Calibri" w:hAnsi="Calibri" w:cs="Calibri"/>
        </w:rPr>
      </w:pPr>
    </w:p>
    <w:p w14:paraId="5F5805E8" w14:textId="77777777" w:rsidR="00C655AD" w:rsidRDefault="00C655AD" w:rsidP="00677726">
      <w:pPr>
        <w:spacing w:line="360" w:lineRule="auto"/>
        <w:rPr>
          <w:rFonts w:ascii="Calibri" w:hAnsi="Calibri" w:cs="Calibri"/>
        </w:rPr>
      </w:pPr>
    </w:p>
    <w:p w14:paraId="4EE77C88" w14:textId="77777777" w:rsidR="00C655AD" w:rsidRDefault="00C655AD" w:rsidP="00677726">
      <w:pPr>
        <w:spacing w:line="360" w:lineRule="auto"/>
        <w:rPr>
          <w:rFonts w:ascii="Calibri" w:hAnsi="Calibri" w:cs="Calibri"/>
        </w:rPr>
      </w:pPr>
    </w:p>
    <w:p w14:paraId="21A152C9" w14:textId="77777777" w:rsidR="00C655AD" w:rsidRDefault="00C655AD" w:rsidP="00677726">
      <w:pPr>
        <w:spacing w:line="360" w:lineRule="auto"/>
        <w:rPr>
          <w:rFonts w:ascii="Calibri" w:hAnsi="Calibri" w:cs="Calibri"/>
        </w:rPr>
      </w:pPr>
    </w:p>
    <w:p w14:paraId="44F1B9A4" w14:textId="77777777" w:rsidR="00C655AD" w:rsidRDefault="00C655AD" w:rsidP="00677726">
      <w:pPr>
        <w:spacing w:line="360" w:lineRule="auto"/>
        <w:rPr>
          <w:rFonts w:ascii="Calibri" w:hAnsi="Calibri" w:cs="Calibri"/>
        </w:rPr>
      </w:pPr>
    </w:p>
    <w:p w14:paraId="086BB381" w14:textId="77777777" w:rsidR="00C655AD" w:rsidRDefault="00C655AD" w:rsidP="00677726">
      <w:pPr>
        <w:spacing w:line="360" w:lineRule="auto"/>
        <w:rPr>
          <w:rFonts w:ascii="Calibri" w:hAnsi="Calibri" w:cs="Calibri"/>
        </w:rPr>
      </w:pPr>
    </w:p>
    <w:p w14:paraId="26D2170F" w14:textId="77777777" w:rsidR="00C655AD" w:rsidRDefault="00C655AD" w:rsidP="00677726">
      <w:pPr>
        <w:spacing w:line="360" w:lineRule="auto"/>
        <w:rPr>
          <w:rFonts w:ascii="Calibri" w:hAnsi="Calibri" w:cs="Calibri"/>
        </w:rPr>
      </w:pPr>
    </w:p>
    <w:p w14:paraId="64CB60F4" w14:textId="77777777" w:rsidR="00C655AD" w:rsidRDefault="00C655AD" w:rsidP="00677726">
      <w:pPr>
        <w:spacing w:line="360" w:lineRule="auto"/>
        <w:rPr>
          <w:rFonts w:ascii="Calibri" w:hAnsi="Calibri" w:cs="Calibri"/>
        </w:rPr>
      </w:pPr>
    </w:p>
    <w:p w14:paraId="69536DEB" w14:textId="77777777" w:rsidR="00C655AD" w:rsidRDefault="00C655AD" w:rsidP="00677726">
      <w:pPr>
        <w:spacing w:line="360" w:lineRule="auto"/>
        <w:rPr>
          <w:rFonts w:ascii="Calibri" w:hAnsi="Calibri" w:cs="Calibri"/>
        </w:rPr>
      </w:pPr>
    </w:p>
    <w:p w14:paraId="40ACC52F" w14:textId="77777777" w:rsidR="00C655AD" w:rsidRDefault="00C655AD" w:rsidP="00677726">
      <w:pPr>
        <w:spacing w:line="360" w:lineRule="auto"/>
        <w:rPr>
          <w:rFonts w:ascii="Calibri" w:hAnsi="Calibri" w:cs="Calibri"/>
        </w:rPr>
      </w:pPr>
    </w:p>
    <w:p w14:paraId="3F157CBB" w14:textId="77777777" w:rsidR="00C655AD" w:rsidRDefault="00C655AD" w:rsidP="00677726">
      <w:pPr>
        <w:spacing w:line="360" w:lineRule="auto"/>
        <w:rPr>
          <w:rFonts w:ascii="Calibri" w:hAnsi="Calibri" w:cs="Calibri"/>
        </w:rPr>
      </w:pPr>
    </w:p>
    <w:p w14:paraId="365EF7E9" w14:textId="77777777" w:rsidR="00C655AD" w:rsidRDefault="00C655AD" w:rsidP="00677726">
      <w:pPr>
        <w:spacing w:line="360" w:lineRule="auto"/>
        <w:rPr>
          <w:rFonts w:ascii="Calibri" w:hAnsi="Calibri" w:cs="Calibri"/>
        </w:rPr>
      </w:pPr>
    </w:p>
    <w:p w14:paraId="7C5947E8" w14:textId="395686CC" w:rsidR="00C655AD" w:rsidRPr="00C655AD" w:rsidRDefault="00C655AD" w:rsidP="00677726">
      <w:pPr>
        <w:spacing w:line="360" w:lineRule="auto"/>
        <w:rPr>
          <w:rFonts w:ascii="Calibri" w:hAnsi="Calibri" w:cs="Calibri"/>
          <w:sz w:val="28"/>
          <w:szCs w:val="28"/>
        </w:rPr>
      </w:pPr>
      <w:r w:rsidRPr="00C655AD">
        <w:rPr>
          <w:rFonts w:ascii="Calibri" w:hAnsi="Calibri" w:cs="Calibri"/>
          <w:sz w:val="28"/>
          <w:szCs w:val="28"/>
        </w:rPr>
        <w:t xml:space="preserve">Resources: </w:t>
      </w:r>
    </w:p>
    <w:p w14:paraId="32F40D94" w14:textId="3ABEF4C5" w:rsidR="005E25E3" w:rsidRDefault="005E25E3" w:rsidP="00677726">
      <w:pPr>
        <w:spacing w:line="360" w:lineRule="auto"/>
        <w:rPr>
          <w:rFonts w:ascii="Calibri" w:hAnsi="Calibri" w:cs="Calibri"/>
        </w:rPr>
      </w:pPr>
      <w:r>
        <w:rPr>
          <w:rFonts w:ascii="Calibri" w:hAnsi="Calibri" w:cs="Calibri"/>
        </w:rPr>
        <w:t xml:space="preserve">Andresen, M.A. and Ha, O.K. (2017) ‘Routine activity theory’, in A. Brisman, E. Carrabine. and N. South (ed.) </w:t>
      </w:r>
      <w:r>
        <w:rPr>
          <w:rFonts w:ascii="Calibri" w:hAnsi="Calibri" w:cs="Calibri"/>
          <w:i/>
          <w:iCs/>
        </w:rPr>
        <w:t xml:space="preserve">The Routledge companion to criminological theories and concepts. </w:t>
      </w:r>
      <w:r>
        <w:rPr>
          <w:rFonts w:ascii="Calibri" w:hAnsi="Calibri" w:cs="Calibri"/>
        </w:rPr>
        <w:t xml:space="preserve">London: Routledge, pp. 536-539. </w:t>
      </w:r>
    </w:p>
    <w:p w14:paraId="12788595" w14:textId="77777777" w:rsidR="005E25E3" w:rsidRDefault="005E25E3" w:rsidP="00677726">
      <w:pPr>
        <w:spacing w:line="360" w:lineRule="auto"/>
        <w:rPr>
          <w:rFonts w:ascii="Calibri" w:hAnsi="Calibri" w:cs="Calibri"/>
        </w:rPr>
      </w:pPr>
    </w:p>
    <w:p w14:paraId="57B9C2D0" w14:textId="77777777" w:rsidR="005E25E3" w:rsidRDefault="005E25E3" w:rsidP="00677726">
      <w:pPr>
        <w:spacing w:line="360" w:lineRule="auto"/>
        <w:rPr>
          <w:rFonts w:ascii="Calibri" w:hAnsi="Calibri" w:cs="Calibri"/>
        </w:rPr>
      </w:pPr>
      <w:r>
        <w:rPr>
          <w:rFonts w:ascii="Calibri" w:hAnsi="Calibri" w:cs="Calibri"/>
        </w:rPr>
        <w:t xml:space="preserve">Baird, V. (2022) </w:t>
      </w:r>
      <w:r>
        <w:rPr>
          <w:rFonts w:ascii="Calibri" w:hAnsi="Calibri" w:cs="Calibri"/>
          <w:i/>
          <w:iCs/>
        </w:rPr>
        <w:t xml:space="preserve">Victims’ Commissioner annual report 2021/22. </w:t>
      </w:r>
      <w:r>
        <w:rPr>
          <w:rFonts w:ascii="Calibri" w:hAnsi="Calibri" w:cs="Calibri"/>
        </w:rPr>
        <w:t xml:space="preserve">CP681. Available at: </w:t>
      </w:r>
      <w:hyperlink r:id="rId5" w:history="1">
        <w:r w:rsidRPr="001378AC">
          <w:rPr>
            <w:rStyle w:val="Hyperlink"/>
            <w:rFonts w:ascii="Calibri" w:hAnsi="Calibri" w:cs="Calibri"/>
          </w:rPr>
          <w:t>https://cloud-platform-e218f50a4812967ba1215eaecede923f.s3.amazonaws.com/uploads/sites/6/2022/06/MOJ7216_Victims-commisioner-Annual-report_AW-WEB.pdf</w:t>
        </w:r>
      </w:hyperlink>
      <w:r>
        <w:rPr>
          <w:rFonts w:ascii="Calibri" w:hAnsi="Calibri" w:cs="Calibri"/>
        </w:rPr>
        <w:t xml:space="preserve"> (Accessed: 7 November).</w:t>
      </w:r>
    </w:p>
    <w:p w14:paraId="631FFCCB" w14:textId="77777777" w:rsidR="005E25E3" w:rsidRPr="00BE1005" w:rsidRDefault="005E25E3" w:rsidP="00677726">
      <w:pPr>
        <w:spacing w:line="360" w:lineRule="auto"/>
        <w:rPr>
          <w:rFonts w:ascii="Calibri" w:hAnsi="Calibri" w:cs="Calibri"/>
        </w:rPr>
      </w:pPr>
    </w:p>
    <w:p w14:paraId="0C73982B" w14:textId="77777777" w:rsidR="005E25E3" w:rsidRDefault="005E25E3" w:rsidP="00677726">
      <w:pPr>
        <w:spacing w:line="360" w:lineRule="auto"/>
        <w:rPr>
          <w:rFonts w:ascii="Calibri" w:hAnsi="Calibri" w:cs="Calibri"/>
        </w:rPr>
      </w:pPr>
      <w:r>
        <w:rPr>
          <w:rFonts w:ascii="Calibri" w:hAnsi="Calibri" w:cs="Calibri"/>
        </w:rPr>
        <w:t xml:space="preserve">CAHM (2024) </w:t>
      </w:r>
      <w:r>
        <w:rPr>
          <w:rFonts w:ascii="Calibri" w:hAnsi="Calibri" w:cs="Calibri"/>
          <w:i/>
          <w:iCs/>
        </w:rPr>
        <w:t xml:space="preserve">Recognizing the effects of abuse related trauma. </w:t>
      </w:r>
      <w:r>
        <w:rPr>
          <w:rFonts w:ascii="Calibri" w:hAnsi="Calibri" w:cs="Calibri"/>
        </w:rPr>
        <w:t xml:space="preserve">Available at: </w:t>
      </w:r>
      <w:hyperlink r:id="rId6" w:history="1">
        <w:r w:rsidRPr="001378AC">
          <w:rPr>
            <w:rStyle w:val="Hyperlink"/>
            <w:rFonts w:ascii="Calibri" w:hAnsi="Calibri" w:cs="Calibri"/>
          </w:rPr>
          <w:t>https://www.camh.ca/en/health-info/guides-and-publications/recognizing-the-effects-of-abuse-related-trauma</w:t>
        </w:r>
      </w:hyperlink>
      <w:r>
        <w:rPr>
          <w:rFonts w:ascii="Calibri" w:hAnsi="Calibri" w:cs="Calibri"/>
        </w:rPr>
        <w:t xml:space="preserve"> (Accessed: 4 November 2024). </w:t>
      </w:r>
    </w:p>
    <w:p w14:paraId="5DC8FC10" w14:textId="77777777" w:rsidR="005E25E3" w:rsidRDefault="005E25E3" w:rsidP="00677726">
      <w:pPr>
        <w:spacing w:line="360" w:lineRule="auto"/>
        <w:rPr>
          <w:rFonts w:ascii="Calibri" w:hAnsi="Calibri" w:cs="Calibri"/>
        </w:rPr>
      </w:pPr>
    </w:p>
    <w:p w14:paraId="49A16963" w14:textId="77777777" w:rsidR="005E25E3" w:rsidRDefault="005E25E3" w:rsidP="00677726">
      <w:pPr>
        <w:spacing w:line="360" w:lineRule="auto"/>
        <w:rPr>
          <w:rFonts w:ascii="Calibri" w:hAnsi="Calibri" w:cs="Calibri"/>
        </w:rPr>
      </w:pPr>
      <w:r>
        <w:rPr>
          <w:rFonts w:ascii="Calibri" w:hAnsi="Calibri" w:cs="Calibri"/>
        </w:rPr>
        <w:t xml:space="preserve">Cohen, L.E. and Felson, M. (1979) ‘Social change and crime rate trends: A routine activity approach’, </w:t>
      </w:r>
      <w:r>
        <w:rPr>
          <w:rFonts w:ascii="Calibri" w:hAnsi="Calibri" w:cs="Calibri"/>
          <w:i/>
          <w:iCs/>
        </w:rPr>
        <w:t xml:space="preserve">American Sociological Review, </w:t>
      </w:r>
      <w:r>
        <w:rPr>
          <w:rFonts w:ascii="Calibri" w:hAnsi="Calibri" w:cs="Calibri"/>
        </w:rPr>
        <w:t xml:space="preserve">44(4), pp. 588-608. Available at: </w:t>
      </w:r>
      <w:hyperlink r:id="rId7" w:history="1">
        <w:r w:rsidRPr="001378AC">
          <w:rPr>
            <w:rStyle w:val="Hyperlink"/>
            <w:rFonts w:ascii="Calibri" w:hAnsi="Calibri" w:cs="Calibri"/>
          </w:rPr>
          <w:t>https://www-jstor-org.ezproxy.uwtsd.ac.uk/stable/2094589?sid=primo&amp;origin=crossref</w:t>
        </w:r>
      </w:hyperlink>
      <w:r>
        <w:rPr>
          <w:rFonts w:ascii="Calibri" w:hAnsi="Calibri" w:cs="Calibri"/>
        </w:rPr>
        <w:t xml:space="preserve"> (Accessed: 7 November 2024). </w:t>
      </w:r>
    </w:p>
    <w:p w14:paraId="40980127" w14:textId="77777777" w:rsidR="005E25E3" w:rsidRDefault="005E25E3" w:rsidP="00677726">
      <w:pPr>
        <w:spacing w:line="360" w:lineRule="auto"/>
        <w:rPr>
          <w:rFonts w:ascii="Calibri" w:hAnsi="Calibri" w:cs="Calibri"/>
        </w:rPr>
      </w:pPr>
    </w:p>
    <w:p w14:paraId="5054C48B" w14:textId="77777777" w:rsidR="005E25E3" w:rsidRDefault="005E25E3" w:rsidP="00677726">
      <w:pPr>
        <w:spacing w:line="360" w:lineRule="auto"/>
        <w:rPr>
          <w:rFonts w:ascii="Calibri" w:hAnsi="Calibri" w:cs="Calibri"/>
        </w:rPr>
      </w:pPr>
      <w:r>
        <w:rPr>
          <w:rFonts w:ascii="Calibri" w:hAnsi="Calibri" w:cs="Calibri"/>
        </w:rPr>
        <w:t xml:space="preserve">College of Policing (2018) </w:t>
      </w:r>
      <w:r>
        <w:rPr>
          <w:rFonts w:ascii="Calibri" w:hAnsi="Calibri" w:cs="Calibri"/>
          <w:i/>
          <w:iCs/>
        </w:rPr>
        <w:t xml:space="preserve">Partnership working and multi-agency responses/mechanisms. </w:t>
      </w:r>
      <w:r>
        <w:rPr>
          <w:rFonts w:ascii="Calibri" w:hAnsi="Calibri" w:cs="Calibri"/>
        </w:rPr>
        <w:t xml:space="preserve">Available at: </w:t>
      </w:r>
      <w:hyperlink r:id="rId8" w:history="1">
        <w:r w:rsidRPr="001378AC">
          <w:rPr>
            <w:rStyle w:val="Hyperlink"/>
            <w:rFonts w:ascii="Calibri" w:hAnsi="Calibri" w:cs="Calibri"/>
          </w:rPr>
          <w:t>https://www.college.police.uk/app/major-investigation-and-public-protection/domestic-abuse/partnership-working-and-multi-agency-responsesmechanisms</w:t>
        </w:r>
      </w:hyperlink>
      <w:r>
        <w:rPr>
          <w:rFonts w:ascii="Calibri" w:hAnsi="Calibri" w:cs="Calibri"/>
        </w:rPr>
        <w:t xml:space="preserve"> (Accessed: 7 November 2024). </w:t>
      </w:r>
    </w:p>
    <w:p w14:paraId="663A09D2" w14:textId="77777777" w:rsidR="005E25E3" w:rsidRDefault="005E25E3" w:rsidP="00677726">
      <w:pPr>
        <w:spacing w:line="360" w:lineRule="auto"/>
        <w:rPr>
          <w:rFonts w:ascii="Calibri" w:hAnsi="Calibri" w:cs="Calibri"/>
        </w:rPr>
      </w:pPr>
    </w:p>
    <w:p w14:paraId="5F04F092" w14:textId="77777777" w:rsidR="005E25E3" w:rsidRDefault="005E25E3" w:rsidP="00677726">
      <w:pPr>
        <w:spacing w:line="360" w:lineRule="auto"/>
        <w:rPr>
          <w:rFonts w:ascii="Calibri" w:hAnsi="Calibri" w:cs="Calibri"/>
        </w:rPr>
      </w:pPr>
      <w:r>
        <w:rPr>
          <w:rFonts w:ascii="Calibri" w:hAnsi="Calibri" w:cs="Calibri"/>
        </w:rPr>
        <w:t xml:space="preserve">College of Policing (2021) </w:t>
      </w:r>
      <w:r>
        <w:rPr>
          <w:rFonts w:ascii="Calibri" w:hAnsi="Calibri" w:cs="Calibri"/>
          <w:i/>
          <w:iCs/>
        </w:rPr>
        <w:t xml:space="preserve">Introduction to vulnerability-related risk. </w:t>
      </w:r>
      <w:r>
        <w:rPr>
          <w:rFonts w:ascii="Calibri" w:hAnsi="Calibri" w:cs="Calibri"/>
        </w:rPr>
        <w:t xml:space="preserve">Available at: </w:t>
      </w:r>
      <w:hyperlink r:id="rId9" w:history="1">
        <w:r w:rsidRPr="001378AC">
          <w:rPr>
            <w:rStyle w:val="Hyperlink"/>
            <w:rFonts w:ascii="Calibri" w:hAnsi="Calibri" w:cs="Calibri"/>
          </w:rPr>
          <w:t>https://www.college.police.uk/guidance/vulnerability-related-risks/introduction-vulnerability-related-risk</w:t>
        </w:r>
      </w:hyperlink>
      <w:r>
        <w:rPr>
          <w:rFonts w:ascii="Calibri" w:hAnsi="Calibri" w:cs="Calibri"/>
        </w:rPr>
        <w:t xml:space="preserve"> (Accessed: 7 November 2024). </w:t>
      </w:r>
    </w:p>
    <w:p w14:paraId="66EBA0D7" w14:textId="77777777" w:rsidR="005E25E3" w:rsidRDefault="005E25E3" w:rsidP="00677726">
      <w:pPr>
        <w:spacing w:line="360" w:lineRule="auto"/>
        <w:rPr>
          <w:rFonts w:ascii="Calibri" w:hAnsi="Calibri" w:cs="Calibri"/>
        </w:rPr>
      </w:pPr>
    </w:p>
    <w:p w14:paraId="5B8DF657" w14:textId="77777777" w:rsidR="005E25E3" w:rsidRDefault="005E25E3" w:rsidP="00677726">
      <w:pPr>
        <w:spacing w:line="360" w:lineRule="auto"/>
        <w:rPr>
          <w:rFonts w:ascii="Calibri" w:hAnsi="Calibri" w:cs="Calibri"/>
        </w:rPr>
      </w:pPr>
      <w:r>
        <w:rPr>
          <w:rFonts w:ascii="Calibri" w:hAnsi="Calibri" w:cs="Calibri"/>
        </w:rPr>
        <w:t xml:space="preserve">College of Policing (2021) </w:t>
      </w:r>
      <w:r w:rsidRPr="0037208B">
        <w:rPr>
          <w:rFonts w:ascii="Calibri" w:hAnsi="Calibri" w:cs="Calibri"/>
          <w:i/>
          <w:iCs/>
        </w:rPr>
        <w:t xml:space="preserve">Victims’ Code for policing. </w:t>
      </w:r>
      <w:r>
        <w:rPr>
          <w:rFonts w:ascii="Calibri" w:hAnsi="Calibri" w:cs="Calibri"/>
        </w:rPr>
        <w:t xml:space="preserve">Available at: </w:t>
      </w:r>
      <w:hyperlink r:id="rId10" w:history="1">
        <w:r w:rsidRPr="001378AC">
          <w:rPr>
            <w:rStyle w:val="Hyperlink"/>
            <w:rFonts w:ascii="Calibri" w:hAnsi="Calibri" w:cs="Calibri"/>
          </w:rPr>
          <w:t>https://www.college.police.uk/guidance/victims-code/victims-rights-policing</w:t>
        </w:r>
      </w:hyperlink>
      <w:r>
        <w:rPr>
          <w:rFonts w:ascii="Calibri" w:hAnsi="Calibri" w:cs="Calibri"/>
        </w:rPr>
        <w:t xml:space="preserve"> (Accessed: 6 November 2024). </w:t>
      </w:r>
    </w:p>
    <w:p w14:paraId="52E5B82B" w14:textId="77777777" w:rsidR="005E25E3" w:rsidRDefault="005E25E3" w:rsidP="00677726">
      <w:pPr>
        <w:spacing w:line="360" w:lineRule="auto"/>
        <w:rPr>
          <w:rFonts w:ascii="Calibri" w:hAnsi="Calibri" w:cs="Calibri"/>
        </w:rPr>
      </w:pPr>
    </w:p>
    <w:p w14:paraId="7030579F" w14:textId="3FFE790D" w:rsidR="005E25E3" w:rsidRDefault="005E25E3" w:rsidP="00677726">
      <w:pPr>
        <w:spacing w:line="360" w:lineRule="auto"/>
        <w:rPr>
          <w:rFonts w:ascii="Calibri" w:hAnsi="Calibri" w:cs="Calibri"/>
        </w:rPr>
      </w:pPr>
      <w:r>
        <w:rPr>
          <w:rFonts w:ascii="Calibri" w:hAnsi="Calibri" w:cs="Calibri"/>
        </w:rPr>
        <w:t xml:space="preserve">Condino, V. et al. (2020) ‘Attachment, trauma, and mentalization in intimidate partner violence: A preliminary investigation’, </w:t>
      </w:r>
      <w:r>
        <w:rPr>
          <w:rFonts w:ascii="Calibri" w:hAnsi="Calibri" w:cs="Calibri"/>
          <w:i/>
          <w:iCs/>
        </w:rPr>
        <w:t xml:space="preserve">Journal of Interpersonal Violence, </w:t>
      </w:r>
      <w:r>
        <w:rPr>
          <w:rFonts w:ascii="Calibri" w:hAnsi="Calibri" w:cs="Calibri"/>
        </w:rPr>
        <w:t xml:space="preserve">37(11-12), pp. NP-9249-NP9276. Available at: </w:t>
      </w:r>
      <w:hyperlink r:id="rId11" w:history="1">
        <w:r w:rsidRPr="001378AC">
          <w:rPr>
            <w:rStyle w:val="Hyperlink"/>
            <w:rFonts w:ascii="Calibri" w:hAnsi="Calibri" w:cs="Calibri"/>
          </w:rPr>
          <w:t>https://journals-sagepub-com.ezproxy.uwtsd.ac.uk/doi/epub/10.1177/0886260520980383</w:t>
        </w:r>
      </w:hyperlink>
      <w:r>
        <w:rPr>
          <w:rFonts w:ascii="Calibri" w:hAnsi="Calibri" w:cs="Calibri"/>
        </w:rPr>
        <w:t xml:space="preserve"> (Accessed: 7 November 2024). </w:t>
      </w:r>
    </w:p>
    <w:p w14:paraId="440E07D6" w14:textId="77777777" w:rsidR="005E25E3" w:rsidRDefault="005E25E3" w:rsidP="00677726">
      <w:pPr>
        <w:spacing w:line="360" w:lineRule="auto"/>
        <w:rPr>
          <w:rFonts w:ascii="Calibri" w:hAnsi="Calibri" w:cs="Calibri"/>
        </w:rPr>
      </w:pPr>
    </w:p>
    <w:p w14:paraId="099E5DCF" w14:textId="77777777" w:rsidR="005E25E3" w:rsidRDefault="005E25E3" w:rsidP="00677726">
      <w:pPr>
        <w:spacing w:line="360" w:lineRule="auto"/>
        <w:rPr>
          <w:rFonts w:ascii="Calibri" w:hAnsi="Calibri" w:cs="Calibri"/>
        </w:rPr>
      </w:pPr>
      <w:r>
        <w:rPr>
          <w:rFonts w:ascii="Calibri" w:hAnsi="Calibri" w:cs="Calibri"/>
        </w:rPr>
        <w:lastRenderedPageBreak/>
        <w:t xml:space="preserve">Davies, P. (2021) ‘Practicing co-produced research: Tackling domestic abuse through innovative multi-agency partner working’, </w:t>
      </w:r>
      <w:r>
        <w:rPr>
          <w:rFonts w:ascii="Calibri" w:hAnsi="Calibri" w:cs="Calibri"/>
          <w:i/>
          <w:iCs/>
        </w:rPr>
        <w:t xml:space="preserve">Crime Prevention and Community Safety, </w:t>
      </w:r>
      <w:r w:rsidRPr="00C655AD">
        <w:rPr>
          <w:rFonts w:ascii="Calibri" w:hAnsi="Calibri" w:cs="Calibri"/>
        </w:rPr>
        <w:t xml:space="preserve">23, pp.233-251. Available at: </w:t>
      </w:r>
      <w:hyperlink r:id="rId12" w:history="1">
        <w:r w:rsidRPr="00C655AD">
          <w:rPr>
            <w:rStyle w:val="Hyperlink"/>
            <w:rFonts w:ascii="Calibri" w:hAnsi="Calibri" w:cs="Calibri"/>
          </w:rPr>
          <w:t>https://link-springer-com.ezproxy.uwtsd.</w:t>
        </w:r>
        <w:r w:rsidRPr="00C655AD">
          <w:rPr>
            <w:rStyle w:val="Hyperlink"/>
            <w:rFonts w:ascii="Calibri" w:hAnsi="Calibri" w:cs="Calibri"/>
          </w:rPr>
          <w:t>a</w:t>
        </w:r>
        <w:r w:rsidRPr="00C655AD">
          <w:rPr>
            <w:rStyle w:val="Hyperlink"/>
            <w:rFonts w:ascii="Calibri" w:hAnsi="Calibri" w:cs="Calibri"/>
          </w:rPr>
          <w:t>c.uk/content/pdf/10.1057/s41300-021-00117-x.pdf</w:t>
        </w:r>
      </w:hyperlink>
      <w:r w:rsidRPr="00C655AD">
        <w:rPr>
          <w:rFonts w:ascii="Calibri" w:hAnsi="Calibri" w:cs="Calibri"/>
        </w:rPr>
        <w:t xml:space="preserve"> (Accessed: 7 November 2024).  </w:t>
      </w:r>
    </w:p>
    <w:p w14:paraId="25C7A35C" w14:textId="77777777" w:rsidR="005E25E3" w:rsidRPr="00C655AD" w:rsidRDefault="005E25E3" w:rsidP="00677726">
      <w:pPr>
        <w:spacing w:line="360" w:lineRule="auto"/>
        <w:rPr>
          <w:rFonts w:ascii="Calibri" w:hAnsi="Calibri" w:cs="Calibri"/>
        </w:rPr>
      </w:pPr>
    </w:p>
    <w:p w14:paraId="1B818905" w14:textId="77777777" w:rsidR="005E25E3" w:rsidRDefault="005E25E3" w:rsidP="00677726">
      <w:pPr>
        <w:spacing w:line="360" w:lineRule="auto"/>
        <w:rPr>
          <w:rFonts w:ascii="Calibri" w:hAnsi="Calibri" w:cs="Calibri"/>
        </w:rPr>
      </w:pPr>
      <w:r>
        <w:rPr>
          <w:rFonts w:ascii="Calibri" w:hAnsi="Calibri" w:cs="Calibri"/>
        </w:rPr>
        <w:t xml:space="preserve">Department of Health and Social Care (2015) </w:t>
      </w:r>
      <w:r>
        <w:rPr>
          <w:rFonts w:ascii="Calibri" w:hAnsi="Calibri" w:cs="Calibri"/>
          <w:i/>
          <w:iCs/>
        </w:rPr>
        <w:t xml:space="preserve">No secrets: guidance on developing and implementing multi-agency policies and procedures to protect vulnerable adults from abuse. </w:t>
      </w:r>
      <w:r>
        <w:rPr>
          <w:rFonts w:ascii="Calibri" w:hAnsi="Calibri" w:cs="Calibri"/>
        </w:rPr>
        <w:t xml:space="preserve">Available at: </w:t>
      </w:r>
      <w:hyperlink r:id="rId13" w:history="1">
        <w:r w:rsidRPr="001378AC">
          <w:rPr>
            <w:rStyle w:val="Hyperlink"/>
            <w:rFonts w:ascii="Calibri" w:hAnsi="Calibri" w:cs="Calibri"/>
          </w:rPr>
          <w:t>https://assets.publishing.service.gov.uk/government/uploads/system/uploads/attachment_data/file/194272/No_secrets__guidance_on_developing_and_implementing_multi-agency_policies_and_procedures_to_protect_vulnerable_adults_from_abuse.pdf</w:t>
        </w:r>
      </w:hyperlink>
      <w:r>
        <w:rPr>
          <w:rFonts w:ascii="Calibri" w:hAnsi="Calibri" w:cs="Calibri"/>
        </w:rPr>
        <w:t xml:space="preserve"> (Accessed: 4 November 2024).</w:t>
      </w:r>
    </w:p>
    <w:p w14:paraId="0D71830A" w14:textId="77777777" w:rsidR="005E25E3" w:rsidRDefault="005E25E3" w:rsidP="00677726">
      <w:pPr>
        <w:spacing w:line="360" w:lineRule="auto"/>
        <w:rPr>
          <w:rFonts w:ascii="Calibri" w:hAnsi="Calibri" w:cs="Calibri"/>
        </w:rPr>
      </w:pPr>
    </w:p>
    <w:p w14:paraId="53724ED8" w14:textId="77777777" w:rsidR="005E25E3" w:rsidRDefault="005E25E3" w:rsidP="00677726">
      <w:pPr>
        <w:spacing w:line="360" w:lineRule="auto"/>
        <w:rPr>
          <w:rFonts w:ascii="Calibri" w:hAnsi="Calibri" w:cs="Calibri"/>
        </w:rPr>
      </w:pPr>
      <w:r>
        <w:rPr>
          <w:rFonts w:ascii="Calibri" w:hAnsi="Calibri" w:cs="Calibri"/>
        </w:rPr>
        <w:t xml:space="preserve">Equality and Human Rights Commission (2011) </w:t>
      </w:r>
      <w:r>
        <w:rPr>
          <w:rFonts w:ascii="Calibri" w:hAnsi="Calibri" w:cs="Calibri"/>
          <w:i/>
          <w:iCs/>
        </w:rPr>
        <w:t xml:space="preserve">Hidden in plain sight: An Equality and Human Rights Commission Inquiry into-disability related harassment. </w:t>
      </w:r>
      <w:r>
        <w:rPr>
          <w:rFonts w:ascii="Calibri" w:hAnsi="Calibri" w:cs="Calibri"/>
        </w:rPr>
        <w:t xml:space="preserve">Available at: </w:t>
      </w:r>
      <w:hyperlink r:id="rId14" w:history="1">
        <w:r w:rsidRPr="001378AC">
          <w:rPr>
            <w:rStyle w:val="Hyperlink"/>
            <w:rFonts w:ascii="Calibri" w:hAnsi="Calibri" w:cs="Calibri"/>
          </w:rPr>
          <w:t>https://www.equalityhumanrights.com/sites/default/files/hidden_in_plain_sight_-_wales_summary.pdf</w:t>
        </w:r>
      </w:hyperlink>
      <w:r>
        <w:rPr>
          <w:rFonts w:ascii="Calibri" w:hAnsi="Calibri" w:cs="Calibri"/>
        </w:rPr>
        <w:t xml:space="preserve"> (Accessed: 5 November 2024). </w:t>
      </w:r>
    </w:p>
    <w:p w14:paraId="23D063C7" w14:textId="77777777" w:rsidR="005E25E3" w:rsidRDefault="005E25E3" w:rsidP="00677726">
      <w:pPr>
        <w:spacing w:line="360" w:lineRule="auto"/>
        <w:rPr>
          <w:rFonts w:ascii="Calibri" w:hAnsi="Calibri" w:cs="Calibri"/>
        </w:rPr>
      </w:pPr>
    </w:p>
    <w:p w14:paraId="63479FFD" w14:textId="77777777" w:rsidR="005E25E3" w:rsidRDefault="005E25E3" w:rsidP="00677726">
      <w:pPr>
        <w:spacing w:line="360" w:lineRule="auto"/>
        <w:rPr>
          <w:rFonts w:ascii="Calibri" w:hAnsi="Calibri" w:cs="Calibri"/>
        </w:rPr>
      </w:pPr>
      <w:r>
        <w:rPr>
          <w:rFonts w:ascii="Calibri" w:hAnsi="Calibri" w:cs="Calibri"/>
        </w:rPr>
        <w:t xml:space="preserve">Farrell, C. and Zimmerman, G.M. (2017) ‘Does offending intensify as exposure to violence aggregates? Reconsidering the effects of repeat victimization, types of exposure to violence and poly-victimization o property crime, violent offending, and substance use’, </w:t>
      </w:r>
      <w:r>
        <w:rPr>
          <w:rFonts w:ascii="Calibri" w:hAnsi="Calibri" w:cs="Calibri"/>
          <w:i/>
          <w:iCs/>
        </w:rPr>
        <w:t xml:space="preserve">Journal of Criminal Justice, </w:t>
      </w:r>
      <w:r>
        <w:rPr>
          <w:rFonts w:ascii="Calibri" w:hAnsi="Calibri" w:cs="Calibri"/>
        </w:rPr>
        <w:t xml:space="preserve">53, pp. 25-33. Available at: </w:t>
      </w:r>
      <w:hyperlink r:id="rId15" w:history="1">
        <w:r w:rsidRPr="001378AC">
          <w:rPr>
            <w:rStyle w:val="Hyperlink"/>
            <w:rFonts w:ascii="Calibri" w:hAnsi="Calibri" w:cs="Calibri"/>
          </w:rPr>
          <w:t>https://www-sciencedirect-com.ezproxy.uwtsd.ac.uk/science/article/pii/S0047235217303549</w:t>
        </w:r>
      </w:hyperlink>
      <w:r>
        <w:rPr>
          <w:rFonts w:ascii="Calibri" w:hAnsi="Calibri" w:cs="Calibri"/>
        </w:rPr>
        <w:t xml:space="preserve"> (Accessed: 4 October 2024). </w:t>
      </w:r>
    </w:p>
    <w:p w14:paraId="1F9C1165" w14:textId="77777777" w:rsidR="005E25E3" w:rsidRDefault="005E25E3" w:rsidP="00677726">
      <w:pPr>
        <w:spacing w:line="360" w:lineRule="auto"/>
        <w:rPr>
          <w:rFonts w:ascii="Calibri" w:hAnsi="Calibri" w:cs="Calibri"/>
        </w:rPr>
      </w:pPr>
    </w:p>
    <w:p w14:paraId="4DD19FDA" w14:textId="77777777" w:rsidR="005E25E3" w:rsidRDefault="005E25E3" w:rsidP="00677726">
      <w:pPr>
        <w:spacing w:line="360" w:lineRule="auto"/>
        <w:rPr>
          <w:rFonts w:ascii="Calibri" w:hAnsi="Calibri" w:cs="Calibri"/>
        </w:rPr>
      </w:pPr>
      <w:r>
        <w:rPr>
          <w:rFonts w:ascii="Calibri" w:hAnsi="Calibri" w:cs="Calibri"/>
        </w:rPr>
        <w:t xml:space="preserve">His Majesty’s Inspectorate of </w:t>
      </w:r>
      <w:r>
        <w:rPr>
          <w:rFonts w:ascii="Calibri" w:hAnsi="Calibri" w:cs="Calibri"/>
        </w:rPr>
        <w:tab/>
        <w:t xml:space="preserve">Constabulary and Fire &amp; Rescue Services (2023) </w:t>
      </w:r>
      <w:r>
        <w:rPr>
          <w:rFonts w:ascii="Calibri" w:hAnsi="Calibri" w:cs="Calibri"/>
          <w:i/>
          <w:iCs/>
        </w:rPr>
        <w:t xml:space="preserve">Vulnerable Person. </w:t>
      </w:r>
      <w:r>
        <w:rPr>
          <w:rFonts w:ascii="Calibri" w:hAnsi="Calibri" w:cs="Calibri"/>
        </w:rPr>
        <w:t xml:space="preserve">Available at: </w:t>
      </w:r>
      <w:hyperlink r:id="rId16" w:history="1">
        <w:r w:rsidRPr="001378AC">
          <w:rPr>
            <w:rStyle w:val="Hyperlink"/>
            <w:rFonts w:ascii="Calibri" w:hAnsi="Calibri" w:cs="Calibri"/>
          </w:rPr>
          <w:t>https://hmicfrs.justiceinspectorates.gov.uk/glossary/vulnerable-person/</w:t>
        </w:r>
      </w:hyperlink>
      <w:r>
        <w:rPr>
          <w:rFonts w:ascii="Calibri" w:hAnsi="Calibri" w:cs="Calibri"/>
        </w:rPr>
        <w:t xml:space="preserve"> (Accessed: 4 November 2024).</w:t>
      </w:r>
    </w:p>
    <w:p w14:paraId="4FFBCF6E" w14:textId="77777777" w:rsidR="005E25E3" w:rsidRDefault="005E25E3" w:rsidP="00677726">
      <w:pPr>
        <w:spacing w:line="360" w:lineRule="auto"/>
        <w:rPr>
          <w:rFonts w:ascii="Calibri" w:hAnsi="Calibri" w:cs="Calibri"/>
        </w:rPr>
      </w:pPr>
    </w:p>
    <w:p w14:paraId="7DEE3A18" w14:textId="77777777" w:rsidR="005E25E3" w:rsidRDefault="005E25E3" w:rsidP="00677726">
      <w:pPr>
        <w:spacing w:line="360" w:lineRule="auto"/>
        <w:rPr>
          <w:rFonts w:ascii="Calibri" w:hAnsi="Calibri" w:cs="Calibri"/>
        </w:rPr>
      </w:pPr>
      <w:r>
        <w:rPr>
          <w:rFonts w:ascii="Calibri" w:hAnsi="Calibri" w:cs="Calibri"/>
        </w:rPr>
        <w:t xml:space="preserve">His Majesty’s Prison and Probation Service (2024) </w:t>
      </w:r>
      <w:r w:rsidRPr="00A72593">
        <w:rPr>
          <w:rFonts w:ascii="Calibri" w:hAnsi="Calibri" w:cs="Calibri"/>
          <w:i/>
          <w:iCs/>
        </w:rPr>
        <w:t>Multi-agency public protection arrangements (MAPPA): Guidance</w:t>
      </w:r>
      <w:r>
        <w:rPr>
          <w:rFonts w:ascii="Calibri" w:hAnsi="Calibri" w:cs="Calibri"/>
        </w:rPr>
        <w:t xml:space="preserve">. Available at: </w:t>
      </w:r>
      <w:hyperlink r:id="rId17" w:anchor=":~:text=Statutory%20guidance-,Multi%2Dagency%20public%20protection%20arrangements%20(MAPPA)%3A%20Guidance,prison%20service%20and%20probation%20trusts" w:history="1">
        <w:r w:rsidRPr="001378AC">
          <w:rPr>
            <w:rStyle w:val="Hyperlink"/>
            <w:rFonts w:ascii="Calibri" w:hAnsi="Calibri" w:cs="Calibri"/>
          </w:rPr>
          <w:t>https://www.gov.uk/government/publications/multi-agency-public-protection-arrangements-mappa-guidance#:~:text=Statutory%20guidance-,Multi%2Dagency%20public%20protection%20arrangements%20(MAPPA)%3A%20Guidance,prison%20service%20and%20probation%20trusts</w:t>
        </w:r>
      </w:hyperlink>
      <w:r>
        <w:rPr>
          <w:rFonts w:ascii="Calibri" w:hAnsi="Calibri" w:cs="Calibri"/>
        </w:rPr>
        <w:t xml:space="preserve"> (Accessed: 7 November 2024). </w:t>
      </w:r>
    </w:p>
    <w:p w14:paraId="74C63478" w14:textId="77777777" w:rsidR="005E25E3" w:rsidRDefault="005E25E3" w:rsidP="00677726">
      <w:pPr>
        <w:spacing w:line="360" w:lineRule="auto"/>
        <w:rPr>
          <w:rFonts w:ascii="Calibri" w:hAnsi="Calibri" w:cs="Calibri"/>
        </w:rPr>
      </w:pPr>
    </w:p>
    <w:p w14:paraId="3737AAFF" w14:textId="5E3E6C07" w:rsidR="005E25E3" w:rsidRDefault="005E25E3" w:rsidP="00677726">
      <w:pPr>
        <w:spacing w:line="360" w:lineRule="auto"/>
        <w:rPr>
          <w:rFonts w:ascii="Calibri" w:hAnsi="Calibri" w:cs="Calibri"/>
        </w:rPr>
      </w:pPr>
      <w:r>
        <w:rPr>
          <w:rFonts w:ascii="Calibri" w:hAnsi="Calibri" w:cs="Calibri"/>
        </w:rPr>
        <w:t xml:space="preserve">Home Office (2022) </w:t>
      </w:r>
      <w:r w:rsidRPr="008915E0">
        <w:rPr>
          <w:rFonts w:ascii="Calibri" w:hAnsi="Calibri" w:cs="Calibri"/>
          <w:i/>
          <w:iCs/>
        </w:rPr>
        <w:t>Domestic abuse: Statutory guidance.</w:t>
      </w:r>
      <w:r>
        <w:rPr>
          <w:rFonts w:ascii="Calibri" w:hAnsi="Calibri" w:cs="Calibri"/>
        </w:rPr>
        <w:t xml:space="preserve"> Available at: </w:t>
      </w:r>
      <w:hyperlink r:id="rId18" w:history="1">
        <w:r w:rsidRPr="001378AC">
          <w:rPr>
            <w:rStyle w:val="Hyperlink"/>
            <w:rFonts w:ascii="Calibri" w:hAnsi="Calibri" w:cs="Calibri"/>
          </w:rPr>
          <w:t>https://assets.publishing.service.gov.uk/media/62c6df068fa8f54e855dfe31/Domestic_Abuse_Act_2021_Statutory_Guidance.pdf</w:t>
        </w:r>
      </w:hyperlink>
      <w:r>
        <w:rPr>
          <w:rFonts w:ascii="Calibri" w:hAnsi="Calibri" w:cs="Calibri"/>
        </w:rPr>
        <w:t xml:space="preserve"> (Accessed: 7 November 2024). </w:t>
      </w:r>
    </w:p>
    <w:p w14:paraId="2ABCBC3D" w14:textId="77777777" w:rsidR="005E25E3" w:rsidRDefault="005E25E3" w:rsidP="00677726">
      <w:pPr>
        <w:spacing w:line="360" w:lineRule="auto"/>
        <w:rPr>
          <w:rFonts w:ascii="Calibri" w:hAnsi="Calibri" w:cs="Calibri"/>
        </w:rPr>
      </w:pPr>
    </w:p>
    <w:p w14:paraId="6DA7D146" w14:textId="77777777" w:rsidR="005E25E3" w:rsidRDefault="005E25E3" w:rsidP="00677726">
      <w:pPr>
        <w:spacing w:line="360" w:lineRule="auto"/>
        <w:rPr>
          <w:rFonts w:ascii="Calibri" w:hAnsi="Calibri" w:cs="Calibri"/>
        </w:rPr>
      </w:pPr>
      <w:r>
        <w:rPr>
          <w:rFonts w:ascii="Calibri" w:hAnsi="Calibri" w:cs="Calibri"/>
        </w:rPr>
        <w:t xml:space="preserve">Independent Police Complaints Commission (2009) </w:t>
      </w:r>
      <w:r>
        <w:rPr>
          <w:rFonts w:ascii="Calibri" w:hAnsi="Calibri" w:cs="Calibri"/>
          <w:i/>
          <w:iCs/>
        </w:rPr>
        <w:t xml:space="preserve">IPPC report into the contact between Fiona Pilkington and Leicestershire Constabulary 2004-2007. </w:t>
      </w:r>
      <w:r>
        <w:rPr>
          <w:rFonts w:ascii="Calibri" w:hAnsi="Calibri" w:cs="Calibri"/>
        </w:rPr>
        <w:t>2009-016872. Available at:</w:t>
      </w:r>
      <w:r w:rsidRPr="00927FF0">
        <w:t xml:space="preserve"> </w:t>
      </w:r>
      <w:hyperlink r:id="rId19" w:history="1">
        <w:r w:rsidRPr="001378AC">
          <w:rPr>
            <w:rStyle w:val="Hyperlink"/>
            <w:rFonts w:ascii="Calibri" w:hAnsi="Calibri" w:cs="Calibri"/>
          </w:rPr>
          <w:t>https://www.report-it.org.uk/files/ipcc_report-fiona-pilkington-leicestershire.pdf</w:t>
        </w:r>
      </w:hyperlink>
      <w:r>
        <w:rPr>
          <w:rFonts w:ascii="Calibri" w:hAnsi="Calibri" w:cs="Calibri"/>
        </w:rPr>
        <w:t xml:space="preserve"> (Accessed: 4 November 2024). </w:t>
      </w:r>
    </w:p>
    <w:p w14:paraId="5A2AA82D" w14:textId="77777777" w:rsidR="005E25E3" w:rsidRDefault="005E25E3" w:rsidP="00677726">
      <w:pPr>
        <w:spacing w:line="360" w:lineRule="auto"/>
        <w:rPr>
          <w:rFonts w:ascii="Calibri" w:hAnsi="Calibri" w:cs="Calibri"/>
        </w:rPr>
      </w:pPr>
    </w:p>
    <w:p w14:paraId="5A14660F" w14:textId="77777777" w:rsidR="005E25E3" w:rsidRDefault="005E25E3" w:rsidP="00677726">
      <w:pPr>
        <w:spacing w:line="360" w:lineRule="auto"/>
        <w:rPr>
          <w:rFonts w:ascii="Calibri" w:hAnsi="Calibri" w:cs="Calibri"/>
        </w:rPr>
      </w:pPr>
      <w:r>
        <w:rPr>
          <w:rFonts w:ascii="Calibri" w:hAnsi="Calibri" w:cs="Calibri"/>
        </w:rPr>
        <w:t xml:space="preserve">Law Commission (2012) </w:t>
      </w:r>
      <w:r>
        <w:rPr>
          <w:rFonts w:ascii="Calibri" w:hAnsi="Calibri" w:cs="Calibri"/>
          <w:i/>
          <w:iCs/>
        </w:rPr>
        <w:t xml:space="preserve">Getting it right for victims and witnesses: The Government response </w:t>
      </w:r>
      <w:r>
        <w:rPr>
          <w:rFonts w:ascii="Calibri" w:hAnsi="Calibri" w:cs="Calibri"/>
        </w:rPr>
        <w:t xml:space="preserve">(Cm 8397). Available at: </w:t>
      </w:r>
      <w:hyperlink r:id="rId20" w:history="1">
        <w:r w:rsidRPr="001378AC">
          <w:rPr>
            <w:rStyle w:val="Hyperlink"/>
            <w:rFonts w:ascii="Calibri" w:hAnsi="Calibri" w:cs="Calibri"/>
          </w:rPr>
          <w:t>https://assets.publishing.service.gov.uk/media/5a7bffb440f0b63f7572ab6c/8397.pdf</w:t>
        </w:r>
      </w:hyperlink>
      <w:r>
        <w:rPr>
          <w:rFonts w:ascii="Calibri" w:hAnsi="Calibri" w:cs="Calibri"/>
        </w:rPr>
        <w:t xml:space="preserve"> (Accessed: 6 November 2024). </w:t>
      </w:r>
    </w:p>
    <w:p w14:paraId="7EBD7B46" w14:textId="77777777" w:rsidR="005E25E3" w:rsidRDefault="005E25E3" w:rsidP="00677726">
      <w:pPr>
        <w:spacing w:line="360" w:lineRule="auto"/>
        <w:rPr>
          <w:rFonts w:ascii="Calibri" w:hAnsi="Calibri" w:cs="Calibri"/>
        </w:rPr>
      </w:pPr>
    </w:p>
    <w:p w14:paraId="5B9C4269" w14:textId="77777777" w:rsidR="005E25E3" w:rsidRDefault="005E25E3" w:rsidP="00677726">
      <w:pPr>
        <w:spacing w:line="360" w:lineRule="auto"/>
        <w:rPr>
          <w:rFonts w:ascii="Calibri" w:hAnsi="Calibri" w:cs="Calibri"/>
        </w:rPr>
      </w:pPr>
      <w:r>
        <w:rPr>
          <w:rFonts w:ascii="Calibri" w:hAnsi="Calibri" w:cs="Calibri"/>
        </w:rPr>
        <w:t xml:space="preserve">Ministry of Justice (2024) </w:t>
      </w:r>
      <w:r>
        <w:rPr>
          <w:rFonts w:ascii="Calibri" w:hAnsi="Calibri" w:cs="Calibri"/>
          <w:i/>
          <w:iCs/>
        </w:rPr>
        <w:t xml:space="preserve">The Code of Practice for victims of crime in England and Wales and supporting public information materials. </w:t>
      </w:r>
      <w:r>
        <w:rPr>
          <w:rFonts w:ascii="Calibri" w:hAnsi="Calibri" w:cs="Calibri"/>
        </w:rPr>
        <w:t xml:space="preserve">Available at: </w:t>
      </w:r>
      <w:hyperlink r:id="rId21" w:history="1">
        <w:r w:rsidRPr="001378AC">
          <w:rPr>
            <w:rStyle w:val="Hyperlink"/>
            <w:rFonts w:ascii="Calibri" w:hAnsi="Calibri" w:cs="Calibri"/>
          </w:rPr>
          <w:t>https://www.gov.uk/government/publications/the-code-of-practice-for-victims-of-crime/code-of-practice-for-victims-of-crime-in-england-and-wales-victims-code</w:t>
        </w:r>
      </w:hyperlink>
      <w:r>
        <w:rPr>
          <w:rFonts w:ascii="Calibri" w:hAnsi="Calibri" w:cs="Calibri"/>
        </w:rPr>
        <w:t xml:space="preserve"> (Accessed: 6 November 2024). </w:t>
      </w:r>
    </w:p>
    <w:p w14:paraId="1A405B11" w14:textId="77777777" w:rsidR="005E25E3" w:rsidRDefault="005E25E3" w:rsidP="00677726">
      <w:pPr>
        <w:spacing w:line="360" w:lineRule="auto"/>
        <w:rPr>
          <w:rFonts w:ascii="Calibri" w:hAnsi="Calibri" w:cs="Calibri"/>
        </w:rPr>
      </w:pPr>
    </w:p>
    <w:p w14:paraId="14ACA4BE" w14:textId="77777777" w:rsidR="005E25E3" w:rsidRDefault="005E25E3" w:rsidP="00677726">
      <w:pPr>
        <w:spacing w:line="360" w:lineRule="auto"/>
        <w:rPr>
          <w:rFonts w:ascii="Calibri" w:hAnsi="Calibri" w:cs="Calibri"/>
        </w:rPr>
      </w:pPr>
      <w:r>
        <w:rPr>
          <w:rFonts w:ascii="Calibri" w:hAnsi="Calibri" w:cs="Calibri"/>
        </w:rPr>
        <w:t xml:space="preserve">Office for National Statistics (2023) </w:t>
      </w:r>
      <w:r>
        <w:rPr>
          <w:rFonts w:ascii="Calibri" w:hAnsi="Calibri" w:cs="Calibri"/>
          <w:i/>
          <w:iCs/>
        </w:rPr>
        <w:t xml:space="preserve">Domestic abuse in England and Wales overview: November 2023. </w:t>
      </w:r>
      <w:r>
        <w:rPr>
          <w:rFonts w:ascii="Calibri" w:hAnsi="Calibri" w:cs="Calibri"/>
        </w:rPr>
        <w:t xml:space="preserve">Available at: </w:t>
      </w:r>
      <w:hyperlink r:id="rId22" w:anchor=":~:text=The%20police%20recorded%20889%2C918%20domestic,the%20year%20ending%20March%202022" w:history="1">
        <w:r w:rsidRPr="001378AC">
          <w:rPr>
            <w:rStyle w:val="Hyperlink"/>
            <w:rFonts w:ascii="Calibri" w:hAnsi="Calibri" w:cs="Calibri"/>
          </w:rPr>
          <w:t>https://www.ons.gov.uk/peoplepopulationandcommunity/crimeandjustice/bulletins/domesticabuseinenglandandwalesoverview/november2023#:~:text=The%20police%20recorded%20889%2C918%20domestic,the%20year%20ending%20March%202022</w:t>
        </w:r>
      </w:hyperlink>
      <w:r w:rsidRPr="00015220">
        <w:rPr>
          <w:rFonts w:ascii="Calibri" w:hAnsi="Calibri" w:cs="Calibri"/>
        </w:rPr>
        <w:t>.</w:t>
      </w:r>
      <w:r>
        <w:rPr>
          <w:rFonts w:ascii="Calibri" w:hAnsi="Calibri" w:cs="Calibri"/>
        </w:rPr>
        <w:t xml:space="preserve"> (Accessed: 4 November 2024). </w:t>
      </w:r>
    </w:p>
    <w:p w14:paraId="3ADC6A84" w14:textId="77777777" w:rsidR="005E25E3" w:rsidRDefault="005E25E3" w:rsidP="00677726">
      <w:pPr>
        <w:spacing w:line="360" w:lineRule="auto"/>
        <w:rPr>
          <w:rFonts w:ascii="Calibri" w:hAnsi="Calibri" w:cs="Calibri"/>
        </w:rPr>
      </w:pPr>
    </w:p>
    <w:p w14:paraId="3E38C465" w14:textId="56930507" w:rsidR="005E25E3" w:rsidRDefault="005E25E3" w:rsidP="00677726">
      <w:pPr>
        <w:spacing w:line="360" w:lineRule="auto"/>
        <w:rPr>
          <w:rFonts w:ascii="Calibri" w:hAnsi="Calibri" w:cs="Calibri"/>
        </w:rPr>
      </w:pPr>
      <w:r>
        <w:rPr>
          <w:rFonts w:ascii="Calibri" w:hAnsi="Calibri" w:cs="Calibri"/>
        </w:rPr>
        <w:t xml:space="preserve">Police Professional (2017) </w:t>
      </w:r>
      <w:r w:rsidRPr="002B4954">
        <w:rPr>
          <w:rFonts w:ascii="Calibri" w:hAnsi="Calibri" w:cs="Calibri"/>
          <w:i/>
          <w:iCs/>
        </w:rPr>
        <w:t>Whole system approach needed to increasingly complex vulnerability.</w:t>
      </w:r>
      <w:r>
        <w:rPr>
          <w:rFonts w:ascii="Calibri" w:hAnsi="Calibri" w:cs="Calibri"/>
        </w:rPr>
        <w:t xml:space="preserve"> Available at: </w:t>
      </w:r>
      <w:hyperlink r:id="rId23" w:history="1">
        <w:r w:rsidRPr="001378AC">
          <w:rPr>
            <w:rStyle w:val="Hyperlink"/>
            <w:rFonts w:ascii="Calibri" w:hAnsi="Calibri" w:cs="Calibri"/>
          </w:rPr>
          <w:t>https://policeprofessional.com/news/%C2%91whole-system-approach%C2%92-needed-to-increasingly-complex-vulnerability/</w:t>
        </w:r>
      </w:hyperlink>
      <w:r>
        <w:rPr>
          <w:rFonts w:ascii="Calibri" w:hAnsi="Calibri" w:cs="Calibri"/>
        </w:rPr>
        <w:t xml:space="preserve"> (Accessed: 7 November 2024). </w:t>
      </w:r>
    </w:p>
    <w:p w14:paraId="3F99CEB2" w14:textId="77777777" w:rsidR="005E25E3" w:rsidRDefault="005E25E3" w:rsidP="00677726">
      <w:pPr>
        <w:spacing w:line="360" w:lineRule="auto"/>
        <w:rPr>
          <w:rFonts w:ascii="Calibri" w:hAnsi="Calibri" w:cs="Calibri"/>
        </w:rPr>
      </w:pPr>
    </w:p>
    <w:p w14:paraId="22D33973" w14:textId="77777777" w:rsidR="005E25E3" w:rsidRDefault="005E25E3" w:rsidP="00677726">
      <w:pPr>
        <w:spacing w:line="360" w:lineRule="auto"/>
        <w:rPr>
          <w:rFonts w:ascii="Calibri" w:hAnsi="Calibri" w:cs="Calibri"/>
        </w:rPr>
      </w:pPr>
      <w:r>
        <w:rPr>
          <w:rFonts w:ascii="Calibri" w:hAnsi="Calibri" w:cs="Calibri"/>
        </w:rPr>
        <w:t xml:space="preserve">Powell, T. and Gheera, M. (2021) </w:t>
      </w:r>
      <w:r>
        <w:rPr>
          <w:rFonts w:ascii="Calibri" w:hAnsi="Calibri" w:cs="Calibri"/>
          <w:i/>
          <w:iCs/>
        </w:rPr>
        <w:t xml:space="preserve">Early intervention: A background paper. </w:t>
      </w:r>
      <w:r>
        <w:rPr>
          <w:rFonts w:ascii="Calibri" w:hAnsi="Calibri" w:cs="Calibri"/>
        </w:rPr>
        <w:t xml:space="preserve">(House of Commons Library briefing paper 9292). Available at: </w:t>
      </w:r>
      <w:hyperlink r:id="rId24" w:history="1">
        <w:r w:rsidRPr="001378AC">
          <w:rPr>
            <w:rStyle w:val="Hyperlink"/>
            <w:rFonts w:ascii="Calibri" w:hAnsi="Calibri" w:cs="Calibri"/>
          </w:rPr>
          <w:t>https://researchbriefings.files.parliament.uk/documents/CBP-9292/CBP-9292.pdf</w:t>
        </w:r>
      </w:hyperlink>
      <w:r>
        <w:rPr>
          <w:rFonts w:ascii="Calibri" w:hAnsi="Calibri" w:cs="Calibri"/>
        </w:rPr>
        <w:t xml:space="preserve"> (Accessed: 6 November 2024). </w:t>
      </w:r>
    </w:p>
    <w:p w14:paraId="038C45CF" w14:textId="77777777" w:rsidR="005E25E3" w:rsidRDefault="005E25E3" w:rsidP="00677726">
      <w:pPr>
        <w:spacing w:line="360" w:lineRule="auto"/>
        <w:rPr>
          <w:rFonts w:ascii="Calibri" w:hAnsi="Calibri" w:cs="Calibri"/>
        </w:rPr>
      </w:pPr>
    </w:p>
    <w:p w14:paraId="1C4FB3B1" w14:textId="77777777" w:rsidR="005E25E3" w:rsidRDefault="005E25E3" w:rsidP="00677726">
      <w:pPr>
        <w:spacing w:line="360" w:lineRule="auto"/>
        <w:rPr>
          <w:rFonts w:ascii="Calibri" w:hAnsi="Calibri" w:cs="Calibri"/>
        </w:rPr>
      </w:pPr>
      <w:r>
        <w:rPr>
          <w:rFonts w:ascii="Calibri" w:hAnsi="Calibri" w:cs="Calibri"/>
        </w:rPr>
        <w:t xml:space="preserve">Schreck, C. J. and Fisher, B. J. (2004) ‘Specifying the influence of family and peers on violent victimization’, </w:t>
      </w:r>
      <w:r>
        <w:rPr>
          <w:rFonts w:ascii="Calibri" w:hAnsi="Calibri" w:cs="Calibri"/>
          <w:i/>
          <w:iCs/>
        </w:rPr>
        <w:t xml:space="preserve">Journal of Interpersonal Violence, </w:t>
      </w:r>
      <w:r w:rsidRPr="00787C92">
        <w:rPr>
          <w:rFonts w:ascii="Calibri" w:hAnsi="Calibri" w:cs="Calibri"/>
        </w:rPr>
        <w:t xml:space="preserve">19(9), </w:t>
      </w:r>
      <w:r>
        <w:rPr>
          <w:rFonts w:ascii="Calibri" w:hAnsi="Calibri" w:cs="Calibri"/>
        </w:rPr>
        <w:t xml:space="preserve">pp. 955-1084. Available at: </w:t>
      </w:r>
      <w:hyperlink r:id="rId25" w:history="1">
        <w:r w:rsidRPr="001378AC">
          <w:rPr>
            <w:rStyle w:val="Hyperlink"/>
            <w:rFonts w:ascii="Calibri" w:hAnsi="Calibri" w:cs="Calibri"/>
          </w:rPr>
          <w:t>https://journals-sagepub-com.ezproxy.uwtsd.ac.uk/doi/epdf/10.1177/0886260504268002</w:t>
        </w:r>
      </w:hyperlink>
      <w:r>
        <w:rPr>
          <w:rFonts w:ascii="Calibri" w:hAnsi="Calibri" w:cs="Calibri"/>
        </w:rPr>
        <w:t xml:space="preserve"> (Accessed: 7 November 2024). </w:t>
      </w:r>
    </w:p>
    <w:p w14:paraId="4A6323E8" w14:textId="77777777" w:rsidR="005E25E3" w:rsidRDefault="005E25E3" w:rsidP="00677726">
      <w:pPr>
        <w:spacing w:line="360" w:lineRule="auto"/>
        <w:rPr>
          <w:rFonts w:ascii="Calibri" w:hAnsi="Calibri" w:cs="Calibri"/>
        </w:rPr>
      </w:pPr>
    </w:p>
    <w:p w14:paraId="38AD48A5" w14:textId="77777777" w:rsidR="005E25E3" w:rsidRDefault="005E25E3" w:rsidP="00677726">
      <w:pPr>
        <w:spacing w:line="360" w:lineRule="auto"/>
        <w:rPr>
          <w:rFonts w:ascii="Calibri" w:hAnsi="Calibri" w:cs="Calibri"/>
        </w:rPr>
      </w:pPr>
      <w:r>
        <w:rPr>
          <w:rFonts w:ascii="Calibri" w:hAnsi="Calibri" w:cs="Calibri"/>
        </w:rPr>
        <w:t xml:space="preserve">Vulnerability Knowledge &amp; Practice Programme (2023) </w:t>
      </w:r>
      <w:r>
        <w:rPr>
          <w:rFonts w:ascii="Calibri" w:hAnsi="Calibri" w:cs="Calibri"/>
          <w:i/>
          <w:iCs/>
        </w:rPr>
        <w:t xml:space="preserve">National Vulnerability Action Plan (NVAP).  </w:t>
      </w:r>
      <w:r>
        <w:rPr>
          <w:rFonts w:ascii="Calibri" w:hAnsi="Calibri" w:cs="Calibri"/>
        </w:rPr>
        <w:t xml:space="preserve">Available at: </w:t>
      </w:r>
      <w:hyperlink r:id="rId26" w:history="1">
        <w:r w:rsidRPr="001378AC">
          <w:rPr>
            <w:rStyle w:val="Hyperlink"/>
            <w:rFonts w:ascii="Calibri" w:hAnsi="Calibri" w:cs="Calibri"/>
          </w:rPr>
          <w:t>https://www.vkpp.org.uk/assets/Files/NVAP-with-Interim-Measures-v3.4-External-FINAL1.pdf</w:t>
        </w:r>
      </w:hyperlink>
      <w:r>
        <w:rPr>
          <w:rFonts w:ascii="Calibri" w:hAnsi="Calibri" w:cs="Calibri"/>
        </w:rPr>
        <w:t xml:space="preserve"> (Accessed: 6 November 2024). </w:t>
      </w:r>
    </w:p>
    <w:p w14:paraId="4448635F" w14:textId="77777777" w:rsidR="005E25E3" w:rsidRDefault="005E25E3" w:rsidP="00677726">
      <w:pPr>
        <w:spacing w:line="360" w:lineRule="auto"/>
        <w:rPr>
          <w:rFonts w:ascii="Calibri" w:hAnsi="Calibri" w:cs="Calibri"/>
        </w:rPr>
      </w:pPr>
    </w:p>
    <w:p w14:paraId="6AC8B662" w14:textId="77777777" w:rsidR="005E25E3" w:rsidRDefault="005E25E3" w:rsidP="00677726">
      <w:pPr>
        <w:spacing w:line="360" w:lineRule="auto"/>
        <w:rPr>
          <w:rFonts w:ascii="Calibri" w:hAnsi="Calibri" w:cs="Calibri"/>
        </w:rPr>
      </w:pPr>
      <w:r>
        <w:rPr>
          <w:rFonts w:ascii="Calibri" w:hAnsi="Calibri" w:cs="Calibri"/>
        </w:rPr>
        <w:t xml:space="preserve">Walker, L. E. (1977) ‘Who are battered women? </w:t>
      </w:r>
      <w:r>
        <w:rPr>
          <w:rFonts w:ascii="Calibri" w:hAnsi="Calibri" w:cs="Calibri"/>
          <w:i/>
          <w:iCs/>
        </w:rPr>
        <w:t xml:space="preserve">Frontiers: A Journal of Women Studies’, </w:t>
      </w:r>
      <w:r>
        <w:rPr>
          <w:rFonts w:ascii="Calibri" w:hAnsi="Calibri" w:cs="Calibri"/>
        </w:rPr>
        <w:t xml:space="preserve">2(1), pp.52-57. Available at: </w:t>
      </w:r>
      <w:hyperlink r:id="rId27" w:history="1">
        <w:r w:rsidRPr="001378AC">
          <w:rPr>
            <w:rStyle w:val="Hyperlink"/>
            <w:rFonts w:ascii="Calibri" w:hAnsi="Calibri" w:cs="Calibri"/>
          </w:rPr>
          <w:t>https://www-jstor-org.ezproxy.uwtsd.ac.uk/stable/3346107?seq=2</w:t>
        </w:r>
      </w:hyperlink>
      <w:r>
        <w:rPr>
          <w:rFonts w:ascii="Calibri" w:hAnsi="Calibri" w:cs="Calibri"/>
        </w:rPr>
        <w:t xml:space="preserve"> (Accessed: 31 October 2024). </w:t>
      </w:r>
    </w:p>
    <w:sectPr w:rsidR="005E25E3" w:rsidSect="001266C1">
      <w:pgSz w:w="11894" w:h="16834"/>
      <w:pgMar w:top="720" w:right="720" w:bottom="720" w:left="720" w:header="709" w:footer="454"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6C1636"/>
    <w:multiLevelType w:val="hybridMultilevel"/>
    <w:tmpl w:val="75ACAAB2"/>
    <w:lvl w:ilvl="0" w:tplc="DB04D146">
      <w:start w:val="1"/>
      <w:numFmt w:val="bullet"/>
      <w:lvlText w:val="•"/>
      <w:lvlJc w:val="left"/>
      <w:pPr>
        <w:tabs>
          <w:tab w:val="num" w:pos="720"/>
        </w:tabs>
        <w:ind w:left="720" w:hanging="360"/>
      </w:pPr>
      <w:rPr>
        <w:rFonts w:ascii="Arial" w:hAnsi="Arial" w:hint="default"/>
      </w:rPr>
    </w:lvl>
    <w:lvl w:ilvl="1" w:tplc="07C448A0" w:tentative="1">
      <w:start w:val="1"/>
      <w:numFmt w:val="bullet"/>
      <w:lvlText w:val="•"/>
      <w:lvlJc w:val="left"/>
      <w:pPr>
        <w:tabs>
          <w:tab w:val="num" w:pos="1440"/>
        </w:tabs>
        <w:ind w:left="1440" w:hanging="360"/>
      </w:pPr>
      <w:rPr>
        <w:rFonts w:ascii="Arial" w:hAnsi="Arial" w:hint="default"/>
      </w:rPr>
    </w:lvl>
    <w:lvl w:ilvl="2" w:tplc="8A5EE12A" w:tentative="1">
      <w:start w:val="1"/>
      <w:numFmt w:val="bullet"/>
      <w:lvlText w:val="•"/>
      <w:lvlJc w:val="left"/>
      <w:pPr>
        <w:tabs>
          <w:tab w:val="num" w:pos="2160"/>
        </w:tabs>
        <w:ind w:left="2160" w:hanging="360"/>
      </w:pPr>
      <w:rPr>
        <w:rFonts w:ascii="Arial" w:hAnsi="Arial" w:hint="default"/>
      </w:rPr>
    </w:lvl>
    <w:lvl w:ilvl="3" w:tplc="B852977E" w:tentative="1">
      <w:start w:val="1"/>
      <w:numFmt w:val="bullet"/>
      <w:lvlText w:val="•"/>
      <w:lvlJc w:val="left"/>
      <w:pPr>
        <w:tabs>
          <w:tab w:val="num" w:pos="2880"/>
        </w:tabs>
        <w:ind w:left="2880" w:hanging="360"/>
      </w:pPr>
      <w:rPr>
        <w:rFonts w:ascii="Arial" w:hAnsi="Arial" w:hint="default"/>
      </w:rPr>
    </w:lvl>
    <w:lvl w:ilvl="4" w:tplc="5FC46B92" w:tentative="1">
      <w:start w:val="1"/>
      <w:numFmt w:val="bullet"/>
      <w:lvlText w:val="•"/>
      <w:lvlJc w:val="left"/>
      <w:pPr>
        <w:tabs>
          <w:tab w:val="num" w:pos="3600"/>
        </w:tabs>
        <w:ind w:left="3600" w:hanging="360"/>
      </w:pPr>
      <w:rPr>
        <w:rFonts w:ascii="Arial" w:hAnsi="Arial" w:hint="default"/>
      </w:rPr>
    </w:lvl>
    <w:lvl w:ilvl="5" w:tplc="2B3AC084" w:tentative="1">
      <w:start w:val="1"/>
      <w:numFmt w:val="bullet"/>
      <w:lvlText w:val="•"/>
      <w:lvlJc w:val="left"/>
      <w:pPr>
        <w:tabs>
          <w:tab w:val="num" w:pos="4320"/>
        </w:tabs>
        <w:ind w:left="4320" w:hanging="360"/>
      </w:pPr>
      <w:rPr>
        <w:rFonts w:ascii="Arial" w:hAnsi="Arial" w:hint="default"/>
      </w:rPr>
    </w:lvl>
    <w:lvl w:ilvl="6" w:tplc="FA703254" w:tentative="1">
      <w:start w:val="1"/>
      <w:numFmt w:val="bullet"/>
      <w:lvlText w:val="•"/>
      <w:lvlJc w:val="left"/>
      <w:pPr>
        <w:tabs>
          <w:tab w:val="num" w:pos="5040"/>
        </w:tabs>
        <w:ind w:left="5040" w:hanging="360"/>
      </w:pPr>
      <w:rPr>
        <w:rFonts w:ascii="Arial" w:hAnsi="Arial" w:hint="default"/>
      </w:rPr>
    </w:lvl>
    <w:lvl w:ilvl="7" w:tplc="22CA2768" w:tentative="1">
      <w:start w:val="1"/>
      <w:numFmt w:val="bullet"/>
      <w:lvlText w:val="•"/>
      <w:lvlJc w:val="left"/>
      <w:pPr>
        <w:tabs>
          <w:tab w:val="num" w:pos="5760"/>
        </w:tabs>
        <w:ind w:left="5760" w:hanging="360"/>
      </w:pPr>
      <w:rPr>
        <w:rFonts w:ascii="Arial" w:hAnsi="Arial" w:hint="default"/>
      </w:rPr>
    </w:lvl>
    <w:lvl w:ilvl="8" w:tplc="43045F30" w:tentative="1">
      <w:start w:val="1"/>
      <w:numFmt w:val="bullet"/>
      <w:lvlText w:val="•"/>
      <w:lvlJc w:val="left"/>
      <w:pPr>
        <w:tabs>
          <w:tab w:val="num" w:pos="6480"/>
        </w:tabs>
        <w:ind w:left="6480" w:hanging="360"/>
      </w:pPr>
      <w:rPr>
        <w:rFonts w:ascii="Arial" w:hAnsi="Arial" w:hint="default"/>
      </w:rPr>
    </w:lvl>
  </w:abstractNum>
  <w:num w:numId="1" w16cid:durableId="633682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oNotDisplayPageBoundaries/>
  <w:proofState w:spelling="clean" w:grammar="clean"/>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726"/>
    <w:rsid w:val="00000411"/>
    <w:rsid w:val="00003123"/>
    <w:rsid w:val="00003CE8"/>
    <w:rsid w:val="00006AE9"/>
    <w:rsid w:val="00007311"/>
    <w:rsid w:val="00007603"/>
    <w:rsid w:val="000111A4"/>
    <w:rsid w:val="00011ADC"/>
    <w:rsid w:val="00012D78"/>
    <w:rsid w:val="00013841"/>
    <w:rsid w:val="00013924"/>
    <w:rsid w:val="00015220"/>
    <w:rsid w:val="00022A37"/>
    <w:rsid w:val="00023198"/>
    <w:rsid w:val="000251EE"/>
    <w:rsid w:val="00025E50"/>
    <w:rsid w:val="000324CB"/>
    <w:rsid w:val="00034D31"/>
    <w:rsid w:val="00036FB1"/>
    <w:rsid w:val="0004355B"/>
    <w:rsid w:val="00043604"/>
    <w:rsid w:val="00043C4F"/>
    <w:rsid w:val="0004488A"/>
    <w:rsid w:val="00047E62"/>
    <w:rsid w:val="000555A3"/>
    <w:rsid w:val="000575DA"/>
    <w:rsid w:val="000672CB"/>
    <w:rsid w:val="00067E5F"/>
    <w:rsid w:val="00071BC9"/>
    <w:rsid w:val="00072794"/>
    <w:rsid w:val="0007464F"/>
    <w:rsid w:val="00077295"/>
    <w:rsid w:val="0008053A"/>
    <w:rsid w:val="000816AF"/>
    <w:rsid w:val="00081E5D"/>
    <w:rsid w:val="00087C69"/>
    <w:rsid w:val="0009006A"/>
    <w:rsid w:val="000926BA"/>
    <w:rsid w:val="00093580"/>
    <w:rsid w:val="000A655C"/>
    <w:rsid w:val="000A74D2"/>
    <w:rsid w:val="000B2587"/>
    <w:rsid w:val="000B45BE"/>
    <w:rsid w:val="000B5BEF"/>
    <w:rsid w:val="000B65AF"/>
    <w:rsid w:val="000B6F98"/>
    <w:rsid w:val="000C40CB"/>
    <w:rsid w:val="000C4C47"/>
    <w:rsid w:val="000D019F"/>
    <w:rsid w:val="000D058A"/>
    <w:rsid w:val="000D428D"/>
    <w:rsid w:val="000D5741"/>
    <w:rsid w:val="000D6734"/>
    <w:rsid w:val="000E2D83"/>
    <w:rsid w:val="000E515B"/>
    <w:rsid w:val="000F0BBF"/>
    <w:rsid w:val="000F2CE8"/>
    <w:rsid w:val="000F3736"/>
    <w:rsid w:val="000F4647"/>
    <w:rsid w:val="000F5005"/>
    <w:rsid w:val="000F6E9C"/>
    <w:rsid w:val="0010233B"/>
    <w:rsid w:val="00106F1E"/>
    <w:rsid w:val="0011566A"/>
    <w:rsid w:val="00117F97"/>
    <w:rsid w:val="0012074A"/>
    <w:rsid w:val="00120C77"/>
    <w:rsid w:val="00122C28"/>
    <w:rsid w:val="0012321A"/>
    <w:rsid w:val="001266C1"/>
    <w:rsid w:val="001272EC"/>
    <w:rsid w:val="00130F0F"/>
    <w:rsid w:val="001403FB"/>
    <w:rsid w:val="00143994"/>
    <w:rsid w:val="00143D92"/>
    <w:rsid w:val="00147E37"/>
    <w:rsid w:val="001563A7"/>
    <w:rsid w:val="00157E58"/>
    <w:rsid w:val="00160663"/>
    <w:rsid w:val="00163907"/>
    <w:rsid w:val="00163DC8"/>
    <w:rsid w:val="0016584A"/>
    <w:rsid w:val="00166B77"/>
    <w:rsid w:val="00166E2B"/>
    <w:rsid w:val="00176B2C"/>
    <w:rsid w:val="0019435A"/>
    <w:rsid w:val="00195437"/>
    <w:rsid w:val="00196F4B"/>
    <w:rsid w:val="001A0F88"/>
    <w:rsid w:val="001A5942"/>
    <w:rsid w:val="001A79A9"/>
    <w:rsid w:val="001A7AAC"/>
    <w:rsid w:val="001A7EAC"/>
    <w:rsid w:val="001B4D2B"/>
    <w:rsid w:val="001B6337"/>
    <w:rsid w:val="001D3C67"/>
    <w:rsid w:val="001D7D8F"/>
    <w:rsid w:val="001E0C6A"/>
    <w:rsid w:val="001E28A1"/>
    <w:rsid w:val="001E5704"/>
    <w:rsid w:val="001E6523"/>
    <w:rsid w:val="001F13EC"/>
    <w:rsid w:val="001F27E3"/>
    <w:rsid w:val="001F750B"/>
    <w:rsid w:val="002044C3"/>
    <w:rsid w:val="00212F91"/>
    <w:rsid w:val="002139E8"/>
    <w:rsid w:val="00226B10"/>
    <w:rsid w:val="002276EE"/>
    <w:rsid w:val="0023025F"/>
    <w:rsid w:val="002307F8"/>
    <w:rsid w:val="0023520C"/>
    <w:rsid w:val="00237246"/>
    <w:rsid w:val="00241C0D"/>
    <w:rsid w:val="00243661"/>
    <w:rsid w:val="00245614"/>
    <w:rsid w:val="002515F8"/>
    <w:rsid w:val="00254E99"/>
    <w:rsid w:val="00275634"/>
    <w:rsid w:val="00275A9D"/>
    <w:rsid w:val="00276056"/>
    <w:rsid w:val="00282AF7"/>
    <w:rsid w:val="00283C06"/>
    <w:rsid w:val="00286709"/>
    <w:rsid w:val="00286C72"/>
    <w:rsid w:val="00287D59"/>
    <w:rsid w:val="00291FA2"/>
    <w:rsid w:val="00293EF7"/>
    <w:rsid w:val="00294819"/>
    <w:rsid w:val="00295191"/>
    <w:rsid w:val="002A0B60"/>
    <w:rsid w:val="002A1AEE"/>
    <w:rsid w:val="002A31E4"/>
    <w:rsid w:val="002B1209"/>
    <w:rsid w:val="002B4756"/>
    <w:rsid w:val="002B4954"/>
    <w:rsid w:val="002B753B"/>
    <w:rsid w:val="002C1622"/>
    <w:rsid w:val="002C2954"/>
    <w:rsid w:val="002D487D"/>
    <w:rsid w:val="002E0FEA"/>
    <w:rsid w:val="002E3F79"/>
    <w:rsid w:val="002E667E"/>
    <w:rsid w:val="002F3B37"/>
    <w:rsid w:val="002F4125"/>
    <w:rsid w:val="003003BA"/>
    <w:rsid w:val="00302011"/>
    <w:rsid w:val="003025C0"/>
    <w:rsid w:val="00312F26"/>
    <w:rsid w:val="00314F98"/>
    <w:rsid w:val="00320A0A"/>
    <w:rsid w:val="00322AE5"/>
    <w:rsid w:val="00327221"/>
    <w:rsid w:val="00333EE8"/>
    <w:rsid w:val="0033679E"/>
    <w:rsid w:val="003416BE"/>
    <w:rsid w:val="00345E8F"/>
    <w:rsid w:val="00350083"/>
    <w:rsid w:val="003522CE"/>
    <w:rsid w:val="003536D6"/>
    <w:rsid w:val="00353BFC"/>
    <w:rsid w:val="003614E4"/>
    <w:rsid w:val="0036439E"/>
    <w:rsid w:val="003671F2"/>
    <w:rsid w:val="00371800"/>
    <w:rsid w:val="0037208B"/>
    <w:rsid w:val="00372CC7"/>
    <w:rsid w:val="003747F0"/>
    <w:rsid w:val="00380D77"/>
    <w:rsid w:val="00382C12"/>
    <w:rsid w:val="00382C93"/>
    <w:rsid w:val="003839A7"/>
    <w:rsid w:val="0038785A"/>
    <w:rsid w:val="003916B7"/>
    <w:rsid w:val="003967BE"/>
    <w:rsid w:val="003970C3"/>
    <w:rsid w:val="003A14FF"/>
    <w:rsid w:val="003A45A1"/>
    <w:rsid w:val="003B116A"/>
    <w:rsid w:val="003B19F6"/>
    <w:rsid w:val="003C05F2"/>
    <w:rsid w:val="003C2214"/>
    <w:rsid w:val="003C438A"/>
    <w:rsid w:val="003C6DA4"/>
    <w:rsid w:val="003D1A9E"/>
    <w:rsid w:val="003D1B85"/>
    <w:rsid w:val="003D2DAE"/>
    <w:rsid w:val="003D35CD"/>
    <w:rsid w:val="003D6571"/>
    <w:rsid w:val="003D666C"/>
    <w:rsid w:val="003F6D43"/>
    <w:rsid w:val="003F7F7C"/>
    <w:rsid w:val="00400166"/>
    <w:rsid w:val="00401948"/>
    <w:rsid w:val="00405071"/>
    <w:rsid w:val="00412EBC"/>
    <w:rsid w:val="00414DB9"/>
    <w:rsid w:val="004150CD"/>
    <w:rsid w:val="004170DD"/>
    <w:rsid w:val="00421717"/>
    <w:rsid w:val="004219E3"/>
    <w:rsid w:val="00423244"/>
    <w:rsid w:val="0042517D"/>
    <w:rsid w:val="00427502"/>
    <w:rsid w:val="00430B8C"/>
    <w:rsid w:val="00431B14"/>
    <w:rsid w:val="00433662"/>
    <w:rsid w:val="00434434"/>
    <w:rsid w:val="00436479"/>
    <w:rsid w:val="0044487F"/>
    <w:rsid w:val="004460E3"/>
    <w:rsid w:val="0044685C"/>
    <w:rsid w:val="00446ABC"/>
    <w:rsid w:val="00447CBE"/>
    <w:rsid w:val="004535DF"/>
    <w:rsid w:val="00455511"/>
    <w:rsid w:val="00461458"/>
    <w:rsid w:val="004659D3"/>
    <w:rsid w:val="00472454"/>
    <w:rsid w:val="00473497"/>
    <w:rsid w:val="00475C49"/>
    <w:rsid w:val="00475DE0"/>
    <w:rsid w:val="00477CB1"/>
    <w:rsid w:val="0048177C"/>
    <w:rsid w:val="00481829"/>
    <w:rsid w:val="004853FD"/>
    <w:rsid w:val="00492FDC"/>
    <w:rsid w:val="00494474"/>
    <w:rsid w:val="0049741D"/>
    <w:rsid w:val="004A2A2B"/>
    <w:rsid w:val="004A6EEE"/>
    <w:rsid w:val="004B1F13"/>
    <w:rsid w:val="004B6560"/>
    <w:rsid w:val="004C009F"/>
    <w:rsid w:val="004C15BA"/>
    <w:rsid w:val="004C1F96"/>
    <w:rsid w:val="004C28C8"/>
    <w:rsid w:val="004E057E"/>
    <w:rsid w:val="004E3D93"/>
    <w:rsid w:val="004E4426"/>
    <w:rsid w:val="004E5A90"/>
    <w:rsid w:val="004F71A6"/>
    <w:rsid w:val="00505CAD"/>
    <w:rsid w:val="00515C40"/>
    <w:rsid w:val="00517943"/>
    <w:rsid w:val="00520747"/>
    <w:rsid w:val="0052462E"/>
    <w:rsid w:val="00526FB1"/>
    <w:rsid w:val="00530C08"/>
    <w:rsid w:val="005321F6"/>
    <w:rsid w:val="005329B6"/>
    <w:rsid w:val="0053498D"/>
    <w:rsid w:val="0054716A"/>
    <w:rsid w:val="00547DBB"/>
    <w:rsid w:val="005564D8"/>
    <w:rsid w:val="00565960"/>
    <w:rsid w:val="005659EE"/>
    <w:rsid w:val="00566B67"/>
    <w:rsid w:val="005715B5"/>
    <w:rsid w:val="00571656"/>
    <w:rsid w:val="00573040"/>
    <w:rsid w:val="00573529"/>
    <w:rsid w:val="00573FEE"/>
    <w:rsid w:val="00576FEB"/>
    <w:rsid w:val="00577554"/>
    <w:rsid w:val="005776D3"/>
    <w:rsid w:val="00577796"/>
    <w:rsid w:val="00580AE7"/>
    <w:rsid w:val="00584097"/>
    <w:rsid w:val="00591992"/>
    <w:rsid w:val="00594BB0"/>
    <w:rsid w:val="0059754D"/>
    <w:rsid w:val="005A33DA"/>
    <w:rsid w:val="005B15E2"/>
    <w:rsid w:val="005B204D"/>
    <w:rsid w:val="005B4719"/>
    <w:rsid w:val="005B67F0"/>
    <w:rsid w:val="005B73C5"/>
    <w:rsid w:val="005B7F9D"/>
    <w:rsid w:val="005C25A8"/>
    <w:rsid w:val="005D3060"/>
    <w:rsid w:val="005D73FC"/>
    <w:rsid w:val="005E1CED"/>
    <w:rsid w:val="005E25E3"/>
    <w:rsid w:val="005E73EC"/>
    <w:rsid w:val="005E7B50"/>
    <w:rsid w:val="005F0FC9"/>
    <w:rsid w:val="005F78B8"/>
    <w:rsid w:val="00612747"/>
    <w:rsid w:val="00613279"/>
    <w:rsid w:val="00623B15"/>
    <w:rsid w:val="00626BC4"/>
    <w:rsid w:val="00626D01"/>
    <w:rsid w:val="00626DE3"/>
    <w:rsid w:val="00627D66"/>
    <w:rsid w:val="006326E1"/>
    <w:rsid w:val="00633122"/>
    <w:rsid w:val="00633D98"/>
    <w:rsid w:val="006357F4"/>
    <w:rsid w:val="00636E3F"/>
    <w:rsid w:val="00637BF4"/>
    <w:rsid w:val="00637E81"/>
    <w:rsid w:val="00656395"/>
    <w:rsid w:val="00656966"/>
    <w:rsid w:val="00656BE3"/>
    <w:rsid w:val="00670EB6"/>
    <w:rsid w:val="0067627A"/>
    <w:rsid w:val="00676FCF"/>
    <w:rsid w:val="00677726"/>
    <w:rsid w:val="00682F94"/>
    <w:rsid w:val="00683880"/>
    <w:rsid w:val="006840B4"/>
    <w:rsid w:val="0068607A"/>
    <w:rsid w:val="00692F6B"/>
    <w:rsid w:val="00696B3D"/>
    <w:rsid w:val="00697002"/>
    <w:rsid w:val="006A44E3"/>
    <w:rsid w:val="006A5A58"/>
    <w:rsid w:val="006A5C95"/>
    <w:rsid w:val="006B5777"/>
    <w:rsid w:val="006C25B1"/>
    <w:rsid w:val="006D28B9"/>
    <w:rsid w:val="006D33C2"/>
    <w:rsid w:val="006D7FE6"/>
    <w:rsid w:val="006E0386"/>
    <w:rsid w:val="006E240A"/>
    <w:rsid w:val="006E242C"/>
    <w:rsid w:val="006E2B7A"/>
    <w:rsid w:val="006E5E4C"/>
    <w:rsid w:val="006F0E21"/>
    <w:rsid w:val="006F1BA9"/>
    <w:rsid w:val="006F206F"/>
    <w:rsid w:val="006F2556"/>
    <w:rsid w:val="006F497A"/>
    <w:rsid w:val="006F7DE3"/>
    <w:rsid w:val="00701A45"/>
    <w:rsid w:val="00706A80"/>
    <w:rsid w:val="00707B4B"/>
    <w:rsid w:val="00710B1D"/>
    <w:rsid w:val="00716B21"/>
    <w:rsid w:val="00720B39"/>
    <w:rsid w:val="00726116"/>
    <w:rsid w:val="007309AA"/>
    <w:rsid w:val="007357D5"/>
    <w:rsid w:val="00740C5C"/>
    <w:rsid w:val="00740D42"/>
    <w:rsid w:val="00753888"/>
    <w:rsid w:val="007571CF"/>
    <w:rsid w:val="007638E4"/>
    <w:rsid w:val="0076587A"/>
    <w:rsid w:val="00770B6D"/>
    <w:rsid w:val="007732CB"/>
    <w:rsid w:val="007735F2"/>
    <w:rsid w:val="00776CFE"/>
    <w:rsid w:val="00776FA1"/>
    <w:rsid w:val="0078137C"/>
    <w:rsid w:val="007841F0"/>
    <w:rsid w:val="00786652"/>
    <w:rsid w:val="00787C92"/>
    <w:rsid w:val="00791511"/>
    <w:rsid w:val="00792ADC"/>
    <w:rsid w:val="00797BC8"/>
    <w:rsid w:val="007A0847"/>
    <w:rsid w:val="007A4778"/>
    <w:rsid w:val="007A64C2"/>
    <w:rsid w:val="007B0832"/>
    <w:rsid w:val="007B2CD1"/>
    <w:rsid w:val="007B34AE"/>
    <w:rsid w:val="007B37EC"/>
    <w:rsid w:val="007B45EC"/>
    <w:rsid w:val="007B520D"/>
    <w:rsid w:val="007B6CFC"/>
    <w:rsid w:val="007B7968"/>
    <w:rsid w:val="007C0150"/>
    <w:rsid w:val="007C36DF"/>
    <w:rsid w:val="007C4126"/>
    <w:rsid w:val="007C43C4"/>
    <w:rsid w:val="007D05CA"/>
    <w:rsid w:val="007D6A4D"/>
    <w:rsid w:val="007E26A1"/>
    <w:rsid w:val="007E516C"/>
    <w:rsid w:val="007F1162"/>
    <w:rsid w:val="007F1339"/>
    <w:rsid w:val="007F6ADB"/>
    <w:rsid w:val="0080686A"/>
    <w:rsid w:val="008121FF"/>
    <w:rsid w:val="00814AB9"/>
    <w:rsid w:val="008153CB"/>
    <w:rsid w:val="00816A33"/>
    <w:rsid w:val="008205A3"/>
    <w:rsid w:val="00820D38"/>
    <w:rsid w:val="0082245E"/>
    <w:rsid w:val="00830F9F"/>
    <w:rsid w:val="008411EB"/>
    <w:rsid w:val="008427F8"/>
    <w:rsid w:val="0084321F"/>
    <w:rsid w:val="0084351F"/>
    <w:rsid w:val="00844FF0"/>
    <w:rsid w:val="008471C9"/>
    <w:rsid w:val="00850253"/>
    <w:rsid w:val="00851CDB"/>
    <w:rsid w:val="008521E4"/>
    <w:rsid w:val="008531C8"/>
    <w:rsid w:val="00854A75"/>
    <w:rsid w:val="008550E8"/>
    <w:rsid w:val="00856275"/>
    <w:rsid w:val="008601AD"/>
    <w:rsid w:val="00873196"/>
    <w:rsid w:val="0087439E"/>
    <w:rsid w:val="00887CC4"/>
    <w:rsid w:val="008915E0"/>
    <w:rsid w:val="008A1285"/>
    <w:rsid w:val="008A3C56"/>
    <w:rsid w:val="008A4416"/>
    <w:rsid w:val="008A5908"/>
    <w:rsid w:val="008A7478"/>
    <w:rsid w:val="008B2F01"/>
    <w:rsid w:val="008C0DA5"/>
    <w:rsid w:val="008C165E"/>
    <w:rsid w:val="008C6F69"/>
    <w:rsid w:val="008C7080"/>
    <w:rsid w:val="008D0622"/>
    <w:rsid w:val="008D6D8B"/>
    <w:rsid w:val="008E1166"/>
    <w:rsid w:val="008E4E28"/>
    <w:rsid w:val="008F5C0C"/>
    <w:rsid w:val="008F6FE4"/>
    <w:rsid w:val="00901799"/>
    <w:rsid w:val="009025F0"/>
    <w:rsid w:val="00905B6A"/>
    <w:rsid w:val="009060B6"/>
    <w:rsid w:val="0090633A"/>
    <w:rsid w:val="00912054"/>
    <w:rsid w:val="00912905"/>
    <w:rsid w:val="009143CC"/>
    <w:rsid w:val="009152A1"/>
    <w:rsid w:val="0091535E"/>
    <w:rsid w:val="00915CA5"/>
    <w:rsid w:val="00923A75"/>
    <w:rsid w:val="00923AA0"/>
    <w:rsid w:val="00926554"/>
    <w:rsid w:val="00927FF0"/>
    <w:rsid w:val="00931169"/>
    <w:rsid w:val="00934CC0"/>
    <w:rsid w:val="00935FD4"/>
    <w:rsid w:val="009366B3"/>
    <w:rsid w:val="00941088"/>
    <w:rsid w:val="009414A6"/>
    <w:rsid w:val="00943F55"/>
    <w:rsid w:val="00944B4C"/>
    <w:rsid w:val="0094619A"/>
    <w:rsid w:val="00946541"/>
    <w:rsid w:val="0094696E"/>
    <w:rsid w:val="009477AD"/>
    <w:rsid w:val="009634F4"/>
    <w:rsid w:val="00963CD6"/>
    <w:rsid w:val="00966861"/>
    <w:rsid w:val="00971EAC"/>
    <w:rsid w:val="00981F0B"/>
    <w:rsid w:val="00983245"/>
    <w:rsid w:val="00983E27"/>
    <w:rsid w:val="00987F31"/>
    <w:rsid w:val="00990C8C"/>
    <w:rsid w:val="00990E6F"/>
    <w:rsid w:val="0099247F"/>
    <w:rsid w:val="009A31C0"/>
    <w:rsid w:val="009B27D7"/>
    <w:rsid w:val="009B743D"/>
    <w:rsid w:val="009B7EC1"/>
    <w:rsid w:val="009C04D5"/>
    <w:rsid w:val="009C06CB"/>
    <w:rsid w:val="009C1F8D"/>
    <w:rsid w:val="009C2B78"/>
    <w:rsid w:val="009C2E3B"/>
    <w:rsid w:val="009C6863"/>
    <w:rsid w:val="009C6A41"/>
    <w:rsid w:val="009C6D9F"/>
    <w:rsid w:val="009C7A10"/>
    <w:rsid w:val="009D469D"/>
    <w:rsid w:val="009E08B9"/>
    <w:rsid w:val="009E1222"/>
    <w:rsid w:val="009E49D0"/>
    <w:rsid w:val="009E6090"/>
    <w:rsid w:val="009F1404"/>
    <w:rsid w:val="009F3C11"/>
    <w:rsid w:val="00A02848"/>
    <w:rsid w:val="00A031F3"/>
    <w:rsid w:val="00A106F0"/>
    <w:rsid w:val="00A11986"/>
    <w:rsid w:val="00A124DF"/>
    <w:rsid w:val="00A13C1F"/>
    <w:rsid w:val="00A13CA1"/>
    <w:rsid w:val="00A14BC4"/>
    <w:rsid w:val="00A219A4"/>
    <w:rsid w:val="00A26B30"/>
    <w:rsid w:val="00A26E7F"/>
    <w:rsid w:val="00A27329"/>
    <w:rsid w:val="00A273A3"/>
    <w:rsid w:val="00A27884"/>
    <w:rsid w:val="00A34BC2"/>
    <w:rsid w:val="00A40158"/>
    <w:rsid w:val="00A41D63"/>
    <w:rsid w:val="00A42318"/>
    <w:rsid w:val="00A5020B"/>
    <w:rsid w:val="00A5232A"/>
    <w:rsid w:val="00A57B7E"/>
    <w:rsid w:val="00A607D4"/>
    <w:rsid w:val="00A61239"/>
    <w:rsid w:val="00A6172E"/>
    <w:rsid w:val="00A71DC6"/>
    <w:rsid w:val="00A72593"/>
    <w:rsid w:val="00A75A49"/>
    <w:rsid w:val="00A772B8"/>
    <w:rsid w:val="00A80705"/>
    <w:rsid w:val="00A8448C"/>
    <w:rsid w:val="00A85C5F"/>
    <w:rsid w:val="00A85E13"/>
    <w:rsid w:val="00A907C3"/>
    <w:rsid w:val="00A9160A"/>
    <w:rsid w:val="00A94B1C"/>
    <w:rsid w:val="00AA028C"/>
    <w:rsid w:val="00AA115B"/>
    <w:rsid w:val="00AA1D6E"/>
    <w:rsid w:val="00AA66D1"/>
    <w:rsid w:val="00AA6FF8"/>
    <w:rsid w:val="00AB0AE5"/>
    <w:rsid w:val="00AB26B7"/>
    <w:rsid w:val="00AB2705"/>
    <w:rsid w:val="00AB3715"/>
    <w:rsid w:val="00AB69E9"/>
    <w:rsid w:val="00AD009F"/>
    <w:rsid w:val="00AD0179"/>
    <w:rsid w:val="00AD21AF"/>
    <w:rsid w:val="00AD4243"/>
    <w:rsid w:val="00AD4B1F"/>
    <w:rsid w:val="00AD6A15"/>
    <w:rsid w:val="00AE1882"/>
    <w:rsid w:val="00AE246E"/>
    <w:rsid w:val="00AE2F0E"/>
    <w:rsid w:val="00AE3634"/>
    <w:rsid w:val="00AF7556"/>
    <w:rsid w:val="00B011DF"/>
    <w:rsid w:val="00B04087"/>
    <w:rsid w:val="00B10F7E"/>
    <w:rsid w:val="00B122A0"/>
    <w:rsid w:val="00B13DF0"/>
    <w:rsid w:val="00B15089"/>
    <w:rsid w:val="00B170A9"/>
    <w:rsid w:val="00B21CF3"/>
    <w:rsid w:val="00B23394"/>
    <w:rsid w:val="00B23C9A"/>
    <w:rsid w:val="00B33C07"/>
    <w:rsid w:val="00B42833"/>
    <w:rsid w:val="00B456A6"/>
    <w:rsid w:val="00B52D16"/>
    <w:rsid w:val="00B6276C"/>
    <w:rsid w:val="00B72D1C"/>
    <w:rsid w:val="00B74E4B"/>
    <w:rsid w:val="00B774AA"/>
    <w:rsid w:val="00B80DDB"/>
    <w:rsid w:val="00B817EF"/>
    <w:rsid w:val="00B85FA1"/>
    <w:rsid w:val="00B94831"/>
    <w:rsid w:val="00B94C64"/>
    <w:rsid w:val="00BA01C0"/>
    <w:rsid w:val="00BA4F6B"/>
    <w:rsid w:val="00BA7DE6"/>
    <w:rsid w:val="00BB3619"/>
    <w:rsid w:val="00BD2266"/>
    <w:rsid w:val="00BD6862"/>
    <w:rsid w:val="00BD7858"/>
    <w:rsid w:val="00BE1005"/>
    <w:rsid w:val="00BE109E"/>
    <w:rsid w:val="00BE287C"/>
    <w:rsid w:val="00BE2EA2"/>
    <w:rsid w:val="00BE65D8"/>
    <w:rsid w:val="00BE6747"/>
    <w:rsid w:val="00BE7750"/>
    <w:rsid w:val="00BE7C0A"/>
    <w:rsid w:val="00BF408A"/>
    <w:rsid w:val="00BF5204"/>
    <w:rsid w:val="00C00387"/>
    <w:rsid w:val="00C01D90"/>
    <w:rsid w:val="00C0298C"/>
    <w:rsid w:val="00C037D5"/>
    <w:rsid w:val="00C10E3C"/>
    <w:rsid w:val="00C16C54"/>
    <w:rsid w:val="00C173E5"/>
    <w:rsid w:val="00C2420A"/>
    <w:rsid w:val="00C2764F"/>
    <w:rsid w:val="00C3407D"/>
    <w:rsid w:val="00C34546"/>
    <w:rsid w:val="00C45A3D"/>
    <w:rsid w:val="00C47FF5"/>
    <w:rsid w:val="00C52A70"/>
    <w:rsid w:val="00C600A4"/>
    <w:rsid w:val="00C63275"/>
    <w:rsid w:val="00C648D1"/>
    <w:rsid w:val="00C64A47"/>
    <w:rsid w:val="00C655AD"/>
    <w:rsid w:val="00C7200C"/>
    <w:rsid w:val="00C72A53"/>
    <w:rsid w:val="00C7433C"/>
    <w:rsid w:val="00C805DA"/>
    <w:rsid w:val="00C814CD"/>
    <w:rsid w:val="00C86165"/>
    <w:rsid w:val="00C91B8E"/>
    <w:rsid w:val="00C921B1"/>
    <w:rsid w:val="00C96ECA"/>
    <w:rsid w:val="00CA020A"/>
    <w:rsid w:val="00CA0E0D"/>
    <w:rsid w:val="00CA24F8"/>
    <w:rsid w:val="00CA522A"/>
    <w:rsid w:val="00CA6D77"/>
    <w:rsid w:val="00CA7877"/>
    <w:rsid w:val="00CB29C4"/>
    <w:rsid w:val="00CB4E47"/>
    <w:rsid w:val="00CB6A18"/>
    <w:rsid w:val="00CB79DE"/>
    <w:rsid w:val="00CC0855"/>
    <w:rsid w:val="00CC3205"/>
    <w:rsid w:val="00CC623D"/>
    <w:rsid w:val="00CD3D7B"/>
    <w:rsid w:val="00CD51B5"/>
    <w:rsid w:val="00CD548A"/>
    <w:rsid w:val="00CD6177"/>
    <w:rsid w:val="00CE0721"/>
    <w:rsid w:val="00CE420B"/>
    <w:rsid w:val="00CF30A9"/>
    <w:rsid w:val="00CF5157"/>
    <w:rsid w:val="00CF6966"/>
    <w:rsid w:val="00D03203"/>
    <w:rsid w:val="00D05A10"/>
    <w:rsid w:val="00D066C3"/>
    <w:rsid w:val="00D13D2A"/>
    <w:rsid w:val="00D16C2E"/>
    <w:rsid w:val="00D20EF2"/>
    <w:rsid w:val="00D23E0B"/>
    <w:rsid w:val="00D24B77"/>
    <w:rsid w:val="00D24C44"/>
    <w:rsid w:val="00D2673F"/>
    <w:rsid w:val="00D26A09"/>
    <w:rsid w:val="00D26C8C"/>
    <w:rsid w:val="00D310C1"/>
    <w:rsid w:val="00D3151F"/>
    <w:rsid w:val="00D33FC9"/>
    <w:rsid w:val="00D37034"/>
    <w:rsid w:val="00D44EF2"/>
    <w:rsid w:val="00D46B72"/>
    <w:rsid w:val="00D51295"/>
    <w:rsid w:val="00D55CAE"/>
    <w:rsid w:val="00D56FFA"/>
    <w:rsid w:val="00D6436F"/>
    <w:rsid w:val="00D670E2"/>
    <w:rsid w:val="00D70833"/>
    <w:rsid w:val="00D74486"/>
    <w:rsid w:val="00D74661"/>
    <w:rsid w:val="00D76308"/>
    <w:rsid w:val="00D84E12"/>
    <w:rsid w:val="00D91549"/>
    <w:rsid w:val="00D953B9"/>
    <w:rsid w:val="00DA4569"/>
    <w:rsid w:val="00DB0B3C"/>
    <w:rsid w:val="00DB7F1F"/>
    <w:rsid w:val="00DC155E"/>
    <w:rsid w:val="00DC25EB"/>
    <w:rsid w:val="00DC48AC"/>
    <w:rsid w:val="00DC4C7C"/>
    <w:rsid w:val="00DC51EE"/>
    <w:rsid w:val="00DC7683"/>
    <w:rsid w:val="00DD38D2"/>
    <w:rsid w:val="00DD3BD8"/>
    <w:rsid w:val="00DD4D8D"/>
    <w:rsid w:val="00DE5F49"/>
    <w:rsid w:val="00DE640D"/>
    <w:rsid w:val="00DE7A0B"/>
    <w:rsid w:val="00DE7ACF"/>
    <w:rsid w:val="00DF1C52"/>
    <w:rsid w:val="00DF719E"/>
    <w:rsid w:val="00E035B0"/>
    <w:rsid w:val="00E041DF"/>
    <w:rsid w:val="00E12DF4"/>
    <w:rsid w:val="00E16D7E"/>
    <w:rsid w:val="00E1735C"/>
    <w:rsid w:val="00E2653B"/>
    <w:rsid w:val="00E31A30"/>
    <w:rsid w:val="00E337F9"/>
    <w:rsid w:val="00E356F1"/>
    <w:rsid w:val="00E36CD0"/>
    <w:rsid w:val="00E43F16"/>
    <w:rsid w:val="00E4742F"/>
    <w:rsid w:val="00E47CB1"/>
    <w:rsid w:val="00E53360"/>
    <w:rsid w:val="00E54AA0"/>
    <w:rsid w:val="00E56462"/>
    <w:rsid w:val="00E711D2"/>
    <w:rsid w:val="00E71978"/>
    <w:rsid w:val="00E724AE"/>
    <w:rsid w:val="00E7431B"/>
    <w:rsid w:val="00E81ADB"/>
    <w:rsid w:val="00E82B16"/>
    <w:rsid w:val="00E8303F"/>
    <w:rsid w:val="00E83DB6"/>
    <w:rsid w:val="00E84A4D"/>
    <w:rsid w:val="00E867A7"/>
    <w:rsid w:val="00E87E25"/>
    <w:rsid w:val="00E9124B"/>
    <w:rsid w:val="00EA0308"/>
    <w:rsid w:val="00EB6121"/>
    <w:rsid w:val="00EB653C"/>
    <w:rsid w:val="00EC015D"/>
    <w:rsid w:val="00EC10B7"/>
    <w:rsid w:val="00EC342A"/>
    <w:rsid w:val="00EC46E7"/>
    <w:rsid w:val="00ED12AC"/>
    <w:rsid w:val="00ED2408"/>
    <w:rsid w:val="00ED78B4"/>
    <w:rsid w:val="00EE12E2"/>
    <w:rsid w:val="00EE4AA2"/>
    <w:rsid w:val="00EE534F"/>
    <w:rsid w:val="00EE6B21"/>
    <w:rsid w:val="00EF2819"/>
    <w:rsid w:val="00EF7637"/>
    <w:rsid w:val="00F043EC"/>
    <w:rsid w:val="00F1059F"/>
    <w:rsid w:val="00F167A8"/>
    <w:rsid w:val="00F17B6B"/>
    <w:rsid w:val="00F22CC8"/>
    <w:rsid w:val="00F26A85"/>
    <w:rsid w:val="00F27AF4"/>
    <w:rsid w:val="00F33D09"/>
    <w:rsid w:val="00F37E09"/>
    <w:rsid w:val="00F40E52"/>
    <w:rsid w:val="00F43D55"/>
    <w:rsid w:val="00F458E9"/>
    <w:rsid w:val="00F53637"/>
    <w:rsid w:val="00F53C68"/>
    <w:rsid w:val="00F54B65"/>
    <w:rsid w:val="00F62B82"/>
    <w:rsid w:val="00F62C6F"/>
    <w:rsid w:val="00F65BB0"/>
    <w:rsid w:val="00F67727"/>
    <w:rsid w:val="00F70DB3"/>
    <w:rsid w:val="00F71582"/>
    <w:rsid w:val="00F750B7"/>
    <w:rsid w:val="00F80526"/>
    <w:rsid w:val="00F865D7"/>
    <w:rsid w:val="00F878AD"/>
    <w:rsid w:val="00F94756"/>
    <w:rsid w:val="00F96B80"/>
    <w:rsid w:val="00FA165B"/>
    <w:rsid w:val="00FA3712"/>
    <w:rsid w:val="00FA64D2"/>
    <w:rsid w:val="00FA771C"/>
    <w:rsid w:val="00FB1D6F"/>
    <w:rsid w:val="00FB2201"/>
    <w:rsid w:val="00FB3C97"/>
    <w:rsid w:val="00FC0A36"/>
    <w:rsid w:val="00FC22C1"/>
    <w:rsid w:val="00FC2DCB"/>
    <w:rsid w:val="00FC3069"/>
    <w:rsid w:val="00FC6FE4"/>
    <w:rsid w:val="00FD7908"/>
    <w:rsid w:val="00FE160D"/>
    <w:rsid w:val="00FE3B83"/>
    <w:rsid w:val="00FE5E68"/>
    <w:rsid w:val="00FF28B8"/>
    <w:rsid w:val="00FF2F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6AB20A"/>
  <w15:chartTrackingRefBased/>
  <w15:docId w15:val="{DE4F46CC-ECEB-604F-B0E2-DEDD7749D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77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77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77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77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77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772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772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772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772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7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77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77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77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77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77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77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77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7726"/>
    <w:rPr>
      <w:rFonts w:eastAsiaTheme="majorEastAsia" w:cstheme="majorBidi"/>
      <w:color w:val="272727" w:themeColor="text1" w:themeTint="D8"/>
    </w:rPr>
  </w:style>
  <w:style w:type="paragraph" w:styleId="Title">
    <w:name w:val="Title"/>
    <w:basedOn w:val="Normal"/>
    <w:next w:val="Normal"/>
    <w:link w:val="TitleChar"/>
    <w:uiPriority w:val="10"/>
    <w:qFormat/>
    <w:rsid w:val="0067772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77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772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77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772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77726"/>
    <w:rPr>
      <w:i/>
      <w:iCs/>
      <w:color w:val="404040" w:themeColor="text1" w:themeTint="BF"/>
    </w:rPr>
  </w:style>
  <w:style w:type="paragraph" w:styleId="ListParagraph">
    <w:name w:val="List Paragraph"/>
    <w:basedOn w:val="Normal"/>
    <w:uiPriority w:val="34"/>
    <w:qFormat/>
    <w:rsid w:val="00677726"/>
    <w:pPr>
      <w:ind w:left="720"/>
      <w:contextualSpacing/>
    </w:pPr>
  </w:style>
  <w:style w:type="character" w:styleId="IntenseEmphasis">
    <w:name w:val="Intense Emphasis"/>
    <w:basedOn w:val="DefaultParagraphFont"/>
    <w:uiPriority w:val="21"/>
    <w:qFormat/>
    <w:rsid w:val="00677726"/>
    <w:rPr>
      <w:i/>
      <w:iCs/>
      <w:color w:val="0F4761" w:themeColor="accent1" w:themeShade="BF"/>
    </w:rPr>
  </w:style>
  <w:style w:type="paragraph" w:styleId="IntenseQuote">
    <w:name w:val="Intense Quote"/>
    <w:basedOn w:val="Normal"/>
    <w:next w:val="Normal"/>
    <w:link w:val="IntenseQuoteChar"/>
    <w:uiPriority w:val="30"/>
    <w:qFormat/>
    <w:rsid w:val="006777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7726"/>
    <w:rPr>
      <w:i/>
      <w:iCs/>
      <w:color w:val="0F4761" w:themeColor="accent1" w:themeShade="BF"/>
    </w:rPr>
  </w:style>
  <w:style w:type="character" w:styleId="IntenseReference">
    <w:name w:val="Intense Reference"/>
    <w:basedOn w:val="DefaultParagraphFont"/>
    <w:uiPriority w:val="32"/>
    <w:qFormat/>
    <w:rsid w:val="00677726"/>
    <w:rPr>
      <w:b/>
      <w:bCs/>
      <w:smallCaps/>
      <w:color w:val="0F4761" w:themeColor="accent1" w:themeShade="BF"/>
      <w:spacing w:val="5"/>
    </w:rPr>
  </w:style>
  <w:style w:type="character" w:styleId="Hyperlink">
    <w:name w:val="Hyperlink"/>
    <w:basedOn w:val="DefaultParagraphFont"/>
    <w:uiPriority w:val="99"/>
    <w:unhideWhenUsed/>
    <w:rsid w:val="004170DD"/>
    <w:rPr>
      <w:color w:val="467886" w:themeColor="hyperlink"/>
      <w:u w:val="single"/>
    </w:rPr>
  </w:style>
  <w:style w:type="character" w:styleId="UnresolvedMention">
    <w:name w:val="Unresolved Mention"/>
    <w:basedOn w:val="DefaultParagraphFont"/>
    <w:uiPriority w:val="99"/>
    <w:semiHidden/>
    <w:unhideWhenUsed/>
    <w:rsid w:val="004170DD"/>
    <w:rPr>
      <w:color w:val="605E5C"/>
      <w:shd w:val="clear" w:color="auto" w:fill="E1DFDD"/>
    </w:rPr>
  </w:style>
  <w:style w:type="character" w:styleId="FollowedHyperlink">
    <w:name w:val="FollowedHyperlink"/>
    <w:basedOn w:val="DefaultParagraphFont"/>
    <w:uiPriority w:val="99"/>
    <w:semiHidden/>
    <w:unhideWhenUsed/>
    <w:rsid w:val="0040507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3425642">
      <w:bodyDiv w:val="1"/>
      <w:marLeft w:val="0"/>
      <w:marRight w:val="0"/>
      <w:marTop w:val="0"/>
      <w:marBottom w:val="0"/>
      <w:divBdr>
        <w:top w:val="none" w:sz="0" w:space="0" w:color="auto"/>
        <w:left w:val="none" w:sz="0" w:space="0" w:color="auto"/>
        <w:bottom w:val="none" w:sz="0" w:space="0" w:color="auto"/>
        <w:right w:val="none" w:sz="0" w:space="0" w:color="auto"/>
      </w:divBdr>
      <w:divsChild>
        <w:div w:id="1321807826">
          <w:marLeft w:val="360"/>
          <w:marRight w:val="0"/>
          <w:marTop w:val="200"/>
          <w:marBottom w:val="0"/>
          <w:divBdr>
            <w:top w:val="none" w:sz="0" w:space="0" w:color="auto"/>
            <w:left w:val="none" w:sz="0" w:space="0" w:color="auto"/>
            <w:bottom w:val="none" w:sz="0" w:space="0" w:color="auto"/>
            <w:right w:val="none" w:sz="0" w:space="0" w:color="auto"/>
          </w:divBdr>
        </w:div>
        <w:div w:id="671179951">
          <w:marLeft w:val="360"/>
          <w:marRight w:val="0"/>
          <w:marTop w:val="200"/>
          <w:marBottom w:val="0"/>
          <w:divBdr>
            <w:top w:val="none" w:sz="0" w:space="0" w:color="auto"/>
            <w:left w:val="none" w:sz="0" w:space="0" w:color="auto"/>
            <w:bottom w:val="none" w:sz="0" w:space="0" w:color="auto"/>
            <w:right w:val="none" w:sz="0" w:space="0" w:color="auto"/>
          </w:divBdr>
        </w:div>
        <w:div w:id="1710833144">
          <w:marLeft w:val="360"/>
          <w:marRight w:val="0"/>
          <w:marTop w:val="200"/>
          <w:marBottom w:val="0"/>
          <w:divBdr>
            <w:top w:val="none" w:sz="0" w:space="0" w:color="auto"/>
            <w:left w:val="none" w:sz="0" w:space="0" w:color="auto"/>
            <w:bottom w:val="none" w:sz="0" w:space="0" w:color="auto"/>
            <w:right w:val="none" w:sz="0" w:space="0" w:color="auto"/>
          </w:divBdr>
        </w:div>
        <w:div w:id="898132251">
          <w:marLeft w:val="360"/>
          <w:marRight w:val="0"/>
          <w:marTop w:val="200"/>
          <w:marBottom w:val="0"/>
          <w:divBdr>
            <w:top w:val="none" w:sz="0" w:space="0" w:color="auto"/>
            <w:left w:val="none" w:sz="0" w:space="0" w:color="auto"/>
            <w:bottom w:val="none" w:sz="0" w:space="0" w:color="auto"/>
            <w:right w:val="none" w:sz="0" w:space="0" w:color="auto"/>
          </w:divBdr>
        </w:div>
        <w:div w:id="1172065068">
          <w:marLeft w:val="360"/>
          <w:marRight w:val="0"/>
          <w:marTop w:val="200"/>
          <w:marBottom w:val="0"/>
          <w:divBdr>
            <w:top w:val="none" w:sz="0" w:space="0" w:color="auto"/>
            <w:left w:val="none" w:sz="0" w:space="0" w:color="auto"/>
            <w:bottom w:val="none" w:sz="0" w:space="0" w:color="auto"/>
            <w:right w:val="none" w:sz="0" w:space="0" w:color="auto"/>
          </w:divBdr>
        </w:div>
        <w:div w:id="1775400961">
          <w:marLeft w:val="360"/>
          <w:marRight w:val="0"/>
          <w:marTop w:val="200"/>
          <w:marBottom w:val="0"/>
          <w:divBdr>
            <w:top w:val="none" w:sz="0" w:space="0" w:color="auto"/>
            <w:left w:val="none" w:sz="0" w:space="0" w:color="auto"/>
            <w:bottom w:val="none" w:sz="0" w:space="0" w:color="auto"/>
            <w:right w:val="none" w:sz="0" w:space="0" w:color="auto"/>
          </w:divBdr>
        </w:div>
        <w:div w:id="58179530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major-investigation-and-public-protection/domestic-abuse/partnership-working-and-multi-agency-responsesmechanisms" TargetMode="External"/><Relationship Id="rId13" Type="http://schemas.openxmlformats.org/officeDocument/2006/relationships/hyperlink" Target="https://assets.publishing.service.gov.uk/government/uploads/system/uploads/attachment_data/file/194272/No_secrets__guidance_on_developing_and_implementing_multi-agency_policies_and_procedures_to_protect_vulnerable_adults_from_abuse.pdf" TargetMode="External"/><Relationship Id="rId18" Type="http://schemas.openxmlformats.org/officeDocument/2006/relationships/hyperlink" Target="https://assets.publishing.service.gov.uk/media/62c6df068fa8f54e855dfe31/Domestic_Abuse_Act_2021_Statutory_Guidance.pdf" TargetMode="External"/><Relationship Id="rId26" Type="http://schemas.openxmlformats.org/officeDocument/2006/relationships/hyperlink" Target="https://www.vkpp.org.uk/assets/Files/NVAP-with-Interim-Measures-v3.4-External-FINAL1.pdf" TargetMode="External"/><Relationship Id="rId3" Type="http://schemas.openxmlformats.org/officeDocument/2006/relationships/settings" Target="settings.xml"/><Relationship Id="rId21" Type="http://schemas.openxmlformats.org/officeDocument/2006/relationships/hyperlink" Target="https://www.gov.uk/government/publications/the-code-of-practice-for-victims-of-crime/code-of-practice-for-victims-of-crime-in-england-and-wales-victims-code" TargetMode="External"/><Relationship Id="rId7" Type="http://schemas.openxmlformats.org/officeDocument/2006/relationships/hyperlink" Target="https://www-jstor-org.ezproxy.uwtsd.ac.uk/stable/2094589?sid=primo&amp;origin=crossref" TargetMode="External"/><Relationship Id="rId12" Type="http://schemas.openxmlformats.org/officeDocument/2006/relationships/hyperlink" Target="https://link-springer-com.ezproxy.uwtsd.ac.uk/content/pdf/10.1057/s41300-021-00117-x.pdf" TargetMode="External"/><Relationship Id="rId17" Type="http://schemas.openxmlformats.org/officeDocument/2006/relationships/hyperlink" Target="https://www.gov.uk/government/publications/multi-agency-public-protection-arrangements-mappa-guidance" TargetMode="External"/><Relationship Id="rId25" Type="http://schemas.openxmlformats.org/officeDocument/2006/relationships/hyperlink" Target="https://journals-sagepub-com.ezproxy.uwtsd.ac.uk/doi/epdf/10.1177/0886260504268002" TargetMode="External"/><Relationship Id="rId2" Type="http://schemas.openxmlformats.org/officeDocument/2006/relationships/styles" Target="styles.xml"/><Relationship Id="rId16" Type="http://schemas.openxmlformats.org/officeDocument/2006/relationships/hyperlink" Target="https://hmicfrs.justiceinspectorates.gov.uk/glossary/vulnerable-person/" TargetMode="External"/><Relationship Id="rId20" Type="http://schemas.openxmlformats.org/officeDocument/2006/relationships/hyperlink" Target="https://assets.publishing.service.gov.uk/media/5a7bffb440f0b63f7572ab6c/8397.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amh.ca/en/health-info/guides-and-publications/recognizing-the-effects-of-abuse-related-trauma" TargetMode="External"/><Relationship Id="rId11" Type="http://schemas.openxmlformats.org/officeDocument/2006/relationships/hyperlink" Target="https://journals-sagepub-com.ezproxy.uwtsd.ac.uk/doi/epub/10.1177/0886260520980383" TargetMode="External"/><Relationship Id="rId24" Type="http://schemas.openxmlformats.org/officeDocument/2006/relationships/hyperlink" Target="https://researchbriefings.files.parliament.uk/documents/CBP-9292/CBP-9292.pdf" TargetMode="External"/><Relationship Id="rId5" Type="http://schemas.openxmlformats.org/officeDocument/2006/relationships/hyperlink" Target="https://cloud-platform-e218f50a4812967ba1215eaecede923f.s3.amazonaws.com/uploads/sites/6/2022/06/MOJ7216_Victims-commisioner-Annual-report_AW-WEB.pdf" TargetMode="External"/><Relationship Id="rId15" Type="http://schemas.openxmlformats.org/officeDocument/2006/relationships/hyperlink" Target="https://www-sciencedirect-com.ezproxy.uwtsd.ac.uk/science/article/pii/S0047235217303549" TargetMode="External"/><Relationship Id="rId23" Type="http://schemas.openxmlformats.org/officeDocument/2006/relationships/hyperlink" Target="https://policeprofessional.com/news/%C2%91whole-system-approach%C2%92-needed-to-increasingly-complex-vulnerability/" TargetMode="External"/><Relationship Id="rId28" Type="http://schemas.openxmlformats.org/officeDocument/2006/relationships/fontTable" Target="fontTable.xml"/><Relationship Id="rId10" Type="http://schemas.openxmlformats.org/officeDocument/2006/relationships/hyperlink" Target="https://www.college.police.uk/guidance/victims-code/victims-rights-policing" TargetMode="External"/><Relationship Id="rId19" Type="http://schemas.openxmlformats.org/officeDocument/2006/relationships/hyperlink" Target="https://www.report-it.org.uk/files/ipcc_report-fiona-pilkington-leicestershire.pdf" TargetMode="External"/><Relationship Id="rId4" Type="http://schemas.openxmlformats.org/officeDocument/2006/relationships/webSettings" Target="webSettings.xml"/><Relationship Id="rId9" Type="http://schemas.openxmlformats.org/officeDocument/2006/relationships/hyperlink" Target="https://www.college.police.uk/guidance/vulnerability-related-risks/introduction-vulnerability-related-risk" TargetMode="External"/><Relationship Id="rId14" Type="http://schemas.openxmlformats.org/officeDocument/2006/relationships/hyperlink" Target="https://www.equalityhumanrights.com/sites/default/files/hidden_in_plain_sight_-_wales_summary.pdf" TargetMode="External"/><Relationship Id="rId22" Type="http://schemas.openxmlformats.org/officeDocument/2006/relationships/hyperlink" Target="https://www.ons.gov.uk/peoplepopulationandcommunity/crimeandjustice/bulletins/domesticabuseinenglandandwalesoverview/november2023" TargetMode="External"/><Relationship Id="rId27" Type="http://schemas.openxmlformats.org/officeDocument/2006/relationships/hyperlink" Target="https://www-jstor-org.ezproxy.uwtsd.ac.uk/stable/3346107?seq=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923</TotalTime>
  <Pages>9</Pages>
  <Words>3373</Words>
  <Characters>19228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Bowen (2200584)</dc:creator>
  <cp:keywords/>
  <dc:description/>
  <cp:lastModifiedBy>Ellie Bowen (2200584)</cp:lastModifiedBy>
  <cp:revision>759</cp:revision>
  <dcterms:created xsi:type="dcterms:W3CDTF">2024-10-31T08:06:00Z</dcterms:created>
  <dcterms:modified xsi:type="dcterms:W3CDTF">2024-11-08T11:20:00Z</dcterms:modified>
</cp:coreProperties>
</file>