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813404837"/>
        <w:docPartObj>
          <w:docPartGallery w:val="Cover Pages"/>
          <w:docPartUnique/>
        </w:docPartObj>
      </w:sdtPr>
      <w:sdtEndPr>
        <w:rPr>
          <w:rFonts w:ascii="Arial" w:hAnsi="Arial" w:cs="Arial"/>
          <w:b/>
          <w:bCs/>
          <w:color w:val="BF4E14" w:themeColor="accent2" w:themeShade="BF"/>
        </w:rPr>
      </w:sdtEndPr>
      <w:sdtContent>
        <w:p w14:paraId="7C778520" w14:textId="37E8599E" w:rsidR="00487E6F" w:rsidRDefault="00487E6F">
          <w:r>
            <w:rPr>
              <w:noProof/>
            </w:rPr>
            <mc:AlternateContent>
              <mc:Choice Requires="wpg">
                <w:drawing>
                  <wp:anchor distT="0" distB="0" distL="114300" distR="114300" simplePos="0" relativeHeight="251659264" behindDoc="1" locked="0" layoutInCell="1" allowOverlap="1" wp14:anchorId="103B132A" wp14:editId="455AF385">
                    <wp:simplePos x="0" y="0"/>
                    <wp:positionH relativeFrom="page">
                      <wp:align>center</wp:align>
                    </wp:positionH>
                    <wp:positionV relativeFrom="page">
                      <wp:align>center</wp:align>
                    </wp:positionV>
                    <wp:extent cx="6852920" cy="9142730"/>
                    <wp:effectExtent l="0" t="0" r="2540" b="133985"/>
                    <wp:wrapNone/>
                    <wp:docPr id="119" name="Group 121"/>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Black" w:hAnsi="Arial Black"/>
                                      <w:color w:val="FFFFFF" w:themeColor="background1"/>
                                      <w:sz w:val="44"/>
                                      <w:szCs w:val="44"/>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459ABE6E" w14:textId="71D3F29D" w:rsidR="00487E6F" w:rsidRPr="00373F4F" w:rsidRDefault="00487E6F">
                                      <w:pPr>
                                        <w:pStyle w:val="NoSpacing"/>
                                        <w:rPr>
                                          <w:rFonts w:ascii="Arial Black" w:hAnsi="Arial Black"/>
                                          <w:color w:val="FFFFFF" w:themeColor="background1"/>
                                          <w:sz w:val="44"/>
                                          <w:szCs w:val="44"/>
                                        </w:rPr>
                                      </w:pPr>
                                      <w:r w:rsidRPr="00373F4F">
                                        <w:rPr>
                                          <w:rFonts w:ascii="Arial Black" w:hAnsi="Arial Black"/>
                                          <w:color w:val="FFFFFF" w:themeColor="background1"/>
                                          <w:sz w:val="44"/>
                                          <w:szCs w:val="44"/>
                                        </w:rPr>
                                        <w:t>Maria Dumitru (</w:t>
                                      </w:r>
                                      <w:r w:rsidR="00373F4F" w:rsidRPr="00373F4F">
                                        <w:rPr>
                                          <w:rFonts w:ascii="Arial Black" w:hAnsi="Arial Black"/>
                                          <w:color w:val="FFFFFF" w:themeColor="background1"/>
                                          <w:sz w:val="44"/>
                                          <w:szCs w:val="44"/>
                                        </w:rPr>
                                        <w:t>2327347)</w:t>
                                      </w:r>
                                    </w:p>
                                  </w:sdtContent>
                                </w:sdt>
                                <w:p w14:paraId="5C8855F4" w14:textId="2E80BAAE" w:rsidR="00487E6F" w:rsidRPr="00373F4F" w:rsidRDefault="00487E6F">
                                  <w:pPr>
                                    <w:pStyle w:val="NoSpacing"/>
                                    <w:rPr>
                                      <w:rFonts w:ascii="Arial Black" w:hAnsi="Arial Black"/>
                                      <w:caps/>
                                      <w:color w:val="FFFFFF" w:themeColor="background1"/>
                                      <w:sz w:val="44"/>
                                      <w:szCs w:val="44"/>
                                    </w:rPr>
                                  </w:pPr>
                                  <w:sdt>
                                    <w:sdtPr>
                                      <w:rPr>
                                        <w:rFonts w:ascii="Arial Black" w:hAnsi="Arial Black"/>
                                        <w:caps/>
                                        <w:color w:val="FFFFFF" w:themeColor="background1"/>
                                        <w:sz w:val="44"/>
                                        <w:szCs w:val="44"/>
                                      </w:rPr>
                                      <w:alias w:val="Company"/>
                                      <w:tag w:val=""/>
                                      <w:id w:val="922067218"/>
                                      <w:dataBinding w:prefixMappings="xmlns:ns0='http://schemas.openxmlformats.org/officeDocument/2006/extended-properties' " w:xpath="/ns0:Properties[1]/ns0:Company[1]" w:storeItemID="{6668398D-A668-4E3E-A5EB-62B293D839F1}"/>
                                      <w:text/>
                                    </w:sdtPr>
                                    <w:sdtContent>
                                      <w:r w:rsidR="00373F4F" w:rsidRPr="00373F4F">
                                        <w:rPr>
                                          <w:rFonts w:ascii="Arial Black" w:hAnsi="Arial Black"/>
                                          <w:caps/>
                                          <w:color w:val="FFFFFF" w:themeColor="background1"/>
                                          <w:sz w:val="44"/>
                                          <w:szCs w:val="44"/>
                                        </w:rPr>
                                        <w:t>Distinctiviness and Regeneration</w:t>
                                      </w:r>
                                    </w:sdtContent>
                                  </w:sdt>
                                  <w:r w:rsidRPr="00373F4F">
                                    <w:rPr>
                                      <w:rFonts w:ascii="Arial Black" w:hAnsi="Arial Black"/>
                                      <w:caps/>
                                      <w:color w:val="FFFFFF" w:themeColor="background1"/>
                                      <w:sz w:val="44"/>
                                      <w:szCs w:val="44"/>
                                    </w:rPr>
                                    <w:t xml:space="preserve"> | </w:t>
                                  </w:r>
                                  <w:sdt>
                                    <w:sdtPr>
                                      <w:rPr>
                                        <w:rFonts w:ascii="Arial Black" w:hAnsi="Arial Black"/>
                                        <w:caps/>
                                        <w:color w:val="FFFFFF" w:themeColor="background1"/>
                                        <w:sz w:val="44"/>
                                        <w:szCs w:val="44"/>
                                      </w:rPr>
                                      <w:alias w:val="Address"/>
                                      <w:tag w:val=""/>
                                      <w:id w:val="2113163453"/>
                                      <w:dataBinding w:prefixMappings="xmlns:ns0='http://schemas.microsoft.com/office/2006/coverPageProps' " w:xpath="/ns0:CoverPageProperties[1]/ns0:CompanyAddress[1]" w:storeItemID="{55AF091B-3C7A-41E3-B477-F2FDAA23CFDA}"/>
                                      <w:text/>
                                    </w:sdtPr>
                                    <w:sdtContent>
                                      <w:r w:rsidR="00373F4F" w:rsidRPr="00373F4F">
                                        <w:rPr>
                                          <w:rFonts w:ascii="Arial Black" w:hAnsi="Arial Black"/>
                                          <w:caps/>
                                          <w:color w:val="FFFFFF" w:themeColor="background1"/>
                                          <w:sz w:val="44"/>
                                          <w:szCs w:val="44"/>
                                        </w:rPr>
                                        <w:t>BMSP4014D</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Black" w:eastAsiaTheme="majorEastAsia" w:hAnsi="Arial Black" w:cstheme="majorBidi"/>
                                      <w:color w:val="BF4E14" w:themeColor="accent2" w:themeShade="BF"/>
                                      <w:sz w:val="72"/>
                                      <w:szCs w:val="72"/>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0E29B65D" w14:textId="32F33578" w:rsidR="00487E6F" w:rsidRPr="00487E6F" w:rsidRDefault="00487E6F">
                                      <w:pPr>
                                        <w:pStyle w:val="NoSpacing"/>
                                        <w:pBdr>
                                          <w:bottom w:val="single" w:sz="6" w:space="4" w:color="7F7F7F" w:themeColor="text1" w:themeTint="80"/>
                                        </w:pBdr>
                                        <w:rPr>
                                          <w:rFonts w:ascii="Arial Black" w:eastAsiaTheme="majorEastAsia" w:hAnsi="Arial Black" w:cstheme="majorBidi"/>
                                          <w:color w:val="BF4E14" w:themeColor="accent2" w:themeShade="BF"/>
                                          <w:sz w:val="72"/>
                                          <w:szCs w:val="72"/>
                                        </w:rPr>
                                      </w:pPr>
                                      <w:r w:rsidRPr="00487E6F">
                                        <w:rPr>
                                          <w:rFonts w:ascii="Arial Black" w:eastAsiaTheme="majorEastAsia" w:hAnsi="Arial Black" w:cstheme="majorBidi"/>
                                          <w:color w:val="BF4E14" w:themeColor="accent2" w:themeShade="BF"/>
                                          <w:sz w:val="72"/>
                                          <w:szCs w:val="72"/>
                                        </w:rPr>
                                        <w:t xml:space="preserve">Ammanford Appraisal </w:t>
                                      </w:r>
                                    </w:p>
                                  </w:sdtContent>
                                </w:sdt>
                                <w:sdt>
                                  <w:sdtPr>
                                    <w:rPr>
                                      <w:rFonts w:ascii="Arial Black" w:hAnsi="Arial Black"/>
                                      <w:caps/>
                                      <w:color w:val="BF4E14" w:themeColor="accent2" w:themeShade="BF"/>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7145BEDC" w14:textId="08AA2FB1" w:rsidR="00487E6F" w:rsidRPr="00487E6F" w:rsidRDefault="00487E6F" w:rsidP="00487E6F">
                                      <w:pPr>
                                        <w:pStyle w:val="NoSpacing"/>
                                        <w:spacing w:before="240"/>
                                        <w:jc w:val="center"/>
                                        <w:rPr>
                                          <w:rFonts w:ascii="Arial Black" w:hAnsi="Arial Black"/>
                                          <w:caps/>
                                          <w:color w:val="BF4E14" w:themeColor="accent2" w:themeShade="BF"/>
                                          <w:sz w:val="36"/>
                                          <w:szCs w:val="36"/>
                                        </w:rPr>
                                      </w:pPr>
                                      <w:r w:rsidRPr="00487E6F">
                                        <w:rPr>
                                          <w:rFonts w:ascii="Arial Black" w:hAnsi="Arial Black"/>
                                          <w:caps/>
                                          <w:color w:val="BF4E14" w:themeColor="accent2" w:themeShade="BF"/>
                                          <w:sz w:val="36"/>
                                          <w:szCs w:val="36"/>
                                        </w:rPr>
                                        <w:t>Assignment 2</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03B132A" id="Group 121"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156082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97132 [3205]" stroked="f" strokeweight="1pt">
                      <v:textbox inset="36pt,14.4pt,36pt,36pt">
                        <w:txbxContent>
                          <w:sdt>
                            <w:sdtPr>
                              <w:rPr>
                                <w:rFonts w:ascii="Arial Black" w:hAnsi="Arial Black"/>
                                <w:color w:val="FFFFFF" w:themeColor="background1"/>
                                <w:sz w:val="44"/>
                                <w:szCs w:val="44"/>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459ABE6E" w14:textId="71D3F29D" w:rsidR="00487E6F" w:rsidRPr="00373F4F" w:rsidRDefault="00487E6F">
                                <w:pPr>
                                  <w:pStyle w:val="NoSpacing"/>
                                  <w:rPr>
                                    <w:rFonts w:ascii="Arial Black" w:hAnsi="Arial Black"/>
                                    <w:color w:val="FFFFFF" w:themeColor="background1"/>
                                    <w:sz w:val="44"/>
                                    <w:szCs w:val="44"/>
                                  </w:rPr>
                                </w:pPr>
                                <w:r w:rsidRPr="00373F4F">
                                  <w:rPr>
                                    <w:rFonts w:ascii="Arial Black" w:hAnsi="Arial Black"/>
                                    <w:color w:val="FFFFFF" w:themeColor="background1"/>
                                    <w:sz w:val="44"/>
                                    <w:szCs w:val="44"/>
                                  </w:rPr>
                                  <w:t>Maria Dumitru (</w:t>
                                </w:r>
                                <w:r w:rsidR="00373F4F" w:rsidRPr="00373F4F">
                                  <w:rPr>
                                    <w:rFonts w:ascii="Arial Black" w:hAnsi="Arial Black"/>
                                    <w:color w:val="FFFFFF" w:themeColor="background1"/>
                                    <w:sz w:val="44"/>
                                    <w:szCs w:val="44"/>
                                  </w:rPr>
                                  <w:t>2327347)</w:t>
                                </w:r>
                              </w:p>
                            </w:sdtContent>
                          </w:sdt>
                          <w:p w14:paraId="5C8855F4" w14:textId="2E80BAAE" w:rsidR="00487E6F" w:rsidRPr="00373F4F" w:rsidRDefault="00487E6F">
                            <w:pPr>
                              <w:pStyle w:val="NoSpacing"/>
                              <w:rPr>
                                <w:rFonts w:ascii="Arial Black" w:hAnsi="Arial Black"/>
                                <w:caps/>
                                <w:color w:val="FFFFFF" w:themeColor="background1"/>
                                <w:sz w:val="44"/>
                                <w:szCs w:val="44"/>
                              </w:rPr>
                            </w:pPr>
                            <w:sdt>
                              <w:sdtPr>
                                <w:rPr>
                                  <w:rFonts w:ascii="Arial Black" w:hAnsi="Arial Black"/>
                                  <w:caps/>
                                  <w:color w:val="FFFFFF" w:themeColor="background1"/>
                                  <w:sz w:val="44"/>
                                  <w:szCs w:val="44"/>
                                </w:rPr>
                                <w:alias w:val="Company"/>
                                <w:tag w:val=""/>
                                <w:id w:val="922067218"/>
                                <w:dataBinding w:prefixMappings="xmlns:ns0='http://schemas.openxmlformats.org/officeDocument/2006/extended-properties' " w:xpath="/ns0:Properties[1]/ns0:Company[1]" w:storeItemID="{6668398D-A668-4E3E-A5EB-62B293D839F1}"/>
                                <w:text/>
                              </w:sdtPr>
                              <w:sdtContent>
                                <w:r w:rsidR="00373F4F" w:rsidRPr="00373F4F">
                                  <w:rPr>
                                    <w:rFonts w:ascii="Arial Black" w:hAnsi="Arial Black"/>
                                    <w:caps/>
                                    <w:color w:val="FFFFFF" w:themeColor="background1"/>
                                    <w:sz w:val="44"/>
                                    <w:szCs w:val="44"/>
                                  </w:rPr>
                                  <w:t>Distinctiviness and Regeneration</w:t>
                                </w:r>
                              </w:sdtContent>
                            </w:sdt>
                            <w:r w:rsidRPr="00373F4F">
                              <w:rPr>
                                <w:rFonts w:ascii="Arial Black" w:hAnsi="Arial Black"/>
                                <w:caps/>
                                <w:color w:val="FFFFFF" w:themeColor="background1"/>
                                <w:sz w:val="44"/>
                                <w:szCs w:val="44"/>
                              </w:rPr>
                              <w:t xml:space="preserve"> | </w:t>
                            </w:r>
                            <w:sdt>
                              <w:sdtPr>
                                <w:rPr>
                                  <w:rFonts w:ascii="Arial Black" w:hAnsi="Arial Black"/>
                                  <w:caps/>
                                  <w:color w:val="FFFFFF" w:themeColor="background1"/>
                                  <w:sz w:val="44"/>
                                  <w:szCs w:val="44"/>
                                </w:rPr>
                                <w:alias w:val="Address"/>
                                <w:tag w:val=""/>
                                <w:id w:val="2113163453"/>
                                <w:dataBinding w:prefixMappings="xmlns:ns0='http://schemas.microsoft.com/office/2006/coverPageProps' " w:xpath="/ns0:CoverPageProperties[1]/ns0:CompanyAddress[1]" w:storeItemID="{55AF091B-3C7A-41E3-B477-F2FDAA23CFDA}"/>
                                <w:text/>
                              </w:sdtPr>
                              <w:sdtContent>
                                <w:r w:rsidR="00373F4F" w:rsidRPr="00373F4F">
                                  <w:rPr>
                                    <w:rFonts w:ascii="Arial Black" w:hAnsi="Arial Black"/>
                                    <w:caps/>
                                    <w:color w:val="FFFFFF" w:themeColor="background1"/>
                                    <w:sz w:val="44"/>
                                    <w:szCs w:val="44"/>
                                  </w:rPr>
                                  <w:t>BMSP4014D</w:t>
                                </w:r>
                              </w:sdtContent>
                            </w:sdt>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Arial Black" w:eastAsiaTheme="majorEastAsia" w:hAnsi="Arial Black" w:cstheme="majorBidi"/>
                                <w:color w:val="BF4E14" w:themeColor="accent2" w:themeShade="BF"/>
                                <w:sz w:val="72"/>
                                <w:szCs w:val="72"/>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0E29B65D" w14:textId="32F33578" w:rsidR="00487E6F" w:rsidRPr="00487E6F" w:rsidRDefault="00487E6F">
                                <w:pPr>
                                  <w:pStyle w:val="NoSpacing"/>
                                  <w:pBdr>
                                    <w:bottom w:val="single" w:sz="6" w:space="4" w:color="7F7F7F" w:themeColor="text1" w:themeTint="80"/>
                                  </w:pBdr>
                                  <w:rPr>
                                    <w:rFonts w:ascii="Arial Black" w:eastAsiaTheme="majorEastAsia" w:hAnsi="Arial Black" w:cstheme="majorBidi"/>
                                    <w:color w:val="BF4E14" w:themeColor="accent2" w:themeShade="BF"/>
                                    <w:sz w:val="72"/>
                                    <w:szCs w:val="72"/>
                                  </w:rPr>
                                </w:pPr>
                                <w:r w:rsidRPr="00487E6F">
                                  <w:rPr>
                                    <w:rFonts w:ascii="Arial Black" w:eastAsiaTheme="majorEastAsia" w:hAnsi="Arial Black" w:cstheme="majorBidi"/>
                                    <w:color w:val="BF4E14" w:themeColor="accent2" w:themeShade="BF"/>
                                    <w:sz w:val="72"/>
                                    <w:szCs w:val="72"/>
                                  </w:rPr>
                                  <w:t xml:space="preserve">Ammanford Appraisal </w:t>
                                </w:r>
                              </w:p>
                            </w:sdtContent>
                          </w:sdt>
                          <w:sdt>
                            <w:sdtPr>
                              <w:rPr>
                                <w:rFonts w:ascii="Arial Black" w:hAnsi="Arial Black"/>
                                <w:caps/>
                                <w:color w:val="BF4E14" w:themeColor="accent2" w:themeShade="BF"/>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7145BEDC" w14:textId="08AA2FB1" w:rsidR="00487E6F" w:rsidRPr="00487E6F" w:rsidRDefault="00487E6F" w:rsidP="00487E6F">
                                <w:pPr>
                                  <w:pStyle w:val="NoSpacing"/>
                                  <w:spacing w:before="240"/>
                                  <w:jc w:val="center"/>
                                  <w:rPr>
                                    <w:rFonts w:ascii="Arial Black" w:hAnsi="Arial Black"/>
                                    <w:caps/>
                                    <w:color w:val="BF4E14" w:themeColor="accent2" w:themeShade="BF"/>
                                    <w:sz w:val="36"/>
                                    <w:szCs w:val="36"/>
                                  </w:rPr>
                                </w:pPr>
                                <w:r w:rsidRPr="00487E6F">
                                  <w:rPr>
                                    <w:rFonts w:ascii="Arial Black" w:hAnsi="Arial Black"/>
                                    <w:caps/>
                                    <w:color w:val="BF4E14" w:themeColor="accent2" w:themeShade="BF"/>
                                    <w:sz w:val="36"/>
                                    <w:szCs w:val="36"/>
                                  </w:rPr>
                                  <w:t>Assignment 2</w:t>
                                </w:r>
                              </w:p>
                            </w:sdtContent>
                          </w:sdt>
                        </w:txbxContent>
                      </v:textbox>
                    </v:shape>
                    <w10:wrap anchorx="page" anchory="page"/>
                  </v:group>
                </w:pict>
              </mc:Fallback>
            </mc:AlternateContent>
          </w:r>
        </w:p>
        <w:p w14:paraId="4AB9E0AE" w14:textId="3BAED55E" w:rsidR="00487E6F" w:rsidRDefault="00487E6F">
          <w:pPr>
            <w:rPr>
              <w:rFonts w:ascii="Arial" w:hAnsi="Arial" w:cs="Arial"/>
              <w:b/>
              <w:bCs/>
              <w:color w:val="BF4E14" w:themeColor="accent2" w:themeShade="BF"/>
            </w:rPr>
          </w:pPr>
          <w:r>
            <w:rPr>
              <w:rFonts w:ascii="Arial" w:hAnsi="Arial" w:cs="Arial"/>
              <w:b/>
              <w:bCs/>
              <w:color w:val="BF4E14" w:themeColor="accent2" w:themeShade="BF"/>
            </w:rPr>
            <w:br w:type="page"/>
          </w:r>
        </w:p>
      </w:sdtContent>
    </w:sdt>
    <w:p w14:paraId="1225492F" w14:textId="73D8441C" w:rsidR="00157D4B" w:rsidRPr="00157D4B" w:rsidRDefault="00157D4B" w:rsidP="00157D4B">
      <w:pPr>
        <w:spacing w:line="480" w:lineRule="auto"/>
        <w:jc w:val="both"/>
        <w:rPr>
          <w:rFonts w:ascii="Arial" w:hAnsi="Arial" w:cs="Arial"/>
          <w:b/>
          <w:bCs/>
          <w:color w:val="BF4E14" w:themeColor="accent2" w:themeShade="BF"/>
        </w:rPr>
      </w:pPr>
      <w:r w:rsidRPr="00157D4B">
        <w:rPr>
          <w:rFonts w:ascii="Arial" w:hAnsi="Arial" w:cs="Arial"/>
          <w:b/>
          <w:bCs/>
          <w:color w:val="BF4E14" w:themeColor="accent2" w:themeShade="BF"/>
        </w:rPr>
        <w:lastRenderedPageBreak/>
        <w:t xml:space="preserve">Changing </w:t>
      </w:r>
      <w:r w:rsidRPr="00157D4B">
        <w:rPr>
          <w:rFonts w:ascii="Arial" w:hAnsi="Arial" w:cs="Arial"/>
          <w:b/>
          <w:bCs/>
          <w:color w:val="BF4E14" w:themeColor="accent2" w:themeShade="BF"/>
        </w:rPr>
        <w:t>Fortunes</w:t>
      </w:r>
    </w:p>
    <w:p w14:paraId="7124C8C4" w14:textId="77777777" w:rsidR="00157D4B" w:rsidRDefault="00157D4B" w:rsidP="00157D4B">
      <w:pPr>
        <w:spacing w:line="480" w:lineRule="auto"/>
        <w:jc w:val="both"/>
        <w:rPr>
          <w:rFonts w:ascii="Arial" w:hAnsi="Arial" w:cs="Arial"/>
        </w:rPr>
      </w:pPr>
      <w:r w:rsidRPr="00157D4B">
        <w:rPr>
          <w:rFonts w:ascii="Arial" w:hAnsi="Arial" w:cs="Arial"/>
        </w:rPr>
        <w:t xml:space="preserve">Ammanford, like many post-industrial towns, has undergone </w:t>
      </w:r>
      <w:r w:rsidRPr="00157D4B">
        <w:rPr>
          <w:rFonts w:ascii="Arial" w:hAnsi="Arial" w:cs="Arial"/>
        </w:rPr>
        <w:t>several</w:t>
      </w:r>
      <w:r w:rsidRPr="00157D4B">
        <w:rPr>
          <w:rFonts w:ascii="Arial" w:hAnsi="Arial" w:cs="Arial"/>
        </w:rPr>
        <w:t xml:space="preserve"> economic and social transformations. The development of the town is typical of more general regional patterns whereby changes from heavy industry to service and knowledge-based economies have required flexible measures for economic survival and societal cohesion. As Heise (2008) reminds us, understanding the environmental imagination as well as the communal identity depends on the "sense of place". Ammanford's fortunes have fluctuated in conjunction with more general economic cycles, going through times of industrial growth followed by downturn and later redevelopment initiatives. Along with affecting economic viability, these shifting fortunes have changed community identities, hence altering the story of resistance and reinvention.</w:t>
      </w:r>
    </w:p>
    <w:p w14:paraId="7C4EE12E" w14:textId="77777777" w:rsidR="00157D4B" w:rsidRDefault="00157D4B" w:rsidP="00157D4B">
      <w:pPr>
        <w:spacing w:line="480" w:lineRule="auto"/>
        <w:jc w:val="both"/>
        <w:rPr>
          <w:rFonts w:ascii="Arial" w:hAnsi="Arial" w:cs="Arial"/>
        </w:rPr>
      </w:pPr>
      <w:r w:rsidRPr="00157D4B">
        <w:rPr>
          <w:rFonts w:ascii="Arial" w:hAnsi="Arial" w:cs="Arial"/>
        </w:rPr>
        <w:t>The collapse of Ammanford's conventional sectors has had major effects on local investment, community morale, and jobs. Economic crises often aggravate social problems including unemployment, declining public services, and social fragmentation. In this view, regeneration becomes not just an issue of economic recovery but also of restoring a feeling of social well-being and shared identity (Omann &amp; Spangenberg, 2002). The town's evolving fortunes highlight the necessity of inclusive and aware revitalisation plans considering the interaction between social sustainability and economic success. Sustainable cities, as Satterthwaite (1997) points out, are those that support general sustainable development, therefore stressing the need of regeneration plans that are both socially cohesive and economically feasible.</w:t>
      </w:r>
    </w:p>
    <w:p w14:paraId="3E30BE16" w14:textId="77777777" w:rsidR="00157D4B" w:rsidRDefault="00157D4B" w:rsidP="00157D4B">
      <w:pPr>
        <w:spacing w:line="480" w:lineRule="auto"/>
        <w:jc w:val="both"/>
        <w:rPr>
          <w:rFonts w:ascii="Arial" w:hAnsi="Arial" w:cs="Arial"/>
        </w:rPr>
      </w:pPr>
      <w:r w:rsidRPr="00157D4B">
        <w:rPr>
          <w:rFonts w:ascii="Arial" w:hAnsi="Arial" w:cs="Arial"/>
        </w:rPr>
        <w:t xml:space="preserve">The town's industrial background, while typically associated with decline, is also a source of cultural legacy and communal identity. When thinking about regeneration, </w:t>
      </w:r>
      <w:r w:rsidRPr="00157D4B">
        <w:rPr>
          <w:rFonts w:ascii="Arial" w:hAnsi="Arial" w:cs="Arial"/>
        </w:rPr>
        <w:lastRenderedPageBreak/>
        <w:t>this duality is important: the difficulty is to leverage past resources to motivate next social and economic development. The oscillation between times of economic prosperity and downturn has ingrained in the society a layer of historical consciousness that may be mobilised to inspire pride, boost investment, and draw tourism (Ormerod &amp; Johns, 2007). The lessons from these changing fortunes emphasise the need of visionary, not only reactive rehabilitation plans that foresee future economic paradigms while still anchored in the local setting.</w:t>
      </w:r>
    </w:p>
    <w:p w14:paraId="558C65F3" w14:textId="220051D2" w:rsidR="00157D4B" w:rsidRPr="00157D4B" w:rsidRDefault="00157D4B" w:rsidP="00157D4B">
      <w:pPr>
        <w:spacing w:line="480" w:lineRule="auto"/>
        <w:jc w:val="both"/>
        <w:rPr>
          <w:rFonts w:ascii="Arial" w:hAnsi="Arial" w:cs="Arial"/>
          <w:b/>
          <w:bCs/>
          <w:color w:val="BF4E14" w:themeColor="accent2" w:themeShade="BF"/>
        </w:rPr>
      </w:pPr>
      <w:r w:rsidRPr="00157D4B">
        <w:rPr>
          <w:rFonts w:ascii="Arial" w:hAnsi="Arial" w:cs="Arial"/>
          <w:b/>
          <w:bCs/>
          <w:color w:val="BF4E14" w:themeColor="accent2" w:themeShade="BF"/>
        </w:rPr>
        <w:t xml:space="preserve">Existing assets, structures and economic </w:t>
      </w:r>
      <w:r w:rsidRPr="00157D4B">
        <w:rPr>
          <w:rFonts w:ascii="Arial" w:hAnsi="Arial" w:cs="Arial"/>
          <w:b/>
          <w:bCs/>
          <w:color w:val="BF4E14" w:themeColor="accent2" w:themeShade="BF"/>
        </w:rPr>
        <w:t>character</w:t>
      </w:r>
    </w:p>
    <w:p w14:paraId="0F2A6962" w14:textId="77777777" w:rsidR="00157D4B" w:rsidRDefault="00157D4B" w:rsidP="00157D4B">
      <w:pPr>
        <w:spacing w:line="480" w:lineRule="auto"/>
        <w:jc w:val="both"/>
        <w:rPr>
          <w:rFonts w:ascii="Arial" w:hAnsi="Arial" w:cs="Arial"/>
        </w:rPr>
      </w:pPr>
      <w:r w:rsidRPr="00157D4B">
        <w:rPr>
          <w:rFonts w:ascii="Arial" w:hAnsi="Arial" w:cs="Arial"/>
        </w:rPr>
        <w:t>Ammanford's existing assets are diverse, including its cultural history, architectural buildings, community networks, and natural environments. With old buildings and structures that offer both charm and possible adaptive reuse prospects, the built environment of the town reflects its industrial past. Though occasionally in need of renovation, these physical objects provide a physical link to the past of the town and act as focal points for local pride. By means of adaptive reuse of historic buildings, obsolete industrial sites can be transformed into creative hubs or mixed-use developments meeting contemporary needs (Polese &amp; Stren, 2000).</w:t>
      </w:r>
    </w:p>
    <w:p w14:paraId="23B2867B" w14:textId="77777777" w:rsidR="00157D4B" w:rsidRDefault="00157D4B" w:rsidP="00157D4B">
      <w:pPr>
        <w:spacing w:line="480" w:lineRule="auto"/>
        <w:jc w:val="both"/>
        <w:rPr>
          <w:rFonts w:ascii="Arial" w:hAnsi="Arial" w:cs="Arial"/>
        </w:rPr>
      </w:pPr>
      <w:r w:rsidRPr="00157D4B">
        <w:rPr>
          <w:rFonts w:ascii="Arial" w:hAnsi="Arial" w:cs="Arial"/>
        </w:rPr>
        <w:t xml:space="preserve">In addition to its physical advantages, Ammanford has a strong sense of community that has been cultivated by long-standing social networks and civic traditions. A great benefit in regeneration efforts is social capital, which is defined as the networks, standards, and trust that enable coordination and cooperation for mutual benefit (Putnam, 1993). Social capital does, however, have certain drawbacks even if it might offer notable advantages. Portes and Landolt (1996) stress that too strong bonding in close-knit societies could occasionally impede the integration of fresh ideas and inventions, therefore restricting more general developmental possibilities. Therefore, </w:t>
      </w:r>
      <w:r w:rsidRPr="00157D4B">
        <w:rPr>
          <w:rFonts w:ascii="Arial" w:hAnsi="Arial" w:cs="Arial"/>
        </w:rPr>
        <w:lastRenderedPageBreak/>
        <w:t>a well-balanced strategy that promotes openness to outside influences and retains communal bonds is crucial.</w:t>
      </w:r>
    </w:p>
    <w:p w14:paraId="1A45B4E7" w14:textId="77777777" w:rsidR="00157D4B" w:rsidRDefault="00157D4B" w:rsidP="00157D4B">
      <w:pPr>
        <w:spacing w:line="480" w:lineRule="auto"/>
        <w:jc w:val="both"/>
        <w:rPr>
          <w:rFonts w:ascii="Arial" w:hAnsi="Arial" w:cs="Arial"/>
        </w:rPr>
      </w:pPr>
      <w:r w:rsidRPr="00157D4B">
        <w:rPr>
          <w:rFonts w:ascii="Arial" w:hAnsi="Arial" w:cs="Arial"/>
        </w:rPr>
        <w:t>Ammanford's economic character has always been connected to its industrial basis, although in recent years small and medium businesses, services, and creative sectors have gradually diversified there. This shift reflects larger patterns in metropolitan economies where resilience depends on creativity and diversification. Still, the legacy of industrial downturn remains big with pockets of economic underperformance and physical damage. Infrastructure problems and the demand for modern conveniences compound these difficulties and call for focused public space, transport, and digital infrastructure (HM Treasury, 2003). Therefore, the economic structure is marked by a dichotomy: on one side, the presence of latent cultural and physical assets; on the other, the urgent need for infrastructure modernising and economic diversification.</w:t>
      </w:r>
    </w:p>
    <w:p w14:paraId="6630F21C" w14:textId="77777777" w:rsidR="00157D4B" w:rsidRDefault="00157D4B" w:rsidP="00157D4B">
      <w:pPr>
        <w:spacing w:line="480" w:lineRule="auto"/>
        <w:jc w:val="both"/>
        <w:rPr>
          <w:rFonts w:ascii="Arial" w:hAnsi="Arial" w:cs="Arial"/>
        </w:rPr>
      </w:pPr>
      <w:r w:rsidRPr="00157D4B">
        <w:rPr>
          <w:rFonts w:ascii="Arial" w:hAnsi="Arial" w:cs="Arial"/>
        </w:rPr>
        <w:t>The social sustainability of Ammanford can be viewed as both an asset and a challenge. On one hand, the coherent community networks of the town offer a solid basis for group efforts and mutual encouragement. Conversely, problems of social exclusion and economic inequity could jeopardise initiatives towards a balanced and inclusive urban redevelopment plan. According to Sachs (1999), social sustainability must be included into more general development projects if we are to guarantee that economic growth does not sacrifice social equality. This duality demands a comprehensive strategy addressing social inclusion as well as physical rejuvenation to guarantee that the advantages of progress are shared across the society.</w:t>
      </w:r>
    </w:p>
    <w:p w14:paraId="68B67960" w14:textId="77777777" w:rsidR="00157D4B" w:rsidRDefault="00157D4B" w:rsidP="00157D4B">
      <w:pPr>
        <w:spacing w:line="480" w:lineRule="auto"/>
        <w:jc w:val="both"/>
        <w:rPr>
          <w:rFonts w:ascii="Arial" w:hAnsi="Arial" w:cs="Arial"/>
        </w:rPr>
      </w:pPr>
    </w:p>
    <w:p w14:paraId="381B6249" w14:textId="77777777" w:rsidR="00157D4B" w:rsidRDefault="00157D4B" w:rsidP="00157D4B">
      <w:pPr>
        <w:spacing w:line="480" w:lineRule="auto"/>
        <w:jc w:val="both"/>
        <w:rPr>
          <w:rFonts w:ascii="Arial" w:hAnsi="Arial" w:cs="Arial"/>
        </w:rPr>
      </w:pPr>
    </w:p>
    <w:p w14:paraId="25CFC3ED" w14:textId="77777777" w:rsidR="00157D4B" w:rsidRDefault="00157D4B" w:rsidP="00157D4B">
      <w:pPr>
        <w:spacing w:line="480" w:lineRule="auto"/>
        <w:jc w:val="both"/>
        <w:rPr>
          <w:rFonts w:ascii="Arial" w:hAnsi="Arial" w:cs="Arial"/>
        </w:rPr>
      </w:pPr>
    </w:p>
    <w:p w14:paraId="2FB25EB4" w14:textId="6036DB78" w:rsidR="00157D4B" w:rsidRPr="00157D4B" w:rsidRDefault="00157D4B" w:rsidP="00157D4B">
      <w:pPr>
        <w:spacing w:line="480" w:lineRule="auto"/>
        <w:jc w:val="both"/>
        <w:rPr>
          <w:rFonts w:ascii="Arial" w:hAnsi="Arial" w:cs="Arial"/>
          <w:b/>
          <w:bCs/>
          <w:color w:val="BF4E14" w:themeColor="accent2" w:themeShade="BF"/>
        </w:rPr>
      </w:pPr>
      <w:r w:rsidRPr="00157D4B">
        <w:rPr>
          <w:rFonts w:ascii="Arial" w:hAnsi="Arial" w:cs="Arial"/>
          <w:b/>
          <w:bCs/>
          <w:color w:val="BF4E14" w:themeColor="accent2" w:themeShade="BF"/>
        </w:rPr>
        <w:lastRenderedPageBreak/>
        <w:t>Key stakeholders and interest groups</w:t>
      </w:r>
    </w:p>
    <w:p w14:paraId="11927885" w14:textId="77777777" w:rsidR="00157D4B" w:rsidRDefault="00157D4B" w:rsidP="00157D4B">
      <w:pPr>
        <w:spacing w:line="480" w:lineRule="auto"/>
        <w:jc w:val="both"/>
        <w:rPr>
          <w:rFonts w:ascii="Arial" w:hAnsi="Arial" w:cs="Arial"/>
        </w:rPr>
      </w:pPr>
      <w:r w:rsidRPr="00157D4B">
        <w:rPr>
          <w:rFonts w:ascii="Arial" w:hAnsi="Arial" w:cs="Arial"/>
        </w:rPr>
        <w:t xml:space="preserve">The process of regeneration in Ammanford consists </w:t>
      </w:r>
      <w:r w:rsidRPr="00157D4B">
        <w:rPr>
          <w:rFonts w:ascii="Arial" w:hAnsi="Arial" w:cs="Arial"/>
        </w:rPr>
        <w:t>of</w:t>
      </w:r>
      <w:r w:rsidRPr="00157D4B">
        <w:rPr>
          <w:rFonts w:ascii="Arial" w:hAnsi="Arial" w:cs="Arial"/>
        </w:rPr>
        <w:t xml:space="preserve"> a complex network of interest groups and stakeholders whose involvement is necessary for the success of any intervention. Setting the legislative framework and organising resources for regeneration projects depends much on local government agencies such municipal councils and planning authorities. In the framework of post-industrial decline, these institutions </w:t>
      </w:r>
      <w:r w:rsidRPr="00157D4B">
        <w:rPr>
          <w:rFonts w:ascii="Arial" w:hAnsi="Arial" w:cs="Arial"/>
        </w:rPr>
        <w:t>oversee</w:t>
      </w:r>
      <w:r w:rsidRPr="00157D4B">
        <w:rPr>
          <w:rFonts w:ascii="Arial" w:hAnsi="Arial" w:cs="Arial"/>
        </w:rPr>
        <w:t xml:space="preserve"> balancing economic development with social and environmental sustainability</w:t>
      </w:r>
      <w:r>
        <w:rPr>
          <w:rFonts w:ascii="Arial" w:hAnsi="Arial" w:cs="Arial"/>
        </w:rPr>
        <w:t xml:space="preserve"> </w:t>
      </w:r>
      <w:r w:rsidRPr="00157D4B">
        <w:rPr>
          <w:rFonts w:ascii="Arial" w:hAnsi="Arial" w:cs="Arial"/>
        </w:rPr>
        <w:t>a task that has become progressively difficult (HM Treasury, 1995).</w:t>
      </w:r>
    </w:p>
    <w:p w14:paraId="101F22B3" w14:textId="1582EF7E" w:rsidR="00157D4B" w:rsidRDefault="00157D4B" w:rsidP="00157D4B">
      <w:pPr>
        <w:spacing w:line="480" w:lineRule="auto"/>
        <w:jc w:val="both"/>
        <w:rPr>
          <w:rFonts w:ascii="Arial" w:hAnsi="Arial" w:cs="Arial"/>
        </w:rPr>
      </w:pPr>
      <w:r w:rsidRPr="00157D4B">
        <w:rPr>
          <w:rFonts w:ascii="Arial" w:hAnsi="Arial" w:cs="Arial"/>
        </w:rPr>
        <w:t>Perhaps the most important players in efforts at redevelopment are local community groups and civic organisations. Their strong ties to the history and culture of the town make them quite helpful in making sure that ideas for redevelopment appeal to local identities and solve local problems. Rydin and Pennington (2000) claim that public involvement in environmental planning not only enhances the design of urban projects but also helps citizens to feel responsible and owned. Involving local people, then, is not only a legal requirement but also a strategic need for sustainable development</w:t>
      </w:r>
      <w:r>
        <w:rPr>
          <w:rFonts w:ascii="Arial" w:hAnsi="Arial" w:cs="Arial"/>
        </w:rPr>
        <w:t>.</w:t>
      </w:r>
    </w:p>
    <w:p w14:paraId="1B630AB7" w14:textId="77777777" w:rsidR="00157D4B" w:rsidRDefault="00157D4B" w:rsidP="00157D4B">
      <w:pPr>
        <w:spacing w:line="480" w:lineRule="auto"/>
        <w:jc w:val="both"/>
        <w:rPr>
          <w:rFonts w:ascii="Arial" w:hAnsi="Arial" w:cs="Arial"/>
        </w:rPr>
      </w:pPr>
      <w:r w:rsidRPr="00157D4B">
        <w:rPr>
          <w:rFonts w:ascii="Arial" w:hAnsi="Arial" w:cs="Arial"/>
        </w:rPr>
        <w:t>In the story of regeneration, business groups</w:t>
      </w:r>
      <w:r>
        <w:rPr>
          <w:rFonts w:ascii="Arial" w:hAnsi="Arial" w:cs="Arial"/>
        </w:rPr>
        <w:t xml:space="preserve"> </w:t>
      </w:r>
      <w:r w:rsidRPr="00157D4B">
        <w:rPr>
          <w:rFonts w:ascii="Arial" w:hAnsi="Arial" w:cs="Arial"/>
        </w:rPr>
        <w:t>from tiny local businesses to bigger corporate entities</w:t>
      </w:r>
      <w:r>
        <w:rPr>
          <w:rFonts w:ascii="Arial" w:hAnsi="Arial" w:cs="Arial"/>
        </w:rPr>
        <w:t xml:space="preserve"> </w:t>
      </w:r>
      <w:r w:rsidRPr="00157D4B">
        <w:rPr>
          <w:rFonts w:ascii="Arial" w:hAnsi="Arial" w:cs="Arial"/>
        </w:rPr>
        <w:t xml:space="preserve">also have great influence. These organisations are </w:t>
      </w:r>
      <w:r w:rsidRPr="00157D4B">
        <w:rPr>
          <w:rFonts w:ascii="Arial" w:hAnsi="Arial" w:cs="Arial"/>
        </w:rPr>
        <w:t>vital</w:t>
      </w:r>
      <w:r w:rsidRPr="00157D4B">
        <w:rPr>
          <w:rFonts w:ascii="Arial" w:hAnsi="Arial" w:cs="Arial"/>
        </w:rPr>
        <w:t xml:space="preserve"> for injecting money, promoting creativity, and encouraging economic diversity. Their goals, meanwhile, might not necessarily coincide with those of surrounding towns. Rubio (1997) warns of the possibility for "perverse social capital," whereby profit-driven economic activity could aggravate social inequality by themselves. Therefore, it is imperative to guarantee that regeneration projects support inclusive development by a balanced cooperation between corporate interests and community welfare.</w:t>
      </w:r>
    </w:p>
    <w:p w14:paraId="7C865455" w14:textId="3CF6984D" w:rsidR="00157D4B" w:rsidRDefault="00157D4B" w:rsidP="00157D4B">
      <w:pPr>
        <w:spacing w:line="480" w:lineRule="auto"/>
        <w:jc w:val="both"/>
        <w:rPr>
          <w:rFonts w:ascii="Arial" w:hAnsi="Arial" w:cs="Arial"/>
        </w:rPr>
      </w:pPr>
      <w:r w:rsidRPr="00157D4B">
        <w:rPr>
          <w:rFonts w:ascii="Arial" w:hAnsi="Arial" w:cs="Arial"/>
        </w:rPr>
        <w:lastRenderedPageBreak/>
        <w:t xml:space="preserve">By serving as stimulants for creativity and social learning, educational institutions and cultural organisations enhance the regeneration paradigm even more. Universities and nearby colleges can help to create new talents and encourage an </w:t>
      </w:r>
      <w:r w:rsidRPr="00157D4B">
        <w:rPr>
          <w:rFonts w:ascii="Arial" w:hAnsi="Arial" w:cs="Arial"/>
        </w:rPr>
        <w:t>entrepreneurial culture</w:t>
      </w:r>
      <w:r>
        <w:rPr>
          <w:rFonts w:ascii="Arial" w:hAnsi="Arial" w:cs="Arial"/>
        </w:rPr>
        <w:t xml:space="preserve"> </w:t>
      </w:r>
      <w:r w:rsidRPr="00157D4B">
        <w:rPr>
          <w:rFonts w:ascii="Arial" w:hAnsi="Arial" w:cs="Arial"/>
        </w:rPr>
        <w:t>quality</w:t>
      </w:r>
      <w:r w:rsidRPr="00157D4B">
        <w:rPr>
          <w:rFonts w:ascii="Arial" w:hAnsi="Arial" w:cs="Arial"/>
        </w:rPr>
        <w:t xml:space="preserve"> </w:t>
      </w:r>
      <w:r w:rsidRPr="00157D4B">
        <w:rPr>
          <w:rFonts w:ascii="Arial" w:hAnsi="Arial" w:cs="Arial"/>
        </w:rPr>
        <w:t>essential</w:t>
      </w:r>
      <w:r w:rsidRPr="00157D4B">
        <w:rPr>
          <w:rFonts w:ascii="Arial" w:hAnsi="Arial" w:cs="Arial"/>
        </w:rPr>
        <w:t xml:space="preserve"> for meeting the challenges of a modern economy (Temple, 2000). Furthermore, cultural institutions support the preservation and reinterpretation of local legacy, therefore strengthening the dynamic urban fabric with social and economic relevance.</w:t>
      </w:r>
    </w:p>
    <w:p w14:paraId="16C3100D" w14:textId="77777777" w:rsidR="00157D4B" w:rsidRDefault="00157D4B" w:rsidP="00157D4B">
      <w:pPr>
        <w:spacing w:line="480" w:lineRule="auto"/>
        <w:jc w:val="both"/>
        <w:rPr>
          <w:rFonts w:ascii="Arial" w:hAnsi="Arial" w:cs="Arial"/>
        </w:rPr>
      </w:pPr>
      <w:r w:rsidRPr="00157D4B">
        <w:rPr>
          <w:rFonts w:ascii="Arial" w:hAnsi="Arial" w:cs="Arial"/>
        </w:rPr>
        <w:t>The debate on sustainable regeneration also revolves mostly on non-governmental organisations (NGOs) and advocacy groups. Often acting as watchdogs, these organisations guarantee that development projects follow sustainable and equitable guidelines. They offer critical viewpoints on problems including social exclusion, environmental damage, and economic inequality, therefore assigning some responsibility to the regeneration process. Based on the lessons learnt from sustainable development models (OECD, 2001), the development of plans that are both creative and sensitive to the demands of the society depends on the participation of a wide range of stakeholders.</w:t>
      </w:r>
    </w:p>
    <w:p w14:paraId="4E300EA2" w14:textId="77777777" w:rsidR="00157D4B" w:rsidRPr="00157D4B" w:rsidRDefault="00157D4B" w:rsidP="00157D4B">
      <w:pPr>
        <w:spacing w:line="480" w:lineRule="auto"/>
        <w:jc w:val="both"/>
        <w:rPr>
          <w:rFonts w:ascii="Arial" w:hAnsi="Arial" w:cs="Arial"/>
          <w:b/>
          <w:bCs/>
          <w:color w:val="BF4E14" w:themeColor="accent2" w:themeShade="BF"/>
        </w:rPr>
      </w:pPr>
      <w:r w:rsidRPr="00157D4B">
        <w:rPr>
          <w:rFonts w:ascii="Arial" w:hAnsi="Arial" w:cs="Arial"/>
          <w:b/>
          <w:bCs/>
          <w:color w:val="BF4E14" w:themeColor="accent2" w:themeShade="BF"/>
        </w:rPr>
        <w:t>Local and Regional Development Plans</w:t>
      </w:r>
    </w:p>
    <w:p w14:paraId="019617B3" w14:textId="77777777" w:rsidR="00157D4B" w:rsidRDefault="00157D4B" w:rsidP="00157D4B">
      <w:pPr>
        <w:spacing w:line="480" w:lineRule="auto"/>
        <w:jc w:val="both"/>
        <w:rPr>
          <w:rFonts w:ascii="Arial" w:hAnsi="Arial" w:cs="Arial"/>
        </w:rPr>
      </w:pPr>
      <w:r w:rsidRPr="00157D4B">
        <w:rPr>
          <w:rFonts w:ascii="Arial" w:hAnsi="Arial" w:cs="Arial"/>
        </w:rPr>
        <w:t>In Ammanford, both historical practices and modern policy changes shape local and regional development initiatives. Drawing on models created by prior rehabilitation initiatives, municipal planning policies have usually concentrated on economic recovery and infrastructure renewal. Modern approaches, however, are realising more and more the requirement of a whole strategy including social, environmental, and financial aspects of sustainability (Sinner et al., 2004).</w:t>
      </w:r>
    </w:p>
    <w:p w14:paraId="33F28F18" w14:textId="1A27FE4D" w:rsidR="00157D4B" w:rsidRDefault="00157D4B" w:rsidP="00157D4B">
      <w:pPr>
        <w:spacing w:line="480" w:lineRule="auto"/>
        <w:jc w:val="both"/>
        <w:rPr>
          <w:rFonts w:ascii="Arial" w:hAnsi="Arial" w:cs="Arial"/>
        </w:rPr>
      </w:pPr>
      <w:r w:rsidRPr="00157D4B">
        <w:rPr>
          <w:rFonts w:ascii="Arial" w:hAnsi="Arial" w:cs="Arial"/>
        </w:rPr>
        <w:lastRenderedPageBreak/>
        <w:t>National and international agendas that give sustainable development top priority shapes regional policies. As highlighted by Sachs (1999) and reinforced in the OECD's analytical studies (OECD, 2001), the integration of environmental, social, and financial goals in regional planning reflects the multi-dimensional character of sustainable development. These techniques underline the need of resilience, creativity, and inclusivity</w:t>
      </w:r>
      <w:r>
        <w:rPr>
          <w:rFonts w:ascii="Arial" w:hAnsi="Arial" w:cs="Arial"/>
        </w:rPr>
        <w:t xml:space="preserve"> </w:t>
      </w:r>
      <w:r w:rsidRPr="00157D4B">
        <w:rPr>
          <w:rFonts w:ascii="Arial" w:hAnsi="Arial" w:cs="Arial"/>
        </w:rPr>
        <w:t>principles essential for changing the social and economic scene of Ammanford.</w:t>
      </w:r>
    </w:p>
    <w:p w14:paraId="6BF7206C" w14:textId="77777777" w:rsidR="00157D4B" w:rsidRDefault="00157D4B" w:rsidP="00157D4B">
      <w:pPr>
        <w:spacing w:line="480" w:lineRule="auto"/>
        <w:jc w:val="both"/>
        <w:rPr>
          <w:rFonts w:ascii="Arial" w:hAnsi="Arial" w:cs="Arial"/>
        </w:rPr>
      </w:pPr>
      <w:r w:rsidRPr="00157D4B">
        <w:rPr>
          <w:rFonts w:ascii="Arial" w:hAnsi="Arial" w:cs="Arial"/>
        </w:rPr>
        <w:t>One interesting feature of regional development plans is the move towards participatory planning techniques. This tendency acknowledges that the complex demands of local communities are sometimes missed by top-down solutions. Rather, regional planning today mostly entails interaction with local stakeholders, community groups, and other interest groups to guarantee that development projects are both context-specific and generally supported (Rydin &amp; Pennington, 2000; Polese &amp; Stren, 2000). This participatory approach has difficulties as well since balancing conflicting interests calls for competent facilitation and a dedication to openness. Still, it is a crucial component of contemporary regeneration plans meant to include social sustainability into projects of economic development.</w:t>
      </w:r>
    </w:p>
    <w:p w14:paraId="23ABC4BE" w14:textId="77777777" w:rsidR="00157D4B" w:rsidRDefault="00157D4B" w:rsidP="00157D4B">
      <w:pPr>
        <w:spacing w:line="480" w:lineRule="auto"/>
        <w:jc w:val="both"/>
        <w:rPr>
          <w:rFonts w:ascii="Arial" w:hAnsi="Arial" w:cs="Arial"/>
        </w:rPr>
      </w:pPr>
      <w:proofErr w:type="gramStart"/>
      <w:r w:rsidRPr="00157D4B">
        <w:rPr>
          <w:rFonts w:ascii="Arial" w:hAnsi="Arial" w:cs="Arial"/>
        </w:rPr>
        <w:t>Furthermore</w:t>
      </w:r>
      <w:proofErr w:type="gramEnd"/>
      <w:r w:rsidRPr="00157D4B">
        <w:rPr>
          <w:rFonts w:ascii="Arial" w:hAnsi="Arial" w:cs="Arial"/>
        </w:rPr>
        <w:t xml:space="preserve"> </w:t>
      </w:r>
      <w:r w:rsidRPr="00157D4B">
        <w:rPr>
          <w:rFonts w:ascii="Arial" w:hAnsi="Arial" w:cs="Arial"/>
        </w:rPr>
        <w:t>considered</w:t>
      </w:r>
      <w:r w:rsidRPr="00157D4B">
        <w:rPr>
          <w:rFonts w:ascii="Arial" w:hAnsi="Arial" w:cs="Arial"/>
        </w:rPr>
        <w:t xml:space="preserve"> at the regional level are strategies for including sustainable practices and modern technologies. As Harvey </w:t>
      </w:r>
      <w:r w:rsidRPr="00157D4B">
        <w:rPr>
          <w:rFonts w:ascii="Arial" w:hAnsi="Arial" w:cs="Arial"/>
        </w:rPr>
        <w:t>(1989</w:t>
      </w:r>
      <w:r w:rsidRPr="00157D4B">
        <w:rPr>
          <w:rFonts w:ascii="Arial" w:hAnsi="Arial" w:cs="Arial"/>
        </w:rPr>
        <w:t xml:space="preserve">) points out, the change from managerialism to entrepreneurialism in urban government has created chances for creative ideas for regeneration. Adoption of digital technologies, renewable energy solutions, and smart infrastructure projects marks this change, matching local development goals with more general global tendencies towards sustainability and resilience (Hendrickson, 2012). Harnessing these tendencies in a way that </w:t>
      </w:r>
      <w:r w:rsidRPr="00157D4B">
        <w:rPr>
          <w:rFonts w:ascii="Arial" w:hAnsi="Arial" w:cs="Arial"/>
        </w:rPr>
        <w:lastRenderedPageBreak/>
        <w:t>accentuates Ammanford's historical strengths and meets modern social and economic requirements presents a challenge.</w:t>
      </w:r>
    </w:p>
    <w:p w14:paraId="50E886D3" w14:textId="77777777" w:rsidR="00157D4B" w:rsidRPr="00157D4B" w:rsidRDefault="00157D4B" w:rsidP="00157D4B">
      <w:pPr>
        <w:spacing w:line="480" w:lineRule="auto"/>
        <w:jc w:val="both"/>
        <w:rPr>
          <w:rFonts w:ascii="Arial" w:hAnsi="Arial" w:cs="Arial"/>
          <w:b/>
          <w:bCs/>
          <w:color w:val="BF4E14" w:themeColor="accent2" w:themeShade="BF"/>
        </w:rPr>
      </w:pPr>
      <w:r w:rsidRPr="00157D4B">
        <w:rPr>
          <w:rFonts w:ascii="Arial" w:hAnsi="Arial" w:cs="Arial"/>
          <w:b/>
          <w:bCs/>
          <w:color w:val="BF4E14" w:themeColor="accent2" w:themeShade="BF"/>
        </w:rPr>
        <w:t>Possibilities for Regeneration</w:t>
      </w:r>
    </w:p>
    <w:p w14:paraId="62761A0C" w14:textId="77777777" w:rsidR="00157D4B" w:rsidRDefault="00157D4B" w:rsidP="00157D4B">
      <w:pPr>
        <w:spacing w:line="480" w:lineRule="auto"/>
        <w:jc w:val="both"/>
        <w:rPr>
          <w:rFonts w:ascii="Arial" w:hAnsi="Arial" w:cs="Arial"/>
        </w:rPr>
      </w:pPr>
      <w:r w:rsidRPr="00157D4B">
        <w:rPr>
          <w:rFonts w:ascii="Arial" w:hAnsi="Arial" w:cs="Arial"/>
        </w:rPr>
        <w:t>Based on the a</w:t>
      </w:r>
      <w:r>
        <w:rPr>
          <w:rFonts w:ascii="Arial" w:hAnsi="Arial" w:cs="Arial"/>
        </w:rPr>
        <w:t>nalysis</w:t>
      </w:r>
      <w:r w:rsidRPr="00157D4B">
        <w:rPr>
          <w:rFonts w:ascii="Arial" w:hAnsi="Arial" w:cs="Arial"/>
        </w:rPr>
        <w:t xml:space="preserve"> of Ammanford's present </w:t>
      </w:r>
      <w:proofErr w:type="gramStart"/>
      <w:r w:rsidRPr="00157D4B">
        <w:rPr>
          <w:rFonts w:ascii="Arial" w:hAnsi="Arial" w:cs="Arial"/>
        </w:rPr>
        <w:t>state of affairs</w:t>
      </w:r>
      <w:proofErr w:type="gramEnd"/>
      <w:r w:rsidRPr="00157D4B">
        <w:rPr>
          <w:rFonts w:ascii="Arial" w:hAnsi="Arial" w:cs="Arial"/>
        </w:rPr>
        <w:t xml:space="preserve">, there are various interesting redevelopment prospects that fit sustainable development </w:t>
      </w:r>
      <w:r w:rsidRPr="00157D4B">
        <w:rPr>
          <w:rFonts w:ascii="Arial" w:hAnsi="Arial" w:cs="Arial"/>
        </w:rPr>
        <w:t>concepts,</w:t>
      </w:r>
      <w:r w:rsidRPr="00157D4B">
        <w:rPr>
          <w:rFonts w:ascii="Arial" w:hAnsi="Arial" w:cs="Arial"/>
        </w:rPr>
        <w:t xml:space="preserve"> and the knowledge acquired from local reality as well as theoretical viewpoints.</w:t>
      </w:r>
    </w:p>
    <w:p w14:paraId="649A640F" w14:textId="77777777" w:rsidR="00157D4B" w:rsidRPr="00157D4B" w:rsidRDefault="00157D4B" w:rsidP="00157D4B">
      <w:pPr>
        <w:spacing w:line="480" w:lineRule="auto"/>
        <w:jc w:val="both"/>
        <w:rPr>
          <w:rFonts w:ascii="Arial" w:hAnsi="Arial" w:cs="Arial"/>
          <w:b/>
          <w:bCs/>
          <w:color w:val="BF4E14" w:themeColor="accent2" w:themeShade="BF"/>
        </w:rPr>
      </w:pPr>
      <w:r w:rsidRPr="00157D4B">
        <w:rPr>
          <w:rFonts w:ascii="Arial" w:hAnsi="Arial" w:cs="Arial"/>
          <w:b/>
          <w:bCs/>
          <w:color w:val="BF4E14" w:themeColor="accent2" w:themeShade="BF"/>
        </w:rPr>
        <w:t>Community-Led Cultural and Heritage Renewal</w:t>
      </w:r>
    </w:p>
    <w:p w14:paraId="0FA793CF" w14:textId="77777777" w:rsidR="00157D4B" w:rsidRDefault="00157D4B" w:rsidP="00157D4B">
      <w:pPr>
        <w:spacing w:line="480" w:lineRule="auto"/>
        <w:jc w:val="both"/>
        <w:rPr>
          <w:rFonts w:ascii="Arial" w:hAnsi="Arial" w:cs="Arial"/>
        </w:rPr>
      </w:pPr>
      <w:r w:rsidRPr="00157D4B">
        <w:rPr>
          <w:rFonts w:ascii="Arial" w:hAnsi="Arial" w:cs="Arial"/>
        </w:rPr>
        <w:t>Harnessing Ammanford's rich historical legacy and cultural assets to establish a community-led cultural hub is one exciting path for rejuvenation. Using adaptive reuse of historic buildings, this approach would turn obsolete industrial buildings into venues for small business incubation, art, and community events. Emphasising the historical narrative of the town and its "sense of place," such projects can inspire community pride and draw visitors. By boosting local business activity, supporting creative industries, and creating a lively social scene, the renewal of heritage buildings can also work as a catalyst for more general economic revitalisation (Talen, 1999).</w:t>
      </w:r>
    </w:p>
    <w:p w14:paraId="1E277C5C" w14:textId="77777777" w:rsidR="00157D4B" w:rsidRDefault="00157D4B" w:rsidP="00157D4B">
      <w:pPr>
        <w:spacing w:line="480" w:lineRule="auto"/>
        <w:jc w:val="both"/>
        <w:rPr>
          <w:rFonts w:ascii="Arial" w:hAnsi="Arial" w:cs="Arial"/>
        </w:rPr>
      </w:pPr>
      <w:r w:rsidRPr="00157D4B">
        <w:rPr>
          <w:rFonts w:ascii="Arial" w:hAnsi="Arial" w:cs="Arial"/>
        </w:rPr>
        <w:t xml:space="preserve">Practically speaking, this strategy might call for alliances among municipal administrations, historical sites, and neighbourhood groups. Renovating important historic buildings with public money and private investment will produce mixed-use areas with both cultural and financial purposes. Local artists and cultural practitioners would guarantee that the change connects with community values and offers a stage for artistic expression simultaneously. By combining environmental sustainability (through adaptive reuse rather than demolition), social sustainability (by involving many community stakeholders), and economic sustainability (by generating revenue streams through tourism and small business activity), such a project could act as a </w:t>
      </w:r>
      <w:r w:rsidRPr="00157D4B">
        <w:rPr>
          <w:rFonts w:ascii="Arial" w:hAnsi="Arial" w:cs="Arial"/>
        </w:rPr>
        <w:lastRenderedPageBreak/>
        <w:t>blueprint for sustainable regeneration (Satterthwaite, 1997; Omann &amp; Spangenberg, 2002).</w:t>
      </w:r>
    </w:p>
    <w:p w14:paraId="22129080" w14:textId="77777777" w:rsidR="00157D4B" w:rsidRPr="00157D4B" w:rsidRDefault="00157D4B" w:rsidP="00157D4B">
      <w:pPr>
        <w:spacing w:line="480" w:lineRule="auto"/>
        <w:jc w:val="both"/>
        <w:rPr>
          <w:rFonts w:ascii="Arial" w:hAnsi="Arial" w:cs="Arial"/>
          <w:b/>
          <w:bCs/>
          <w:color w:val="BF4E14" w:themeColor="accent2" w:themeShade="BF"/>
        </w:rPr>
      </w:pPr>
      <w:r w:rsidRPr="00157D4B">
        <w:rPr>
          <w:rFonts w:ascii="Arial" w:hAnsi="Arial" w:cs="Arial"/>
          <w:b/>
          <w:bCs/>
          <w:color w:val="BF4E14" w:themeColor="accent2" w:themeShade="BF"/>
        </w:rPr>
        <w:t>Digital Economic Hub and Innovation</w:t>
      </w:r>
    </w:p>
    <w:p w14:paraId="2A71BCAA" w14:textId="77777777" w:rsidR="00157D4B" w:rsidRDefault="00157D4B" w:rsidP="00157D4B">
      <w:pPr>
        <w:spacing w:line="480" w:lineRule="auto"/>
        <w:jc w:val="both"/>
        <w:rPr>
          <w:rFonts w:ascii="Arial" w:hAnsi="Arial" w:cs="Arial"/>
        </w:rPr>
      </w:pPr>
      <w:r w:rsidRPr="00157D4B">
        <w:rPr>
          <w:rFonts w:ascii="Arial" w:hAnsi="Arial" w:cs="Arial"/>
        </w:rPr>
        <w:t xml:space="preserve">Establishing an innovation and digital economy hub that makes use of Ammanford's current infrastructure and potential for economic diversification presents even another exciting prospect. Apart from an economic necessity, the change from an industrial-based economy to one that welcomes </w:t>
      </w:r>
      <w:r w:rsidRPr="00157D4B">
        <w:rPr>
          <w:rFonts w:ascii="Arial" w:hAnsi="Arial" w:cs="Arial"/>
        </w:rPr>
        <w:t>technology,</w:t>
      </w:r>
      <w:r w:rsidRPr="00157D4B">
        <w:rPr>
          <w:rFonts w:ascii="Arial" w:hAnsi="Arial" w:cs="Arial"/>
        </w:rPr>
        <w:t xml:space="preserve"> and creativity helps to promote social inclusion and skill development (Temple, 2000). The town may draw start-ups, technology companies, and creative industries by creating a focused hub, therefore giving local citizens chances to improve their skills and participate in new kinds of work at the same time.</w:t>
      </w:r>
    </w:p>
    <w:p w14:paraId="6AF05BE4" w14:textId="47571AA9" w:rsidR="00157D4B" w:rsidRDefault="00157D4B" w:rsidP="00157D4B">
      <w:pPr>
        <w:spacing w:line="480" w:lineRule="auto"/>
        <w:jc w:val="both"/>
        <w:rPr>
          <w:rFonts w:ascii="Arial" w:hAnsi="Arial" w:cs="Arial"/>
        </w:rPr>
      </w:pPr>
      <w:r w:rsidRPr="00157D4B">
        <w:rPr>
          <w:rFonts w:ascii="Arial" w:hAnsi="Arial" w:cs="Arial"/>
        </w:rPr>
        <w:t xml:space="preserve">Local government, educational institutions, and the business sector would have to work together under this program. Local colleges and training facilities might, for instance, provide specialised courses in digital literacy, coding, and entrepreneurship to guarantee that locals are ready to engage in the new economy. Furthermore, the innovation hub might be a co-working space and incubator for nearby businesses, therefore building an ecosystem that promotes creativity and teamwork. This kind of strategy uses the dynamism of social capital to build an environment where social and economic regeneration support one another and fits the entrepreneurial change in municipal governance observed by Harvey </w:t>
      </w:r>
      <w:r w:rsidRPr="00157D4B">
        <w:rPr>
          <w:rFonts w:ascii="Arial" w:hAnsi="Arial" w:cs="Arial"/>
        </w:rPr>
        <w:t>(1989</w:t>
      </w:r>
      <w:r w:rsidRPr="00157D4B">
        <w:rPr>
          <w:rFonts w:ascii="Arial" w:hAnsi="Arial" w:cs="Arial"/>
        </w:rPr>
        <w:t>).</w:t>
      </w:r>
    </w:p>
    <w:p w14:paraId="5B816F8F" w14:textId="77777777" w:rsidR="00157D4B" w:rsidRDefault="00157D4B" w:rsidP="00157D4B">
      <w:pPr>
        <w:spacing w:line="480" w:lineRule="auto"/>
        <w:jc w:val="both"/>
        <w:rPr>
          <w:rFonts w:ascii="Arial" w:hAnsi="Arial" w:cs="Arial"/>
        </w:rPr>
      </w:pPr>
      <w:r w:rsidRPr="00157D4B">
        <w:rPr>
          <w:rFonts w:ascii="Arial" w:hAnsi="Arial" w:cs="Arial"/>
        </w:rPr>
        <w:t>The design of the hub should include sustainable building techniques and energy-efficient technologies to guarantee sustainability. Following green infrastructure rules and environmental best practices</w:t>
      </w:r>
      <w:r>
        <w:rPr>
          <w:rFonts w:ascii="Arial" w:hAnsi="Arial" w:cs="Arial"/>
        </w:rPr>
        <w:t xml:space="preserve"> </w:t>
      </w:r>
      <w:r w:rsidRPr="00157D4B">
        <w:rPr>
          <w:rFonts w:ascii="Arial" w:hAnsi="Arial" w:cs="Arial"/>
        </w:rPr>
        <w:t>as advised by Hendrickson (2012)</w:t>
      </w:r>
      <w:r>
        <w:rPr>
          <w:rFonts w:ascii="Arial" w:hAnsi="Arial" w:cs="Arial"/>
        </w:rPr>
        <w:t xml:space="preserve">, </w:t>
      </w:r>
      <w:r w:rsidRPr="00157D4B">
        <w:rPr>
          <w:rFonts w:ascii="Arial" w:hAnsi="Arial" w:cs="Arial"/>
        </w:rPr>
        <w:t xml:space="preserve">the hub can operate as an example for merging technology with sustainability. This approach not </w:t>
      </w:r>
      <w:r w:rsidRPr="00157D4B">
        <w:rPr>
          <w:rFonts w:ascii="Arial" w:hAnsi="Arial" w:cs="Arial"/>
        </w:rPr>
        <w:lastRenderedPageBreak/>
        <w:t>only tackles economic diversification but also responds to the increasing need for ecologically friendly urban development.</w:t>
      </w:r>
    </w:p>
    <w:p w14:paraId="4FD46BD6" w14:textId="77777777" w:rsidR="00157D4B" w:rsidRPr="00157D4B" w:rsidRDefault="00157D4B" w:rsidP="00157D4B">
      <w:pPr>
        <w:spacing w:line="480" w:lineRule="auto"/>
        <w:jc w:val="both"/>
        <w:rPr>
          <w:rFonts w:ascii="Arial" w:hAnsi="Arial" w:cs="Arial"/>
          <w:b/>
          <w:bCs/>
          <w:color w:val="BF4E14" w:themeColor="accent2" w:themeShade="BF"/>
        </w:rPr>
      </w:pPr>
      <w:r w:rsidRPr="00157D4B">
        <w:rPr>
          <w:rFonts w:ascii="Arial" w:hAnsi="Arial" w:cs="Arial"/>
          <w:b/>
          <w:bCs/>
          <w:color w:val="BF4E14" w:themeColor="accent2" w:themeShade="BF"/>
        </w:rPr>
        <w:t>Community Wellbeing Project and Green Infrastructure</w:t>
      </w:r>
    </w:p>
    <w:p w14:paraId="1988885E" w14:textId="3F396E52" w:rsidR="00157D4B" w:rsidRDefault="00157D4B" w:rsidP="00157D4B">
      <w:pPr>
        <w:spacing w:line="480" w:lineRule="auto"/>
        <w:jc w:val="both"/>
        <w:rPr>
          <w:rFonts w:ascii="Arial" w:hAnsi="Arial" w:cs="Arial"/>
        </w:rPr>
      </w:pPr>
      <w:r w:rsidRPr="00157D4B">
        <w:rPr>
          <w:rFonts w:ascii="Arial" w:hAnsi="Arial" w:cs="Arial"/>
        </w:rPr>
        <w:t xml:space="preserve">A third possible prospect is the creation of green infrastructure projects giving environmental sustainability and community welfare top priority. Parks, rivers, and Ammanford's natural settings can be improved to provide multifarious public areas supporting ecological preservation, leisure activities, and community events. Such projects fit modern ideas of sustainable urban development, which stress the need of including nature into the urban fabric </w:t>
      </w:r>
      <w:r w:rsidRPr="00157D4B">
        <w:rPr>
          <w:rFonts w:ascii="Arial" w:hAnsi="Arial" w:cs="Arial"/>
        </w:rPr>
        <w:t>to</w:t>
      </w:r>
      <w:r w:rsidRPr="00157D4B">
        <w:rPr>
          <w:rFonts w:ascii="Arial" w:hAnsi="Arial" w:cs="Arial"/>
        </w:rPr>
        <w:t xml:space="preserve"> enhance quality of life (Sinner et al., 2004).</w:t>
      </w:r>
    </w:p>
    <w:p w14:paraId="492A918D" w14:textId="77777777" w:rsidR="00157D4B" w:rsidRDefault="00157D4B" w:rsidP="00157D4B">
      <w:pPr>
        <w:spacing w:line="480" w:lineRule="auto"/>
        <w:jc w:val="both"/>
        <w:rPr>
          <w:rFonts w:ascii="Arial" w:hAnsi="Arial" w:cs="Arial"/>
        </w:rPr>
      </w:pPr>
      <w:r w:rsidRPr="00157D4B">
        <w:rPr>
          <w:rFonts w:ascii="Arial" w:hAnsi="Arial" w:cs="Arial"/>
        </w:rPr>
        <w:t>A green infrastructure project can call for the building of new parks, the rehabilitation of already-existing green areas, and the construction of environmentally friendly transportation routes like bike lanes and pedestrian walkways. By offering secure, easily accessible, and appealing venues for community interaction, these projects would improve Ammanford's environmental quality as well as support social sustainability. Building robust and inclusive sustainable communities depends on the integration of spatial development with citizenship and labour market engineering, as Raco (2007) points out.</w:t>
      </w:r>
    </w:p>
    <w:p w14:paraId="0EC43B28" w14:textId="4BE40D01" w:rsidR="00157D4B" w:rsidRDefault="00157D4B" w:rsidP="00157D4B">
      <w:pPr>
        <w:spacing w:line="480" w:lineRule="auto"/>
        <w:jc w:val="both"/>
        <w:rPr>
          <w:rFonts w:ascii="Arial" w:hAnsi="Arial" w:cs="Arial"/>
        </w:rPr>
      </w:pPr>
      <w:r w:rsidRPr="00157D4B">
        <w:rPr>
          <w:rFonts w:ascii="Arial" w:hAnsi="Arial" w:cs="Arial"/>
        </w:rPr>
        <w:t>Starting such a project would call for the combined efforts of</w:t>
      </w:r>
      <w:r w:rsidR="00373F4F">
        <w:rPr>
          <w:rFonts w:ascii="Arial" w:hAnsi="Arial" w:cs="Arial"/>
        </w:rPr>
        <w:t xml:space="preserve"> community </w:t>
      </w:r>
      <w:r w:rsidRPr="00157D4B">
        <w:rPr>
          <w:rFonts w:ascii="Arial" w:hAnsi="Arial" w:cs="Arial"/>
        </w:rPr>
        <w:t xml:space="preserve">organisations, environmental NGOs, and local government officials. In this regard, public involvement is essential to guarantee that the design and operation of green areas satisfy the demands of the society. Funding sources also could include governmental investment, commercial sponsorship, and European or national funds meant to advance sustainable urban development (OECD, 2001). By lowering the urban heat island </w:t>
      </w:r>
      <w:r w:rsidRPr="00157D4B">
        <w:rPr>
          <w:rFonts w:ascii="Arial" w:hAnsi="Arial" w:cs="Arial"/>
        </w:rPr>
        <w:lastRenderedPageBreak/>
        <w:t>effect, enhancing air quality, and encouraging resident active lifestyles, this strategy also complements the larger sustainability goal (Hird, 2003).</w:t>
      </w:r>
    </w:p>
    <w:p w14:paraId="10F1362D" w14:textId="77777777" w:rsidR="00157D4B" w:rsidRDefault="00157D4B" w:rsidP="00157D4B">
      <w:pPr>
        <w:spacing w:line="480" w:lineRule="auto"/>
        <w:jc w:val="both"/>
        <w:rPr>
          <w:rFonts w:ascii="Arial" w:hAnsi="Arial" w:cs="Arial"/>
        </w:rPr>
      </w:pPr>
    </w:p>
    <w:p w14:paraId="01B99E04" w14:textId="77777777" w:rsidR="00157D4B" w:rsidRDefault="00157D4B" w:rsidP="00157D4B">
      <w:pPr>
        <w:spacing w:line="480" w:lineRule="auto"/>
        <w:jc w:val="both"/>
        <w:rPr>
          <w:rFonts w:ascii="Arial" w:hAnsi="Arial" w:cs="Arial"/>
        </w:rPr>
      </w:pPr>
    </w:p>
    <w:p w14:paraId="31049B4D" w14:textId="77777777" w:rsidR="00157D4B" w:rsidRDefault="00157D4B" w:rsidP="00157D4B">
      <w:pPr>
        <w:spacing w:line="480" w:lineRule="auto"/>
        <w:jc w:val="both"/>
        <w:rPr>
          <w:rFonts w:ascii="Arial" w:hAnsi="Arial" w:cs="Arial"/>
        </w:rPr>
      </w:pPr>
    </w:p>
    <w:p w14:paraId="189BB4B0" w14:textId="77777777" w:rsidR="00157D4B" w:rsidRDefault="00157D4B" w:rsidP="00157D4B">
      <w:pPr>
        <w:spacing w:line="480" w:lineRule="auto"/>
        <w:jc w:val="both"/>
        <w:rPr>
          <w:rFonts w:ascii="Arial" w:hAnsi="Arial" w:cs="Arial"/>
        </w:rPr>
      </w:pPr>
    </w:p>
    <w:p w14:paraId="5830A493" w14:textId="77777777" w:rsidR="00157D4B" w:rsidRDefault="00157D4B" w:rsidP="00157D4B">
      <w:pPr>
        <w:spacing w:line="480" w:lineRule="auto"/>
        <w:jc w:val="both"/>
        <w:rPr>
          <w:rFonts w:ascii="Arial" w:hAnsi="Arial" w:cs="Arial"/>
        </w:rPr>
      </w:pPr>
    </w:p>
    <w:p w14:paraId="2875114D" w14:textId="77777777" w:rsidR="00157D4B" w:rsidRDefault="00157D4B" w:rsidP="00157D4B">
      <w:pPr>
        <w:spacing w:line="480" w:lineRule="auto"/>
        <w:jc w:val="both"/>
        <w:rPr>
          <w:rFonts w:ascii="Arial" w:hAnsi="Arial" w:cs="Arial"/>
        </w:rPr>
      </w:pPr>
    </w:p>
    <w:p w14:paraId="6D0CC877" w14:textId="77777777" w:rsidR="00157D4B" w:rsidRDefault="00157D4B" w:rsidP="00157D4B">
      <w:pPr>
        <w:spacing w:line="480" w:lineRule="auto"/>
        <w:jc w:val="both"/>
        <w:rPr>
          <w:rFonts w:ascii="Arial" w:hAnsi="Arial" w:cs="Arial"/>
        </w:rPr>
      </w:pPr>
    </w:p>
    <w:p w14:paraId="4AF412DF" w14:textId="77777777" w:rsidR="00157D4B" w:rsidRDefault="00157D4B" w:rsidP="00157D4B">
      <w:pPr>
        <w:spacing w:line="480" w:lineRule="auto"/>
        <w:jc w:val="both"/>
        <w:rPr>
          <w:rFonts w:ascii="Arial" w:hAnsi="Arial" w:cs="Arial"/>
        </w:rPr>
      </w:pPr>
    </w:p>
    <w:p w14:paraId="512E7C4F" w14:textId="77777777" w:rsidR="00157D4B" w:rsidRDefault="00157D4B" w:rsidP="00157D4B">
      <w:pPr>
        <w:spacing w:line="480" w:lineRule="auto"/>
        <w:jc w:val="both"/>
        <w:rPr>
          <w:rFonts w:ascii="Arial" w:hAnsi="Arial" w:cs="Arial"/>
        </w:rPr>
      </w:pPr>
    </w:p>
    <w:p w14:paraId="2F4AB70F" w14:textId="77777777" w:rsidR="00157D4B" w:rsidRDefault="00157D4B" w:rsidP="00157D4B">
      <w:pPr>
        <w:spacing w:line="480" w:lineRule="auto"/>
        <w:jc w:val="both"/>
        <w:rPr>
          <w:rFonts w:ascii="Arial" w:hAnsi="Arial" w:cs="Arial"/>
        </w:rPr>
      </w:pPr>
    </w:p>
    <w:p w14:paraId="7D3D5886" w14:textId="77777777" w:rsidR="00157D4B" w:rsidRDefault="00157D4B" w:rsidP="00157D4B">
      <w:pPr>
        <w:spacing w:line="480" w:lineRule="auto"/>
        <w:jc w:val="both"/>
        <w:rPr>
          <w:rFonts w:ascii="Arial" w:hAnsi="Arial" w:cs="Arial"/>
        </w:rPr>
      </w:pPr>
    </w:p>
    <w:p w14:paraId="237E6C2F" w14:textId="77777777" w:rsidR="00157D4B" w:rsidRDefault="00157D4B" w:rsidP="00157D4B">
      <w:pPr>
        <w:spacing w:line="480" w:lineRule="auto"/>
        <w:jc w:val="both"/>
        <w:rPr>
          <w:rFonts w:ascii="Arial" w:hAnsi="Arial" w:cs="Arial"/>
        </w:rPr>
      </w:pPr>
    </w:p>
    <w:p w14:paraId="27A62337" w14:textId="77777777" w:rsidR="00157D4B" w:rsidRDefault="00157D4B" w:rsidP="00157D4B">
      <w:pPr>
        <w:spacing w:line="480" w:lineRule="auto"/>
        <w:jc w:val="both"/>
        <w:rPr>
          <w:rFonts w:ascii="Arial" w:hAnsi="Arial" w:cs="Arial"/>
        </w:rPr>
      </w:pPr>
    </w:p>
    <w:p w14:paraId="772F5AFD" w14:textId="77777777" w:rsidR="00157D4B" w:rsidRDefault="00157D4B" w:rsidP="00157D4B">
      <w:pPr>
        <w:spacing w:line="480" w:lineRule="auto"/>
        <w:jc w:val="both"/>
        <w:rPr>
          <w:rFonts w:ascii="Arial" w:hAnsi="Arial" w:cs="Arial"/>
        </w:rPr>
      </w:pPr>
    </w:p>
    <w:p w14:paraId="37B2DB53" w14:textId="77777777" w:rsidR="00157D4B" w:rsidRDefault="00157D4B" w:rsidP="00157D4B">
      <w:pPr>
        <w:spacing w:line="480" w:lineRule="auto"/>
        <w:jc w:val="both"/>
        <w:rPr>
          <w:rFonts w:ascii="Arial" w:hAnsi="Arial" w:cs="Arial"/>
        </w:rPr>
      </w:pPr>
    </w:p>
    <w:p w14:paraId="5F4CE5D7" w14:textId="77777777" w:rsidR="00157D4B" w:rsidRDefault="00157D4B" w:rsidP="00157D4B">
      <w:pPr>
        <w:spacing w:line="480" w:lineRule="auto"/>
        <w:jc w:val="both"/>
        <w:rPr>
          <w:rFonts w:ascii="Arial" w:hAnsi="Arial" w:cs="Arial"/>
        </w:rPr>
      </w:pPr>
    </w:p>
    <w:p w14:paraId="238915E9" w14:textId="77777777" w:rsidR="00157D4B" w:rsidRDefault="00157D4B" w:rsidP="00157D4B">
      <w:pPr>
        <w:spacing w:line="480" w:lineRule="auto"/>
        <w:jc w:val="both"/>
        <w:rPr>
          <w:rFonts w:ascii="Arial" w:hAnsi="Arial" w:cs="Arial"/>
        </w:rPr>
      </w:pPr>
    </w:p>
    <w:p w14:paraId="536754C2" w14:textId="77777777" w:rsidR="00157D4B" w:rsidRDefault="00157D4B" w:rsidP="00157D4B">
      <w:pPr>
        <w:spacing w:line="480" w:lineRule="auto"/>
        <w:jc w:val="both"/>
        <w:rPr>
          <w:rFonts w:ascii="Arial" w:hAnsi="Arial" w:cs="Arial"/>
        </w:rPr>
      </w:pPr>
    </w:p>
    <w:p w14:paraId="277A3751" w14:textId="4B066387" w:rsidR="00157D4B" w:rsidRPr="00487E6F" w:rsidRDefault="00157D4B" w:rsidP="00157D4B">
      <w:pPr>
        <w:spacing w:line="480" w:lineRule="auto"/>
        <w:jc w:val="both"/>
        <w:rPr>
          <w:rFonts w:ascii="Arial" w:hAnsi="Arial" w:cs="Arial"/>
          <w:b/>
          <w:bCs/>
          <w:color w:val="BF4E14" w:themeColor="accent2" w:themeShade="BF"/>
        </w:rPr>
      </w:pPr>
      <w:r w:rsidRPr="00487E6F">
        <w:rPr>
          <w:rFonts w:ascii="Arial" w:hAnsi="Arial" w:cs="Arial"/>
          <w:b/>
          <w:bCs/>
          <w:color w:val="BF4E14" w:themeColor="accent2" w:themeShade="BF"/>
        </w:rPr>
        <w:lastRenderedPageBreak/>
        <w:t xml:space="preserve">References </w:t>
      </w:r>
    </w:p>
    <w:p w14:paraId="7F3FED1C" w14:textId="77777777" w:rsidR="00487E6F" w:rsidRPr="00487E6F" w:rsidRDefault="00487E6F" w:rsidP="00487E6F">
      <w:pPr>
        <w:spacing w:line="480" w:lineRule="auto"/>
        <w:ind w:left="720" w:hanging="720"/>
        <w:jc w:val="both"/>
        <w:rPr>
          <w:rFonts w:ascii="Arial" w:hAnsi="Arial" w:cs="Arial"/>
        </w:rPr>
      </w:pPr>
      <w:r w:rsidRPr="00487E6F">
        <w:rPr>
          <w:rFonts w:ascii="Arial" w:hAnsi="Arial" w:cs="Arial"/>
        </w:rPr>
        <w:t xml:space="preserve">Harris, E. (2005). An introduction to theory of change. </w:t>
      </w:r>
      <w:r w:rsidRPr="00487E6F">
        <w:rPr>
          <w:rFonts w:ascii="Arial" w:hAnsi="Arial" w:cs="Arial"/>
          <w:i/>
          <w:iCs/>
        </w:rPr>
        <w:t>The Evaluation Exchange, 6</w:t>
      </w:r>
      <w:r w:rsidRPr="00487E6F">
        <w:rPr>
          <w:rFonts w:ascii="Arial" w:hAnsi="Arial" w:cs="Arial"/>
        </w:rPr>
        <w:t>(2).</w:t>
      </w:r>
    </w:p>
    <w:p w14:paraId="386E31FB" w14:textId="77777777" w:rsidR="00487E6F" w:rsidRPr="00487E6F" w:rsidRDefault="00487E6F" w:rsidP="00487E6F">
      <w:pPr>
        <w:spacing w:line="480" w:lineRule="auto"/>
        <w:ind w:left="720" w:hanging="720"/>
        <w:jc w:val="both"/>
        <w:rPr>
          <w:rFonts w:ascii="Arial" w:hAnsi="Arial" w:cs="Arial"/>
        </w:rPr>
      </w:pPr>
      <w:r w:rsidRPr="00487E6F">
        <w:rPr>
          <w:rFonts w:ascii="Arial" w:hAnsi="Arial" w:cs="Arial"/>
        </w:rPr>
        <w:t xml:space="preserve">Hay, C. (2002). </w:t>
      </w:r>
      <w:r w:rsidRPr="00487E6F">
        <w:rPr>
          <w:rFonts w:ascii="Arial" w:hAnsi="Arial" w:cs="Arial"/>
          <w:i/>
          <w:iCs/>
        </w:rPr>
        <w:t>Political analysis: A critical introduction</w:t>
      </w:r>
      <w:r w:rsidRPr="00487E6F">
        <w:rPr>
          <w:rFonts w:ascii="Arial" w:hAnsi="Arial" w:cs="Arial"/>
        </w:rPr>
        <w:t>. Basingstoke, England: Palgrave.</w:t>
      </w:r>
    </w:p>
    <w:p w14:paraId="32DAFF0D" w14:textId="5A6AF892" w:rsidR="00487E6F" w:rsidRPr="00487E6F" w:rsidRDefault="00487E6F" w:rsidP="00487E6F">
      <w:pPr>
        <w:spacing w:line="480" w:lineRule="auto"/>
        <w:ind w:left="720" w:hanging="720"/>
        <w:jc w:val="both"/>
        <w:rPr>
          <w:rFonts w:ascii="Arial" w:hAnsi="Arial" w:cs="Arial"/>
        </w:rPr>
      </w:pPr>
      <w:r w:rsidRPr="00487E6F">
        <w:rPr>
          <w:rFonts w:ascii="Arial" w:hAnsi="Arial" w:cs="Arial"/>
        </w:rPr>
        <w:t xml:space="preserve">Heise, U. K. (2008). </w:t>
      </w:r>
      <w:r w:rsidRPr="00487E6F">
        <w:rPr>
          <w:rFonts w:ascii="Arial" w:hAnsi="Arial" w:cs="Arial"/>
          <w:i/>
          <w:iCs/>
        </w:rPr>
        <w:t>Sense of place and sense of planet: The environmental imagination of the global</w:t>
      </w:r>
      <w:r w:rsidRPr="00487E6F">
        <w:rPr>
          <w:rFonts w:ascii="Arial" w:hAnsi="Arial" w:cs="Arial"/>
        </w:rPr>
        <w:t xml:space="preserve"> [</w:t>
      </w:r>
      <w:r w:rsidRPr="00487E6F">
        <w:rPr>
          <w:rFonts w:ascii="Arial" w:hAnsi="Arial" w:cs="Arial"/>
        </w:rPr>
        <w:t>eBook</w:t>
      </w:r>
      <w:r w:rsidRPr="00487E6F">
        <w:rPr>
          <w:rFonts w:ascii="Arial" w:hAnsi="Arial" w:cs="Arial"/>
        </w:rPr>
        <w:t>]. Oxford, England: Oxford University Press.</w:t>
      </w:r>
    </w:p>
    <w:p w14:paraId="7B4B23A9" w14:textId="77777777" w:rsidR="00487E6F" w:rsidRPr="00487E6F" w:rsidRDefault="00487E6F" w:rsidP="00487E6F">
      <w:pPr>
        <w:spacing w:line="480" w:lineRule="auto"/>
        <w:ind w:left="720" w:hanging="720"/>
        <w:jc w:val="both"/>
        <w:rPr>
          <w:rFonts w:ascii="Arial" w:hAnsi="Arial" w:cs="Arial"/>
        </w:rPr>
      </w:pPr>
      <w:r w:rsidRPr="00487E6F">
        <w:rPr>
          <w:rFonts w:ascii="Arial" w:hAnsi="Arial" w:cs="Arial"/>
        </w:rPr>
        <w:t xml:space="preserve">Hemphill, L., Berry, J., &amp; McGreal, S. (2004). Indicator-based approach to measuring sustainable urban regeneration. </w:t>
      </w:r>
      <w:r w:rsidRPr="00487E6F">
        <w:rPr>
          <w:rFonts w:ascii="Arial" w:hAnsi="Arial" w:cs="Arial"/>
          <w:i/>
          <w:iCs/>
        </w:rPr>
        <w:t>Urban Studies, 41</w:t>
      </w:r>
      <w:r w:rsidRPr="00487E6F">
        <w:rPr>
          <w:rFonts w:ascii="Arial" w:hAnsi="Arial" w:cs="Arial"/>
        </w:rPr>
        <w:t>(4), 725–755.</w:t>
      </w:r>
    </w:p>
    <w:p w14:paraId="5883FB43" w14:textId="402CA293" w:rsidR="00487E6F" w:rsidRDefault="00487E6F" w:rsidP="00487E6F">
      <w:pPr>
        <w:spacing w:line="480" w:lineRule="auto"/>
        <w:ind w:left="720" w:hanging="720"/>
        <w:jc w:val="both"/>
        <w:rPr>
          <w:rFonts w:ascii="Arial" w:hAnsi="Arial" w:cs="Arial"/>
        </w:rPr>
      </w:pPr>
      <w:r w:rsidRPr="00487E6F">
        <w:rPr>
          <w:rFonts w:ascii="Arial" w:hAnsi="Arial" w:cs="Arial"/>
        </w:rPr>
        <w:t xml:space="preserve">Hendrickson, D. J. (2012). </w:t>
      </w:r>
      <w:r w:rsidRPr="00487E6F">
        <w:rPr>
          <w:rFonts w:ascii="Arial" w:hAnsi="Arial" w:cs="Arial"/>
          <w:i/>
          <w:iCs/>
        </w:rPr>
        <w:t xml:space="preserve">The sustainability </w:t>
      </w:r>
      <w:r w:rsidRPr="00487E6F">
        <w:rPr>
          <w:rFonts w:ascii="Arial" w:hAnsi="Arial" w:cs="Arial"/>
          <w:i/>
          <w:iCs/>
        </w:rPr>
        <w:t>green print</w:t>
      </w:r>
      <w:r w:rsidRPr="00487E6F">
        <w:rPr>
          <w:rFonts w:ascii="Arial" w:hAnsi="Arial" w:cs="Arial"/>
        </w:rPr>
        <w:t xml:space="preserve">. Retrieved from </w:t>
      </w:r>
      <w:hyperlink r:id="rId7" w:history="1">
        <w:r w:rsidRPr="00931347">
          <w:rPr>
            <w:rStyle w:val="Hyperlink"/>
            <w:rFonts w:ascii="Arial" w:hAnsi="Arial" w:cs="Arial"/>
          </w:rPr>
          <w:t>http://davidjhendrickson.com/sustainability-greenprint/</w:t>
        </w:r>
      </w:hyperlink>
    </w:p>
    <w:p w14:paraId="2995B2F7" w14:textId="7C5809FC" w:rsidR="00487E6F" w:rsidRPr="00487E6F" w:rsidRDefault="00487E6F" w:rsidP="00487E6F">
      <w:pPr>
        <w:spacing w:line="480" w:lineRule="auto"/>
        <w:ind w:left="720" w:hanging="720"/>
        <w:jc w:val="both"/>
        <w:rPr>
          <w:rFonts w:ascii="Arial" w:hAnsi="Arial" w:cs="Arial"/>
        </w:rPr>
      </w:pPr>
      <w:r w:rsidRPr="00487E6F">
        <w:rPr>
          <w:rFonts w:ascii="Arial" w:hAnsi="Arial" w:cs="Arial"/>
        </w:rPr>
        <w:t xml:space="preserve">HM Treasury. (1995). </w:t>
      </w:r>
      <w:r w:rsidRPr="00487E6F">
        <w:rPr>
          <w:rFonts w:ascii="Arial" w:hAnsi="Arial" w:cs="Arial"/>
          <w:i/>
          <w:iCs/>
        </w:rPr>
        <w:t>A framework for the evaluation of regeneration projects and programmes</w:t>
      </w:r>
      <w:r w:rsidRPr="00487E6F">
        <w:rPr>
          <w:rFonts w:ascii="Arial" w:hAnsi="Arial" w:cs="Arial"/>
        </w:rPr>
        <w:t>. London, England: Housing and Urban Policy Team.</w:t>
      </w:r>
    </w:p>
    <w:p w14:paraId="599F5920" w14:textId="77777777" w:rsidR="00487E6F" w:rsidRPr="00487E6F" w:rsidRDefault="00487E6F" w:rsidP="00487E6F">
      <w:pPr>
        <w:spacing w:line="480" w:lineRule="auto"/>
        <w:ind w:left="720" w:hanging="720"/>
        <w:jc w:val="both"/>
        <w:rPr>
          <w:rFonts w:ascii="Arial" w:hAnsi="Arial" w:cs="Arial"/>
        </w:rPr>
      </w:pPr>
      <w:r w:rsidRPr="00487E6F">
        <w:rPr>
          <w:rFonts w:ascii="Arial" w:hAnsi="Arial" w:cs="Arial"/>
        </w:rPr>
        <w:t xml:space="preserve">HM Treasury. (2003). </w:t>
      </w:r>
      <w:r w:rsidRPr="00487E6F">
        <w:rPr>
          <w:rFonts w:ascii="Arial" w:hAnsi="Arial" w:cs="Arial"/>
          <w:i/>
          <w:iCs/>
        </w:rPr>
        <w:t>The Green Book: Appraisal and evaluation in central government. London,</w:t>
      </w:r>
      <w:r w:rsidRPr="00487E6F">
        <w:rPr>
          <w:rFonts w:ascii="Arial" w:hAnsi="Arial" w:cs="Arial"/>
        </w:rPr>
        <w:t xml:space="preserve"> England: The Stationery Office.</w:t>
      </w:r>
    </w:p>
    <w:p w14:paraId="48135CE7" w14:textId="781F5701" w:rsidR="00487E6F" w:rsidRDefault="00487E6F" w:rsidP="00487E6F">
      <w:pPr>
        <w:spacing w:line="480" w:lineRule="auto"/>
        <w:ind w:left="720" w:hanging="720"/>
        <w:jc w:val="both"/>
        <w:rPr>
          <w:rFonts w:ascii="Arial" w:hAnsi="Arial" w:cs="Arial"/>
        </w:rPr>
      </w:pPr>
      <w:r w:rsidRPr="00487E6F">
        <w:rPr>
          <w:rFonts w:ascii="Arial" w:hAnsi="Arial" w:cs="Arial"/>
        </w:rPr>
        <w:t xml:space="preserve">HMSO. (1885). </w:t>
      </w:r>
      <w:r w:rsidRPr="00487E6F">
        <w:rPr>
          <w:rFonts w:ascii="Arial" w:hAnsi="Arial" w:cs="Arial"/>
          <w:i/>
          <w:iCs/>
        </w:rPr>
        <w:t>Housing of the working classes act 1885</w:t>
      </w:r>
      <w:r w:rsidRPr="00487E6F">
        <w:rPr>
          <w:rFonts w:ascii="Arial" w:hAnsi="Arial" w:cs="Arial"/>
        </w:rPr>
        <w:t xml:space="preserve">. Retrieved from </w:t>
      </w:r>
      <w:hyperlink r:id="rId8" w:history="1">
        <w:r w:rsidRPr="00931347">
          <w:rPr>
            <w:rStyle w:val="Hyperlink"/>
            <w:rFonts w:ascii="Arial" w:hAnsi="Arial" w:cs="Arial"/>
          </w:rPr>
          <w:t>http://www.legislation.gov.uk/ukpga/Vict/48-49/72/enacted</w:t>
        </w:r>
      </w:hyperlink>
    </w:p>
    <w:p w14:paraId="10A0E77D" w14:textId="1FEFA82C" w:rsidR="00487E6F" w:rsidRPr="00487E6F" w:rsidRDefault="00487E6F" w:rsidP="00487E6F">
      <w:pPr>
        <w:spacing w:line="480" w:lineRule="auto"/>
        <w:ind w:left="720" w:hanging="720"/>
        <w:jc w:val="both"/>
        <w:rPr>
          <w:rFonts w:ascii="Arial" w:hAnsi="Arial" w:cs="Arial"/>
        </w:rPr>
      </w:pPr>
      <w:r w:rsidRPr="00487E6F">
        <w:rPr>
          <w:rFonts w:ascii="Arial" w:hAnsi="Arial" w:cs="Arial"/>
        </w:rPr>
        <w:t xml:space="preserve">J.M. (2000). </w:t>
      </w:r>
      <w:r w:rsidRPr="00487E6F">
        <w:rPr>
          <w:rFonts w:ascii="Arial" w:hAnsi="Arial" w:cs="Arial"/>
          <w:i/>
          <w:iCs/>
        </w:rPr>
        <w:t>Basic principles of sustainable development</w:t>
      </w:r>
      <w:r w:rsidRPr="00487E6F">
        <w:rPr>
          <w:rFonts w:ascii="Arial" w:hAnsi="Arial" w:cs="Arial"/>
        </w:rPr>
        <w:t>. Massachusetts: Global Development and Environment Institute, Tufts University.</w:t>
      </w:r>
    </w:p>
    <w:p w14:paraId="50D41663" w14:textId="5BDD513B" w:rsidR="00487E6F" w:rsidRPr="00487E6F" w:rsidRDefault="00487E6F" w:rsidP="00487E6F">
      <w:pPr>
        <w:spacing w:line="480" w:lineRule="auto"/>
        <w:ind w:left="720" w:hanging="720"/>
        <w:jc w:val="both"/>
        <w:rPr>
          <w:rFonts w:ascii="Arial" w:hAnsi="Arial" w:cs="Arial"/>
        </w:rPr>
      </w:pPr>
      <w:r w:rsidRPr="00487E6F">
        <w:rPr>
          <w:rFonts w:ascii="Arial" w:hAnsi="Arial" w:cs="Arial"/>
        </w:rPr>
        <w:t xml:space="preserve">OECD. (2001). </w:t>
      </w:r>
      <w:r w:rsidRPr="00487E6F">
        <w:rPr>
          <w:rFonts w:ascii="Arial" w:hAnsi="Arial" w:cs="Arial"/>
          <w:i/>
          <w:iCs/>
        </w:rPr>
        <w:t>Analytic report on sustainable development, SG/</w:t>
      </w:r>
      <w:r w:rsidRPr="00487E6F">
        <w:rPr>
          <w:rFonts w:ascii="Arial" w:hAnsi="Arial" w:cs="Arial"/>
          <w:i/>
          <w:iCs/>
        </w:rPr>
        <w:t xml:space="preserve">SD </w:t>
      </w:r>
      <w:r w:rsidRPr="00487E6F">
        <w:rPr>
          <w:rFonts w:ascii="Arial" w:hAnsi="Arial" w:cs="Arial"/>
        </w:rPr>
        <w:t>(</w:t>
      </w:r>
      <w:r w:rsidRPr="00487E6F">
        <w:rPr>
          <w:rFonts w:ascii="Arial" w:hAnsi="Arial" w:cs="Arial"/>
        </w:rPr>
        <w:t>2001)1–14. Paris, France: Organisation for Economic Co-operation and Development.</w:t>
      </w:r>
    </w:p>
    <w:p w14:paraId="666873BD" w14:textId="77777777" w:rsidR="00487E6F" w:rsidRDefault="00487E6F" w:rsidP="00487E6F">
      <w:pPr>
        <w:spacing w:line="480" w:lineRule="auto"/>
        <w:ind w:left="720" w:hanging="720"/>
        <w:jc w:val="both"/>
        <w:rPr>
          <w:rFonts w:ascii="Arial" w:hAnsi="Arial" w:cs="Arial"/>
        </w:rPr>
      </w:pPr>
      <w:r w:rsidRPr="00487E6F">
        <w:rPr>
          <w:rFonts w:ascii="Arial" w:hAnsi="Arial" w:cs="Arial"/>
        </w:rPr>
        <w:lastRenderedPageBreak/>
        <w:t xml:space="preserve">Omann, I., &amp; Spangenberg, J. H. (2002, March 6–9). </w:t>
      </w:r>
      <w:r w:rsidRPr="00487E6F">
        <w:rPr>
          <w:rFonts w:ascii="Arial" w:hAnsi="Arial" w:cs="Arial"/>
          <w:i/>
          <w:iCs/>
        </w:rPr>
        <w:t>Assessing social sustainability.</w:t>
      </w:r>
      <w:r w:rsidRPr="00487E6F">
        <w:rPr>
          <w:rFonts w:ascii="Arial" w:hAnsi="Arial" w:cs="Arial"/>
        </w:rPr>
        <w:t xml:space="preserve"> Paper presented at the 7th Biennial Conference of the International Society for Ecological Economics, Sousse, Tunisia.</w:t>
      </w:r>
    </w:p>
    <w:p w14:paraId="1B4E25EC" w14:textId="2D2E5B11" w:rsidR="00487E6F" w:rsidRPr="00487E6F" w:rsidRDefault="00487E6F" w:rsidP="00487E6F">
      <w:pPr>
        <w:spacing w:line="480" w:lineRule="auto"/>
        <w:ind w:left="720" w:hanging="720"/>
        <w:jc w:val="both"/>
        <w:rPr>
          <w:rFonts w:ascii="Arial" w:hAnsi="Arial" w:cs="Arial"/>
        </w:rPr>
      </w:pPr>
      <w:r w:rsidRPr="00487E6F">
        <w:rPr>
          <w:rFonts w:ascii="Arial" w:hAnsi="Arial" w:cs="Arial"/>
        </w:rPr>
        <w:t xml:space="preserve">Polese, M., &amp; Stren, R. (Eds.). (2000). </w:t>
      </w:r>
      <w:r w:rsidRPr="00487E6F">
        <w:rPr>
          <w:rFonts w:ascii="Arial" w:hAnsi="Arial" w:cs="Arial"/>
          <w:i/>
          <w:iCs/>
        </w:rPr>
        <w:t>The social sustainability of cities: Diversity and the management of change</w:t>
      </w:r>
      <w:r w:rsidRPr="00487E6F">
        <w:rPr>
          <w:rFonts w:ascii="Arial" w:hAnsi="Arial" w:cs="Arial"/>
        </w:rPr>
        <w:t>. Toronto, Canada: University of Toronto Press.</w:t>
      </w:r>
    </w:p>
    <w:p w14:paraId="5D4C85CD" w14:textId="77777777" w:rsidR="00487E6F" w:rsidRPr="00487E6F" w:rsidRDefault="00487E6F" w:rsidP="00487E6F">
      <w:pPr>
        <w:spacing w:line="480" w:lineRule="auto"/>
        <w:ind w:left="720" w:hanging="720"/>
        <w:jc w:val="both"/>
        <w:rPr>
          <w:rFonts w:ascii="Arial" w:hAnsi="Arial" w:cs="Arial"/>
        </w:rPr>
      </w:pPr>
      <w:r w:rsidRPr="00487E6F">
        <w:rPr>
          <w:rFonts w:ascii="Arial" w:hAnsi="Arial" w:cs="Arial"/>
        </w:rPr>
        <w:t xml:space="preserve">Portes, A., &amp; Landolt, P. (1996). The downside of social capital. </w:t>
      </w:r>
      <w:r w:rsidRPr="00487E6F">
        <w:rPr>
          <w:rFonts w:ascii="Arial" w:hAnsi="Arial" w:cs="Arial"/>
          <w:i/>
          <w:iCs/>
        </w:rPr>
        <w:t>American Prospect, 26,</w:t>
      </w:r>
      <w:r w:rsidRPr="00487E6F">
        <w:rPr>
          <w:rFonts w:ascii="Arial" w:hAnsi="Arial" w:cs="Arial"/>
        </w:rPr>
        <w:t xml:space="preserve"> 18–21, 94.</w:t>
      </w:r>
    </w:p>
    <w:p w14:paraId="6EB864E2" w14:textId="77777777" w:rsidR="00487E6F" w:rsidRPr="00487E6F" w:rsidRDefault="00487E6F" w:rsidP="00487E6F">
      <w:pPr>
        <w:spacing w:line="480" w:lineRule="auto"/>
        <w:ind w:left="720" w:hanging="720"/>
        <w:jc w:val="both"/>
        <w:rPr>
          <w:rFonts w:ascii="Arial" w:hAnsi="Arial" w:cs="Arial"/>
        </w:rPr>
      </w:pPr>
      <w:r w:rsidRPr="00487E6F">
        <w:rPr>
          <w:rFonts w:ascii="Arial" w:hAnsi="Arial" w:cs="Arial"/>
        </w:rPr>
        <w:t xml:space="preserve">Putnam, R. D. (1993). </w:t>
      </w:r>
      <w:r w:rsidRPr="00487E6F">
        <w:rPr>
          <w:rFonts w:ascii="Arial" w:hAnsi="Arial" w:cs="Arial"/>
          <w:i/>
          <w:iCs/>
        </w:rPr>
        <w:t>Making democracy work: Civic traditions in modern Italy. Princeton,</w:t>
      </w:r>
      <w:r w:rsidRPr="00487E6F">
        <w:rPr>
          <w:rFonts w:ascii="Arial" w:hAnsi="Arial" w:cs="Arial"/>
        </w:rPr>
        <w:t xml:space="preserve"> NJ: Princeton University Press.</w:t>
      </w:r>
    </w:p>
    <w:p w14:paraId="1AF8BFBE" w14:textId="77777777" w:rsidR="00487E6F" w:rsidRPr="00487E6F" w:rsidRDefault="00487E6F" w:rsidP="00487E6F">
      <w:pPr>
        <w:spacing w:line="480" w:lineRule="auto"/>
        <w:ind w:left="720" w:hanging="720"/>
        <w:jc w:val="both"/>
        <w:rPr>
          <w:rFonts w:ascii="Arial" w:hAnsi="Arial" w:cs="Arial"/>
        </w:rPr>
      </w:pPr>
      <w:r w:rsidRPr="00487E6F">
        <w:rPr>
          <w:rFonts w:ascii="Arial" w:hAnsi="Arial" w:cs="Arial"/>
        </w:rPr>
        <w:t xml:space="preserve">Raco, M. (2007). </w:t>
      </w:r>
      <w:r w:rsidRPr="00487E6F">
        <w:rPr>
          <w:rFonts w:ascii="Arial" w:hAnsi="Arial" w:cs="Arial"/>
          <w:i/>
          <w:iCs/>
        </w:rPr>
        <w:t>Building sustainable communities: Spatial development, citizenship, and labour market engineering in post-war Britain</w:t>
      </w:r>
      <w:r w:rsidRPr="00487E6F">
        <w:rPr>
          <w:rFonts w:ascii="Arial" w:hAnsi="Arial" w:cs="Arial"/>
        </w:rPr>
        <w:t>. Bristol, England: Policy Press.</w:t>
      </w:r>
    </w:p>
    <w:p w14:paraId="6BCAF231" w14:textId="77777777" w:rsidR="00487E6F" w:rsidRPr="00487E6F" w:rsidRDefault="00487E6F" w:rsidP="00487E6F">
      <w:pPr>
        <w:spacing w:line="480" w:lineRule="auto"/>
        <w:ind w:left="720" w:hanging="720"/>
        <w:jc w:val="both"/>
        <w:rPr>
          <w:rFonts w:ascii="Arial" w:hAnsi="Arial" w:cs="Arial"/>
        </w:rPr>
      </w:pPr>
      <w:r w:rsidRPr="00487E6F">
        <w:rPr>
          <w:rFonts w:ascii="Arial" w:hAnsi="Arial" w:cs="Arial"/>
        </w:rPr>
        <w:t>Rydin, Y., &amp; Pennington, M. (2000). Public participation and local environmental planning: The collective action problem and the potential of social capital</w:t>
      </w:r>
      <w:r w:rsidRPr="00487E6F">
        <w:rPr>
          <w:rFonts w:ascii="Arial" w:hAnsi="Arial" w:cs="Arial"/>
          <w:i/>
          <w:iCs/>
        </w:rPr>
        <w:t>. Local Environment, 5(</w:t>
      </w:r>
      <w:r w:rsidRPr="00487E6F">
        <w:rPr>
          <w:rFonts w:ascii="Arial" w:hAnsi="Arial" w:cs="Arial"/>
        </w:rPr>
        <w:t>2), 153–169.</w:t>
      </w:r>
    </w:p>
    <w:p w14:paraId="792FECCD" w14:textId="77777777" w:rsidR="00487E6F" w:rsidRPr="00487E6F" w:rsidRDefault="00487E6F" w:rsidP="00487E6F">
      <w:pPr>
        <w:spacing w:line="480" w:lineRule="auto"/>
        <w:ind w:left="720" w:hanging="720"/>
        <w:jc w:val="both"/>
        <w:rPr>
          <w:rFonts w:ascii="Arial" w:hAnsi="Arial" w:cs="Arial"/>
        </w:rPr>
      </w:pPr>
      <w:r w:rsidRPr="00487E6F">
        <w:rPr>
          <w:rFonts w:ascii="Arial" w:hAnsi="Arial" w:cs="Arial"/>
        </w:rPr>
        <w:t xml:space="preserve">Rubio, M. (1997). Perverse social capital: Some evidence from Colombia. </w:t>
      </w:r>
      <w:r w:rsidRPr="00487E6F">
        <w:rPr>
          <w:rFonts w:ascii="Arial" w:hAnsi="Arial" w:cs="Arial"/>
          <w:i/>
          <w:iCs/>
        </w:rPr>
        <w:t>Journal of Economic Issues, 31(</w:t>
      </w:r>
      <w:r w:rsidRPr="00487E6F">
        <w:rPr>
          <w:rFonts w:ascii="Arial" w:hAnsi="Arial" w:cs="Arial"/>
        </w:rPr>
        <w:t>3), 805–816.</w:t>
      </w:r>
    </w:p>
    <w:p w14:paraId="147F73CD" w14:textId="77777777" w:rsidR="00487E6F" w:rsidRPr="00487E6F" w:rsidRDefault="00487E6F" w:rsidP="00487E6F">
      <w:pPr>
        <w:spacing w:line="480" w:lineRule="auto"/>
        <w:ind w:left="720" w:hanging="720"/>
        <w:jc w:val="both"/>
        <w:rPr>
          <w:rFonts w:ascii="Arial" w:hAnsi="Arial" w:cs="Arial"/>
        </w:rPr>
      </w:pPr>
      <w:r w:rsidRPr="00487E6F">
        <w:rPr>
          <w:rFonts w:ascii="Arial" w:hAnsi="Arial" w:cs="Arial"/>
        </w:rPr>
        <w:t xml:space="preserve">Sachs, I. (1999). </w:t>
      </w:r>
      <w:r w:rsidRPr="00487E6F">
        <w:rPr>
          <w:rFonts w:ascii="Arial" w:hAnsi="Arial" w:cs="Arial"/>
          <w:i/>
          <w:iCs/>
        </w:rPr>
        <w:t>Social sustainability and whole development: Exploring the dimensions of sustainable development.</w:t>
      </w:r>
      <w:r w:rsidRPr="00487E6F">
        <w:rPr>
          <w:rFonts w:ascii="Arial" w:hAnsi="Arial" w:cs="Arial"/>
        </w:rPr>
        <w:t xml:space="preserve"> In B. Egon &amp; J. Thomas (Eds.), Sustainability and the social sciences: A cross-disciplinary approach to integrating environmental considerations into theoretical reorientation (pp. 25–36). London, England: Zed Books.</w:t>
      </w:r>
    </w:p>
    <w:p w14:paraId="68CE8614" w14:textId="77777777" w:rsidR="00487E6F" w:rsidRPr="00487E6F" w:rsidRDefault="00487E6F" w:rsidP="00487E6F">
      <w:pPr>
        <w:spacing w:line="480" w:lineRule="auto"/>
        <w:ind w:left="720" w:hanging="720"/>
        <w:jc w:val="both"/>
        <w:rPr>
          <w:rFonts w:ascii="Arial" w:hAnsi="Arial" w:cs="Arial"/>
        </w:rPr>
      </w:pPr>
      <w:r w:rsidRPr="00487E6F">
        <w:rPr>
          <w:rFonts w:ascii="Arial" w:hAnsi="Arial" w:cs="Arial"/>
        </w:rPr>
        <w:lastRenderedPageBreak/>
        <w:t xml:space="preserve">Satterthwaite, D. (1997). Sustainable cities or cities that contribute to sustainable development? </w:t>
      </w:r>
      <w:r w:rsidRPr="00487E6F">
        <w:rPr>
          <w:rFonts w:ascii="Arial" w:hAnsi="Arial" w:cs="Arial"/>
          <w:i/>
          <w:iCs/>
        </w:rPr>
        <w:t>Urban Studies, 34</w:t>
      </w:r>
      <w:r w:rsidRPr="00487E6F">
        <w:rPr>
          <w:rFonts w:ascii="Arial" w:hAnsi="Arial" w:cs="Arial"/>
        </w:rPr>
        <w:t>(10), 1667–1691.</w:t>
      </w:r>
    </w:p>
    <w:p w14:paraId="209162BB" w14:textId="669CDE9E" w:rsidR="00487E6F" w:rsidRDefault="00487E6F" w:rsidP="00487E6F">
      <w:pPr>
        <w:spacing w:line="480" w:lineRule="auto"/>
        <w:ind w:left="720" w:hanging="720"/>
        <w:jc w:val="both"/>
        <w:rPr>
          <w:rFonts w:ascii="Arial" w:hAnsi="Arial" w:cs="Arial"/>
        </w:rPr>
      </w:pPr>
      <w:r w:rsidRPr="00487E6F">
        <w:rPr>
          <w:rFonts w:ascii="Arial" w:hAnsi="Arial" w:cs="Arial"/>
        </w:rPr>
        <w:t xml:space="preserve">Sinner, J., Baines, J., </w:t>
      </w:r>
      <w:proofErr w:type="spellStart"/>
      <w:r w:rsidRPr="00487E6F">
        <w:rPr>
          <w:rFonts w:ascii="Arial" w:hAnsi="Arial" w:cs="Arial"/>
        </w:rPr>
        <w:t>Crengle</w:t>
      </w:r>
      <w:proofErr w:type="spellEnd"/>
      <w:r w:rsidRPr="00487E6F">
        <w:rPr>
          <w:rFonts w:ascii="Arial" w:hAnsi="Arial" w:cs="Arial"/>
        </w:rPr>
        <w:t xml:space="preserve">, H., Salmon, G., </w:t>
      </w:r>
      <w:proofErr w:type="spellStart"/>
      <w:r w:rsidRPr="00487E6F">
        <w:rPr>
          <w:rFonts w:ascii="Arial" w:hAnsi="Arial" w:cs="Arial"/>
        </w:rPr>
        <w:t>Fenemor</w:t>
      </w:r>
      <w:proofErr w:type="spellEnd"/>
      <w:r w:rsidRPr="00487E6F">
        <w:rPr>
          <w:rFonts w:ascii="Arial" w:hAnsi="Arial" w:cs="Arial"/>
        </w:rPr>
        <w:t xml:space="preserve">, A., &amp; Tipa, G. (2004). </w:t>
      </w:r>
      <w:r w:rsidRPr="00487E6F">
        <w:rPr>
          <w:rFonts w:ascii="Arial" w:hAnsi="Arial" w:cs="Arial"/>
          <w:i/>
          <w:iCs/>
        </w:rPr>
        <w:t>Sustainable development: A summary of key concepts</w:t>
      </w:r>
      <w:r w:rsidRPr="00487E6F">
        <w:rPr>
          <w:rFonts w:ascii="Arial" w:hAnsi="Arial" w:cs="Arial"/>
        </w:rPr>
        <w:t xml:space="preserve"> (Ecologic Research Report No. 2). Retrieved June 2008 from </w:t>
      </w:r>
      <w:hyperlink r:id="rId9" w:history="1">
        <w:r w:rsidRPr="00931347">
          <w:rPr>
            <w:rStyle w:val="Hyperlink"/>
            <w:rFonts w:ascii="Arial" w:hAnsi="Arial" w:cs="Arial"/>
          </w:rPr>
          <w:t>http://www.ecologic.org.nz</w:t>
        </w:r>
      </w:hyperlink>
    </w:p>
    <w:p w14:paraId="01C7A145" w14:textId="4430D613" w:rsidR="00487E6F" w:rsidRPr="00487E6F" w:rsidRDefault="00487E6F" w:rsidP="00487E6F">
      <w:pPr>
        <w:spacing w:line="480" w:lineRule="auto"/>
        <w:ind w:left="720" w:hanging="720"/>
        <w:jc w:val="both"/>
        <w:rPr>
          <w:rFonts w:ascii="Arial" w:hAnsi="Arial" w:cs="Arial"/>
        </w:rPr>
      </w:pPr>
      <w:r w:rsidRPr="00487E6F">
        <w:rPr>
          <w:rFonts w:ascii="Arial" w:hAnsi="Arial" w:cs="Arial"/>
        </w:rPr>
        <w:t xml:space="preserve">Talen, E. (1999). Sense of community and neighbourhood form: An assessment of the social doctrine of new urbanism. </w:t>
      </w:r>
      <w:r w:rsidRPr="00487E6F">
        <w:rPr>
          <w:rFonts w:ascii="Arial" w:hAnsi="Arial" w:cs="Arial"/>
          <w:i/>
          <w:iCs/>
        </w:rPr>
        <w:t>Urban Studies, 36(</w:t>
      </w:r>
      <w:r w:rsidRPr="00487E6F">
        <w:rPr>
          <w:rFonts w:ascii="Arial" w:hAnsi="Arial" w:cs="Arial"/>
        </w:rPr>
        <w:t>8), 1361–1379.</w:t>
      </w:r>
    </w:p>
    <w:p w14:paraId="44D5EE53" w14:textId="77777777" w:rsidR="00487E6F" w:rsidRPr="00487E6F" w:rsidRDefault="00487E6F" w:rsidP="00487E6F">
      <w:pPr>
        <w:spacing w:line="480" w:lineRule="auto"/>
        <w:ind w:left="720" w:hanging="720"/>
        <w:jc w:val="both"/>
        <w:rPr>
          <w:rFonts w:ascii="Arial" w:hAnsi="Arial" w:cs="Arial"/>
        </w:rPr>
      </w:pPr>
      <w:r w:rsidRPr="00487E6F">
        <w:rPr>
          <w:rFonts w:ascii="Arial" w:hAnsi="Arial" w:cs="Arial"/>
        </w:rPr>
        <w:t xml:space="preserve">Temple, J. (2000). </w:t>
      </w:r>
      <w:r w:rsidRPr="00487E6F">
        <w:rPr>
          <w:rFonts w:ascii="Arial" w:hAnsi="Arial" w:cs="Arial"/>
          <w:i/>
          <w:iCs/>
        </w:rPr>
        <w:t>Growth effects of education and social capital in the OECD countries</w:t>
      </w:r>
      <w:r w:rsidRPr="00487E6F">
        <w:rPr>
          <w:rFonts w:ascii="Arial" w:hAnsi="Arial" w:cs="Arial"/>
        </w:rPr>
        <w:t>. Paris, France: Organisation for Economic Co-operation and Development.</w:t>
      </w:r>
    </w:p>
    <w:p w14:paraId="3B9ED111" w14:textId="77777777" w:rsidR="00487E6F" w:rsidRDefault="00487E6F" w:rsidP="00487E6F">
      <w:pPr>
        <w:spacing w:line="480" w:lineRule="auto"/>
        <w:ind w:left="720" w:hanging="720"/>
        <w:jc w:val="both"/>
        <w:rPr>
          <w:rFonts w:ascii="Arial" w:hAnsi="Arial" w:cs="Arial"/>
        </w:rPr>
      </w:pPr>
    </w:p>
    <w:p w14:paraId="5B626D7B" w14:textId="77777777" w:rsidR="00157D4B" w:rsidRPr="00157D4B" w:rsidRDefault="00157D4B" w:rsidP="00487E6F">
      <w:pPr>
        <w:spacing w:line="480" w:lineRule="auto"/>
        <w:ind w:left="720" w:hanging="720"/>
        <w:jc w:val="both"/>
        <w:rPr>
          <w:rFonts w:ascii="Arial" w:hAnsi="Arial" w:cs="Arial"/>
        </w:rPr>
      </w:pPr>
    </w:p>
    <w:p w14:paraId="7D18E206" w14:textId="77777777" w:rsidR="00157D4B" w:rsidRPr="00157D4B" w:rsidRDefault="00157D4B" w:rsidP="00487E6F">
      <w:pPr>
        <w:spacing w:line="480" w:lineRule="auto"/>
        <w:ind w:left="720" w:hanging="720"/>
        <w:jc w:val="both"/>
        <w:rPr>
          <w:rFonts w:ascii="Arial" w:hAnsi="Arial" w:cs="Arial"/>
        </w:rPr>
      </w:pPr>
    </w:p>
    <w:sectPr w:rsidR="00157D4B" w:rsidRPr="00157D4B" w:rsidSect="00487E6F">
      <w:head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F0970D" w14:textId="77777777" w:rsidR="005F015E" w:rsidRDefault="005F015E" w:rsidP="00157D4B">
      <w:pPr>
        <w:spacing w:after="0" w:line="240" w:lineRule="auto"/>
      </w:pPr>
      <w:r>
        <w:separator/>
      </w:r>
    </w:p>
  </w:endnote>
  <w:endnote w:type="continuationSeparator" w:id="0">
    <w:p w14:paraId="4626D3C6" w14:textId="77777777" w:rsidR="005F015E" w:rsidRDefault="005F015E" w:rsidP="00157D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DA09E2" w14:textId="77777777" w:rsidR="005F015E" w:rsidRDefault="005F015E" w:rsidP="00157D4B">
      <w:pPr>
        <w:spacing w:after="0" w:line="240" w:lineRule="auto"/>
      </w:pPr>
      <w:r>
        <w:separator/>
      </w:r>
    </w:p>
  </w:footnote>
  <w:footnote w:type="continuationSeparator" w:id="0">
    <w:p w14:paraId="62DF4C9D" w14:textId="77777777" w:rsidR="005F015E" w:rsidRDefault="005F015E" w:rsidP="00157D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sz w:val="28"/>
        <w:szCs w:val="28"/>
      </w:rPr>
      <w:id w:val="403263697"/>
      <w:docPartObj>
        <w:docPartGallery w:val="Page Numbers (Top of Page)"/>
        <w:docPartUnique/>
      </w:docPartObj>
    </w:sdtPr>
    <w:sdtContent>
      <w:p w14:paraId="1DE8BCA6" w14:textId="2163C837" w:rsidR="00157D4B" w:rsidRDefault="00157D4B">
        <w:pPr>
          <w:pStyle w:val="Header"/>
          <w:jc w:val="center"/>
          <w:rPr>
            <w:rFonts w:asciiTheme="majorHAnsi" w:eastAsiaTheme="majorEastAsia" w:hAnsiTheme="majorHAnsi" w:cstheme="majorBidi"/>
            <w:sz w:val="28"/>
            <w:szCs w:val="28"/>
          </w:rPr>
        </w:pPr>
        <w:r>
          <w:rPr>
            <w:rFonts w:asciiTheme="majorHAnsi" w:eastAsiaTheme="majorEastAsia" w:hAnsiTheme="majorHAnsi" w:cstheme="majorBidi"/>
            <w:sz w:val="28"/>
            <w:szCs w:val="28"/>
          </w:rPr>
          <w:t xml:space="preserve">~ </w:t>
        </w:r>
        <w:r>
          <w:rPr>
            <w:rFonts w:eastAsiaTheme="minorEastAsia" w:cs="Times New Roman"/>
            <w:sz w:val="22"/>
            <w:szCs w:val="22"/>
          </w:rPr>
          <w:fldChar w:fldCharType="begin"/>
        </w:r>
        <w:r>
          <w:instrText xml:space="preserve"> PAGE    \* MERGEFORMAT </w:instrText>
        </w:r>
        <w:r>
          <w:rPr>
            <w:rFonts w:eastAsiaTheme="minorEastAsia" w:cs="Times New Roman"/>
            <w:sz w:val="22"/>
            <w:szCs w:val="22"/>
          </w:rPr>
          <w:fldChar w:fldCharType="separate"/>
        </w:r>
        <w:r>
          <w:rPr>
            <w:rFonts w:asciiTheme="majorHAnsi" w:eastAsiaTheme="majorEastAsia" w:hAnsiTheme="majorHAnsi" w:cstheme="majorBidi"/>
            <w:noProof/>
            <w:sz w:val="28"/>
            <w:szCs w:val="28"/>
          </w:rPr>
          <w:t>2</w:t>
        </w:r>
        <w:r>
          <w:rPr>
            <w:rFonts w:asciiTheme="majorHAnsi" w:eastAsiaTheme="majorEastAsia" w:hAnsiTheme="majorHAnsi" w:cstheme="majorBidi"/>
            <w:noProof/>
            <w:sz w:val="28"/>
            <w:szCs w:val="28"/>
          </w:rPr>
          <w:fldChar w:fldCharType="end"/>
        </w:r>
        <w:r>
          <w:rPr>
            <w:rFonts w:asciiTheme="majorHAnsi" w:eastAsiaTheme="majorEastAsia" w:hAnsiTheme="majorHAnsi" w:cstheme="majorBidi"/>
            <w:sz w:val="28"/>
            <w:szCs w:val="28"/>
          </w:rPr>
          <w:t xml:space="preserve"> ~</w:t>
        </w:r>
      </w:p>
    </w:sdtContent>
  </w:sdt>
  <w:p w14:paraId="70BC61D1" w14:textId="77777777" w:rsidR="00157D4B" w:rsidRDefault="00157D4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7D4B"/>
    <w:rsid w:val="00157D4B"/>
    <w:rsid w:val="0031542D"/>
    <w:rsid w:val="00373F4F"/>
    <w:rsid w:val="00487E6F"/>
    <w:rsid w:val="005F01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6AE073"/>
  <w15:chartTrackingRefBased/>
  <w15:docId w15:val="{060D38EC-19B4-4E5B-A5BA-B17290F5C8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57D4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57D4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57D4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57D4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57D4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57D4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57D4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57D4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57D4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7D4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57D4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57D4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57D4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57D4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57D4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57D4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57D4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57D4B"/>
    <w:rPr>
      <w:rFonts w:eastAsiaTheme="majorEastAsia" w:cstheme="majorBidi"/>
      <w:color w:val="272727" w:themeColor="text1" w:themeTint="D8"/>
    </w:rPr>
  </w:style>
  <w:style w:type="paragraph" w:styleId="Title">
    <w:name w:val="Title"/>
    <w:basedOn w:val="Normal"/>
    <w:next w:val="Normal"/>
    <w:link w:val="TitleChar"/>
    <w:uiPriority w:val="10"/>
    <w:qFormat/>
    <w:rsid w:val="00157D4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57D4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57D4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57D4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57D4B"/>
    <w:pPr>
      <w:spacing w:before="160"/>
      <w:jc w:val="center"/>
    </w:pPr>
    <w:rPr>
      <w:i/>
      <w:iCs/>
      <w:color w:val="404040" w:themeColor="text1" w:themeTint="BF"/>
    </w:rPr>
  </w:style>
  <w:style w:type="character" w:customStyle="1" w:styleId="QuoteChar">
    <w:name w:val="Quote Char"/>
    <w:basedOn w:val="DefaultParagraphFont"/>
    <w:link w:val="Quote"/>
    <w:uiPriority w:val="29"/>
    <w:rsid w:val="00157D4B"/>
    <w:rPr>
      <w:i/>
      <w:iCs/>
      <w:color w:val="404040" w:themeColor="text1" w:themeTint="BF"/>
    </w:rPr>
  </w:style>
  <w:style w:type="paragraph" w:styleId="ListParagraph">
    <w:name w:val="List Paragraph"/>
    <w:basedOn w:val="Normal"/>
    <w:uiPriority w:val="34"/>
    <w:qFormat/>
    <w:rsid w:val="00157D4B"/>
    <w:pPr>
      <w:ind w:left="720"/>
      <w:contextualSpacing/>
    </w:pPr>
  </w:style>
  <w:style w:type="character" w:styleId="IntenseEmphasis">
    <w:name w:val="Intense Emphasis"/>
    <w:basedOn w:val="DefaultParagraphFont"/>
    <w:uiPriority w:val="21"/>
    <w:qFormat/>
    <w:rsid w:val="00157D4B"/>
    <w:rPr>
      <w:i/>
      <w:iCs/>
      <w:color w:val="0F4761" w:themeColor="accent1" w:themeShade="BF"/>
    </w:rPr>
  </w:style>
  <w:style w:type="paragraph" w:styleId="IntenseQuote">
    <w:name w:val="Intense Quote"/>
    <w:basedOn w:val="Normal"/>
    <w:next w:val="Normal"/>
    <w:link w:val="IntenseQuoteChar"/>
    <w:uiPriority w:val="30"/>
    <w:qFormat/>
    <w:rsid w:val="00157D4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57D4B"/>
    <w:rPr>
      <w:i/>
      <w:iCs/>
      <w:color w:val="0F4761" w:themeColor="accent1" w:themeShade="BF"/>
    </w:rPr>
  </w:style>
  <w:style w:type="character" w:styleId="IntenseReference">
    <w:name w:val="Intense Reference"/>
    <w:basedOn w:val="DefaultParagraphFont"/>
    <w:uiPriority w:val="32"/>
    <w:qFormat/>
    <w:rsid w:val="00157D4B"/>
    <w:rPr>
      <w:b/>
      <w:bCs/>
      <w:smallCaps/>
      <w:color w:val="0F4761" w:themeColor="accent1" w:themeShade="BF"/>
      <w:spacing w:val="5"/>
    </w:rPr>
  </w:style>
  <w:style w:type="paragraph" w:styleId="Header">
    <w:name w:val="header"/>
    <w:basedOn w:val="Normal"/>
    <w:link w:val="HeaderChar"/>
    <w:uiPriority w:val="99"/>
    <w:unhideWhenUsed/>
    <w:rsid w:val="00157D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7D4B"/>
  </w:style>
  <w:style w:type="paragraph" w:styleId="Footer">
    <w:name w:val="footer"/>
    <w:basedOn w:val="Normal"/>
    <w:link w:val="FooterChar"/>
    <w:uiPriority w:val="99"/>
    <w:unhideWhenUsed/>
    <w:rsid w:val="00157D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7D4B"/>
  </w:style>
  <w:style w:type="character" w:styleId="Hyperlink">
    <w:name w:val="Hyperlink"/>
    <w:basedOn w:val="DefaultParagraphFont"/>
    <w:uiPriority w:val="99"/>
    <w:unhideWhenUsed/>
    <w:rsid w:val="00487E6F"/>
    <w:rPr>
      <w:color w:val="467886" w:themeColor="hyperlink"/>
      <w:u w:val="single"/>
    </w:rPr>
  </w:style>
  <w:style w:type="character" w:styleId="UnresolvedMention">
    <w:name w:val="Unresolved Mention"/>
    <w:basedOn w:val="DefaultParagraphFont"/>
    <w:uiPriority w:val="99"/>
    <w:semiHidden/>
    <w:unhideWhenUsed/>
    <w:rsid w:val="00487E6F"/>
    <w:rPr>
      <w:color w:val="605E5C"/>
      <w:shd w:val="clear" w:color="auto" w:fill="E1DFDD"/>
    </w:rPr>
  </w:style>
  <w:style w:type="paragraph" w:styleId="NoSpacing">
    <w:name w:val="No Spacing"/>
    <w:link w:val="NoSpacingChar"/>
    <w:uiPriority w:val="1"/>
    <w:qFormat/>
    <w:rsid w:val="00487E6F"/>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487E6F"/>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1066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egislation.gov.uk/ukpga/Vict/48-49/72/enacted" TargetMode="External"/><Relationship Id="rId3" Type="http://schemas.openxmlformats.org/officeDocument/2006/relationships/settings" Target="settings.xml"/><Relationship Id="rId7" Type="http://schemas.openxmlformats.org/officeDocument/2006/relationships/hyperlink" Target="http://davidjhendrickson.com/sustainability-greenprin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ecologic.org.n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BMSP4014D</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14</Pages>
  <Words>2982</Words>
  <Characters>16999</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Distinctiviness and Regeneration</Company>
  <LinksUpToDate>false</LinksUpToDate>
  <CharactersWithSpaces>19942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Ammanford Appraisal</dc:title>
  <dc:subject>Assignment 2</dc:subject>
  <dc:creator>Maria Dumitru (2327347)</dc:creator>
  <cp:keywords/>
  <dc:description/>
  <cp:lastModifiedBy>Mirabela Voican (1907947)</cp:lastModifiedBy>
  <cp:revision>1</cp:revision>
  <dcterms:created xsi:type="dcterms:W3CDTF">2025-02-08T23:10:00Z</dcterms:created>
  <dcterms:modified xsi:type="dcterms:W3CDTF">2025-02-08T23:33:00Z</dcterms:modified>
</cp:coreProperties>
</file>