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b/>
          <w:color w:val="5B9BD5" w:themeColor="accent1"/>
          <w:sz w:val="40"/>
          <w14:textFill>
            <w14:solidFill>
              <w14:schemeClr w14:val="accent1"/>
            </w14:solidFill>
          </w14:textFill>
        </w:rPr>
      </w:pPr>
      <w:r>
        <w:rPr>
          <w:rFonts w:ascii="Arial" w:hAnsi="Arial" w:cs="Arial"/>
          <w:b/>
          <w:color w:val="5B9BD5" w:themeColor="accent1"/>
          <w:sz w:val="72"/>
          <w14:textFill>
            <w14:solidFill>
              <w14:schemeClr w14:val="accent1"/>
            </w14:solidFill>
          </w14:textFill>
        </w:rPr>
        <w:t>Research Proposal</w:t>
      </w:r>
    </w:p>
    <w:p>
      <w:pPr>
        <w:pStyle w:val="2"/>
        <w:bidi w:val="0"/>
        <w:rPr>
          <w:color w:val="5B9BD5" w:themeColor="accent1"/>
          <w14:textFill>
            <w14:solidFill>
              <w14:schemeClr w14:val="accent1"/>
            </w14:solidFill>
          </w14:textFill>
        </w:rPr>
      </w:pPr>
    </w:p>
    <w:p>
      <w:pPr>
        <w:pStyle w:val="2"/>
        <w:bidi w:val="0"/>
        <w:rPr>
          <w:rFonts w:hint="default" w:ascii="Arial" w:hAnsi="Arial" w:cs="Arial"/>
          <w:color w:val="5B9BD5" w:themeColor="accent1"/>
          <w14:textFill>
            <w14:solidFill>
              <w14:schemeClr w14:val="accent1"/>
            </w14:solidFill>
          </w14:textFill>
        </w:rPr>
      </w:pPr>
      <w:r>
        <w:rPr>
          <w:rFonts w:hint="default" w:ascii="Arial" w:hAnsi="Arial" w:cs="Arial"/>
          <w:color w:val="5B9BD5" w:themeColor="accent1"/>
          <w14:textFill>
            <w14:solidFill>
              <w14:schemeClr w14:val="accent1"/>
            </w14:solidFill>
          </w14:textFill>
        </w:rPr>
        <w:t>How corporate social responsibility (CSR) affects customer loyalty: A case study of the UK petroleum industry</w:t>
      </w:r>
    </w:p>
    <w:p>
      <w:pPr>
        <w:rPr>
          <w:rFonts w:hint="default" w:ascii="Arial" w:hAnsi="Arial" w:eastAsia="宋体" w:cs="Arial"/>
          <w:color w:val="5B9BD5" w:themeColor="accent1"/>
          <w:lang w:val="en-US" w:eastAsia="zh-CN"/>
          <w14:textFill>
            <w14:solidFill>
              <w14:schemeClr w14:val="accent1"/>
            </w14:solidFill>
          </w14:textFill>
        </w:rPr>
      </w:pPr>
      <w:r>
        <w:rPr>
          <w:rFonts w:hint="default" w:ascii="Arial" w:hAnsi="Arial" w:eastAsia="宋体" w:cs="Arial"/>
          <w:color w:val="5B9BD5" w:themeColor="accent1"/>
          <w:lang w:val="en-US" w:eastAsia="zh-CN"/>
          <w14:textFill>
            <w14:solidFill>
              <w14:schemeClr w14:val="accent1"/>
            </w14:solidFill>
          </w14:textFill>
        </w:rPr>
        <w:t>Minyang Wu-2006684</w:t>
      </w:r>
    </w:p>
    <w:p>
      <w:pPr>
        <w:rPr>
          <w:rFonts w:hint="default" w:ascii="Arial" w:hAnsi="Arial" w:eastAsia="宋体" w:cs="Arial"/>
          <w:color w:val="5B9BD5" w:themeColor="accent1"/>
          <w:lang w:val="en-US" w:eastAsia="zh-CN"/>
          <w14:textFill>
            <w14:solidFill>
              <w14:schemeClr w14:val="accent1"/>
            </w14:solidFill>
          </w14:textFill>
        </w:rPr>
      </w:pPr>
      <w:r>
        <w:rPr>
          <w:rFonts w:hint="default" w:ascii="Arial" w:hAnsi="Arial" w:cs="Arial"/>
          <w:b/>
          <w:color w:val="5B9BD5" w:themeColor="accent1"/>
          <w:sz w:val="36"/>
          <w14:textFill>
            <w14:solidFill>
              <w14:schemeClr w14:val="accent1"/>
            </w14:solidFill>
          </w14:textFill>
        </w:rPr>
        <w:t>University of Wales Trinity Saint David</w:t>
      </w:r>
      <w:r>
        <w:rPr>
          <w:rFonts w:hint="default" w:ascii="Arial" w:hAnsi="Arial" w:eastAsia="宋体" w:cs="Arial"/>
          <w:color w:val="5B9BD5" w:themeColor="accent1"/>
          <w:lang w:val="en-US" w:eastAsia="zh-CN"/>
          <w14:textFill>
            <w14:solidFill>
              <w14:schemeClr w14:val="accent1"/>
            </w14:solidFill>
          </w14:textFill>
        </w:rPr>
        <w:t xml:space="preserve"> </w:t>
      </w: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r>
        <w:rPr>
          <w:rFonts w:ascii="Arial" w:hAnsi="Arial" w:cs="Arial"/>
          <w:b/>
          <w:sz w:val="40"/>
          <w:lang w:eastAsia="en-GB"/>
        </w:rPr>
        <w:drawing>
          <wp:inline distT="0" distB="0" distL="0" distR="0">
            <wp:extent cx="3577590" cy="1431925"/>
            <wp:effectExtent l="0" t="0" r="381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rPr>
          <w:rFonts w:hint="default" w:ascii="Arial" w:hAnsi="Arial" w:eastAsia="宋体" w:cs="Arial"/>
          <w:color w:val="5B9BD5" w:themeColor="accent1"/>
          <w:lang w:val="en-US" w:eastAsia="zh-CN"/>
          <w14:textFill>
            <w14:solidFill>
              <w14:schemeClr w14:val="accent1"/>
            </w14:solidFill>
          </w14:textFill>
        </w:rPr>
      </w:pPr>
    </w:p>
    <w:p>
      <w:pPr>
        <w:pStyle w:val="2"/>
        <w:numPr>
          <w:ilvl w:val="0"/>
          <w:numId w:val="1"/>
        </w:numPr>
        <w:bidi w:val="0"/>
        <w:jc w:val="left"/>
      </w:pPr>
      <w:r>
        <w:t>Introduction</w:t>
      </w:r>
    </w:p>
    <w:p>
      <w:pPr>
        <w:spacing w:line="360" w:lineRule="auto"/>
        <w:jc w:val="left"/>
        <w:rPr>
          <w:rFonts w:ascii="Arial" w:hAnsi="Arial" w:cs="Arial"/>
          <w:b/>
          <w:sz w:val="28"/>
          <w:u w:val="single"/>
        </w:rPr>
      </w:pPr>
    </w:p>
    <w:p>
      <w:pPr>
        <w:jc w:val="left"/>
        <w:rPr>
          <w:rFonts w:hint="default" w:ascii="Times New Roman" w:hAnsi="Times New Roman" w:eastAsia="宋体" w:cs="Times New Roman"/>
          <w:color w:val="auto"/>
          <w:lang w:val="en-US" w:eastAsia="zh-CN"/>
        </w:rPr>
      </w:pPr>
      <w:r>
        <w:rPr>
          <w:rFonts w:hint="default" w:ascii="Times New Roman" w:hAnsi="Times New Roman" w:eastAsia="宋体" w:cs="Times New Roman"/>
          <w:color w:val="auto"/>
          <w:lang w:val="en-US" w:eastAsia="zh-CN"/>
        </w:rPr>
        <w:t>the main purpose of the research is to analyse how CSR activities influence customer perception which in return impacts customer loyalty. The focus of the research will be the UK petroleum industry.</w:t>
      </w:r>
    </w:p>
    <w:p>
      <w:pPr>
        <w:jc w:val="left"/>
        <w:rPr>
          <w:rFonts w:hint="default" w:ascii="Times New Roman" w:hAnsi="Times New Roman" w:eastAsia="宋体" w:cs="Times New Roman"/>
          <w:color w:val="auto"/>
          <w:lang w:val="en-US" w:eastAsia="zh-CN"/>
        </w:rPr>
      </w:pPr>
      <w:r>
        <w:rPr>
          <w:rFonts w:hint="default" w:ascii="Times New Roman" w:hAnsi="Times New Roman" w:eastAsia="宋体" w:cs="Times New Roman"/>
          <w:color w:val="auto"/>
          <w:lang w:val="en-US" w:eastAsia="zh-CN"/>
        </w:rPr>
        <w:t>Corporate Social Responsibility (CSR) means that while an enterprise creates profits and assumes legal responsibilities to shareholders and employees, it also assumes responsibilities to consumers, communities, and the environment. Corporate social responsibility requires companies to go beyond the goal of making profits as the only goal. The traditional concept emphasizes the need to pay attention to human value in the production process, and emphasizes the contribution to the environment, consumers, and society.</w:t>
      </w:r>
    </w:p>
    <w:p>
      <w:pPr>
        <w:pStyle w:val="2"/>
        <w:bidi w:val="0"/>
        <w:jc w:val="left"/>
        <w:rPr>
          <w:rFonts w:hint="default"/>
          <w:lang w:val="en-US" w:eastAsia="zh-CN"/>
        </w:rPr>
      </w:pPr>
    </w:p>
    <w:p>
      <w:pPr>
        <w:pStyle w:val="2"/>
        <w:bidi w:val="0"/>
        <w:jc w:val="left"/>
        <w:rPr>
          <w:rFonts w:hint="default"/>
          <w:lang w:val="en-US" w:eastAsia="zh-CN"/>
        </w:rPr>
      </w:pPr>
    </w:p>
    <w:p>
      <w:pPr>
        <w:pStyle w:val="2"/>
        <w:numPr>
          <w:ilvl w:val="0"/>
          <w:numId w:val="1"/>
        </w:numPr>
        <w:bidi w:val="0"/>
        <w:ind w:left="720" w:leftChars="0" w:hanging="360" w:firstLineChars="0"/>
        <w:jc w:val="left"/>
      </w:pPr>
      <w:r>
        <w:t>Background &amp; Rationale</w:t>
      </w:r>
    </w:p>
    <w:p>
      <w:pPr>
        <w:numPr>
          <w:numId w:val="0"/>
        </w:numPr>
        <w:jc w:val="left"/>
        <w:rPr>
          <w:rFonts w:hint="default" w:ascii="Times New Roman" w:hAnsi="Times New Roman" w:cs="Times New Roman"/>
        </w:rPr>
      </w:pPr>
      <w:r>
        <w:rPr>
          <w:rFonts w:hint="default" w:ascii="Times New Roman" w:hAnsi="Times New Roman" w:cs="Times New Roman"/>
        </w:rPr>
        <w:t>BP is one of the world's largest private oil companies (i.e. one of the seven sisters of international oil), and one of the top ten private enterprise groups in the world. BP is one of the largest oil and petrochemical companies in the world. Formed by the integration and reorganization of former BP Amoco ACO and jiashiduo, it is one of the largest oil and petrochemical companies in the world. The company's main business is oil and gas exploration and development; refining; natural gas sales and power generation; oil retail and transportation; and petrochemical products production and sales. In addition, the company's business in solar power generation is growing. BP is headquartered in London, UK. The current asset value of the company is about $200billion, with more than one million shareholders and 85900 employees.</w:t>
      </w:r>
    </w:p>
    <w:p>
      <w:pPr>
        <w:numPr>
          <w:numId w:val="0"/>
        </w:numPr>
        <w:ind w:left="360" w:leftChars="0"/>
        <w:jc w:val="left"/>
        <w:rPr>
          <w:rFonts w:hint="default" w:ascii="Times New Roman" w:hAnsi="Times New Roman" w:cs="Times New Roman"/>
        </w:rPr>
      </w:pPr>
    </w:p>
    <w:p>
      <w:pPr>
        <w:jc w:val="left"/>
        <w:rPr>
          <w:rFonts w:hint="default" w:ascii="Times New Roman" w:hAnsi="Times New Roman" w:eastAsia="宋体" w:cs="Times New Roman"/>
          <w:color w:val="5B9BD5" w:themeColor="accent1"/>
          <w:lang w:val="en-US" w:eastAsia="zh-CN"/>
          <w14:textFill>
            <w14:solidFill>
              <w14:schemeClr w14:val="accent1"/>
            </w14:solidFill>
          </w14:textFill>
        </w:rPr>
      </w:pPr>
    </w:p>
    <w:p>
      <w:pPr>
        <w:jc w:val="left"/>
        <w:rPr>
          <w:rFonts w:hint="default" w:ascii="Times New Roman" w:hAnsi="Times New Roman" w:eastAsia="宋体" w:cs="Times New Roman"/>
          <w:color w:val="auto"/>
          <w:lang w:val="en-US" w:eastAsia="zh-CN"/>
        </w:rPr>
      </w:pPr>
      <w:r>
        <w:rPr>
          <w:rFonts w:hint="default" w:ascii="Times New Roman" w:hAnsi="Times New Roman" w:eastAsia="宋体" w:cs="Times New Roman"/>
          <w:color w:val="auto"/>
          <w:lang w:val="en-US" w:eastAsia="zh-CN"/>
        </w:rPr>
        <w:t>Few industries are forced to develop corporate social responsibility (CSR) standards and policies, such as oil and gas. This has translated into a focus on corporate social responsibility by NGOs and the oil sector and gas companies. However, in view of the complex characteristics of the industry, its global influence, and the fact that its</w:t>
      </w:r>
      <w:r>
        <w:rPr>
          <w:rFonts w:hint="eastAsia" w:eastAsia="宋体" w:cs="Times New Roman"/>
          <w:color w:val="auto"/>
          <w:lang w:val="en-US" w:eastAsia="zh-CN"/>
        </w:rPr>
        <w:t xml:space="preserve"> </w:t>
      </w:r>
      <w:r>
        <w:rPr>
          <w:rFonts w:hint="default" w:ascii="Times New Roman" w:hAnsi="Times New Roman" w:eastAsia="宋体" w:cs="Times New Roman"/>
          <w:color w:val="auto"/>
          <w:lang w:val="en-US" w:eastAsia="zh-CN"/>
        </w:rPr>
        <w:t>operation affects a wide range of stakeholders, the issue of corporate social responsibility cannot be defined. It can only be implemented at the industry or company level, but requires the participation of other directly affected participants or indirectly through oil and gas activities. In this paper, we believe that firstly, the issue of corporate social responsibility for oil and gas is jointly constructed through meta organizations (by other organizations). Secondly, the complexity and diversity of corporate social responsibility issues require companies to establish collective actions of specific industries and non-specific industries. Based on how oil and gas companies participate in the multi-level co construction of corporate social responsibility issues, we have created a type of meta organization, such as cross department, Department, cross department and cross department super organization.</w:t>
      </w:r>
    </w:p>
    <w:p>
      <w:pPr>
        <w:jc w:val="left"/>
        <w:rPr>
          <w:rFonts w:hint="default" w:ascii="Times New Roman" w:hAnsi="Times New Roman" w:eastAsia="宋体" w:cs="Times New Roman"/>
          <w:color w:val="auto"/>
          <w:lang w:val="en-US" w:eastAsia="zh-CN"/>
        </w:rPr>
      </w:pPr>
    </w:p>
    <w:p>
      <w:pPr>
        <w:jc w:val="left"/>
        <w:rPr>
          <w:rFonts w:hint="default" w:ascii="Times New Roman" w:hAnsi="Times New Roman" w:eastAsia="宋体" w:cs="Times New Roman"/>
          <w:color w:val="auto"/>
          <w:lang w:val="en-US" w:eastAsia="zh-CN"/>
        </w:rPr>
      </w:pPr>
      <w:r>
        <w:rPr>
          <w:rFonts w:hint="default" w:ascii="Times New Roman" w:hAnsi="Times New Roman" w:eastAsia="宋体" w:cs="Times New Roman"/>
          <w:color w:val="auto"/>
          <w:lang w:val="en-US" w:eastAsia="zh-CN"/>
        </w:rPr>
        <w:t>The company’s basic ideas, main goals, responsibility index system, work priorities and main measures for fulfilling social responsibilities will be announced in a timely manner, so that the company’s performance of social responsibilities will be regular and long-term. There is a social responsibility indicator system that incorporates indicators such as employee participation, employee remuneration, safety production, product quality, resource utilization, and environmental protection into the report, so as to inform stakeholders and the public about the company’s values and establish a comprehensive CNPC in society As a large and responsible company, an enterprise should have a good corporate image that is responsible not only for its employees and shareholders, but also for the society and the environment. It is necessary to evaluate the company’s social responsibility capacity according to its economic scale, its own strength and market share, and improve its social responsibility evaluation system, so that the company’s social responsibility and economic responsibility are consistent, and a correct corporate economic responsibility and Responsibility mechanisms that coordinate social responsibilities.</w:t>
      </w:r>
    </w:p>
    <w:p>
      <w:pPr>
        <w:rPr>
          <w:rFonts w:hint="default" w:ascii="Times New Roman" w:hAnsi="Times New Roman" w:eastAsia="宋体" w:cs="Times New Roman"/>
          <w:color w:val="5B9BD5" w:themeColor="accent1"/>
          <w:lang w:val="en-US" w:eastAsia="zh-CN"/>
          <w14:textFill>
            <w14:solidFill>
              <w14:schemeClr w14:val="accent1"/>
            </w14:solidFill>
          </w14:textFill>
        </w:rPr>
      </w:pP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r>
        <w:rPr>
          <w:rFonts w:hint="default" w:ascii="Times New Roman" w:hAnsi="Times New Roman" w:cs="Times New Roman"/>
        </w:rPr>
        <w:t>BP recognizes the importance of creating social value in a way that is compatible with energy conversion and we are determined to create social value through our business activities. As energy providers, employers, taxpayers, supply chain participants and investors in local communities, we have contributed to societies around the world.</w:t>
      </w: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r>
        <w:rPr>
          <w:rFonts w:hint="default" w:ascii="Times New Roman" w:hAnsi="Times New Roman" w:cs="Times New Roman"/>
        </w:rPr>
        <w:t>BP's way of working sets clear expectations. It applies to all our employees and board members. We trained BP employees how to apply code in their daily work, and in 2019, the focus of this training was on sharing stories about how these codes and values can help them guide actions in difficult situations. The training is available in 18 languages, with some 39000 employees completing all the training in 2019. We also provide training on respect and harassment prevention to help employees and front-line managers understand their role in creating a non harassment working environment.</w:t>
      </w: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r>
        <w:rPr>
          <w:rFonts w:hint="default" w:ascii="Times New Roman" w:hAnsi="Times New Roman" w:cs="Times New Roman"/>
        </w:rPr>
        <w:t xml:space="preserve">Following the Gulf of Mexico incident, the five-year ethics monitoring system ended </w:t>
      </w:r>
      <w:bookmarkStart w:id="0" w:name="_GoBack"/>
      <w:bookmarkEnd w:id="0"/>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ascii="Times New Roman" w:hAnsi="Times New Roman" w:cs="Times New Roman"/>
        </w:rPr>
      </w:pPr>
      <w:r>
        <w:rPr>
          <w:rFonts w:hint="default" w:ascii="Times New Roman" w:hAnsi="Times New Roman" w:cs="Times New Roman"/>
        </w:rPr>
        <w:t>BP wants employees, contractors, suppliers, third parties and other stakeholders to be able to speak frankly when they have questions or concerns about our code, or if they see something they feel immoral or unsafe. Concerns and inquiries can be raised through a variety of channels: front line managers or other senior leaders, support groups, including human resources, law, ethics and compliance, and the working Council. Concerns can also be raised anonymously through OpenTalk, BP's global secret hotline. It is managed by an independent company, which provides services 24 hours a day, seven days a week. It can provide more than 75 languages through telephone or network</w:t>
      </w:r>
    </w:p>
    <w:p>
      <w:pPr>
        <w:spacing w:line="360" w:lineRule="auto"/>
        <w:rPr>
          <w:rFonts w:hint="eastAsia" w:ascii="Arial" w:hAnsi="Arial" w:cs="Arial"/>
        </w:rPr>
      </w:pPr>
    </w:p>
    <w:p>
      <w:pPr>
        <w:spacing w:line="360" w:lineRule="auto"/>
        <w:rPr>
          <w:rFonts w:ascii="Arial" w:hAnsi="Arial" w:cs="Arial"/>
        </w:rPr>
      </w:pPr>
      <w:r>
        <w:rPr>
          <w:rFonts w:hint="eastAsia" w:ascii="Arial" w:hAnsi="Arial" w:cs="Arial"/>
        </w:rPr>
        <w:t xml:space="preserve">  </w:t>
      </w:r>
    </w:p>
    <w:p>
      <w:pPr>
        <w:pStyle w:val="2"/>
        <w:numPr>
          <w:numId w:val="0"/>
        </w:numPr>
        <w:bidi w:val="0"/>
      </w:pPr>
      <w:r>
        <w:rPr>
          <w:rFonts w:hint="eastAsia" w:eastAsia="宋体"/>
          <w:lang w:val="en-US" w:eastAsia="zh-CN"/>
        </w:rPr>
        <w:t>3.</w:t>
      </w:r>
      <w:r>
        <w:t>Literature Review</w:t>
      </w:r>
    </w:p>
    <w:p>
      <w:pPr>
        <w:pStyle w:val="7"/>
        <w:numPr>
          <w:numId w:val="0"/>
        </w:numPr>
        <w:spacing w:after="0" w:line="360" w:lineRule="auto"/>
        <w:contextualSpacing/>
        <w:rPr>
          <w:rFonts w:hint="default" w:ascii="Times New Roman" w:hAnsi="Times New Roman" w:cs="Times New Roman"/>
          <w:b w:val="0"/>
          <w:bCs/>
          <w:sz w:val="24"/>
          <w:szCs w:val="24"/>
          <w:u w:val="none"/>
        </w:rPr>
      </w:pPr>
      <w:r>
        <w:rPr>
          <w:rFonts w:hint="default" w:ascii="Times New Roman" w:hAnsi="Times New Roman" w:cs="Times New Roman"/>
          <w:b w:val="0"/>
          <w:bCs/>
          <w:sz w:val="24"/>
          <w:szCs w:val="24"/>
          <w:u w:val="none"/>
        </w:rPr>
        <w:t>Few industries have received the attention of CSR scholars as much as oil and gas. Interest in responding to this, the undeniable environmental impact of the industry and its importance dominate the global geopolitics of multinational corporations and state-owned enterprises (frynas 2009; lindgreen et al. 2012; watts (2005). In this section, we review the literature on corporate social responsibility in the oil and gas industry.</w:t>
      </w:r>
    </w:p>
    <w:p>
      <w:pPr>
        <w:rPr>
          <w:rFonts w:hint="default" w:ascii="Arial" w:hAnsi="Arial" w:eastAsia="宋体" w:cs="Arial"/>
          <w:color w:val="5B9BD5" w:themeColor="accent1"/>
          <w:lang w:val="en-US" w:eastAsia="zh-CN"/>
          <w14:textFill>
            <w14:solidFill>
              <w14:schemeClr w14:val="accent1"/>
            </w14:solidFill>
          </w14:textFill>
        </w:rPr>
      </w:pPr>
    </w:p>
    <w:p>
      <w:pPr>
        <w:pStyle w:val="2"/>
        <w:bidi w:val="0"/>
        <w:rPr>
          <w:rFonts w:hint="default"/>
          <w:lang w:val="en-US" w:eastAsia="zh-CN"/>
        </w:rPr>
      </w:pPr>
    </w:p>
    <w:p>
      <w:pPr>
        <w:pStyle w:val="2"/>
        <w:bidi w:val="0"/>
      </w:pPr>
      <w:r>
        <w:rPr>
          <w:rFonts w:hint="eastAsia"/>
          <w:lang w:val="en-US" w:eastAsia="zh-CN"/>
        </w:rPr>
        <w:t>4.</w:t>
      </w:r>
      <w:r>
        <w:t>Aims &amp; Objectives</w:t>
      </w:r>
    </w:p>
    <w:p>
      <w:pPr>
        <w:pStyle w:val="3"/>
        <w:numPr>
          <w:numId w:val="0"/>
        </w:numPr>
        <w:bidi w:val="0"/>
        <w:ind w:left="720" w:leftChars="0"/>
      </w:pPr>
      <w:r>
        <w:rPr>
          <w:rFonts w:hint="eastAsia"/>
          <w:lang w:val="en-US" w:eastAsia="zh-CN"/>
        </w:rPr>
        <w:t>4.1</w:t>
      </w:r>
      <w:r>
        <w:t>Aim</w:t>
      </w:r>
    </w:p>
    <w:p>
      <w:pPr>
        <w:pStyle w:val="7"/>
        <w:spacing w:line="360" w:lineRule="auto"/>
        <w:ind w:left="1440"/>
        <w:rPr>
          <w:rFonts w:ascii="Arial" w:hAnsi="Arial" w:cs="Arial"/>
          <w:b/>
          <w:u w:val="single"/>
        </w:rPr>
      </w:pPr>
    </w:p>
    <w:p>
      <w:pPr>
        <w:rPr>
          <w:rFonts w:hint="eastAsia" w:eastAsia="宋体"/>
          <w:lang w:val="en-US" w:eastAsia="zh-CN"/>
        </w:rPr>
      </w:pPr>
      <w:r>
        <w:rPr>
          <w:rFonts w:hint="eastAsia" w:eastAsia="宋体"/>
          <w:lang w:val="en-US" w:eastAsia="zh-CN"/>
        </w:rPr>
        <w:t>the main purpose of the research is to analyse how CSR activities influence customer perception which in return impacts customer loyalty. The focus of the research will be the UK petroleum industry.</w:t>
      </w:r>
    </w:p>
    <w:p>
      <w:pPr>
        <w:spacing w:line="360" w:lineRule="auto"/>
        <w:rPr>
          <w:rFonts w:ascii="Arial" w:hAnsi="Arial" w:cs="Arial"/>
        </w:rPr>
      </w:pPr>
    </w:p>
    <w:p>
      <w:pPr>
        <w:pStyle w:val="3"/>
        <w:numPr>
          <w:numId w:val="0"/>
        </w:numPr>
        <w:bidi w:val="0"/>
        <w:ind w:left="720" w:leftChars="0"/>
      </w:pPr>
      <w:r>
        <w:rPr>
          <w:rFonts w:hint="eastAsia"/>
          <w:lang w:val="en-US" w:eastAsia="zh-CN"/>
        </w:rPr>
        <w:t xml:space="preserve">4.2 </w:t>
      </w:r>
      <w:r>
        <w:t>Objectives</w:t>
      </w:r>
    </w:p>
    <w:p>
      <w:pPr>
        <w:pStyle w:val="7"/>
        <w:spacing w:line="360" w:lineRule="auto"/>
        <w:ind w:left="1440"/>
        <w:rPr>
          <w:rFonts w:ascii="Arial" w:hAnsi="Arial" w:cs="Arial"/>
          <w:b/>
          <w:u w:val="single"/>
        </w:rPr>
      </w:pPr>
    </w:p>
    <w:p>
      <w:pPr>
        <w:pStyle w:val="7"/>
        <w:numPr>
          <w:ilvl w:val="0"/>
          <w:numId w:val="2"/>
        </w:numPr>
        <w:spacing w:line="360" w:lineRule="auto"/>
        <w:jc w:val="both"/>
        <w:rPr>
          <w:rFonts w:hint="default" w:ascii="Times New Roman" w:hAnsi="Times New Roman" w:cs="Times New Roman"/>
        </w:rPr>
      </w:pPr>
      <w:r>
        <w:rPr>
          <w:rFonts w:hint="default" w:ascii="Times New Roman" w:hAnsi="Times New Roman" w:cs="Times New Roman"/>
        </w:rPr>
        <w:t>How are corporate social responsibility issues defined  at the industy level?To examine whether the event is capable of building community networks and providing new skills for the participants.</w:t>
      </w:r>
    </w:p>
    <w:p>
      <w:pPr>
        <w:numPr>
          <w:ilvl w:val="0"/>
          <w:numId w:val="2"/>
        </w:numPr>
        <w:ind w:left="720" w:leftChars="0" w:hanging="360" w:firstLineChars="0"/>
        <w:jc w:val="both"/>
        <w:rPr>
          <w:rFonts w:hint="default" w:ascii="Times New Roman" w:hAnsi="Times New Roman" w:cs="Times New Roman"/>
        </w:rPr>
      </w:pPr>
      <w:r>
        <w:rPr>
          <w:rFonts w:hint="default" w:ascii="Times New Roman" w:hAnsi="Times New Roman" w:cs="Times New Roman"/>
        </w:rPr>
        <w:t>What kinds of organizations are</w:t>
      </w:r>
      <w:r>
        <w:rPr>
          <w:rFonts w:hint="default" w:ascii="Times New Roman" w:hAnsi="Times New Roman" w:eastAsia="宋体" w:cs="Times New Roman"/>
          <w:lang w:val="en-US" w:eastAsia="zh-CN"/>
        </w:rPr>
        <w:t xml:space="preserve"> </w:t>
      </w:r>
      <w:r>
        <w:rPr>
          <w:rFonts w:hint="default" w:ascii="Times New Roman" w:hAnsi="Times New Roman" w:cs="Times New Roman"/>
        </w:rPr>
        <w:t>involved in the process of definition and</w:t>
      </w:r>
      <w:r>
        <w:rPr>
          <w:rFonts w:hint="default" w:ascii="Times New Roman" w:hAnsi="Times New Roman" w:eastAsia="宋体" w:cs="Times New Roman"/>
          <w:lang w:val="en-US" w:eastAsia="zh-CN"/>
        </w:rPr>
        <w:t xml:space="preserve"> </w:t>
      </w:r>
      <w:r>
        <w:rPr>
          <w:rFonts w:hint="default" w:ascii="Times New Roman" w:hAnsi="Times New Roman" w:cs="Times New Roman"/>
        </w:rPr>
        <w:t>implementation of</w:t>
      </w:r>
      <w:r>
        <w:rPr>
          <w:rFonts w:hint="default" w:ascii="Times New Roman" w:hAnsi="Times New Roman" w:eastAsia="宋体" w:cs="Times New Roman"/>
          <w:lang w:val="en-US" w:eastAsia="zh-CN"/>
        </w:rPr>
        <w:t xml:space="preserve"> </w:t>
      </w:r>
      <w:r>
        <w:rPr>
          <w:rFonts w:hint="default" w:ascii="Times New Roman" w:hAnsi="Times New Roman" w:cs="Times New Roman"/>
        </w:rPr>
        <w:t>CSR issues?</w:t>
      </w:r>
    </w:p>
    <w:p>
      <w:pPr>
        <w:rPr>
          <w:rFonts w:hint="default" w:ascii="Times New Roman" w:hAnsi="Times New Roman" w:cs="Times New Roman"/>
        </w:rPr>
      </w:pPr>
      <w:r>
        <w:rPr>
          <w:rFonts w:hint="default" w:ascii="Times New Roman" w:hAnsi="Times New Roman" w:eastAsia="宋体" w:cs="Times New Roman"/>
          <w:lang w:val="en-US" w:eastAsia="zh-CN"/>
        </w:rPr>
        <w:t xml:space="preserve">   3)</w:t>
      </w:r>
      <w:r>
        <w:rPr>
          <w:rFonts w:hint="default" w:ascii="Times New Roman" w:hAnsi="Times New Roman" w:cs="Times New Roman"/>
        </w:rPr>
        <w:t>What characteristics do these</w:t>
      </w:r>
      <w:r>
        <w:rPr>
          <w:rFonts w:hint="default" w:ascii="Times New Roman" w:hAnsi="Times New Roman" w:eastAsia="宋体" w:cs="Times New Roman"/>
          <w:lang w:val="en-US" w:eastAsia="zh-CN"/>
        </w:rPr>
        <w:t xml:space="preserve"> </w:t>
      </w:r>
      <w:r>
        <w:rPr>
          <w:rFonts w:hint="default" w:ascii="Times New Roman" w:hAnsi="Times New Roman" w:cs="Times New Roman"/>
        </w:rPr>
        <w:t>organizations</w:t>
      </w:r>
      <w:r>
        <w:rPr>
          <w:rFonts w:hint="default" w:ascii="Times New Roman" w:hAnsi="Times New Roman" w:eastAsia="宋体" w:cs="Times New Roman"/>
          <w:lang w:val="en-US" w:eastAsia="zh-CN"/>
        </w:rPr>
        <w:t xml:space="preserve"> </w:t>
      </w:r>
      <w:r>
        <w:rPr>
          <w:rFonts w:hint="default" w:ascii="Times New Roman" w:hAnsi="Times New Roman" w:cs="Times New Roman"/>
        </w:rPr>
        <w:t>have?</w:t>
      </w:r>
    </w:p>
    <w:p>
      <w:pPr>
        <w:pStyle w:val="2"/>
        <w:bidi w:val="0"/>
        <w:rPr>
          <w:rFonts w:hint="default"/>
          <w:lang w:val="en-US" w:eastAsia="zh-CN"/>
        </w:rPr>
      </w:pPr>
      <w:r>
        <w:rPr>
          <w:rFonts w:hint="default"/>
          <w:lang w:val="en-US" w:eastAsia="zh-CN"/>
        </w:rPr>
        <w:t>5.Hypotheses</w:t>
      </w:r>
    </w:p>
    <w:p>
      <w:pPr>
        <w:rPr>
          <w:rFonts w:hint="eastAsia"/>
          <w:lang w:val="en-US" w:eastAsia="zh-CN"/>
        </w:rPr>
      </w:pPr>
      <w:r>
        <w:rPr>
          <w:rFonts w:hint="eastAsia"/>
          <w:lang w:val="en-US" w:eastAsia="zh-CN"/>
        </w:rPr>
        <w:t>Positive: social responsibility has a great influence on British oil companies, so that BP can operate more regularly and ensure a good environment.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p>
    <w:p>
      <w:pPr>
        <w:pStyle w:val="2"/>
        <w:numPr>
          <w:ilvl w:val="0"/>
          <w:numId w:val="3"/>
        </w:numPr>
        <w:bidi w:val="0"/>
        <w:rPr>
          <w:rFonts w:hint="eastAsia"/>
          <w:lang w:val="en-US" w:eastAsia="zh-CN"/>
        </w:rPr>
      </w:pPr>
      <w:r>
        <w:rPr>
          <w:rFonts w:hint="eastAsia"/>
          <w:lang w:val="en-US" w:eastAsia="zh-CN"/>
        </w:rPr>
        <w:t>Research Design &amp; Methodology</w:t>
      </w:r>
    </w:p>
    <w:p>
      <w:pPr>
        <w:numPr>
          <w:numId w:val="0"/>
        </w:numPr>
        <w:rPr>
          <w:color w:val="385723" w:themeColor="accent6" w:themeShade="80"/>
          <w:lang w:eastAsia="en-GB"/>
        </w:rPr>
      </w:pPr>
      <w:r>
        <w:rPr>
          <w:color w:val="385724" w:themeColor="accent6" w:themeShade="80"/>
          <w:lang w:eastAsia="en-GB"/>
        </w:rPr>
        <w:drawing>
          <wp:inline distT="0" distB="0" distL="0" distR="0">
            <wp:extent cx="4498975" cy="3288665"/>
            <wp:effectExtent l="0" t="0" r="15875" b="6985"/>
            <wp:docPr id="2" name="Picture 2" descr="http://writepass.com/journal/wp-content/uploads/2012/06/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writepass.com/journal/wp-content/uploads/2012/06/Research-Onion.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4498975" cy="3288665"/>
                    </a:xfrm>
                    <a:prstGeom prst="rect">
                      <a:avLst/>
                    </a:prstGeom>
                    <a:noFill/>
                    <a:ln>
                      <a:noFill/>
                    </a:ln>
                  </pic:spPr>
                </pic:pic>
              </a:graphicData>
            </a:graphic>
          </wp:inline>
        </w:drawing>
      </w:r>
    </w:p>
    <w:p>
      <w:pPr>
        <w:numPr>
          <w:numId w:val="0"/>
        </w:numPr>
        <w:rPr>
          <w:color w:val="385723" w:themeColor="accent6" w:themeShade="80"/>
          <w:lang w:eastAsia="en-GB"/>
        </w:rPr>
      </w:pPr>
    </w:p>
    <w:p>
      <w:pPr>
        <w:numPr>
          <w:numId w:val="0"/>
        </w:numPr>
        <w:rPr>
          <w:color w:val="385723" w:themeColor="accent6" w:themeShade="80"/>
          <w:lang w:eastAsia="en-GB"/>
        </w:rPr>
      </w:pPr>
    </w:p>
    <w:p>
      <w:pPr>
        <w:numPr>
          <w:numId w:val="0"/>
        </w:numPr>
        <w:rPr>
          <w:rFonts w:hint="eastAsia" w:eastAsia="宋体"/>
          <w:color w:val="auto"/>
          <w:lang w:val="en-US" w:eastAsia="zh-CN"/>
        </w:rPr>
      </w:pPr>
      <w:r>
        <w:rPr>
          <w:rFonts w:hint="eastAsia" w:eastAsia="宋体"/>
          <w:color w:val="auto"/>
          <w:lang w:val="en-US" w:eastAsia="zh-CN"/>
        </w:rPr>
        <w:t>Saunders et al likens there research process to layers of an onion, this is often referred to as the'research onion'. Take the cross-section method, because it will be a snapshot taken at a single point in time, not a long The vertical approach.</w:t>
      </w:r>
    </w:p>
    <w:p>
      <w:pPr>
        <w:numPr>
          <w:numId w:val="0"/>
        </w:numPr>
        <w:rPr>
          <w:rFonts w:hint="eastAsia" w:eastAsia="宋体"/>
          <w:color w:val="auto"/>
          <w:lang w:val="en-US" w:eastAsia="zh-CN"/>
        </w:rPr>
      </w:pPr>
    </w:p>
    <w:p>
      <w:pPr>
        <w:numPr>
          <w:numId w:val="0"/>
        </w:numPr>
        <w:rPr>
          <w:rFonts w:hint="eastAsia" w:eastAsia="宋体"/>
          <w:color w:val="auto"/>
          <w:lang w:val="en-US" w:eastAsia="zh-CN"/>
        </w:rPr>
      </w:pPr>
    </w:p>
    <w:p>
      <w:pPr>
        <w:numPr>
          <w:numId w:val="0"/>
        </w:numPr>
        <w:rPr>
          <w:rFonts w:hint="eastAsia" w:eastAsia="宋体"/>
          <w:color w:val="auto"/>
          <w:lang w:val="en-US" w:eastAsia="zh-CN"/>
        </w:rPr>
      </w:pPr>
    </w:p>
    <w:p>
      <w:pPr>
        <w:numPr>
          <w:numId w:val="0"/>
        </w:numPr>
        <w:rPr>
          <w:rFonts w:hint="eastAsia" w:eastAsia="宋体"/>
          <w:color w:val="auto"/>
          <w:lang w:val="en-US" w:eastAsia="zh-CN"/>
        </w:rPr>
      </w:pPr>
    </w:p>
    <w:p>
      <w:pPr>
        <w:numPr>
          <w:numId w:val="0"/>
        </w:numPr>
        <w:rPr>
          <w:rFonts w:hint="eastAsia" w:eastAsia="宋体"/>
          <w:color w:val="auto"/>
          <w:lang w:val="en-US" w:eastAsia="zh-CN"/>
        </w:rPr>
      </w:pPr>
    </w:p>
    <w:p>
      <w:pPr>
        <w:numPr>
          <w:numId w:val="0"/>
        </w:numPr>
        <w:rPr>
          <w:rFonts w:hint="eastAsia" w:eastAsia="宋体"/>
          <w:color w:val="auto"/>
          <w:lang w:val="en-US" w:eastAsia="zh-CN"/>
        </w:rPr>
      </w:pPr>
    </w:p>
    <w:p>
      <w:pPr>
        <w:pStyle w:val="2"/>
        <w:numPr>
          <w:ilvl w:val="1"/>
          <w:numId w:val="3"/>
        </w:numPr>
        <w:bidi w:val="0"/>
        <w:rPr>
          <w:rFonts w:hint="eastAsia"/>
          <w:lang w:val="en-US" w:eastAsia="zh-CN"/>
        </w:rPr>
      </w:pPr>
      <w:r>
        <w:rPr>
          <w:rFonts w:hint="eastAsia"/>
          <w:lang w:val="en-US" w:eastAsia="zh-CN"/>
        </w:rPr>
        <w:t>Paradigm &amp; Philosophy</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Positivism is a school of Western philosophy that emphasizes sensory experience and rejects metaphysical traditions. Also known as positive philosophy. It was born in France and England in the 1830s and 1940s. The founder was A. Comte, a French philosopher and ancestor of sociology. The main representatives are J.S. Mill and H. Spencer of the United Kingdom. Its formation was marked by Comte’s 6-volume "Positive Philosophy Course", which was published successively in 1830. The basic feature of positivism is: it reduces the task of philosophy to the study of phenomena, takes the viewpoint of phenomenalism as the starting point, refuses to grasp the sense data through reason, and believes that scientific laws can be obtained through the induction of phenomena. It treats the relationship between philosophy and science as the central issue of its theory and tries to dissolve philosophy in science.</w:t>
      </w:r>
    </w:p>
    <w:p>
      <w:pPr>
        <w:pStyle w:val="2"/>
        <w:bidi w:val="0"/>
        <w:rPr>
          <w:rFonts w:hint="eastAsia"/>
          <w:lang w:val="en-US" w:eastAsia="zh-CN"/>
        </w:rPr>
      </w:pPr>
    </w:p>
    <w:p>
      <w:pPr>
        <w:pStyle w:val="2"/>
        <w:numPr>
          <w:ilvl w:val="1"/>
          <w:numId w:val="3"/>
        </w:numPr>
        <w:bidi w:val="0"/>
        <w:ind w:left="0" w:leftChars="0" w:firstLine="0" w:firstLineChars="0"/>
        <w:rPr>
          <w:rFonts w:hint="eastAsia"/>
          <w:lang w:val="en-US" w:eastAsia="zh-CN"/>
        </w:rPr>
      </w:pPr>
      <w:r>
        <w:rPr>
          <w:rFonts w:hint="eastAsia"/>
          <w:lang w:val="en-US" w:eastAsia="zh-CN"/>
        </w:rPr>
        <w:t>Research Approach &amp; Purpose</w:t>
      </w:r>
    </w:p>
    <w:p>
      <w:pPr>
        <w:numPr>
          <w:numId w:val="0"/>
        </w:numPr>
        <w:ind w:leftChars="0"/>
        <w:rPr>
          <w:rFonts w:hint="eastAsia"/>
          <w:lang w:val="en-US" w:eastAsia="zh-CN"/>
        </w:rPr>
      </w:pPr>
      <w:r>
        <w:rPr>
          <w:rFonts w:hint="eastAsia"/>
          <w:lang w:val="en-US" w:eastAsia="zh-CN"/>
        </w:rPr>
        <w:t>the main purpose of the research is to analyse how CSR activities influence customer perception which in return impacts customer loyalty. The focus of the research will be the UK petroleum industry.</w:t>
      </w:r>
    </w:p>
    <w:p>
      <w:pPr>
        <w:numPr>
          <w:numId w:val="0"/>
        </w:numPr>
        <w:ind w:leftChars="0"/>
        <w:rPr>
          <w:rFonts w:hint="eastAsia"/>
          <w:lang w:val="en-US" w:eastAsia="zh-CN"/>
        </w:rPr>
      </w:pPr>
    </w:p>
    <w:p>
      <w:pPr>
        <w:numPr>
          <w:numId w:val="0"/>
        </w:numPr>
        <w:ind w:leftChars="0"/>
        <w:rPr>
          <w:rFonts w:hint="eastAsia"/>
          <w:lang w:val="en-US" w:eastAsia="zh-CN"/>
        </w:rPr>
      </w:pPr>
    </w:p>
    <w:p>
      <w:pPr>
        <w:numPr>
          <w:numId w:val="0"/>
        </w:numPr>
        <w:ind w:leftChars="0"/>
        <w:rPr>
          <w:rFonts w:hint="eastAsia"/>
          <w:lang w:val="en-US" w:eastAsia="zh-CN"/>
        </w:rPr>
      </w:pPr>
    </w:p>
    <w:p>
      <w:pPr>
        <w:pStyle w:val="2"/>
        <w:numPr>
          <w:ilvl w:val="0"/>
          <w:numId w:val="3"/>
        </w:numPr>
        <w:bidi w:val="0"/>
        <w:ind w:left="0" w:leftChars="0" w:firstLine="0" w:firstLineChars="0"/>
        <w:rPr>
          <w:rFonts w:hint="eastAsia"/>
          <w:lang w:val="en-US" w:eastAsia="zh-CN"/>
        </w:rPr>
      </w:pPr>
      <w:r>
        <w:rPr>
          <w:rFonts w:hint="eastAsia"/>
          <w:lang w:val="en-US" w:eastAsia="zh-CN"/>
        </w:rPr>
        <w:t>Resources &amp; Planning</w:t>
      </w:r>
    </w:p>
    <w:p>
      <w:pPr>
        <w:numPr>
          <w:numId w:val="0"/>
        </w:numPr>
        <w:spacing w:after="0" w:line="240" w:lineRule="auto"/>
        <w:rPr>
          <w:rFonts w:hint="eastAsia"/>
          <w:lang w:val="en-US" w:eastAsia="zh-CN"/>
        </w:rPr>
      </w:pPr>
    </w:p>
    <w:p>
      <w:pPr>
        <w:numPr>
          <w:numId w:val="0"/>
        </w:numPr>
        <w:ind w:leftChars="0"/>
        <w:rPr>
          <w:rFonts w:hint="default"/>
          <w:lang w:val="en-US" w:eastAsia="zh-CN"/>
        </w:rPr>
      </w:pPr>
      <w:r>
        <w:rPr>
          <w:rFonts w:hint="default"/>
          <w:lang w:val="en-US" w:eastAsia="zh-CN"/>
        </w:rPr>
        <w:t>Bryman and bell pointed out that all studies were limited by time and resources (Bryman &amp; bell, 2007). In order to fully understand and achieve the goals and objectives set for research, resources must be used. Again, planning is the key to success. The use of primary and secondary data will help to deepen the understanding of the socio-cultural impact of events, which will be included in the literature review. Secondary data will be accessed through books in the university library, online resources provided by the library, academic journals and articles, and reliable websites. By looking for papers and journals, I get some information about the influence and role of CSR on BP enterprises.</w:t>
      </w:r>
    </w:p>
    <w:p>
      <w:pPr>
        <w:numPr>
          <w:numId w:val="0"/>
        </w:numPr>
        <w:ind w:leftChars="0"/>
        <w:rPr>
          <w:rFonts w:hint="default"/>
          <w:lang w:val="en-US" w:eastAsia="zh-CN"/>
        </w:rPr>
      </w:pPr>
    </w:p>
    <w:p>
      <w:pPr>
        <w:numPr>
          <w:numId w:val="0"/>
        </w:numPr>
        <w:ind w:leftChars="0"/>
        <w:rPr>
          <w:rFonts w:hint="default"/>
          <w:lang w:val="en-US" w:eastAsia="zh-CN"/>
        </w:rPr>
      </w:pPr>
    </w:p>
    <w:p>
      <w:pPr>
        <w:numPr>
          <w:numId w:val="0"/>
        </w:numPr>
        <w:ind w:leftChars="0"/>
        <w:rPr>
          <w:rFonts w:hint="default"/>
          <w:lang w:val="en-US" w:eastAsia="zh-CN"/>
        </w:rPr>
      </w:pPr>
    </w:p>
    <w:p>
      <w:pPr>
        <w:numPr>
          <w:numId w:val="0"/>
        </w:numPr>
        <w:ind w:leftChars="0"/>
        <w:rPr>
          <w:rFonts w:hint="default"/>
          <w:lang w:val="en-US" w:eastAsia="zh-CN"/>
        </w:rPr>
      </w:pPr>
    </w:p>
    <w:p>
      <w:pPr>
        <w:numPr>
          <w:numId w:val="0"/>
        </w:numPr>
        <w:ind w:leftChars="0"/>
        <w:rPr>
          <w:rFonts w:hint="default"/>
          <w:lang w:val="en-US" w:eastAsia="zh-CN"/>
        </w:rPr>
      </w:pPr>
    </w:p>
    <w:p>
      <w:pPr>
        <w:numPr>
          <w:numId w:val="0"/>
        </w:numPr>
        <w:ind w:leftChars="0"/>
        <w:rPr>
          <w:rFonts w:hint="default"/>
          <w:lang w:val="en-US" w:eastAsia="zh-CN"/>
        </w:rPr>
      </w:pPr>
    </w:p>
    <w:p>
      <w:pPr>
        <w:pStyle w:val="2"/>
        <w:numPr>
          <w:ilvl w:val="0"/>
          <w:numId w:val="3"/>
        </w:numPr>
        <w:bidi w:val="0"/>
        <w:ind w:left="0" w:leftChars="0" w:firstLine="0" w:firstLineChars="0"/>
        <w:rPr>
          <w:rFonts w:hint="eastAsia"/>
          <w:lang w:val="en-US" w:eastAsia="zh-CN"/>
        </w:rPr>
      </w:pPr>
      <w:r>
        <w:rPr>
          <w:rFonts w:hint="eastAsia"/>
          <w:lang w:val="en-US" w:eastAsia="zh-CN"/>
        </w:rPr>
        <w:t>Limitations &amp; Ethical Risks</w:t>
      </w:r>
    </w:p>
    <w:p>
      <w:pPr>
        <w:pStyle w:val="3"/>
        <w:bidi w:val="0"/>
        <w:rPr>
          <w:rFonts w:hint="default"/>
          <w:lang w:val="en-US" w:eastAsia="zh-CN"/>
        </w:rPr>
      </w:pPr>
      <w:r>
        <w:rPr>
          <w:rFonts w:hint="eastAsia"/>
          <w:lang w:val="en-US" w:eastAsia="zh-CN"/>
        </w:rPr>
        <w:t>8.1</w:t>
      </w:r>
      <w:r>
        <w:rPr>
          <w:rFonts w:hint="default"/>
          <w:lang w:val="en-US" w:eastAsia="zh-CN"/>
        </w:rPr>
        <w:t>Reliability &amp; Validity</w:t>
      </w:r>
    </w:p>
    <w:p>
      <w:pPr>
        <w:rPr>
          <w:rFonts w:hint="eastAsia"/>
          <w:lang w:val="en-US" w:eastAsia="zh-CN"/>
        </w:rPr>
      </w:pPr>
      <w:r>
        <w:rPr>
          <w:rFonts w:hint="eastAsia"/>
          <w:lang w:val="en-US" w:eastAsia="zh-CN"/>
        </w:rPr>
        <w:t>This paper found a lot of papers to assist my point of view, and used a lot of experts' language and some journal evaluation.</w:t>
      </w:r>
    </w:p>
    <w:p>
      <w:pPr>
        <w:rPr>
          <w:rFonts w:hint="eastAsia"/>
          <w:lang w:val="en-US" w:eastAsia="zh-CN"/>
        </w:rPr>
      </w:pPr>
    </w:p>
    <w:p>
      <w:pPr>
        <w:rPr>
          <w:rFonts w:hint="eastAsia"/>
          <w:lang w:val="en-US" w:eastAsia="zh-CN"/>
        </w:rPr>
      </w:pPr>
    </w:p>
    <w:p>
      <w:pPr>
        <w:rPr>
          <w:rFonts w:hint="eastAsia"/>
          <w:lang w:val="en-US" w:eastAsia="zh-CN"/>
        </w:rPr>
      </w:pPr>
    </w:p>
    <w:p>
      <w:pPr>
        <w:pStyle w:val="2"/>
        <w:bidi w:val="0"/>
      </w:pPr>
      <w:r>
        <w:rPr>
          <w:rFonts w:hint="eastAsia"/>
          <w:lang w:val="en-US" w:eastAsia="zh-CN"/>
        </w:rPr>
        <w:t>9.</w:t>
      </w:r>
      <w:r>
        <w:t>Conclusion</w:t>
      </w:r>
    </w:p>
    <w:p>
      <w:pPr>
        <w:rPr>
          <w:rFonts w:hint="eastAsia"/>
          <w:lang w:val="en-US" w:eastAsia="zh-CN"/>
        </w:rPr>
      </w:pPr>
      <w:r>
        <w:rPr>
          <w:rFonts w:hint="eastAsia"/>
          <w:lang w:val="en-US" w:eastAsia="zh-CN"/>
        </w:rPr>
        <w:t>CSR has a great influence on BP enterprises, and corporate social responsibility will affect customer loyalty.</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pPr>
      <w:r>
        <w:rPr>
          <w:rFonts w:hint="eastAsia"/>
          <w:lang w:val="en-US" w:eastAsia="zh-CN"/>
        </w:rPr>
        <w:t>10.</w:t>
      </w:r>
      <w:r>
        <w:t>References</w:t>
      </w:r>
    </w:p>
    <w:p>
      <w:pPr>
        <w:spacing w:line="360" w:lineRule="auto"/>
        <w:rPr>
          <w:rFonts w:ascii="Arial" w:hAnsi="Arial" w:cs="Arial"/>
          <w:b/>
          <w:sz w:val="28"/>
          <w:u w:val="single"/>
        </w:rPr>
      </w:pPr>
    </w:p>
    <w:p>
      <w:pPr>
        <w:spacing w:line="360" w:lineRule="auto"/>
        <w:ind w:firstLine="360"/>
        <w:rPr>
          <w:rFonts w:ascii="Arial" w:hAnsi="Arial" w:cs="Arial"/>
        </w:rPr>
      </w:pPr>
      <w:r>
        <w:rPr>
          <w:rFonts w:ascii="Arial" w:hAnsi="Arial" w:cs="Arial"/>
        </w:rPr>
        <w:t xml:space="preserve">Ariola, M. (2006), </w:t>
      </w:r>
      <w:r>
        <w:rPr>
          <w:rFonts w:ascii="Arial" w:hAnsi="Arial" w:cs="Arial"/>
          <w:i/>
        </w:rPr>
        <w:t>Principals and Methods of Research</w:t>
      </w:r>
      <w:r>
        <w:rPr>
          <w:rFonts w:ascii="Arial" w:hAnsi="Arial" w:cs="Arial"/>
        </w:rPr>
        <w:t xml:space="preserve">, Manila: Rex Book Store. </w:t>
      </w:r>
    </w:p>
    <w:p>
      <w:pPr>
        <w:spacing w:line="360" w:lineRule="auto"/>
        <w:ind w:firstLine="360"/>
        <w:rPr>
          <w:rFonts w:ascii="Arial" w:hAnsi="Arial" w:cs="Arial"/>
        </w:rPr>
      </w:pPr>
      <w:r>
        <w:rPr>
          <w:rFonts w:ascii="Arial" w:hAnsi="Arial" w:cs="Arial"/>
        </w:rPr>
        <w:t xml:space="preserve">Bladen, C. Kennel, J. Abson, E and Wilde, N. (2012), ‘Managing the event human resource’, </w:t>
      </w:r>
      <w:r>
        <w:rPr>
          <w:rFonts w:ascii="Arial" w:hAnsi="Arial" w:cs="Arial"/>
          <w:i/>
        </w:rPr>
        <w:t xml:space="preserve">Events Management; An Introduction, </w:t>
      </w:r>
      <w:r>
        <w:rPr>
          <w:rFonts w:ascii="Arial" w:hAnsi="Arial" w:cs="Arial"/>
        </w:rPr>
        <w:t>Abington: Routledge.</w:t>
      </w:r>
    </w:p>
    <w:p>
      <w:pPr>
        <w:spacing w:line="360" w:lineRule="auto"/>
        <w:ind w:firstLine="360"/>
        <w:rPr>
          <w:rFonts w:ascii="Arial" w:hAnsi="Arial" w:cs="Arial"/>
        </w:rPr>
      </w:pPr>
      <w:r>
        <w:rPr>
          <w:rFonts w:ascii="Arial" w:hAnsi="Arial" w:cs="Arial"/>
        </w:rPr>
        <w:t xml:space="preserve">Bowdin, G. Allen, J. O’Toole, W. Harris, R. and McDonnell, I. (2006), </w:t>
      </w:r>
      <w:r>
        <w:rPr>
          <w:rFonts w:ascii="Arial" w:hAnsi="Arial" w:cs="Arial"/>
          <w:i/>
        </w:rPr>
        <w:t>Events Management</w:t>
      </w:r>
      <w:r>
        <w:rPr>
          <w:rFonts w:ascii="Arial" w:hAnsi="Arial" w:cs="Arial"/>
        </w:rPr>
        <w:t>, (Third Edition), Great Britain: John Wiley &amp; Sons.</w:t>
      </w:r>
    </w:p>
    <w:p>
      <w:pPr>
        <w:spacing w:line="360" w:lineRule="auto"/>
        <w:ind w:firstLine="360"/>
        <w:rPr>
          <w:rFonts w:ascii="Arial" w:hAnsi="Arial" w:cs="Arial"/>
        </w:rPr>
      </w:pPr>
      <w:r>
        <w:rPr>
          <w:rFonts w:ascii="Arial" w:hAnsi="Arial" w:cs="Arial"/>
        </w:rPr>
        <w:t xml:space="preserve">Bryman, A and Bell, E. (2015), </w:t>
      </w:r>
      <w:r>
        <w:rPr>
          <w:rFonts w:ascii="Arial" w:hAnsi="Arial" w:cs="Arial"/>
          <w:i/>
        </w:rPr>
        <w:t>Business Research Methods</w:t>
      </w:r>
      <w:r>
        <w:rPr>
          <w:rFonts w:ascii="Arial" w:hAnsi="Arial" w:cs="Arial"/>
        </w:rPr>
        <w:t>, (Fourth Edition), Oxford: Oxford University Press.</w:t>
      </w:r>
    </w:p>
    <w:p>
      <w:pPr>
        <w:spacing w:line="360" w:lineRule="auto"/>
        <w:ind w:firstLine="360"/>
        <w:rPr>
          <w:rFonts w:ascii="Arial" w:hAnsi="Arial" w:cs="Arial"/>
        </w:rPr>
      </w:pPr>
      <w:r>
        <w:rPr>
          <w:rFonts w:ascii="Arial" w:hAnsi="Arial" w:cs="Arial"/>
        </w:rPr>
        <w:t xml:space="preserve">Bryman, A. and Bell, E. (2007), </w:t>
      </w:r>
      <w:r>
        <w:rPr>
          <w:rFonts w:ascii="Arial" w:hAnsi="Arial" w:cs="Arial"/>
          <w:i/>
        </w:rPr>
        <w:t>Business Research Methods</w:t>
      </w:r>
      <w:r>
        <w:rPr>
          <w:rFonts w:ascii="Arial" w:hAnsi="Arial" w:cs="Arial"/>
        </w:rPr>
        <w:t xml:space="preserve">, (Second Edition), Oxford: Oxford University Press. </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方正兰亭超细黑简体">
    <w:panose1 w:val="02000000000000000000"/>
    <w:charset w:val="86"/>
    <w:family w:val="auto"/>
    <w:pitch w:val="default"/>
    <w:sig w:usb0="00000001" w:usb1="08000000" w:usb2="00000000" w:usb3="00000000" w:csb0="00040000" w:csb1="00000000"/>
  </w:font>
  <w:font w:name="Calibri Light">
    <w:panose1 w:val="020F0302020204030204"/>
    <w:charset w:val="00"/>
    <w:family w:val="auto"/>
    <w:pitch w:val="default"/>
    <w:sig w:usb0="E4002EFF" w:usb1="C000247B" w:usb2="00000009" w:usb3="00000000" w:csb0="200001FF" w:csb1="00000000"/>
  </w:font>
  <w:font w:name="方正粗黑宋简体">
    <w:panose1 w:val="02000000000000000000"/>
    <w:charset w:val="86"/>
    <w:family w:val="auto"/>
    <w:pitch w:val="default"/>
    <w:sig w:usb0="A00002BF" w:usb1="184F6CFA" w:usb2="00000012" w:usb3="00000000" w:csb0="00040001" w:csb1="00000000"/>
  </w:font>
  <w:font w:name="Agency FB">
    <w:panose1 w:val="020B0503020202020204"/>
    <w:charset w:val="00"/>
    <w:family w:val="auto"/>
    <w:pitch w:val="default"/>
    <w:sig w:usb0="00000003" w:usb1="00000000" w:usb2="00000000" w:usb3="00000000" w:csb0="20000001"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3EDCC4D"/>
    <w:multiLevelType w:val="multilevel"/>
    <w:tmpl w:val="B3EDCC4D"/>
    <w:lvl w:ilvl="0" w:tentative="0">
      <w:start w:val="6"/>
      <w:numFmt w:val="decimal"/>
      <w:lvlText w:val="%1."/>
      <w:lvlJc w:val="left"/>
      <w:pPr>
        <w:tabs>
          <w:tab w:val="left" w:pos="312"/>
        </w:tabs>
      </w:pPr>
    </w:lvl>
    <w:lvl w:ilvl="1" w:tentative="0">
      <w:start w:val="1"/>
      <w:numFmt w:val="decimal"/>
      <w:lvlText w:val="%1.%2."/>
      <w:lvlJc w:val="left"/>
      <w:pPr>
        <w:tabs>
          <w:tab w:val="left" w:pos="312"/>
        </w:tabs>
        <w:ind w:left="0" w:leftChars="0" w:firstLine="0" w:firstLineChars="0"/>
      </w:pPr>
      <w:rPr>
        <w:rFonts w:hint="default"/>
      </w:rPr>
    </w:lvl>
    <w:lvl w:ilvl="2" w:tentative="0">
      <w:start w:val="1"/>
      <w:numFmt w:val="decimal"/>
      <w:lvlText w:val="%1.%2.%3."/>
      <w:lvlJc w:val="left"/>
      <w:pPr>
        <w:tabs>
          <w:tab w:val="left" w:pos="312"/>
        </w:tabs>
        <w:ind w:left="0" w:leftChars="0" w:firstLine="0" w:firstLineChars="0"/>
      </w:pPr>
      <w:rPr>
        <w:rFonts w:hint="default"/>
      </w:rPr>
    </w:lvl>
    <w:lvl w:ilvl="3" w:tentative="0">
      <w:start w:val="1"/>
      <w:numFmt w:val="decimal"/>
      <w:lvlText w:val="%1.%2.%3.%4."/>
      <w:lvlJc w:val="left"/>
      <w:pPr>
        <w:tabs>
          <w:tab w:val="left" w:pos="312"/>
        </w:tabs>
        <w:ind w:left="0" w:leftChars="0" w:firstLine="0" w:firstLineChars="0"/>
      </w:pPr>
      <w:rPr>
        <w:rFonts w:hint="default"/>
      </w:rPr>
    </w:lvl>
    <w:lvl w:ilvl="4" w:tentative="0">
      <w:start w:val="1"/>
      <w:numFmt w:val="decimal"/>
      <w:lvlText w:val="%1.%2.%3.%4.%5."/>
      <w:lvlJc w:val="left"/>
      <w:pPr>
        <w:tabs>
          <w:tab w:val="left" w:pos="312"/>
        </w:tabs>
        <w:ind w:left="0" w:leftChars="0" w:firstLine="0" w:firstLineChars="0"/>
      </w:pPr>
      <w:rPr>
        <w:rFonts w:hint="default"/>
      </w:rPr>
    </w:lvl>
    <w:lvl w:ilvl="5" w:tentative="0">
      <w:start w:val="1"/>
      <w:numFmt w:val="decimal"/>
      <w:lvlText w:val="%1.%2.%3.%4.%5.%6."/>
      <w:lvlJc w:val="left"/>
      <w:pPr>
        <w:tabs>
          <w:tab w:val="left" w:pos="312"/>
        </w:tabs>
        <w:ind w:left="0" w:leftChars="0" w:firstLine="0" w:firstLineChars="0"/>
      </w:pPr>
      <w:rPr>
        <w:rFonts w:hint="default"/>
      </w:rPr>
    </w:lvl>
    <w:lvl w:ilvl="6" w:tentative="0">
      <w:start w:val="1"/>
      <w:numFmt w:val="decimal"/>
      <w:lvlText w:val="%1.%2.%3.%4.%5.%6.%7."/>
      <w:lvlJc w:val="left"/>
      <w:pPr>
        <w:tabs>
          <w:tab w:val="left" w:pos="312"/>
        </w:tabs>
        <w:ind w:left="0" w:leftChars="0" w:firstLine="0" w:firstLineChars="0"/>
      </w:pPr>
      <w:rPr>
        <w:rFonts w:hint="default"/>
      </w:rPr>
    </w:lvl>
    <w:lvl w:ilvl="7" w:tentative="0">
      <w:start w:val="1"/>
      <w:numFmt w:val="decimal"/>
      <w:lvlText w:val="%1.%2.%3.%4.%5.%6.%7.%8."/>
      <w:lvlJc w:val="left"/>
      <w:pPr>
        <w:tabs>
          <w:tab w:val="left" w:pos="312"/>
        </w:tabs>
        <w:ind w:left="0" w:leftChars="0" w:firstLine="0" w:firstLineChars="0"/>
      </w:pPr>
      <w:rPr>
        <w:rFonts w:hint="default"/>
      </w:rPr>
    </w:lvl>
    <w:lvl w:ilvl="8" w:tentative="0">
      <w:start w:val="1"/>
      <w:numFmt w:val="decimal"/>
      <w:lvlText w:val="%1.%2.%3.%4.%5.%6.%7.%8.%9."/>
      <w:lvlJc w:val="left"/>
      <w:pPr>
        <w:tabs>
          <w:tab w:val="left" w:pos="312"/>
        </w:tabs>
        <w:ind w:left="0" w:leftChars="0" w:firstLine="0" w:firstLineChars="0"/>
      </w:pPr>
      <w:rPr>
        <w:rFonts w:hint="default"/>
      </w:rPr>
    </w:lvl>
  </w:abstractNum>
  <w:abstractNum w:abstractNumId="1">
    <w:nsid w:val="122708EA"/>
    <w:multiLevelType w:val="multilevel"/>
    <w:tmpl w:val="122708EA"/>
    <w:lvl w:ilvl="0" w:tentative="0">
      <w:start w:val="1"/>
      <w:numFmt w:val="decimal"/>
      <w:lvlText w:val="%1."/>
      <w:lvlJc w:val="left"/>
      <w:pPr>
        <w:ind w:left="720" w:hanging="360"/>
      </w:pPr>
      <w:rPr>
        <w:rFonts w:hint="default"/>
      </w:rPr>
    </w:lvl>
    <w:lvl w:ilvl="1" w:tentative="0">
      <w:start w:val="1"/>
      <w:numFmt w:val="decimal"/>
      <w:isLgl/>
      <w:lvlText w:val="%1.%2."/>
      <w:lvlJc w:val="left"/>
      <w:pPr>
        <w:ind w:left="1440" w:hanging="720"/>
      </w:pPr>
      <w:rPr>
        <w:rFonts w:hint="default"/>
      </w:rPr>
    </w:lvl>
    <w:lvl w:ilvl="2" w:tentative="0">
      <w:start w:val="1"/>
      <w:numFmt w:val="decimal"/>
      <w:isLgl/>
      <w:lvlText w:val="%1.%2.%3."/>
      <w:lvlJc w:val="left"/>
      <w:pPr>
        <w:ind w:left="1800" w:hanging="720"/>
      </w:pPr>
      <w:rPr>
        <w:rFonts w:hint="default"/>
      </w:rPr>
    </w:lvl>
    <w:lvl w:ilvl="3" w:tentative="0">
      <w:start w:val="1"/>
      <w:numFmt w:val="decimal"/>
      <w:isLgl/>
      <w:lvlText w:val="%1.%2.%3.%4."/>
      <w:lvlJc w:val="left"/>
      <w:pPr>
        <w:ind w:left="2520" w:hanging="1080"/>
      </w:pPr>
      <w:rPr>
        <w:rFonts w:hint="default"/>
      </w:rPr>
    </w:lvl>
    <w:lvl w:ilvl="4" w:tentative="0">
      <w:start w:val="1"/>
      <w:numFmt w:val="decimal"/>
      <w:isLgl/>
      <w:lvlText w:val="%1.%2.%3.%4.%5."/>
      <w:lvlJc w:val="left"/>
      <w:pPr>
        <w:ind w:left="2880" w:hanging="1080"/>
      </w:pPr>
      <w:rPr>
        <w:rFonts w:hint="default"/>
      </w:rPr>
    </w:lvl>
    <w:lvl w:ilvl="5" w:tentative="0">
      <w:start w:val="1"/>
      <w:numFmt w:val="decimal"/>
      <w:isLgl/>
      <w:lvlText w:val="%1.%2.%3.%4.%5.%6."/>
      <w:lvlJc w:val="left"/>
      <w:pPr>
        <w:ind w:left="3600" w:hanging="1440"/>
      </w:pPr>
      <w:rPr>
        <w:rFonts w:hint="default"/>
      </w:rPr>
    </w:lvl>
    <w:lvl w:ilvl="6" w:tentative="0">
      <w:start w:val="1"/>
      <w:numFmt w:val="decimal"/>
      <w:isLgl/>
      <w:lvlText w:val="%1.%2.%3.%4.%5.%6.%7."/>
      <w:lvlJc w:val="left"/>
      <w:pPr>
        <w:ind w:left="3960" w:hanging="1440"/>
      </w:pPr>
      <w:rPr>
        <w:rFonts w:hint="default"/>
      </w:rPr>
    </w:lvl>
    <w:lvl w:ilvl="7" w:tentative="0">
      <w:start w:val="1"/>
      <w:numFmt w:val="decimal"/>
      <w:isLgl/>
      <w:lvlText w:val="%1.%2.%3.%4.%5.%6.%7.%8."/>
      <w:lvlJc w:val="left"/>
      <w:pPr>
        <w:ind w:left="4680" w:hanging="1800"/>
      </w:pPr>
      <w:rPr>
        <w:rFonts w:hint="default"/>
      </w:rPr>
    </w:lvl>
    <w:lvl w:ilvl="8" w:tentative="0">
      <w:start w:val="1"/>
      <w:numFmt w:val="decimal"/>
      <w:isLgl/>
      <w:lvlText w:val="%1.%2.%3.%4.%5.%6.%7.%8.%9."/>
      <w:lvlJc w:val="left"/>
      <w:pPr>
        <w:ind w:left="5400" w:hanging="2160"/>
      </w:pPr>
      <w:rPr>
        <w:rFonts w:hint="default"/>
      </w:rPr>
    </w:lvl>
  </w:abstractNum>
  <w:abstractNum w:abstractNumId="2">
    <w:nsid w:val="26C22D13"/>
    <w:multiLevelType w:val="multilevel"/>
    <w:tmpl w:val="26C22D1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CA854DB"/>
    <w:rsid w:val="36010E43"/>
    <w:rsid w:val="409E59B7"/>
    <w:rsid w:val="4EDF2478"/>
    <w:rsid w:val="53B77325"/>
    <w:rsid w:val="5F5A528C"/>
    <w:rsid w:val="6B6B617A"/>
    <w:rsid w:val="6DF701CF"/>
    <w:rsid w:val="6EC97E5C"/>
    <w:rsid w:val="75EE42BB"/>
    <w:rsid w:val="78F407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0"/>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character" w:styleId="6">
    <w:name w:val="Hyperlink"/>
    <w:basedOn w:val="5"/>
    <w:unhideWhenUsed/>
    <w:qFormat/>
    <w:uiPriority w:val="99"/>
    <w:rPr>
      <w:color w:val="0563C1" w:themeColor="hyperlink"/>
      <w:u w:val="single"/>
      <w14:textFill>
        <w14:solidFill>
          <w14:schemeClr w14:val="hlink"/>
        </w14:solidFill>
      </w14:textFill>
    </w:rPr>
  </w:style>
  <w:style w:type="paragraph" w:styleId="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2020-11-30T14:26:24Z</dcterms:created>
  <dc:creator>Administrator</dc:creator>
  <cp:lastModifiedBy>Sunny*</cp:lastModifiedBy>
  <dcterms:modified xsi:type="dcterms:W3CDTF">2020-11-30T17:25:19Z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