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A29AF" w:rsidRDefault="00DD22D1" w:rsidP="00DD22D1">
      <w:pPr>
        <w:jc w:val="right"/>
        <w:rPr>
          <w:u w:val="single"/>
        </w:rPr>
      </w:pPr>
      <w:r>
        <w:rPr>
          <w:u w:val="single"/>
        </w:rPr>
        <w:t>Laura Jane Evans</w:t>
      </w:r>
    </w:p>
    <w:p w:rsidR="00DD22D1" w:rsidRDefault="00DD22D1" w:rsidP="00DD22D1">
      <w:pPr>
        <w:jc w:val="right"/>
        <w:rPr>
          <w:u w:val="single"/>
        </w:rPr>
      </w:pPr>
      <w:r>
        <w:rPr>
          <w:u w:val="single"/>
        </w:rPr>
        <w:t>Identity and Myth: HPHI5009</w:t>
      </w:r>
    </w:p>
    <w:p w:rsidR="00DD22D1" w:rsidRDefault="00DD22D1" w:rsidP="00DD22D1">
      <w:pPr>
        <w:jc w:val="right"/>
        <w:rPr>
          <w:u w:val="single"/>
        </w:rPr>
      </w:pPr>
      <w:r>
        <w:rPr>
          <w:u w:val="single"/>
        </w:rPr>
        <w:t>Assignment 2</w:t>
      </w:r>
    </w:p>
    <w:p w:rsidR="00DD22D1" w:rsidRDefault="00DD22D1" w:rsidP="00DD22D1"/>
    <w:p w:rsidR="00DD22D1" w:rsidRDefault="009C3ADC" w:rsidP="00DD22D1">
      <w:r>
        <w:t>What does the artwork commissioned by the Normans tell us about how they wished to be perceived?</w:t>
      </w:r>
    </w:p>
    <w:p w:rsidR="009C3ADC" w:rsidRDefault="009C3ADC" w:rsidP="00DD22D1"/>
    <w:p w:rsidR="009C3ADC" w:rsidRDefault="00121B9F" w:rsidP="00DD22D1">
      <w:r>
        <w:t xml:space="preserve">The Normans were highly perceptive when it came to </w:t>
      </w:r>
      <w:proofErr w:type="gramStart"/>
      <w:r>
        <w:t>understanding</w:t>
      </w:r>
      <w:proofErr w:type="gramEnd"/>
      <w:r>
        <w:t xml:space="preserve"> how the world viewed them. By using art as a political and religious tool, the Normans were able to control their image and use it to their advantage. They not only used this technique to legitimise their ambitions but also to discredit </w:t>
      </w:r>
      <w:r w:rsidR="00BA460C">
        <w:t xml:space="preserve">any powers that stood in their way, including the church. </w:t>
      </w:r>
      <w:r w:rsidR="008E099D">
        <w:t>In this essay I will be comparing two of the most successful and memorable kingdoms under Norman rule, England and Sicily. Not only will I be analysing the unique art found in these regions but how these kingdoms share</w:t>
      </w:r>
      <w:r w:rsidR="00B02BE4">
        <w:t>d</w:t>
      </w:r>
      <w:r w:rsidR="008E099D">
        <w:t xml:space="preserve"> a sense of insecurity of a group of individuals ruling foreign land. </w:t>
      </w:r>
    </w:p>
    <w:p w:rsidR="008E099D" w:rsidRDefault="008E099D" w:rsidP="007C697D">
      <w:r>
        <w:tab/>
      </w:r>
      <w:r w:rsidR="00817054">
        <w:t xml:space="preserve">Perhaps the most famous piece of art commissioned by the Normans </w:t>
      </w:r>
      <w:r w:rsidR="0071768B">
        <w:t xml:space="preserve">is the Bayeux Tapestry. Believed to be commissioned by the half-brother of William the Conqueror, </w:t>
      </w:r>
      <w:proofErr w:type="spellStart"/>
      <w:r w:rsidR="0071768B">
        <w:t>Odo</w:t>
      </w:r>
      <w:proofErr w:type="spellEnd"/>
      <w:r w:rsidR="0071768B">
        <w:t xml:space="preserve"> Bishop of Bayeux.</w:t>
      </w:r>
      <w:r w:rsidR="004120D7">
        <w:rPr>
          <w:rStyle w:val="FootnoteReference"/>
        </w:rPr>
        <w:footnoteReference w:id="1"/>
      </w:r>
      <w:r w:rsidR="0071768B">
        <w:t xml:space="preserve"> Dated roughly around 1049, the Bayeux Tapestry depicts the Norman invasion of England and the Norman claim to the throne.</w:t>
      </w:r>
      <w:r w:rsidR="000C6484">
        <w:rPr>
          <w:rStyle w:val="FootnoteReference"/>
        </w:rPr>
        <w:footnoteReference w:id="2"/>
      </w:r>
      <w:r w:rsidR="000C6484">
        <w:t xml:space="preserve"> </w:t>
      </w:r>
      <w:r w:rsidR="00BB2A95">
        <w:t>It is argued that the tapestry was made in south England, probably Canterbury.</w:t>
      </w:r>
      <w:r w:rsidR="00BB2A95">
        <w:rPr>
          <w:rStyle w:val="FootnoteReference"/>
        </w:rPr>
        <w:footnoteReference w:id="3"/>
      </w:r>
      <w:r w:rsidR="00BB2A95">
        <w:t xml:space="preserve"> </w:t>
      </w:r>
      <w:r w:rsidR="000C6484">
        <w:t>The Bayeux Tapestry is in fact not a tapestry but is a piece of embroidery,</w:t>
      </w:r>
      <w:r w:rsidR="000C6484">
        <w:rPr>
          <w:rStyle w:val="FootnoteReference"/>
        </w:rPr>
        <w:footnoteReference w:id="4"/>
      </w:r>
      <w:r w:rsidR="000C6484">
        <w:t xml:space="preserve"> </w:t>
      </w:r>
      <w:r w:rsidR="00845E3F">
        <w:t>leading us to believe it</w:t>
      </w:r>
      <w:r w:rsidR="00965C81">
        <w:t xml:space="preserve"> was</w:t>
      </w:r>
      <w:r w:rsidR="00845E3F">
        <w:t xml:space="preserve"> made in England as the country was renowned for its embroidery skills.</w:t>
      </w:r>
      <w:r w:rsidR="00845E3F">
        <w:rPr>
          <w:rStyle w:val="FootnoteReference"/>
        </w:rPr>
        <w:footnoteReference w:id="5"/>
      </w:r>
      <w:r w:rsidR="00B3330D">
        <w:t xml:space="preserve"> </w:t>
      </w:r>
      <w:r w:rsidR="005A1855">
        <w:t xml:space="preserve">Embracing the craft of the country suggests the Normans were quick to adapt and understood that using the native craftsmen would encourage their favour. Measuring over 200 feet in length and roughly two feet in height, it is suggested that the tapestry was to be viewed from a distance </w:t>
      </w:r>
      <w:r w:rsidR="003A792F">
        <w:t xml:space="preserve">as </w:t>
      </w:r>
      <w:r w:rsidR="005A1855">
        <w:t>if it were displayed in the nave of the Bayeux Cathedral in Normandy.</w:t>
      </w:r>
      <w:r w:rsidR="005A1855">
        <w:rPr>
          <w:rStyle w:val="FootnoteReference"/>
        </w:rPr>
        <w:footnoteReference w:id="6"/>
      </w:r>
      <w:r w:rsidR="004A2729">
        <w:t xml:space="preserve"> It is argued that the tapestry was to be hung here due to </w:t>
      </w:r>
      <w:proofErr w:type="spellStart"/>
      <w:r w:rsidR="004A2729">
        <w:t>Odo</w:t>
      </w:r>
      <w:proofErr w:type="spellEnd"/>
      <w:r w:rsidR="004A2729">
        <w:t xml:space="preserve"> featuring heavily in the tapestry itself. </w:t>
      </w:r>
      <w:r w:rsidR="007C697D">
        <w:t>In the Bayeux Tapestry the oath taken by Harold is set in the Bayeux Cathedral, this is not the case for the chronicles.</w:t>
      </w:r>
      <w:r w:rsidR="007C697D">
        <w:rPr>
          <w:rStyle w:val="FootnoteReference"/>
        </w:rPr>
        <w:footnoteReference w:id="7"/>
      </w:r>
      <w:r w:rsidR="007C697D">
        <w:t xml:space="preserve"> He is one of the most featured characters of the tapestry and is often depicted facing forward, suggesting he is a character of importance and influence.</w:t>
      </w:r>
      <w:r w:rsidR="007C697D">
        <w:rPr>
          <w:rStyle w:val="FootnoteReference"/>
        </w:rPr>
        <w:footnoteReference w:id="8"/>
      </w:r>
      <w:r w:rsidR="005A1855">
        <w:t xml:space="preserve"> </w:t>
      </w:r>
      <w:r w:rsidR="00E03FDF">
        <w:t>However, scholars are unable to agr</w:t>
      </w:r>
      <w:r w:rsidR="00965C81">
        <w:t>ee as some suggest it was to be hung in a hall,</w:t>
      </w:r>
      <w:r w:rsidR="002B0B25">
        <w:rPr>
          <w:rStyle w:val="FootnoteReference"/>
        </w:rPr>
        <w:footnoteReference w:id="9"/>
      </w:r>
      <w:r w:rsidR="00965C81">
        <w:t xml:space="preserve"> not a cathedral, for the upper elite to view as they would be aware of the finer details of the events.</w:t>
      </w:r>
      <w:r w:rsidR="00965C81">
        <w:rPr>
          <w:rStyle w:val="FootnoteReference"/>
        </w:rPr>
        <w:footnoteReference w:id="10"/>
      </w:r>
      <w:r w:rsidR="00965C81">
        <w:t xml:space="preserve"> This is supported by the ambivalent nature of the tapestry, it has a dual nature in that it clearly state</w:t>
      </w:r>
      <w:r w:rsidR="0046225C">
        <w:t>s</w:t>
      </w:r>
      <w:r w:rsidR="00965C81">
        <w:t xml:space="preserve"> Williams claim to the throne but also portrays Harold in a positive light. </w:t>
      </w:r>
      <w:r w:rsidR="00B02BE4">
        <w:t xml:space="preserve">Harold is shown facing the viewer when being crowned, this is unusual as many of the figures </w:t>
      </w:r>
      <w:r w:rsidR="00B02BE4">
        <w:lastRenderedPageBreak/>
        <w:t xml:space="preserve">depicted are </w:t>
      </w:r>
      <w:r w:rsidR="007239F5">
        <w:t>profile facing. By looking back at the viewer Harold assumes full kingly power, suggesting that Harold may have been accepted as King by the English.</w:t>
      </w:r>
      <w:r w:rsidR="007239F5">
        <w:rPr>
          <w:rStyle w:val="FootnoteReference"/>
        </w:rPr>
        <w:footnoteReference w:id="11"/>
      </w:r>
    </w:p>
    <w:p w:rsidR="00965C81" w:rsidRDefault="00965C81" w:rsidP="00DD22D1">
      <w:r>
        <w:tab/>
      </w:r>
      <w:r w:rsidR="003A792F">
        <w:t>The</w:t>
      </w:r>
      <w:r w:rsidR="00FC6D89">
        <w:t xml:space="preserve"> comet</w:t>
      </w:r>
      <w:r w:rsidR="003A792F">
        <w:t>s</w:t>
      </w:r>
      <w:r w:rsidR="00FC6D89">
        <w:t xml:space="preserve"> involvement in the events and its depiction in the tapestry is interesting. Halley’s comet is seen a few weeks after Harold is crowned the King of England and is mentioned in various primary sources but is used in the tapestry to foreshadow the invasion of England.</w:t>
      </w:r>
      <w:r w:rsidR="00FC6D89">
        <w:rPr>
          <w:rStyle w:val="FootnoteReference"/>
        </w:rPr>
        <w:footnoteReference w:id="12"/>
      </w:r>
      <w:r w:rsidR="00BA1AAC">
        <w:t xml:space="preserve"> Comets were viewed with fear and dread in the middle ages, implying Harold’s claim to the throne was the cause of England’s loss to the Normans.</w:t>
      </w:r>
      <w:r w:rsidR="00BA1AAC">
        <w:rPr>
          <w:rStyle w:val="FootnoteReference"/>
        </w:rPr>
        <w:footnoteReference w:id="13"/>
      </w:r>
      <w:r w:rsidR="00C56284">
        <w:t xml:space="preserve"> Phantom ships can be seen in the lower band of the tapestry as Harold is crowned, suggesting that the invasion was inevitable as Harold had disturbed the Christian peace through committing perjury.</w:t>
      </w:r>
      <w:r w:rsidR="00C56284">
        <w:rPr>
          <w:rStyle w:val="FootnoteReference"/>
        </w:rPr>
        <w:footnoteReference w:id="14"/>
      </w:r>
      <w:r w:rsidR="003A792F">
        <w:t xml:space="preserve"> However, we do not know why the Bayeux Tapestry was made or by whom leaving the intentions of the artist up for interpretation.</w:t>
      </w:r>
      <w:r w:rsidR="003A792F">
        <w:rPr>
          <w:rStyle w:val="FootnoteReference"/>
        </w:rPr>
        <w:footnoteReference w:id="15"/>
      </w:r>
      <w:r w:rsidR="000D2436">
        <w:t xml:space="preserve"> Does the tapestry favour the Normans or does it convey Anglo-Saxon sympathy? It is possible the tapestry was made to repair the bonds broken between the Normans and the Anglo-Saxons.</w:t>
      </w:r>
    </w:p>
    <w:p w:rsidR="00992CAF" w:rsidRDefault="002F0E4C" w:rsidP="00DD22D1">
      <w:r>
        <w:tab/>
        <w:t xml:space="preserve">The Bayeux Tapestry is unique as it is a visual narrative on the events of the Battle of Hastings and the death of Edward the Confessor. Could the Bayeux Tapestry be used as a visual aid for the illiterate in the middle ages? If we are to believe it was intended to be hung in the Bayeux Cathedral, then it is possible it was to be used in the same way as religious images are used. Pope Gregory the Great wrote in response to iconoclastic activities of Bishop </w:t>
      </w:r>
      <w:proofErr w:type="spellStart"/>
      <w:r>
        <w:t>Serenus</w:t>
      </w:r>
      <w:proofErr w:type="spellEnd"/>
      <w:r>
        <w:t xml:space="preserve"> that “What writing does for the illiterate, a picture does for the illiterate looking at it”.</w:t>
      </w:r>
      <w:r>
        <w:rPr>
          <w:rStyle w:val="FootnoteReference"/>
        </w:rPr>
        <w:footnoteReference w:id="16"/>
      </w:r>
      <w:r w:rsidR="006E6EEA">
        <w:t xml:space="preserve"> </w:t>
      </w:r>
      <w:r w:rsidR="0017452E">
        <w:t xml:space="preserve">The Bayeux Tapestry is not a religious </w:t>
      </w:r>
      <w:r w:rsidR="00C17C67">
        <w:t>source,</w:t>
      </w:r>
      <w:r w:rsidR="0017452E">
        <w:t xml:space="preserve"> but it does convey that Williams invasion of England was divine as he fought under a papal banner.</w:t>
      </w:r>
      <w:r w:rsidR="00C0163D">
        <w:t xml:space="preserve"> Perhaps the tapestry was commissioned to legitimise his invasion and to prevent further questioning of it. Duggan suggests that picture</w:t>
      </w:r>
      <w:r w:rsidR="007239F5">
        <w:t>s</w:t>
      </w:r>
      <w:r w:rsidR="00C0163D">
        <w:t xml:space="preserve"> remind people to examine themselves and to be reminded of judgement. Perhaps the tapestry is to remind the people that William is the true heir in the eyes of God and those that disagree act against God.</w:t>
      </w:r>
      <w:r w:rsidR="00C0163D">
        <w:rPr>
          <w:rStyle w:val="FootnoteReference"/>
        </w:rPr>
        <w:footnoteReference w:id="17"/>
      </w:r>
      <w:r w:rsidR="0017452E">
        <w:t xml:space="preserve">  </w:t>
      </w:r>
    </w:p>
    <w:p w:rsidR="00C17C67" w:rsidRDefault="00C17C67" w:rsidP="00DD22D1">
      <w:r>
        <w:tab/>
        <w:t>Another source that emphasises the Normans need to have a physical record of their rule is the genealogical Chronicle of the Kings of England.</w:t>
      </w:r>
      <w:r w:rsidR="00597970">
        <w:t xml:space="preserve"> There are forty chronicles of the English Kings from Edward I’s (1271) to the death of Henry V (1422).</w:t>
      </w:r>
      <w:r w:rsidR="00597970">
        <w:rPr>
          <w:rStyle w:val="FootnoteReference"/>
        </w:rPr>
        <w:footnoteReference w:id="18"/>
      </w:r>
      <w:r w:rsidR="00597970">
        <w:t xml:space="preserve"> Written in Anglo-Norman French</w:t>
      </w:r>
      <w:r w:rsidR="004975C9">
        <w:t>, the language of the English medieval aristocracy, it emphasises the scrutiny the Normans were under from the nobles.</w:t>
      </w:r>
      <w:r w:rsidR="004975C9">
        <w:rPr>
          <w:rStyle w:val="FootnoteReference"/>
        </w:rPr>
        <w:footnoteReference w:id="19"/>
      </w:r>
      <w:r w:rsidR="00C111A9">
        <w:t xml:space="preserve"> Membrane four and five of the chronicle of the English Kings shows Rollo, duke of Normandy and his descendants.</w:t>
      </w:r>
      <w:r w:rsidR="00C111A9">
        <w:rPr>
          <w:rStyle w:val="FootnoteReference"/>
        </w:rPr>
        <w:footnoteReference w:id="20"/>
      </w:r>
      <w:r w:rsidR="002C7BC4">
        <w:t xml:space="preserve"> Perhaps this was done in an effort to show that William the Conqueror was of royal blood and not a barbaric usurper. </w:t>
      </w:r>
      <w:r w:rsidR="007239F5">
        <w:t>This also acts as a piece of history that changes the view of Rollo. No longer is he a Viking barbarian but a beginning to a royal bloodline that has influenced England.</w:t>
      </w:r>
    </w:p>
    <w:p w:rsidR="002C7BC4" w:rsidRDefault="002C7BC4" w:rsidP="00DD22D1">
      <w:r>
        <w:lastRenderedPageBreak/>
        <w:tab/>
        <w:t>In Sicily, the same insecurities are reflected in the religious buildings. William the Conqueror was famous for his castle building in England and in Sicily it is the magnificent churches and Palaces that keep the legacy of the Normans</w:t>
      </w:r>
      <w:r w:rsidR="00F641CD">
        <w:t xml:space="preserve"> alive</w:t>
      </w:r>
      <w:r>
        <w:t>. Although Sicily is believed to have been even more prosperous than the invasion of England</w:t>
      </w:r>
      <w:r w:rsidR="00CA293F">
        <w:t>, it took in total thirty years to conquer Sicily and only a few months to conquer England.</w:t>
      </w:r>
      <w:r w:rsidR="00CA293F">
        <w:rPr>
          <w:rStyle w:val="FootnoteReference"/>
        </w:rPr>
        <w:footnoteReference w:id="21"/>
      </w:r>
      <w:r w:rsidR="00CA293F">
        <w:t xml:space="preserve"> </w:t>
      </w:r>
      <w:r w:rsidR="00F641CD">
        <w:t>William was crowned on Christmas day 1066, only three months after the invasion.</w:t>
      </w:r>
      <w:r w:rsidR="00F641CD">
        <w:rPr>
          <w:rStyle w:val="FootnoteReference"/>
        </w:rPr>
        <w:footnoteReference w:id="22"/>
      </w:r>
      <w:r w:rsidR="00F641CD">
        <w:t xml:space="preserve"> However, this did not prevent Count Roger from being buried in the same fashion as kings. Count Roger was buried in an ancient Roman sarcophagus covered by a canopy of porphyry, a red stone reserved for royalty and Byzantine rulers.</w:t>
      </w:r>
      <w:r w:rsidR="00F641CD">
        <w:rPr>
          <w:rStyle w:val="FootnoteReference"/>
        </w:rPr>
        <w:footnoteReference w:id="23"/>
      </w:r>
      <w:r w:rsidR="00F641CD">
        <w:t xml:space="preserve"> </w:t>
      </w:r>
      <w:r w:rsidR="002539BF">
        <w:t>This shows that Count Roger shared the same status as Kings even though it wasn’t until 1130 that Roger II, his son, is crowned King of Sicily.</w:t>
      </w:r>
      <w:r w:rsidR="002539BF">
        <w:rPr>
          <w:rStyle w:val="FootnoteReference"/>
        </w:rPr>
        <w:footnoteReference w:id="24"/>
      </w:r>
    </w:p>
    <w:p w:rsidR="002539BF" w:rsidRDefault="002539BF" w:rsidP="00DD22D1">
      <w:r>
        <w:tab/>
        <w:t xml:space="preserve">Roger II shared the same ambitions as his father when it came to embodying emperors of old. On his coronation, </w:t>
      </w:r>
      <w:proofErr w:type="spellStart"/>
      <w:r>
        <w:t>Telese</w:t>
      </w:r>
      <w:proofErr w:type="spellEnd"/>
      <w:r>
        <w:t xml:space="preserve"> had this to say, “impossible to describe just how glorious he looked, how regal in dignity, how splendid in his richly decorated robes”.</w:t>
      </w:r>
      <w:r>
        <w:rPr>
          <w:rStyle w:val="FootnoteReference"/>
        </w:rPr>
        <w:footnoteReference w:id="25"/>
      </w:r>
      <w:r>
        <w:t xml:space="preserve"> </w:t>
      </w:r>
      <w:r w:rsidR="00412246">
        <w:t xml:space="preserve"> </w:t>
      </w:r>
      <w:r w:rsidR="00AD5264">
        <w:t xml:space="preserve">Roger II is dressed in similar fashion in the mosaic found in </w:t>
      </w:r>
      <w:proofErr w:type="spellStart"/>
      <w:r w:rsidR="00AD5264">
        <w:t>Martorana</w:t>
      </w:r>
      <w:proofErr w:type="spellEnd"/>
      <w:r w:rsidR="00AD5264">
        <w:t>, built by George of Antioch in dedication to the Virgin Mary.</w:t>
      </w:r>
      <w:r w:rsidR="00AD5264">
        <w:rPr>
          <w:rStyle w:val="FootnoteReference"/>
        </w:rPr>
        <w:footnoteReference w:id="26"/>
      </w:r>
      <w:r w:rsidR="00AD5264">
        <w:t xml:space="preserve"> Roger </w:t>
      </w:r>
      <w:r w:rsidR="007239F5">
        <w:t xml:space="preserve">II </w:t>
      </w:r>
      <w:r w:rsidR="00AD5264">
        <w:t>is seen being crowned by Jesus Christ, dressed in the traditional costume of Byzantine emperors while the second mosaic shows George</w:t>
      </w:r>
      <w:r w:rsidR="007239F5">
        <w:t xml:space="preserve"> of Antioch</w:t>
      </w:r>
      <w:r w:rsidR="00AD5264">
        <w:t xml:space="preserve"> prostrate before the Virgin Mary.</w:t>
      </w:r>
      <w:r w:rsidR="00AD5264">
        <w:rPr>
          <w:rStyle w:val="FootnoteReference"/>
        </w:rPr>
        <w:footnoteReference w:id="27"/>
      </w:r>
      <w:r w:rsidR="00122767">
        <w:t xml:space="preserve"> </w:t>
      </w:r>
      <w:r w:rsidR="007F01D4">
        <w:t>When building his palace and chapel at Palermo, Roger</w:t>
      </w:r>
      <w:r w:rsidR="007239F5">
        <w:t xml:space="preserve"> II</w:t>
      </w:r>
      <w:r w:rsidR="007F01D4">
        <w:t xml:space="preserve"> used the same idea as </w:t>
      </w:r>
      <w:r w:rsidR="007239F5">
        <w:t>the Normans in England</w:t>
      </w:r>
      <w:r w:rsidR="007F01D4">
        <w:t xml:space="preserve"> and used local craftsmen. Roger employed both Byzantine and Islamic artists to design his palace, creating a regal</w:t>
      </w:r>
      <w:r w:rsidR="0046519F">
        <w:t xml:space="preserve"> </w:t>
      </w:r>
      <w:r w:rsidR="007F01D4">
        <w:t>atmosphere.</w:t>
      </w:r>
      <w:r w:rsidR="007F01D4">
        <w:rPr>
          <w:rStyle w:val="FootnoteReference"/>
        </w:rPr>
        <w:footnoteReference w:id="28"/>
      </w:r>
      <w:r w:rsidR="0046519F">
        <w:t xml:space="preserve"> </w:t>
      </w:r>
    </w:p>
    <w:p w:rsidR="005D3E7C" w:rsidRDefault="0046519F" w:rsidP="00DD22D1">
      <w:r>
        <w:tab/>
      </w:r>
      <w:r w:rsidR="00595E65">
        <w:t>There are two churches of note that show the complicated dynamics of Norman influence and traditional craftsmanship.</w:t>
      </w:r>
      <w:r w:rsidR="00595E65">
        <w:rPr>
          <w:rStyle w:val="FootnoteReference"/>
        </w:rPr>
        <w:footnoteReference w:id="29"/>
      </w:r>
      <w:r w:rsidR="00595E65">
        <w:t xml:space="preserve"> The Cappella </w:t>
      </w:r>
      <w:proofErr w:type="spellStart"/>
      <w:r w:rsidR="00595E65">
        <w:t>Palatina</w:t>
      </w:r>
      <w:proofErr w:type="spellEnd"/>
      <w:r w:rsidR="00595E65">
        <w:t xml:space="preserve"> (Palatine Chapel) which is dedicated to St. Peter,</w:t>
      </w:r>
      <w:r w:rsidR="00595E65">
        <w:rPr>
          <w:rStyle w:val="FootnoteReference"/>
        </w:rPr>
        <w:footnoteReference w:id="30"/>
      </w:r>
      <w:r w:rsidR="00595E65">
        <w:t xml:space="preserve"> and the </w:t>
      </w:r>
      <w:proofErr w:type="spellStart"/>
      <w:r w:rsidR="00595E65">
        <w:t>Martotana</w:t>
      </w:r>
      <w:proofErr w:type="spellEnd"/>
      <w:r w:rsidR="00595E65">
        <w:t xml:space="preserve"> or St. Mary’s of the Admiral.</w:t>
      </w:r>
      <w:r w:rsidR="00595E65">
        <w:rPr>
          <w:rStyle w:val="FootnoteReference"/>
        </w:rPr>
        <w:footnoteReference w:id="31"/>
      </w:r>
      <w:r w:rsidR="00595E65">
        <w:t xml:space="preserve"> The Cappella </w:t>
      </w:r>
      <w:proofErr w:type="spellStart"/>
      <w:r w:rsidR="00595E65">
        <w:t>Palatina</w:t>
      </w:r>
      <w:proofErr w:type="spellEnd"/>
      <w:r w:rsidR="00595E65">
        <w:t xml:space="preserve"> is built on the first floor of the palace and acted as Roger</w:t>
      </w:r>
      <w:r w:rsidR="007239F5">
        <w:t xml:space="preserve"> II</w:t>
      </w:r>
      <w:r w:rsidR="00595E65">
        <w:t xml:space="preserve"> personal </w:t>
      </w:r>
      <w:r w:rsidR="0046225C">
        <w:t>chapel</w:t>
      </w:r>
      <w:r w:rsidR="00595E65">
        <w:t xml:space="preserve">. The floor is made of marble with intricate geometric patterns. The ceiling is carved out of wood, a speciality of Arab </w:t>
      </w:r>
      <w:r w:rsidR="00C97830">
        <w:t>craftsmanship</w:t>
      </w:r>
      <w:r w:rsidR="00595E65">
        <w:t xml:space="preserve">. </w:t>
      </w:r>
      <w:r w:rsidR="00C97830">
        <w:t xml:space="preserve">The Arab influence is carried on in depictions of Arab life, from Persian and Indian legend. Behind the alter in the main apse there is a giant figure of Christ </w:t>
      </w:r>
      <w:proofErr w:type="spellStart"/>
      <w:r w:rsidR="00C97830">
        <w:t>Pantocrator</w:t>
      </w:r>
      <w:proofErr w:type="spellEnd"/>
      <w:r w:rsidR="00C97830">
        <w:t>. This image is repeated accompanied by Archangels Raphael, Michael, Gabriel and Uriel.</w:t>
      </w:r>
      <w:r w:rsidR="00C97830">
        <w:rPr>
          <w:rStyle w:val="FootnoteReference"/>
        </w:rPr>
        <w:footnoteReference w:id="32"/>
      </w:r>
      <w:r w:rsidR="001621C2">
        <w:t xml:space="preserve"> </w:t>
      </w:r>
    </w:p>
    <w:p w:rsidR="0046519F" w:rsidRDefault="007239F5" w:rsidP="005D3E7C">
      <w:pPr>
        <w:ind w:firstLine="720"/>
      </w:pPr>
      <w:r>
        <w:t>B</w:t>
      </w:r>
      <w:r w:rsidR="001621C2">
        <w:t xml:space="preserve">uilt in the same period, the </w:t>
      </w:r>
      <w:proofErr w:type="spellStart"/>
      <w:r w:rsidR="001621C2">
        <w:t>Martotana</w:t>
      </w:r>
      <w:proofErr w:type="spellEnd"/>
      <w:r w:rsidR="001621C2">
        <w:t xml:space="preserve"> is made with similar influences.</w:t>
      </w:r>
      <w:r w:rsidR="00EA6CB3">
        <w:t xml:space="preserve"> In the mosaic where Roger II is crowned, he is looking directly at the viewer. In Byzantine art frontality, the figure looking directly out, was reserved for sacred figures and was a depiction of imperial power.</w:t>
      </w:r>
      <w:r w:rsidR="00EA6CB3">
        <w:rPr>
          <w:rStyle w:val="FootnoteReference"/>
        </w:rPr>
        <w:footnoteReference w:id="33"/>
      </w:r>
      <w:r w:rsidR="00EA6CB3">
        <w:t xml:space="preserve"> Christ while crowning Roger II is in profile, symbolic of action, and Roger II is front facing which is sacred.</w:t>
      </w:r>
      <w:r w:rsidR="00EA6CB3">
        <w:rPr>
          <w:rStyle w:val="FootnoteReference"/>
        </w:rPr>
        <w:footnoteReference w:id="34"/>
      </w:r>
      <w:r w:rsidR="001621C2">
        <w:t xml:space="preserve"> </w:t>
      </w:r>
      <w:r w:rsidR="00EA6CB3">
        <w:t xml:space="preserve">If we are to again look at these images as books for the illiterate, there is a clear message that the Normans regarded their rule as an act of God and divine.  </w:t>
      </w:r>
      <w:r w:rsidR="001621C2">
        <w:t xml:space="preserve">The mosaics found in Norman Sicily indicate how the Normans were able to adapt and absorb the culture to suit them and to emphasise </w:t>
      </w:r>
      <w:r w:rsidR="001621C2">
        <w:lastRenderedPageBreak/>
        <w:t>their importance. The medium is undoubtedly associated with the Normans and their aspirations to see themselves as the heirs to Byzantium.</w:t>
      </w:r>
      <w:r w:rsidR="001621C2">
        <w:rPr>
          <w:rStyle w:val="FootnoteReference"/>
        </w:rPr>
        <w:footnoteReference w:id="35"/>
      </w:r>
    </w:p>
    <w:p w:rsidR="00C97830" w:rsidRDefault="00C97830" w:rsidP="00DD22D1">
      <w:r>
        <w:tab/>
      </w:r>
      <w:r w:rsidR="00B02BE4">
        <w:t>Roger</w:t>
      </w:r>
      <w:r w:rsidR="004D1827">
        <w:t xml:space="preserve"> II</w:t>
      </w:r>
      <w:r w:rsidR="00B02BE4">
        <w:t xml:space="preserve"> also encouraged the exploration of science and the discovery of the outside world.</w:t>
      </w:r>
      <w:r w:rsidR="004D1827">
        <w:t xml:space="preserve"> He commissioned the Book of Roger which was created by the Arab scholar Muhammed al-</w:t>
      </w:r>
      <w:proofErr w:type="spellStart"/>
      <w:r w:rsidR="004D1827">
        <w:t>Edrisi</w:t>
      </w:r>
      <w:proofErr w:type="spellEnd"/>
      <w:r w:rsidR="004D1827">
        <w:t xml:space="preserve"> which was published in 1154. </w:t>
      </w:r>
      <w:r w:rsidR="004D1827">
        <w:rPr>
          <w:rStyle w:val="FootnoteReference"/>
        </w:rPr>
        <w:footnoteReference w:id="36"/>
      </w:r>
      <w:r w:rsidR="00B02BE4">
        <w:t xml:space="preserve"> </w:t>
      </w:r>
      <w:r w:rsidR="004D1827">
        <w:t>It took in total 15 years to complete and was considered at the time the most advanced mapping of the known world.</w:t>
      </w:r>
      <w:r w:rsidR="004D1827">
        <w:rPr>
          <w:rStyle w:val="FootnoteReference"/>
        </w:rPr>
        <w:footnoteReference w:id="37"/>
      </w:r>
      <w:r w:rsidR="004D1827">
        <w:t xml:space="preserve"> Roger II may have commissioned this book to be an example of how progressive Sicily was in comparison to its neighbours. By mapping the known world, it was an example of the resources and knowledge Sicily had acquired and the omnipotent power of its Kings. </w:t>
      </w:r>
    </w:p>
    <w:p w:rsidR="004D1827" w:rsidRDefault="004D1827" w:rsidP="00DD22D1">
      <w:r>
        <w:tab/>
      </w:r>
      <w:proofErr w:type="gramStart"/>
      <w:r>
        <w:t>In regards to</w:t>
      </w:r>
      <w:proofErr w:type="gramEnd"/>
      <w:r>
        <w:t xml:space="preserve"> the iconoclastic actions of Bishop </w:t>
      </w:r>
      <w:proofErr w:type="spellStart"/>
      <w:r>
        <w:t>Serenus</w:t>
      </w:r>
      <w:proofErr w:type="spellEnd"/>
      <w:r>
        <w:t>, are the images created by the Normans in Sicily taking advantage of religious depictions and their use in a religious setting? Duggan explored the idea of images showing a false image, leading people to follow the wrong icon.</w:t>
      </w:r>
      <w:r>
        <w:rPr>
          <w:rStyle w:val="FootnoteReference"/>
        </w:rPr>
        <w:footnoteReference w:id="38"/>
      </w:r>
      <w:r w:rsidR="00044DD0">
        <w:t xml:space="preserve"> If religious images are only used to teach then the Norman Kings of Sicily were blatantly taking liberties with the depictions of their coronations. William II, the grandson of Roger II, was influenced by these mosaics and have also depicted himself being crowned by Jesus. Is this to emphasis that he was the rightful ruler? Sicily had yet to have a King as successful as Roger II so perhaps William II wished to associate himself with his grandfather. This sense of falsehood can also be said for the Bayeux Tapestry. It is riddled with subverted messages in favour or sympathy for the Anglo-Saxons. </w:t>
      </w:r>
    </w:p>
    <w:p w:rsidR="009456F2" w:rsidRDefault="009456F2" w:rsidP="00DD22D1">
      <w:r>
        <w:tab/>
        <w:t xml:space="preserve">The Norman expansion shares similarities with the ambitions and propaganda produced by other empires such as the British Empire and the Roman Empire. It is no surprise that the Roman Emperors produced so many statues depicting them in the same light as the gods, for Sicily they were to do this in the medium of mosaics. Not only did mosaics have connections to antiquity but also proved to be impressive displays of their power and grandeur. For the British Empire it appears the anxiety of tracing their lineage back to antiquity is still present even today. Queen Victoria wished to associate her reign and power with that of Boudica, even going as far as having a statue made in her image. However, with the assimilation of the Anglo-Saxon culture it is difficult to define what is English and that has not been influenced by the Normans. </w:t>
      </w:r>
    </w:p>
    <w:p w:rsidR="009456F2" w:rsidRDefault="009456F2" w:rsidP="00DD22D1">
      <w:r>
        <w:tab/>
        <w:t>Overall, I think the Normans not only used art to manipulate their image but as a tool to engage with the cultures in which they now ruled. It is difficult to outline what makes a Norman, since they are a group of people who have had to make their own nationality and identity.</w:t>
      </w:r>
      <w:r w:rsidR="0087070F">
        <w:t xml:space="preserve"> It could be argued that the Norman identity does not exist. The art discussed is influenced by Normans but does not have a distinct Norman style. It is through the cultures they </w:t>
      </w:r>
      <w:proofErr w:type="gramStart"/>
      <w:r w:rsidR="0087070F">
        <w:t>come into contact with</w:t>
      </w:r>
      <w:proofErr w:type="gramEnd"/>
      <w:r w:rsidR="0087070F">
        <w:t xml:space="preserve"> do they develop their image. It is through the ambitions of individual Norman rulers that we see a development of art, which coincides with aggressive expansion. With the invasion of Sicily do we see a change in mosaics and similarly with the invasion of England. </w:t>
      </w:r>
    </w:p>
    <w:p w:rsidR="0087070F" w:rsidRDefault="0087070F" w:rsidP="00DD22D1"/>
    <w:p w:rsidR="0087070F" w:rsidRDefault="0087070F" w:rsidP="0087070F">
      <w:r>
        <w:rPr>
          <w:b/>
        </w:rPr>
        <w:t xml:space="preserve">Bibliography </w:t>
      </w:r>
    </w:p>
    <w:p w:rsidR="0087070F" w:rsidRDefault="0087070F" w:rsidP="0087070F">
      <w:pPr>
        <w:pStyle w:val="ListParagraph"/>
        <w:numPr>
          <w:ilvl w:val="0"/>
          <w:numId w:val="2"/>
        </w:numPr>
      </w:pPr>
      <w:r>
        <w:lastRenderedPageBreak/>
        <w:t xml:space="preserve">Bloc, R. ‘Frontality: The Imperial Look </w:t>
      </w:r>
      <w:proofErr w:type="gramStart"/>
      <w:r>
        <w:t>From</w:t>
      </w:r>
      <w:proofErr w:type="gramEnd"/>
      <w:r>
        <w:t xml:space="preserve"> Christ The </w:t>
      </w:r>
      <w:proofErr w:type="spellStart"/>
      <w:r>
        <w:t>Pantocrator</w:t>
      </w:r>
      <w:proofErr w:type="spellEnd"/>
      <w:r>
        <w:t xml:space="preserve"> To The Napoleon Bonaparte’, </w:t>
      </w:r>
      <w:r>
        <w:rPr>
          <w:i/>
        </w:rPr>
        <w:t xml:space="preserve">French Issue Supplement: The Long Shadow Of Political Theology, </w:t>
      </w:r>
      <w:r>
        <w:t xml:space="preserve">126(4) (2011), pp. 44-59. </w:t>
      </w:r>
    </w:p>
    <w:p w:rsidR="0087070F" w:rsidRDefault="0087070F" w:rsidP="0087070F">
      <w:pPr>
        <w:pStyle w:val="ListParagraph"/>
        <w:numPr>
          <w:ilvl w:val="0"/>
          <w:numId w:val="2"/>
        </w:numPr>
      </w:pPr>
      <w:r>
        <w:t xml:space="preserve">Cormack, R. </w:t>
      </w:r>
      <w:r>
        <w:rPr>
          <w:i/>
        </w:rPr>
        <w:t xml:space="preserve">Byzantine Art. </w:t>
      </w:r>
      <w:r>
        <w:t xml:space="preserve">Oxford: Oxford University Press, (2000). </w:t>
      </w:r>
    </w:p>
    <w:p w:rsidR="0087070F" w:rsidRDefault="0087070F" w:rsidP="0087070F">
      <w:pPr>
        <w:pStyle w:val="ListParagraph"/>
        <w:numPr>
          <w:ilvl w:val="0"/>
          <w:numId w:val="2"/>
        </w:numPr>
      </w:pPr>
      <w:r>
        <w:t xml:space="preserve">Duggan, Lawrence G. ‘Was Art Really The “Book </w:t>
      </w:r>
      <w:proofErr w:type="gramStart"/>
      <w:r>
        <w:t>Of</w:t>
      </w:r>
      <w:proofErr w:type="gramEnd"/>
      <w:r>
        <w:t xml:space="preserve"> The Illiterate”?’, in </w:t>
      </w:r>
      <w:proofErr w:type="spellStart"/>
      <w:r>
        <w:t>Hademan</w:t>
      </w:r>
      <w:proofErr w:type="spellEnd"/>
      <w:r>
        <w:t xml:space="preserve">, M. and Mostert, M. </w:t>
      </w:r>
      <w:r>
        <w:rPr>
          <w:i/>
        </w:rPr>
        <w:t>Reading Images and Texts</w:t>
      </w:r>
      <w:r>
        <w:t xml:space="preserve"> (Belgium: </w:t>
      </w:r>
      <w:proofErr w:type="spellStart"/>
      <w:r>
        <w:t>Brepols</w:t>
      </w:r>
      <w:proofErr w:type="spellEnd"/>
      <w:r>
        <w:t xml:space="preserve"> Publisher, 2005).</w:t>
      </w:r>
    </w:p>
    <w:p w:rsidR="000B5341" w:rsidRDefault="0087070F" w:rsidP="0087070F">
      <w:pPr>
        <w:pStyle w:val="ListParagraph"/>
        <w:numPr>
          <w:ilvl w:val="0"/>
          <w:numId w:val="2"/>
        </w:numPr>
      </w:pPr>
      <w:proofErr w:type="spellStart"/>
      <w:r>
        <w:t>Dummett</w:t>
      </w:r>
      <w:proofErr w:type="spellEnd"/>
      <w:r>
        <w:t xml:space="preserve">, J. </w:t>
      </w:r>
      <w:r>
        <w:rPr>
          <w:i/>
        </w:rPr>
        <w:t xml:space="preserve">Palermo, City </w:t>
      </w:r>
      <w:proofErr w:type="gramStart"/>
      <w:r>
        <w:rPr>
          <w:i/>
        </w:rPr>
        <w:t>Of</w:t>
      </w:r>
      <w:proofErr w:type="gramEnd"/>
      <w:r>
        <w:rPr>
          <w:i/>
        </w:rPr>
        <w:t xml:space="preserve"> Kings: The Heart Of Sicily. </w:t>
      </w:r>
      <w:r>
        <w:t>London: I.B. Tauris, (2015).</w:t>
      </w:r>
    </w:p>
    <w:p w:rsidR="0087070F" w:rsidRDefault="0087070F" w:rsidP="0087070F">
      <w:pPr>
        <w:pStyle w:val="ListParagraph"/>
        <w:numPr>
          <w:ilvl w:val="0"/>
          <w:numId w:val="2"/>
        </w:numPr>
      </w:pPr>
      <w:r>
        <w:t xml:space="preserve"> </w:t>
      </w:r>
      <w:proofErr w:type="spellStart"/>
      <w:r w:rsidR="000B5341" w:rsidRPr="000B5341">
        <w:t>Europeana</w:t>
      </w:r>
      <w:proofErr w:type="spellEnd"/>
      <w:r w:rsidR="000B5341" w:rsidRPr="000B5341">
        <w:t xml:space="preserve"> Collections, </w:t>
      </w:r>
      <w:r w:rsidR="000B5341" w:rsidRPr="000B5341">
        <w:rPr>
          <w:i/>
        </w:rPr>
        <w:t>Rollo And His Descendants.</w:t>
      </w:r>
      <w:r w:rsidR="000B5341" w:rsidRPr="000B5341">
        <w:t xml:space="preserve"> &lt; https://www.europeana.eu/portal/en/record/9200397/BibliographicResource_3000126272984.html?q=duke+rollo+&gt; [Accessed 16th November 2018].</w:t>
      </w:r>
    </w:p>
    <w:p w:rsidR="0087070F" w:rsidRDefault="0087070F" w:rsidP="0087070F">
      <w:pPr>
        <w:pStyle w:val="ListParagraph"/>
        <w:numPr>
          <w:ilvl w:val="0"/>
          <w:numId w:val="2"/>
        </w:numPr>
      </w:pPr>
      <w:r>
        <w:t xml:space="preserve">Lesley, A. L. ‘The Bayeux Tapestry’, in Lindley, P. </w:t>
      </w:r>
      <w:r>
        <w:rPr>
          <w:i/>
        </w:rPr>
        <w:t>Making Medieval Ar</w:t>
      </w:r>
      <w:r w:rsidR="000B5341">
        <w:rPr>
          <w:i/>
        </w:rPr>
        <w:t xml:space="preserve">t </w:t>
      </w:r>
      <w:r w:rsidR="000B5341">
        <w:t>(</w:t>
      </w:r>
      <w:proofErr w:type="spellStart"/>
      <w:r w:rsidR="000B5341">
        <w:t>Donington</w:t>
      </w:r>
      <w:proofErr w:type="spellEnd"/>
      <w:r w:rsidR="000B5341">
        <w:t xml:space="preserve">: Shaun </w:t>
      </w:r>
      <w:proofErr w:type="spellStart"/>
      <w:r w:rsidR="000B5341">
        <w:t>Tyas</w:t>
      </w:r>
      <w:proofErr w:type="spellEnd"/>
      <w:r w:rsidR="000B5341">
        <w:t>, 2003).</w:t>
      </w:r>
    </w:p>
    <w:p w:rsidR="000B5341" w:rsidRDefault="000B5341" w:rsidP="0087070F">
      <w:pPr>
        <w:pStyle w:val="ListParagraph"/>
        <w:numPr>
          <w:ilvl w:val="0"/>
          <w:numId w:val="2"/>
        </w:numPr>
      </w:pPr>
      <w:proofErr w:type="spellStart"/>
      <w:r>
        <w:t>Noxon</w:t>
      </w:r>
      <w:proofErr w:type="spellEnd"/>
      <w:r>
        <w:t xml:space="preserve">, G&gt; ‘The Bayeux Tapestry’, </w:t>
      </w:r>
      <w:r>
        <w:rPr>
          <w:i/>
        </w:rPr>
        <w:t xml:space="preserve">Cinema Journal, </w:t>
      </w:r>
      <w:r>
        <w:t>7 (1968), pp. 29-35.</w:t>
      </w:r>
    </w:p>
    <w:p w:rsidR="000B5341" w:rsidRPr="0087070F" w:rsidRDefault="000B5341" w:rsidP="0087070F">
      <w:pPr>
        <w:pStyle w:val="ListParagraph"/>
        <w:numPr>
          <w:ilvl w:val="0"/>
          <w:numId w:val="2"/>
        </w:numPr>
      </w:pPr>
      <w:r>
        <w:t xml:space="preserve">The British Library, </w:t>
      </w:r>
      <w:r w:rsidRPr="000B5341">
        <w:rPr>
          <w:i/>
        </w:rPr>
        <w:t xml:space="preserve">The Chronicles </w:t>
      </w:r>
      <w:proofErr w:type="gramStart"/>
      <w:r w:rsidRPr="000B5341">
        <w:rPr>
          <w:i/>
        </w:rPr>
        <w:t>Of</w:t>
      </w:r>
      <w:proofErr w:type="gramEnd"/>
      <w:r w:rsidRPr="000B5341">
        <w:rPr>
          <w:i/>
        </w:rPr>
        <w:t xml:space="preserve"> The English Kings.</w:t>
      </w:r>
      <w:r w:rsidRPr="000B5341">
        <w:t xml:space="preserve"> &lt; https://www.bl.uk/collection-items/genealogical-chronicle-of-the-english-kings&gt; [Accessed 16th November 2018].</w:t>
      </w:r>
    </w:p>
    <w:p w:rsidR="00044DD0" w:rsidRPr="00DD22D1" w:rsidRDefault="00044DD0" w:rsidP="00DD22D1">
      <w:r>
        <w:tab/>
      </w:r>
      <w:bookmarkStart w:id="3" w:name="_GoBack"/>
      <w:bookmarkEnd w:id="3"/>
    </w:p>
    <w:sectPr w:rsidR="00044DD0" w:rsidRPr="00DD22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018F7" w:rsidRDefault="00F018F7" w:rsidP="004120D7">
      <w:pPr>
        <w:spacing w:after="0" w:line="240" w:lineRule="auto"/>
      </w:pPr>
      <w:r>
        <w:separator/>
      </w:r>
    </w:p>
  </w:endnote>
  <w:endnote w:type="continuationSeparator" w:id="0">
    <w:p w:rsidR="00F018F7" w:rsidRDefault="00F018F7" w:rsidP="004120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018F7" w:rsidRDefault="00F018F7" w:rsidP="004120D7">
      <w:pPr>
        <w:spacing w:after="0" w:line="240" w:lineRule="auto"/>
      </w:pPr>
      <w:r>
        <w:separator/>
      </w:r>
    </w:p>
  </w:footnote>
  <w:footnote w:type="continuationSeparator" w:id="0">
    <w:p w:rsidR="00F018F7" w:rsidRDefault="00F018F7" w:rsidP="004120D7">
      <w:pPr>
        <w:spacing w:after="0" w:line="240" w:lineRule="auto"/>
      </w:pPr>
      <w:r>
        <w:continuationSeparator/>
      </w:r>
    </w:p>
  </w:footnote>
  <w:footnote w:id="1">
    <w:p w:rsidR="004A2729" w:rsidRPr="004120D7" w:rsidRDefault="004A2729">
      <w:pPr>
        <w:pStyle w:val="FootnoteText"/>
      </w:pPr>
      <w:r>
        <w:rPr>
          <w:rStyle w:val="FootnoteReference"/>
        </w:rPr>
        <w:footnoteRef/>
      </w:r>
      <w:r>
        <w:t xml:space="preserve"> Lesley A. Ling, ‘The Bayeux Tapestry’, in </w:t>
      </w:r>
      <w:r>
        <w:rPr>
          <w:i/>
        </w:rPr>
        <w:t xml:space="preserve">Making Medieval Art. </w:t>
      </w:r>
      <w:r>
        <w:t>By Phillip Lindley (</w:t>
      </w:r>
      <w:proofErr w:type="spellStart"/>
      <w:r>
        <w:t>Donington</w:t>
      </w:r>
      <w:proofErr w:type="spellEnd"/>
      <w:r>
        <w:t xml:space="preserve">: Shaun </w:t>
      </w:r>
      <w:proofErr w:type="spellStart"/>
      <w:r>
        <w:t>Tyas</w:t>
      </w:r>
      <w:proofErr w:type="spellEnd"/>
      <w:r>
        <w:t>, 2003), pp 104-119, (p. 106).</w:t>
      </w:r>
    </w:p>
  </w:footnote>
  <w:footnote w:id="2">
    <w:p w:rsidR="004A2729" w:rsidRDefault="004A2729">
      <w:pPr>
        <w:pStyle w:val="FootnoteText"/>
      </w:pPr>
      <w:r>
        <w:rPr>
          <w:rStyle w:val="FootnoteReference"/>
        </w:rPr>
        <w:footnoteRef/>
      </w:r>
      <w:r>
        <w:t xml:space="preserve"> Lesley, p. 106.</w:t>
      </w:r>
    </w:p>
  </w:footnote>
  <w:footnote w:id="3">
    <w:p w:rsidR="004A2729" w:rsidRDefault="004A2729">
      <w:pPr>
        <w:pStyle w:val="FootnoteText"/>
      </w:pPr>
      <w:r>
        <w:rPr>
          <w:rStyle w:val="FootnoteReference"/>
        </w:rPr>
        <w:footnoteRef/>
      </w:r>
      <w:r>
        <w:t xml:space="preserve"> Ibid.</w:t>
      </w:r>
    </w:p>
  </w:footnote>
  <w:footnote w:id="4">
    <w:p w:rsidR="004A2729" w:rsidRPr="000C6484" w:rsidRDefault="004A2729">
      <w:pPr>
        <w:pStyle w:val="FootnoteText"/>
      </w:pPr>
      <w:r>
        <w:rPr>
          <w:rStyle w:val="FootnoteReference"/>
        </w:rPr>
        <w:footnoteRef/>
      </w:r>
      <w:r>
        <w:t xml:space="preserve"> Gerald </w:t>
      </w:r>
      <w:proofErr w:type="spellStart"/>
      <w:r>
        <w:t>Noxon</w:t>
      </w:r>
      <w:proofErr w:type="spellEnd"/>
      <w:r>
        <w:t xml:space="preserve">, ‘The Bayeux Tapestry’, </w:t>
      </w:r>
      <w:r>
        <w:rPr>
          <w:i/>
        </w:rPr>
        <w:t xml:space="preserve">Cinema Journal, </w:t>
      </w:r>
      <w:r>
        <w:t>7 (1968), 29-35 (p.29).</w:t>
      </w:r>
    </w:p>
  </w:footnote>
  <w:footnote w:id="5">
    <w:p w:rsidR="004A2729" w:rsidRDefault="004A2729">
      <w:pPr>
        <w:pStyle w:val="FootnoteText"/>
      </w:pPr>
      <w:r>
        <w:rPr>
          <w:rStyle w:val="FootnoteReference"/>
        </w:rPr>
        <w:footnoteRef/>
      </w:r>
      <w:r>
        <w:t xml:space="preserve"> Lesley, p. 106.</w:t>
      </w:r>
    </w:p>
  </w:footnote>
  <w:footnote w:id="6">
    <w:p w:rsidR="004A2729" w:rsidRDefault="004A2729">
      <w:pPr>
        <w:pStyle w:val="FootnoteText"/>
      </w:pPr>
      <w:r>
        <w:rPr>
          <w:rStyle w:val="FootnoteReference"/>
        </w:rPr>
        <w:footnoteRef/>
      </w:r>
      <w:r>
        <w:t xml:space="preserve"> Gerald </w:t>
      </w:r>
      <w:proofErr w:type="spellStart"/>
      <w:r>
        <w:t>Noxon</w:t>
      </w:r>
      <w:proofErr w:type="spellEnd"/>
      <w:r>
        <w:t>, ‘The Bayeux Tapestry’, p. 29.</w:t>
      </w:r>
    </w:p>
  </w:footnote>
  <w:footnote w:id="7">
    <w:p w:rsidR="007C697D" w:rsidRDefault="007C697D">
      <w:pPr>
        <w:pStyle w:val="FootnoteText"/>
      </w:pPr>
      <w:r>
        <w:rPr>
          <w:rStyle w:val="FootnoteReference"/>
        </w:rPr>
        <w:footnoteRef/>
      </w:r>
      <w:r>
        <w:t xml:space="preserve"> Lesley, p.106.</w:t>
      </w:r>
    </w:p>
  </w:footnote>
  <w:footnote w:id="8">
    <w:p w:rsidR="007C697D" w:rsidRDefault="007C697D">
      <w:pPr>
        <w:pStyle w:val="FootnoteText"/>
      </w:pPr>
      <w:r>
        <w:rPr>
          <w:rStyle w:val="FootnoteReference"/>
        </w:rPr>
        <w:footnoteRef/>
      </w:r>
      <w:r>
        <w:t xml:space="preserve"> Ibid.</w:t>
      </w:r>
    </w:p>
  </w:footnote>
  <w:footnote w:id="9">
    <w:p w:rsidR="004A2729" w:rsidRDefault="004A2729">
      <w:pPr>
        <w:pStyle w:val="FootnoteText"/>
      </w:pPr>
      <w:r>
        <w:rPr>
          <w:rStyle w:val="FootnoteReference"/>
        </w:rPr>
        <w:footnoteRef/>
      </w:r>
      <w:r>
        <w:t xml:space="preserve"> Lesley, p. 107.</w:t>
      </w:r>
    </w:p>
  </w:footnote>
  <w:footnote w:id="10">
    <w:p w:rsidR="004A2729" w:rsidRDefault="004A2729">
      <w:pPr>
        <w:pStyle w:val="FootnoteText"/>
      </w:pPr>
      <w:r>
        <w:rPr>
          <w:rStyle w:val="FootnoteReference"/>
        </w:rPr>
        <w:footnoteRef/>
      </w:r>
      <w:r>
        <w:t xml:space="preserve"> Ibid, p. 115-116.</w:t>
      </w:r>
    </w:p>
  </w:footnote>
  <w:footnote w:id="11">
    <w:p w:rsidR="004A2729" w:rsidRPr="007239F5" w:rsidRDefault="004A2729">
      <w:pPr>
        <w:pStyle w:val="FootnoteText"/>
      </w:pPr>
      <w:r>
        <w:rPr>
          <w:rStyle w:val="FootnoteReference"/>
        </w:rPr>
        <w:footnoteRef/>
      </w:r>
      <w:r>
        <w:t xml:space="preserve"> R. Howard Bloch, ‘Frontality: The Imperial Look </w:t>
      </w:r>
      <w:proofErr w:type="gramStart"/>
      <w:r>
        <w:t>From</w:t>
      </w:r>
      <w:proofErr w:type="gramEnd"/>
      <w:r>
        <w:t xml:space="preserve"> Christ The </w:t>
      </w:r>
      <w:proofErr w:type="spellStart"/>
      <w:r>
        <w:t>Pantocrator</w:t>
      </w:r>
      <w:proofErr w:type="spellEnd"/>
      <w:r>
        <w:t xml:space="preserve"> To The Napoleon Bonaparte’, </w:t>
      </w:r>
      <w:r>
        <w:rPr>
          <w:i/>
        </w:rPr>
        <w:t xml:space="preserve">French Issue Supplement: The Long Shadow Of Political Theory, </w:t>
      </w:r>
      <w:r>
        <w:t>126(4) (2011), 44-59 (p.46).</w:t>
      </w:r>
    </w:p>
  </w:footnote>
  <w:footnote w:id="12">
    <w:p w:rsidR="004A2729" w:rsidRDefault="004A2729">
      <w:pPr>
        <w:pStyle w:val="FootnoteText"/>
      </w:pPr>
      <w:r>
        <w:rPr>
          <w:rStyle w:val="FootnoteReference"/>
        </w:rPr>
        <w:footnoteRef/>
      </w:r>
      <w:r>
        <w:t xml:space="preserve"> Gerald </w:t>
      </w:r>
      <w:proofErr w:type="spellStart"/>
      <w:r>
        <w:t>Noxon</w:t>
      </w:r>
      <w:proofErr w:type="spellEnd"/>
      <w:r>
        <w:t>, p. 33.</w:t>
      </w:r>
    </w:p>
  </w:footnote>
  <w:footnote w:id="13">
    <w:p w:rsidR="004A2729" w:rsidRDefault="004A2729">
      <w:pPr>
        <w:pStyle w:val="FootnoteText"/>
      </w:pPr>
      <w:r>
        <w:rPr>
          <w:rStyle w:val="FootnoteReference"/>
        </w:rPr>
        <w:footnoteRef/>
      </w:r>
      <w:r>
        <w:t xml:space="preserve"> Ibid.</w:t>
      </w:r>
    </w:p>
  </w:footnote>
  <w:footnote w:id="14">
    <w:p w:rsidR="004A2729" w:rsidRDefault="004A2729">
      <w:pPr>
        <w:pStyle w:val="FootnoteText"/>
      </w:pPr>
      <w:r>
        <w:rPr>
          <w:rStyle w:val="FootnoteReference"/>
        </w:rPr>
        <w:footnoteRef/>
      </w:r>
      <w:r>
        <w:t xml:space="preserve"> Ibid.</w:t>
      </w:r>
    </w:p>
  </w:footnote>
  <w:footnote w:id="15">
    <w:p w:rsidR="004A2729" w:rsidRDefault="004A2729">
      <w:pPr>
        <w:pStyle w:val="FootnoteText"/>
      </w:pPr>
      <w:r>
        <w:rPr>
          <w:rStyle w:val="FootnoteReference"/>
        </w:rPr>
        <w:footnoteRef/>
      </w:r>
      <w:r>
        <w:t xml:space="preserve"> Lesley, p. 115.</w:t>
      </w:r>
    </w:p>
  </w:footnote>
  <w:footnote w:id="16">
    <w:p w:rsidR="004A2729" w:rsidRPr="006E6EEA" w:rsidRDefault="004A2729">
      <w:pPr>
        <w:pStyle w:val="FootnoteText"/>
      </w:pPr>
      <w:r>
        <w:rPr>
          <w:rStyle w:val="FootnoteReference"/>
        </w:rPr>
        <w:footnoteRef/>
      </w:r>
      <w:r>
        <w:t xml:space="preserve"> Lawrence G. Duggan, ‘Was Art Really The “Book </w:t>
      </w:r>
      <w:proofErr w:type="gramStart"/>
      <w:r>
        <w:t>Of</w:t>
      </w:r>
      <w:proofErr w:type="gramEnd"/>
      <w:r>
        <w:t xml:space="preserve"> The Illiterate?”’, in</w:t>
      </w:r>
      <w:r>
        <w:rPr>
          <w:i/>
        </w:rPr>
        <w:t xml:space="preserve"> Reading Images And Texts, </w:t>
      </w:r>
      <w:r>
        <w:t xml:space="preserve">ed. By Marielle </w:t>
      </w:r>
      <w:proofErr w:type="spellStart"/>
      <w:r>
        <w:t>Hademan</w:t>
      </w:r>
      <w:proofErr w:type="spellEnd"/>
      <w:r>
        <w:t xml:space="preserve"> and Marco Mostert (Belgium: </w:t>
      </w:r>
      <w:proofErr w:type="spellStart"/>
      <w:r>
        <w:t>Brepolis</w:t>
      </w:r>
      <w:proofErr w:type="spellEnd"/>
      <w:r>
        <w:t xml:space="preserve"> Publisher, 2005) (p.63).</w:t>
      </w:r>
    </w:p>
  </w:footnote>
  <w:footnote w:id="17">
    <w:p w:rsidR="004A2729" w:rsidRDefault="004A2729">
      <w:pPr>
        <w:pStyle w:val="FootnoteText"/>
      </w:pPr>
      <w:r>
        <w:rPr>
          <w:rStyle w:val="FootnoteReference"/>
        </w:rPr>
        <w:footnoteRef/>
      </w:r>
      <w:r>
        <w:t xml:space="preserve"> </w:t>
      </w:r>
      <w:bookmarkStart w:id="0" w:name="_Hlk530166956"/>
      <w:r>
        <w:t>Duggan, ‘Was Art Really’,</w:t>
      </w:r>
      <w:bookmarkEnd w:id="0"/>
      <w:r>
        <w:t xml:space="preserve"> p. 68.</w:t>
      </w:r>
    </w:p>
  </w:footnote>
  <w:footnote w:id="18">
    <w:p w:rsidR="004A2729" w:rsidRPr="00597970" w:rsidRDefault="004A2729">
      <w:pPr>
        <w:pStyle w:val="FootnoteText"/>
      </w:pPr>
      <w:r>
        <w:rPr>
          <w:rStyle w:val="FootnoteReference"/>
        </w:rPr>
        <w:footnoteRef/>
      </w:r>
      <w:r>
        <w:t xml:space="preserve"> The British Library, </w:t>
      </w:r>
      <w:bookmarkStart w:id="1" w:name="_Hlk530169497"/>
      <w:r>
        <w:rPr>
          <w:i/>
        </w:rPr>
        <w:t xml:space="preserve">The Chronicles </w:t>
      </w:r>
      <w:proofErr w:type="gramStart"/>
      <w:r>
        <w:rPr>
          <w:i/>
        </w:rPr>
        <w:t>Of</w:t>
      </w:r>
      <w:proofErr w:type="gramEnd"/>
      <w:r>
        <w:rPr>
          <w:i/>
        </w:rPr>
        <w:t xml:space="preserve"> The English Kings.</w:t>
      </w:r>
      <w:r>
        <w:t xml:space="preserve"> &lt;</w:t>
      </w:r>
      <w:r w:rsidRPr="00597970">
        <w:t xml:space="preserve"> </w:t>
      </w:r>
      <w:hyperlink r:id="rId1" w:history="1">
        <w:r w:rsidRPr="00AB4DA9">
          <w:rPr>
            <w:rStyle w:val="Hyperlink"/>
          </w:rPr>
          <w:t>https://www.bl.uk/collection-items/genealogical-chronicle-of-the-english-kings</w:t>
        </w:r>
      </w:hyperlink>
      <w:r>
        <w:t>&gt; [Accessed 16</w:t>
      </w:r>
      <w:r w:rsidRPr="00597970">
        <w:rPr>
          <w:vertAlign w:val="superscript"/>
        </w:rPr>
        <w:t>th</w:t>
      </w:r>
      <w:r>
        <w:t xml:space="preserve"> November 2018].</w:t>
      </w:r>
      <w:bookmarkEnd w:id="1"/>
    </w:p>
  </w:footnote>
  <w:footnote w:id="19">
    <w:p w:rsidR="004A2729" w:rsidRDefault="004A2729">
      <w:pPr>
        <w:pStyle w:val="FootnoteText"/>
      </w:pPr>
      <w:r>
        <w:rPr>
          <w:rStyle w:val="FootnoteReference"/>
        </w:rPr>
        <w:footnoteRef/>
      </w:r>
      <w:r>
        <w:t xml:space="preserve"> The British Library. </w:t>
      </w:r>
    </w:p>
  </w:footnote>
  <w:footnote w:id="20">
    <w:p w:rsidR="004A2729" w:rsidRPr="00C111A9" w:rsidRDefault="004A2729">
      <w:pPr>
        <w:pStyle w:val="FootnoteText"/>
      </w:pPr>
      <w:r>
        <w:rPr>
          <w:rStyle w:val="FootnoteReference"/>
        </w:rPr>
        <w:footnoteRef/>
      </w:r>
      <w:r>
        <w:t xml:space="preserve"> </w:t>
      </w:r>
      <w:bookmarkStart w:id="2" w:name="_Hlk530169539"/>
      <w:proofErr w:type="spellStart"/>
      <w:r>
        <w:t>Europeana</w:t>
      </w:r>
      <w:proofErr w:type="spellEnd"/>
      <w:r>
        <w:t xml:space="preserve"> Collections, </w:t>
      </w:r>
      <w:r>
        <w:rPr>
          <w:i/>
        </w:rPr>
        <w:t xml:space="preserve">Rollo And His Descendants. </w:t>
      </w:r>
      <w:r>
        <w:t>&lt;</w:t>
      </w:r>
      <w:r w:rsidRPr="00C111A9">
        <w:t xml:space="preserve"> </w:t>
      </w:r>
      <w:hyperlink r:id="rId2" w:history="1">
        <w:r w:rsidRPr="00AB4DA9">
          <w:rPr>
            <w:rStyle w:val="Hyperlink"/>
          </w:rPr>
          <w:t>https://www.europeana.eu/portal/en/record/9200397/BibliographicResource_3000126272984.html?q=duke+rollo</w:t>
        </w:r>
      </w:hyperlink>
      <w:r w:rsidRPr="00C111A9">
        <w:t>+</w:t>
      </w:r>
      <w:r>
        <w:t>&gt; [Accessed 16</w:t>
      </w:r>
      <w:r w:rsidRPr="00C111A9">
        <w:rPr>
          <w:vertAlign w:val="superscript"/>
        </w:rPr>
        <w:t>th</w:t>
      </w:r>
      <w:r>
        <w:t xml:space="preserve"> November 2018].</w:t>
      </w:r>
      <w:bookmarkEnd w:id="2"/>
    </w:p>
  </w:footnote>
  <w:footnote w:id="21">
    <w:p w:rsidR="004A2729" w:rsidRPr="00CA293F" w:rsidRDefault="004A2729">
      <w:pPr>
        <w:pStyle w:val="FootnoteText"/>
      </w:pPr>
      <w:r>
        <w:rPr>
          <w:rStyle w:val="FootnoteReference"/>
        </w:rPr>
        <w:footnoteRef/>
      </w:r>
      <w:r>
        <w:t xml:space="preserve"> Jeremy </w:t>
      </w:r>
      <w:proofErr w:type="spellStart"/>
      <w:r>
        <w:t>Dummett</w:t>
      </w:r>
      <w:proofErr w:type="spellEnd"/>
      <w:r>
        <w:t xml:space="preserve">, </w:t>
      </w:r>
      <w:r>
        <w:rPr>
          <w:i/>
        </w:rPr>
        <w:t xml:space="preserve">Palermo, City </w:t>
      </w:r>
      <w:proofErr w:type="gramStart"/>
      <w:r>
        <w:rPr>
          <w:i/>
        </w:rPr>
        <w:t>Of</w:t>
      </w:r>
      <w:proofErr w:type="gramEnd"/>
      <w:r>
        <w:rPr>
          <w:i/>
        </w:rPr>
        <w:t xml:space="preserve"> Kings: The Heart Of Sicily</w:t>
      </w:r>
      <w:r>
        <w:t xml:space="preserve"> (London: I.B. Tauris, 2015) p. 26.</w:t>
      </w:r>
    </w:p>
  </w:footnote>
  <w:footnote w:id="22">
    <w:p w:rsidR="004A2729" w:rsidRPr="00F641CD" w:rsidRDefault="004A2729">
      <w:pPr>
        <w:pStyle w:val="FootnoteText"/>
      </w:pPr>
      <w:r>
        <w:rPr>
          <w:rStyle w:val="FootnoteReference"/>
        </w:rPr>
        <w:footnoteRef/>
      </w:r>
      <w:r>
        <w:t xml:space="preserve"> </w:t>
      </w:r>
      <w:proofErr w:type="spellStart"/>
      <w:r>
        <w:t>Dummett</w:t>
      </w:r>
      <w:proofErr w:type="spellEnd"/>
      <w:r>
        <w:t xml:space="preserve">, </w:t>
      </w:r>
      <w:r>
        <w:rPr>
          <w:i/>
        </w:rPr>
        <w:t xml:space="preserve">Palermo, City Of, </w:t>
      </w:r>
      <w:r>
        <w:t>p.26.</w:t>
      </w:r>
    </w:p>
  </w:footnote>
  <w:footnote w:id="23">
    <w:p w:rsidR="004A2729" w:rsidRDefault="004A2729">
      <w:pPr>
        <w:pStyle w:val="FootnoteText"/>
      </w:pPr>
      <w:r>
        <w:rPr>
          <w:rStyle w:val="FootnoteReference"/>
        </w:rPr>
        <w:footnoteRef/>
      </w:r>
      <w:r>
        <w:t xml:space="preserve"> Ibid. p. 32.</w:t>
      </w:r>
    </w:p>
  </w:footnote>
  <w:footnote w:id="24">
    <w:p w:rsidR="004A2729" w:rsidRDefault="004A2729">
      <w:pPr>
        <w:pStyle w:val="FootnoteText"/>
      </w:pPr>
      <w:r>
        <w:rPr>
          <w:rStyle w:val="FootnoteReference"/>
        </w:rPr>
        <w:footnoteRef/>
      </w:r>
      <w:r>
        <w:t xml:space="preserve"> Ibid. p. 35.</w:t>
      </w:r>
    </w:p>
  </w:footnote>
  <w:footnote w:id="25">
    <w:p w:rsidR="004A2729" w:rsidRDefault="004A2729">
      <w:pPr>
        <w:pStyle w:val="FootnoteText"/>
      </w:pPr>
      <w:r>
        <w:rPr>
          <w:rStyle w:val="FootnoteReference"/>
        </w:rPr>
        <w:footnoteRef/>
      </w:r>
      <w:r>
        <w:t xml:space="preserve"> Ibid. p. 36.</w:t>
      </w:r>
    </w:p>
  </w:footnote>
  <w:footnote w:id="26">
    <w:p w:rsidR="004A2729" w:rsidRDefault="004A2729">
      <w:pPr>
        <w:pStyle w:val="FootnoteText"/>
      </w:pPr>
      <w:r>
        <w:rPr>
          <w:rStyle w:val="FootnoteReference"/>
        </w:rPr>
        <w:footnoteRef/>
      </w:r>
      <w:r>
        <w:t xml:space="preserve"> Ibid. p.39.</w:t>
      </w:r>
    </w:p>
  </w:footnote>
  <w:footnote w:id="27">
    <w:p w:rsidR="004A2729" w:rsidRDefault="004A2729">
      <w:pPr>
        <w:pStyle w:val="FootnoteText"/>
      </w:pPr>
      <w:r>
        <w:rPr>
          <w:rStyle w:val="FootnoteReference"/>
        </w:rPr>
        <w:footnoteRef/>
      </w:r>
      <w:r>
        <w:t xml:space="preserve"> Ibid.</w:t>
      </w:r>
    </w:p>
  </w:footnote>
  <w:footnote w:id="28">
    <w:p w:rsidR="004A2729" w:rsidRPr="007F01D4" w:rsidRDefault="004A2729">
      <w:pPr>
        <w:pStyle w:val="FootnoteText"/>
      </w:pPr>
      <w:r>
        <w:rPr>
          <w:rStyle w:val="FootnoteReference"/>
        </w:rPr>
        <w:footnoteRef/>
      </w:r>
      <w:r>
        <w:t xml:space="preserve"> Robin Cormack, </w:t>
      </w:r>
      <w:r>
        <w:rPr>
          <w:i/>
        </w:rPr>
        <w:t xml:space="preserve">Byzantine Art </w:t>
      </w:r>
      <w:r>
        <w:t>(Oxford: Oxford University Press, 2000) p.182.</w:t>
      </w:r>
    </w:p>
  </w:footnote>
  <w:footnote w:id="29">
    <w:p w:rsidR="004A2729" w:rsidRPr="00595E65" w:rsidRDefault="004A2729">
      <w:pPr>
        <w:pStyle w:val="FootnoteText"/>
      </w:pPr>
      <w:r>
        <w:rPr>
          <w:rStyle w:val="FootnoteReference"/>
        </w:rPr>
        <w:footnoteRef/>
      </w:r>
      <w:r>
        <w:t xml:space="preserve"> Cormack, </w:t>
      </w:r>
      <w:r>
        <w:rPr>
          <w:i/>
        </w:rPr>
        <w:t xml:space="preserve">Byzantine Art, </w:t>
      </w:r>
      <w:r>
        <w:t>p.182.</w:t>
      </w:r>
    </w:p>
  </w:footnote>
  <w:footnote w:id="30">
    <w:p w:rsidR="004A2729" w:rsidRPr="00595E65" w:rsidRDefault="004A2729">
      <w:pPr>
        <w:pStyle w:val="FootnoteText"/>
      </w:pPr>
      <w:r>
        <w:rPr>
          <w:rStyle w:val="FootnoteReference"/>
        </w:rPr>
        <w:footnoteRef/>
      </w:r>
      <w:r>
        <w:t xml:space="preserve"> </w:t>
      </w:r>
      <w:proofErr w:type="spellStart"/>
      <w:r>
        <w:t>Dummett</w:t>
      </w:r>
      <w:proofErr w:type="spellEnd"/>
      <w:r>
        <w:t xml:space="preserve">, </w:t>
      </w:r>
      <w:r>
        <w:rPr>
          <w:i/>
        </w:rPr>
        <w:t xml:space="preserve">Palermo, City Of, </w:t>
      </w:r>
      <w:r>
        <w:t>p. 42.</w:t>
      </w:r>
    </w:p>
  </w:footnote>
  <w:footnote w:id="31">
    <w:p w:rsidR="004A2729" w:rsidRDefault="004A2729">
      <w:pPr>
        <w:pStyle w:val="FootnoteText"/>
      </w:pPr>
      <w:r>
        <w:rPr>
          <w:rStyle w:val="FootnoteReference"/>
        </w:rPr>
        <w:footnoteRef/>
      </w:r>
      <w:r>
        <w:t xml:space="preserve"> Ibid, p. 168.</w:t>
      </w:r>
    </w:p>
  </w:footnote>
  <w:footnote w:id="32">
    <w:p w:rsidR="004A2729" w:rsidRDefault="004A2729">
      <w:pPr>
        <w:pStyle w:val="FootnoteText"/>
      </w:pPr>
      <w:r>
        <w:rPr>
          <w:rStyle w:val="FootnoteReference"/>
        </w:rPr>
        <w:footnoteRef/>
      </w:r>
      <w:r>
        <w:t xml:space="preserve"> Ibid, pp. 163-164.</w:t>
      </w:r>
    </w:p>
  </w:footnote>
  <w:footnote w:id="33">
    <w:p w:rsidR="004A2729" w:rsidRDefault="004A2729">
      <w:pPr>
        <w:pStyle w:val="FootnoteText"/>
      </w:pPr>
      <w:r>
        <w:rPr>
          <w:rStyle w:val="FootnoteReference"/>
        </w:rPr>
        <w:footnoteRef/>
      </w:r>
      <w:r>
        <w:t xml:space="preserve"> R. Howard Bloch, ‘Frontality: The Imperial’, p.47.</w:t>
      </w:r>
    </w:p>
  </w:footnote>
  <w:footnote w:id="34">
    <w:p w:rsidR="004A2729" w:rsidRDefault="004A2729">
      <w:pPr>
        <w:pStyle w:val="FootnoteText"/>
      </w:pPr>
      <w:r>
        <w:rPr>
          <w:rStyle w:val="FootnoteReference"/>
        </w:rPr>
        <w:footnoteRef/>
      </w:r>
      <w:r>
        <w:t xml:space="preserve"> Ibid, p.47.</w:t>
      </w:r>
    </w:p>
  </w:footnote>
  <w:footnote w:id="35">
    <w:p w:rsidR="004A2729" w:rsidRPr="001621C2" w:rsidRDefault="004A2729">
      <w:pPr>
        <w:pStyle w:val="FootnoteText"/>
      </w:pPr>
      <w:r>
        <w:rPr>
          <w:rStyle w:val="FootnoteReference"/>
        </w:rPr>
        <w:footnoteRef/>
      </w:r>
      <w:r>
        <w:t xml:space="preserve"> Cormack, </w:t>
      </w:r>
      <w:r>
        <w:rPr>
          <w:i/>
        </w:rPr>
        <w:t xml:space="preserve">Byzantine Art, </w:t>
      </w:r>
      <w:r>
        <w:t>p. 185.</w:t>
      </w:r>
    </w:p>
  </w:footnote>
  <w:footnote w:id="36">
    <w:p w:rsidR="004A2729" w:rsidRPr="004D1827" w:rsidRDefault="004A2729">
      <w:pPr>
        <w:pStyle w:val="FootnoteText"/>
      </w:pPr>
      <w:r>
        <w:rPr>
          <w:rStyle w:val="FootnoteReference"/>
        </w:rPr>
        <w:footnoteRef/>
      </w:r>
      <w:r>
        <w:t xml:space="preserve"> </w:t>
      </w:r>
      <w:proofErr w:type="spellStart"/>
      <w:r>
        <w:t>Dummett</w:t>
      </w:r>
      <w:proofErr w:type="spellEnd"/>
      <w:r>
        <w:t xml:space="preserve">, </w:t>
      </w:r>
      <w:r>
        <w:rPr>
          <w:i/>
        </w:rPr>
        <w:t xml:space="preserve">Palermo, City Of, </w:t>
      </w:r>
      <w:r>
        <w:t>p.40.</w:t>
      </w:r>
    </w:p>
  </w:footnote>
  <w:footnote w:id="37">
    <w:p w:rsidR="004A2729" w:rsidRDefault="004A2729">
      <w:pPr>
        <w:pStyle w:val="FootnoteText"/>
      </w:pPr>
      <w:r>
        <w:rPr>
          <w:rStyle w:val="FootnoteReference"/>
        </w:rPr>
        <w:footnoteRef/>
      </w:r>
      <w:r>
        <w:t xml:space="preserve"> Ibid.</w:t>
      </w:r>
    </w:p>
  </w:footnote>
  <w:footnote w:id="38">
    <w:p w:rsidR="004A2729" w:rsidRDefault="004A2729">
      <w:pPr>
        <w:pStyle w:val="FootnoteText"/>
      </w:pPr>
      <w:r>
        <w:rPr>
          <w:rStyle w:val="FootnoteReference"/>
        </w:rPr>
        <w:footnoteRef/>
      </w:r>
      <w:r>
        <w:t xml:space="preserve"> </w:t>
      </w:r>
      <w:r w:rsidRPr="004D1827">
        <w:t>Duggan, ‘Was Art Really’,</w:t>
      </w:r>
      <w:r>
        <w:t xml:space="preserve"> p. 83.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2310C1"/>
    <w:multiLevelType w:val="hybridMultilevel"/>
    <w:tmpl w:val="D8DAE5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8652DB3"/>
    <w:multiLevelType w:val="hybridMultilevel"/>
    <w:tmpl w:val="C5F849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2D1"/>
    <w:rsid w:val="00044DD0"/>
    <w:rsid w:val="000B5341"/>
    <w:rsid w:val="000C6484"/>
    <w:rsid w:val="000D2436"/>
    <w:rsid w:val="00121B9F"/>
    <w:rsid w:val="00122767"/>
    <w:rsid w:val="001621C2"/>
    <w:rsid w:val="0017452E"/>
    <w:rsid w:val="001F1B96"/>
    <w:rsid w:val="0023617E"/>
    <w:rsid w:val="002539BF"/>
    <w:rsid w:val="002B0B25"/>
    <w:rsid w:val="002C7BC4"/>
    <w:rsid w:val="002F0E4C"/>
    <w:rsid w:val="003A792F"/>
    <w:rsid w:val="004120D7"/>
    <w:rsid w:val="00412246"/>
    <w:rsid w:val="0046225C"/>
    <w:rsid w:val="0046519F"/>
    <w:rsid w:val="004975C9"/>
    <w:rsid w:val="004A2729"/>
    <w:rsid w:val="004D1827"/>
    <w:rsid w:val="00595E65"/>
    <w:rsid w:val="00597970"/>
    <w:rsid w:val="005A1855"/>
    <w:rsid w:val="005D3E7C"/>
    <w:rsid w:val="006E6EEA"/>
    <w:rsid w:val="0071768B"/>
    <w:rsid w:val="007239F5"/>
    <w:rsid w:val="007C697D"/>
    <w:rsid w:val="007F01D4"/>
    <w:rsid w:val="00817054"/>
    <w:rsid w:val="00845E3F"/>
    <w:rsid w:val="0087070F"/>
    <w:rsid w:val="00892CC5"/>
    <w:rsid w:val="008E099D"/>
    <w:rsid w:val="009456F2"/>
    <w:rsid w:val="00965C81"/>
    <w:rsid w:val="00992CAF"/>
    <w:rsid w:val="009C3ADC"/>
    <w:rsid w:val="009F1C30"/>
    <w:rsid w:val="00AD5264"/>
    <w:rsid w:val="00B02BE4"/>
    <w:rsid w:val="00B3330D"/>
    <w:rsid w:val="00BA1AAC"/>
    <w:rsid w:val="00BA460C"/>
    <w:rsid w:val="00BB2A95"/>
    <w:rsid w:val="00C0163D"/>
    <w:rsid w:val="00C111A9"/>
    <w:rsid w:val="00C17C67"/>
    <w:rsid w:val="00C56284"/>
    <w:rsid w:val="00C97830"/>
    <w:rsid w:val="00CA293F"/>
    <w:rsid w:val="00CC3505"/>
    <w:rsid w:val="00D80AC9"/>
    <w:rsid w:val="00DA29AF"/>
    <w:rsid w:val="00DD22D1"/>
    <w:rsid w:val="00E03FDF"/>
    <w:rsid w:val="00EA6CB3"/>
    <w:rsid w:val="00F018F7"/>
    <w:rsid w:val="00F641CD"/>
    <w:rsid w:val="00FC6D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219BE10"/>
  <w15:chartTrackingRefBased/>
  <w15:docId w15:val="{D0A1EF30-760C-496D-BFEB-051CADD4FE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4120D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120D7"/>
    <w:rPr>
      <w:sz w:val="20"/>
      <w:szCs w:val="20"/>
    </w:rPr>
  </w:style>
  <w:style w:type="character" w:styleId="FootnoteReference">
    <w:name w:val="footnote reference"/>
    <w:basedOn w:val="DefaultParagraphFont"/>
    <w:uiPriority w:val="99"/>
    <w:semiHidden/>
    <w:unhideWhenUsed/>
    <w:rsid w:val="004120D7"/>
    <w:rPr>
      <w:vertAlign w:val="superscript"/>
    </w:rPr>
  </w:style>
  <w:style w:type="character" w:styleId="Hyperlink">
    <w:name w:val="Hyperlink"/>
    <w:basedOn w:val="DefaultParagraphFont"/>
    <w:uiPriority w:val="99"/>
    <w:unhideWhenUsed/>
    <w:rsid w:val="00597970"/>
    <w:rPr>
      <w:color w:val="0563C1" w:themeColor="hyperlink"/>
      <w:u w:val="single"/>
    </w:rPr>
  </w:style>
  <w:style w:type="character" w:styleId="UnresolvedMention">
    <w:name w:val="Unresolved Mention"/>
    <w:basedOn w:val="DefaultParagraphFont"/>
    <w:uiPriority w:val="99"/>
    <w:semiHidden/>
    <w:unhideWhenUsed/>
    <w:rsid w:val="00597970"/>
    <w:rPr>
      <w:color w:val="605E5C"/>
      <w:shd w:val="clear" w:color="auto" w:fill="E1DFDD"/>
    </w:rPr>
  </w:style>
  <w:style w:type="paragraph" w:styleId="ListParagraph">
    <w:name w:val="List Paragraph"/>
    <w:basedOn w:val="Normal"/>
    <w:uiPriority w:val="34"/>
    <w:qFormat/>
    <w:rsid w:val="0087070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europeana.eu/portal/en/record/9200397/BibliographicResource_3000126272984.html?q=duke+rollo" TargetMode="External"/><Relationship Id="rId1" Type="http://schemas.openxmlformats.org/officeDocument/2006/relationships/hyperlink" Target="https://www.bl.uk/collection-items/genealogical-chronicle-of-the-english-king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6AD4541-0DBA-43BE-B76D-07A69203403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337</TotalTime>
  <Pages>5</Pages>
  <Words>2198</Words>
  <Characters>10729</Characters>
  <Application>Microsoft Office Word</Application>
  <DocSecurity>0</DocSecurity>
  <Lines>210</Lines>
  <Paragraphs>83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owner</cp:lastModifiedBy>
  <cp:revision>32</cp:revision>
  <dcterms:created xsi:type="dcterms:W3CDTF">2018-11-16T15:52:00Z</dcterms:created>
  <dcterms:modified xsi:type="dcterms:W3CDTF">2018-11-16T22:10:00Z</dcterms:modified>
</cp:coreProperties>
</file>