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Kylie Killion</w:t>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Professor Elizabeth Edwards</w:t>
      </w:r>
    </w:p>
    <w:p w:rsidR="00000000" w:rsidDel="00000000" w:rsidP="00000000" w:rsidRDefault="00000000" w:rsidRPr="00000000" w14:paraId="0000000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Celts: Origins to Modern Era (HPCS7003)</w:t>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Original Due Date: 1 May 2026</w:t>
      </w:r>
    </w:p>
    <w:p w:rsidR="00000000" w:rsidDel="00000000" w:rsidP="00000000" w:rsidRDefault="00000000" w:rsidRPr="00000000" w14:paraId="0000000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Updated Due Date: 24 July 2026</w:t>
      </w:r>
    </w:p>
    <w:p w:rsidR="00000000" w:rsidDel="00000000" w:rsidP="00000000" w:rsidRDefault="00000000" w:rsidRPr="00000000" w14:paraId="00000006">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2</w:t>
      </w:r>
    </w:p>
    <w:p w:rsidR="00000000" w:rsidDel="00000000" w:rsidP="00000000" w:rsidRDefault="00000000" w:rsidRPr="00000000" w14:paraId="00000007">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ancient European tribes from the 12th century BC that are often considered Celtic, have existed for thousands of years. As time progressed into the medieval period, outside influences such as Christianity, the Roman empire, and political development began to shape and change the culture. This adjustment led to new questions by historians and scholars about the relationships and communication between different European self governing tribes. The social practices, mythology, their mutual connection to the natural world, and the expansion of Christinaity demonstrate how there is a special relationship between two groups, the Brittonic and Gaelic-speaking communities. </w:t>
      </w:r>
    </w:p>
    <w:p w:rsidR="00000000" w:rsidDel="00000000" w:rsidP="00000000" w:rsidRDefault="00000000" w:rsidRPr="00000000" w14:paraId="00000008">
      <w:pPr>
        <w:spacing w:line="480" w:lineRule="auto"/>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sz w:val="24"/>
          <w:szCs w:val="24"/>
          <w:rtl w:val="0"/>
        </w:rPr>
        <w:tab/>
        <w:t xml:space="preserve">During the early medieval period, the Brittonics were located throughout parts of England and Scotland, but were primarily in Wales. Meanwhile the Gaelics were found in the Isle of Man and Ireland. Despite the large distance between these communities, they had similar social practices and hierarchies. T.M. Charles-Edwards, author of </w:t>
      </w:r>
      <w:r w:rsidDel="00000000" w:rsidR="00000000" w:rsidRPr="00000000">
        <w:rPr>
          <w:rFonts w:ascii="Times New Roman" w:cs="Times New Roman" w:eastAsia="Times New Roman" w:hAnsi="Times New Roman"/>
          <w:i w:val="1"/>
          <w:iCs w:val="1"/>
          <w:sz w:val="24"/>
          <w:szCs w:val="24"/>
          <w:rtl w:val="0"/>
        </w:rPr>
        <w:t xml:space="preserve">Early Irish and Welsh Kinship</w:t>
      </w:r>
      <w:r w:rsidDel="00000000" w:rsidR="00000000" w:rsidRPr="00000000">
        <w:rPr>
          <w:rFonts w:ascii="Times New Roman" w:cs="Times New Roman" w:eastAsia="Times New Roman" w:hAnsi="Times New Roman"/>
          <w:i w:val="1"/>
          <w:iCs w:val="1"/>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discusses the different roles and hierarchies of medieval Ireland and Wales. “</w:t>
      </w:r>
      <w:r w:rsidDel="00000000" w:rsidR="00000000" w:rsidRPr="00000000">
        <w:rPr>
          <w:rFonts w:ascii="Times New Roman" w:cs="Times New Roman" w:eastAsia="Times New Roman" w:hAnsi="Times New Roman"/>
          <w:color w:val="2a2a2a"/>
          <w:sz w:val="24"/>
          <w:szCs w:val="24"/>
          <w:highlight w:val="white"/>
          <w:rtl w:val="0"/>
        </w:rPr>
        <w:t xml:space="preserve">In Ireland, lordship had to be inherited before it conferred nobility; but, in Wales, nobility was essentially an inherited status and did not depend upon authority over an inferior.” (Charles-Edwards, 364) This demonstrates the unique connection between the Gaelics and Brittons because their close neighbors, the Picts, had their own way of gaining nobility. Michael Lynch, author of </w:t>
      </w:r>
      <w:r w:rsidDel="00000000" w:rsidR="00000000" w:rsidRPr="00000000">
        <w:rPr>
          <w:rFonts w:ascii="Times New Roman" w:cs="Times New Roman" w:eastAsia="Times New Roman" w:hAnsi="Times New Roman"/>
          <w:i w:val="1"/>
          <w:iCs w:val="1"/>
          <w:color w:val="2a2a2a"/>
          <w:sz w:val="24"/>
          <w:szCs w:val="24"/>
          <w:highlight w:val="white"/>
          <w:rtl w:val="0"/>
        </w:rPr>
        <w:t xml:space="preserve">The Oxford Companion to Scottish History</w:t>
      </w:r>
      <w:r w:rsidDel="00000000" w:rsidR="00000000" w:rsidRPr="00000000">
        <w:rPr>
          <w:rFonts w:ascii="Times New Roman" w:cs="Times New Roman" w:eastAsia="Times New Roman" w:hAnsi="Times New Roman"/>
          <w:i w:val="1"/>
          <w:iCs w:val="1"/>
          <w:color w:val="2a2a2a"/>
          <w:sz w:val="24"/>
          <w:szCs w:val="24"/>
          <w:highlight w:val="white"/>
          <w:vertAlign w:val="superscript"/>
        </w:rPr>
        <w:footnoteReference w:customMarkFollows="0" w:id="1"/>
      </w:r>
      <w:r w:rsidDel="00000000" w:rsidR="00000000" w:rsidRPr="00000000">
        <w:rPr>
          <w:rFonts w:ascii="Times New Roman" w:cs="Times New Roman" w:eastAsia="Times New Roman" w:hAnsi="Times New Roman"/>
          <w:i w:val="1"/>
          <w:iCs w:val="1"/>
          <w:color w:val="2a2a2a"/>
          <w:sz w:val="24"/>
          <w:szCs w:val="24"/>
          <w:highlight w:val="white"/>
          <w:rtl w:val="0"/>
        </w:rPr>
        <w:t xml:space="preserve"> </w:t>
      </w:r>
      <w:r w:rsidDel="00000000" w:rsidR="00000000" w:rsidRPr="00000000">
        <w:rPr>
          <w:rFonts w:ascii="Times New Roman" w:cs="Times New Roman" w:eastAsia="Times New Roman" w:hAnsi="Times New Roman"/>
          <w:color w:val="2a2a2a"/>
          <w:sz w:val="24"/>
          <w:szCs w:val="24"/>
          <w:highlight w:val="white"/>
          <w:rtl w:val="0"/>
        </w:rPr>
        <w:t xml:space="preserve">says</w:t>
      </w:r>
      <w:r w:rsidDel="00000000" w:rsidR="00000000" w:rsidRPr="00000000">
        <w:rPr>
          <w:rFonts w:ascii="Times New Roman" w:cs="Times New Roman" w:eastAsia="Times New Roman" w:hAnsi="Times New Roman"/>
          <w:color w:val="2a2a2a"/>
          <w:sz w:val="24"/>
          <w:szCs w:val="24"/>
          <w:highlight w:val="white"/>
          <w:rtl w:val="0"/>
        </w:rPr>
        <w:t xml:space="preserve"> that for the Scottish, nobility had to be earned by direct communication with the king, rather than just being inherited. </w:t>
      </w:r>
    </w:p>
    <w:p w:rsidR="00000000" w:rsidDel="00000000" w:rsidP="00000000" w:rsidRDefault="00000000" w:rsidRPr="00000000" w14:paraId="00000009">
      <w:pPr>
        <w:spacing w:line="480" w:lineRule="auto"/>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Young men of good families would be sent to serve in the retinue of the king or queen and would hope to be endowed, after five or ten years' service, with an estate of their own. The belief that the king, as an effective judge and war leader, would provide plenty of land to share out amongst his leading followers was the main motivation for powerful men to support the institution of </w:t>
      </w:r>
      <w:r w:rsidDel="00000000" w:rsidR="00000000" w:rsidRPr="00000000">
        <w:rPr>
          <w:rFonts w:ascii="Times New Roman" w:cs="Times New Roman" w:eastAsia="Times New Roman" w:hAnsi="Times New Roman"/>
          <w:sz w:val="24"/>
          <w:szCs w:val="24"/>
          <w:highlight w:val="white"/>
          <w:rtl w:val="0"/>
        </w:rPr>
        <w:t xml:space="preserve">kingship</w:t>
      </w:r>
      <w:r w:rsidDel="00000000" w:rsidR="00000000" w:rsidRPr="00000000">
        <w:rPr>
          <w:rFonts w:ascii="Times New Roman" w:cs="Times New Roman" w:eastAsia="Times New Roman" w:hAnsi="Times New Roman"/>
          <w:sz w:val="24"/>
          <w:szCs w:val="24"/>
          <w:highlight w:val="white"/>
          <w:rtl w:val="0"/>
        </w:rPr>
        <w:t xml:space="preserve">. (Lynch, ch. 1)</w:t>
      </w:r>
    </w:p>
    <w:p w:rsidR="00000000" w:rsidDel="00000000" w:rsidP="00000000" w:rsidRDefault="00000000" w:rsidRPr="00000000" w14:paraId="0000000A">
      <w:pPr>
        <w:spacing w:line="480" w:lineRule="auto"/>
        <w:ind w:firstLine="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Both Wales and Ireland had rules they had to follow when it came to their lords and other nobility in the Middle Ages. The Brittonics and the Gaelics had kinship based communities that reflected traditional “Celtic” values and traditions. These kinship groups and political structures were central to the inheritance of nobility, land, and resources. They provided protection amongst family members and supported each other in political or social disputes. </w:t>
      </w:r>
      <w:r w:rsidDel="00000000" w:rsidR="00000000" w:rsidRPr="00000000">
        <w:rPr>
          <w:rFonts w:ascii="Times New Roman" w:cs="Times New Roman" w:eastAsia="Times New Roman" w:hAnsi="Times New Roman"/>
          <w:i w:val="1"/>
          <w:iCs w:val="1"/>
          <w:color w:val="2a2a2a"/>
          <w:sz w:val="24"/>
          <w:szCs w:val="24"/>
          <w:highlight w:val="white"/>
          <w:rtl w:val="0"/>
        </w:rPr>
        <w:t xml:space="preserve">The Brehon Laws, A Legal Handbook </w:t>
      </w:r>
      <w:r w:rsidDel="00000000" w:rsidR="00000000" w:rsidRPr="00000000">
        <w:rPr>
          <w:rFonts w:ascii="Times New Roman" w:cs="Times New Roman" w:eastAsia="Times New Roman" w:hAnsi="Times New Roman"/>
          <w:i w:val="1"/>
          <w:iCs w:val="1"/>
          <w:color w:val="2a2a2a"/>
          <w:sz w:val="24"/>
          <w:szCs w:val="24"/>
          <w:highlight w:val="white"/>
          <w:vertAlign w:val="superscript"/>
        </w:rPr>
        <w:footnoteReference w:customMarkFollows="0" w:id="2"/>
      </w:r>
      <w:r w:rsidDel="00000000" w:rsidR="00000000" w:rsidRPr="00000000">
        <w:rPr>
          <w:rFonts w:ascii="Times New Roman" w:cs="Times New Roman" w:eastAsia="Times New Roman" w:hAnsi="Times New Roman"/>
          <w:i w:val="1"/>
          <w:iCs w:val="1"/>
          <w:color w:val="2a2a2a"/>
          <w:sz w:val="24"/>
          <w:szCs w:val="24"/>
          <w:highlight w:val="white"/>
          <w:rtl w:val="0"/>
        </w:rPr>
        <w:t xml:space="preserve"> </w:t>
      </w:r>
      <w:r w:rsidDel="00000000" w:rsidR="00000000" w:rsidRPr="00000000">
        <w:rPr>
          <w:rFonts w:ascii="Times New Roman" w:cs="Times New Roman" w:eastAsia="Times New Roman" w:hAnsi="Times New Roman"/>
          <w:color w:val="2a2a2a"/>
          <w:sz w:val="24"/>
          <w:szCs w:val="24"/>
          <w:highlight w:val="white"/>
          <w:rtl w:val="0"/>
        </w:rPr>
        <w:t xml:space="preserve">by Laurence Ginnell goes into detail about how kinship “[...] status in turn determined what a man's rights and obligations were, and largely supplied the place of contract and of laws affecting the disposition and devolution of property.” (Ginnell, 108) However kinship isn’t the only social practice of the Brittonics and Gaelics that highlight shared Celtic values. Elite Warriors and kingship maintain the authority and structure of these communities. The Celts valued their security and safety which was administered by their elite warriors. These men were trained from a young age to become mercenaries and members of their communities' military. Barry Cunliffe’s </w:t>
      </w:r>
      <w:r w:rsidDel="00000000" w:rsidR="00000000" w:rsidRPr="00000000">
        <w:rPr>
          <w:rFonts w:ascii="Times New Roman" w:cs="Times New Roman" w:eastAsia="Times New Roman" w:hAnsi="Times New Roman"/>
          <w:i w:val="1"/>
          <w:iCs w:val="1"/>
          <w:color w:val="2a2a2a"/>
          <w:sz w:val="24"/>
          <w:szCs w:val="24"/>
          <w:highlight w:val="white"/>
          <w:rtl w:val="0"/>
        </w:rPr>
        <w:t xml:space="preserve">The Ancient Celts</w:t>
      </w:r>
      <w:r w:rsidDel="00000000" w:rsidR="00000000" w:rsidRPr="00000000">
        <w:rPr>
          <w:rFonts w:ascii="Times New Roman" w:cs="Times New Roman" w:eastAsia="Times New Roman" w:hAnsi="Times New Roman"/>
          <w:i w:val="1"/>
          <w:iCs w:val="1"/>
          <w:color w:val="2a2a2a"/>
          <w:sz w:val="24"/>
          <w:szCs w:val="24"/>
          <w:highlight w:val="white"/>
          <w:vertAlign w:val="superscript"/>
        </w:rPr>
        <w:footnoteReference w:customMarkFollows="0" w:id="3"/>
      </w:r>
      <w:r w:rsidDel="00000000" w:rsidR="00000000" w:rsidRPr="00000000">
        <w:rPr>
          <w:rFonts w:ascii="Times New Roman" w:cs="Times New Roman" w:eastAsia="Times New Roman" w:hAnsi="Times New Roman"/>
          <w:i w:val="1"/>
          <w:iCs w:val="1"/>
          <w:color w:val="2a2a2a"/>
          <w:sz w:val="24"/>
          <w:szCs w:val="24"/>
          <w:highlight w:val="white"/>
          <w:rtl w:val="0"/>
        </w:rPr>
        <w:t xml:space="preserve"> </w:t>
      </w:r>
      <w:r w:rsidDel="00000000" w:rsidR="00000000" w:rsidRPr="00000000">
        <w:rPr>
          <w:rFonts w:ascii="Times New Roman" w:cs="Times New Roman" w:eastAsia="Times New Roman" w:hAnsi="Times New Roman"/>
          <w:color w:val="2a2a2a"/>
          <w:sz w:val="24"/>
          <w:szCs w:val="24"/>
          <w:highlight w:val="white"/>
          <w:rtl w:val="0"/>
        </w:rPr>
        <w:t xml:space="preserve">explains that “more detailed information about the Celtic peoples began to accumulate, when Celtic bands—settlers, raiders, and mercenaries—became involved in the politics and military affairs of the Mediterranean.” (Cunliffe, 4) A lot of knowledge about Celtic warriors stems from their interactions with the Romans. The Romans described them as brutal and wild in combat. “[...] the Celtic stereotype was to acquire its familiar form. They were unrestrained, fearless warriors, irrationally brave in the first onslaught but prone to wild despair if the battle turned against them.” (Cunliffe, 6) </w:t>
      </w:r>
    </w:p>
    <w:p w:rsidR="00000000" w:rsidDel="00000000" w:rsidP="00000000" w:rsidRDefault="00000000" w:rsidRPr="00000000" w14:paraId="0000000B">
      <w:pPr>
        <w:spacing w:line="480" w:lineRule="auto"/>
        <w:ind w:firstLine="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The Brittonic and Gaelic speaking communities also portrayed similarities in the rights and treatment of women. The Brittons and Gaelics developed laws that were beneficial for women as long as it was in concern for their relationship with the men in their lives. While these women were slowly gaining protection in the medieval legal system, they were still not fully independent in either Wales or Ireland. Hanne- Mette Alsos Raae discusses the legal standing of women in Ireland in </w:t>
      </w:r>
      <w:r w:rsidDel="00000000" w:rsidR="00000000" w:rsidRPr="00000000">
        <w:rPr>
          <w:rFonts w:ascii="Times New Roman" w:cs="Times New Roman" w:eastAsia="Times New Roman" w:hAnsi="Times New Roman"/>
          <w:i w:val="1"/>
          <w:iCs w:val="1"/>
          <w:color w:val="2a2a2a"/>
          <w:sz w:val="24"/>
          <w:szCs w:val="24"/>
          <w:highlight w:val="white"/>
          <w:rtl w:val="0"/>
        </w:rPr>
        <w:t xml:space="preserve">The Representation in Old Irish Law Texts of the Legal Position of Women in Early Medieval Ireland.</w:t>
      </w:r>
      <w:r w:rsidDel="00000000" w:rsidR="00000000" w:rsidRPr="00000000">
        <w:rPr>
          <w:rFonts w:ascii="Times New Roman" w:cs="Times New Roman" w:eastAsia="Times New Roman" w:hAnsi="Times New Roman"/>
          <w:i w:val="1"/>
          <w:iCs w:val="1"/>
          <w:color w:val="2a2a2a"/>
          <w:sz w:val="24"/>
          <w:szCs w:val="24"/>
          <w:highlight w:val="white"/>
          <w:vertAlign w:val="superscript"/>
        </w:rPr>
        <w:footnoteReference w:customMarkFollows="0" w:id="4"/>
      </w:r>
      <w:r w:rsidDel="00000000" w:rsidR="00000000" w:rsidRPr="00000000">
        <w:rPr>
          <w:rtl w:val="0"/>
        </w:rPr>
      </w:r>
    </w:p>
    <w:p w:rsidR="00000000" w:rsidDel="00000000" w:rsidP="00000000" w:rsidRDefault="00000000" w:rsidRPr="00000000" w14:paraId="0000000C">
      <w:pPr>
        <w:spacing w:line="480" w:lineRule="auto"/>
        <w:ind w:left="720" w:firstLine="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As women were lacking any legal independence in early Irish society, it comes as no surprise that the legal texts deal mostly with men, with some very obvious exceptions. These exceptions deal for the most part with the woman's domain, such as marriage, and the household; domains in which there was a strong need for laws regarding both women and men. (Raae, 9)</w:t>
      </w:r>
    </w:p>
    <w:p w:rsidR="00000000" w:rsidDel="00000000" w:rsidP="00000000" w:rsidRDefault="00000000" w:rsidRPr="00000000" w14:paraId="0000000D">
      <w:pPr>
        <w:spacing w:line="480" w:lineRule="auto"/>
        <w:ind w:left="0" w:firstLine="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In the medieval Celtic communities, laws regarding women were heavily based upon marriage issues and the inheritance of land. They could obtain nobility but were last in line for inheriting the land. They could get a divorce from their spouse, but it would have to be because there were intimacy issues or problems that were within that same category. Robin Chapman Stacy’s </w:t>
      </w:r>
      <w:r w:rsidDel="00000000" w:rsidR="00000000" w:rsidRPr="00000000">
        <w:rPr>
          <w:rFonts w:ascii="Times New Roman" w:cs="Times New Roman" w:eastAsia="Times New Roman" w:hAnsi="Times New Roman"/>
          <w:i w:val="1"/>
          <w:iCs w:val="1"/>
          <w:color w:val="2a2a2a"/>
          <w:sz w:val="24"/>
          <w:szCs w:val="24"/>
          <w:highlight w:val="white"/>
          <w:rtl w:val="0"/>
        </w:rPr>
        <w:t xml:space="preserve">Gender and the social imagery in medieval Welsh law</w:t>
      </w:r>
      <w:r w:rsidDel="00000000" w:rsidR="00000000" w:rsidRPr="00000000">
        <w:rPr>
          <w:rFonts w:ascii="Times New Roman" w:cs="Times New Roman" w:eastAsia="Times New Roman" w:hAnsi="Times New Roman"/>
          <w:i w:val="1"/>
          <w:iCs w:val="1"/>
          <w:color w:val="2a2a2a"/>
          <w:sz w:val="24"/>
          <w:szCs w:val="24"/>
          <w:highlight w:val="white"/>
          <w:vertAlign w:val="superscript"/>
        </w:rPr>
        <w:footnoteReference w:customMarkFollows="0" w:id="5"/>
      </w:r>
      <w:r w:rsidDel="00000000" w:rsidR="00000000" w:rsidRPr="00000000">
        <w:rPr>
          <w:rFonts w:ascii="Times New Roman" w:cs="Times New Roman" w:eastAsia="Times New Roman" w:hAnsi="Times New Roman"/>
          <w:i w:val="1"/>
          <w:iCs w:val="1"/>
          <w:color w:val="2a2a2a"/>
          <w:sz w:val="24"/>
          <w:szCs w:val="24"/>
          <w:highlight w:val="white"/>
          <w:rtl w:val="0"/>
        </w:rPr>
        <w:t xml:space="preserve"> </w:t>
      </w:r>
      <w:r w:rsidDel="00000000" w:rsidR="00000000" w:rsidRPr="00000000">
        <w:rPr>
          <w:rFonts w:ascii="Times New Roman" w:cs="Times New Roman" w:eastAsia="Times New Roman" w:hAnsi="Times New Roman"/>
          <w:color w:val="2a2a2a"/>
          <w:sz w:val="24"/>
          <w:szCs w:val="24"/>
          <w:highlight w:val="white"/>
          <w:rtl w:val="0"/>
        </w:rPr>
        <w:t xml:space="preserve">says that “[...]the real focus of the Laws of Women is not production or labour but, rather, male/female sexual relationships and their short-term and long-term social and economic consequences: specifically, the dues, rights, obligations, and procedures that come into play when a sexual relationship is planned or initiated.” (Stacy, 282) These legal rights show how the Brittonic and Gaelic speaking communities had a special relationship because other parts of Europe did not have these laws in place. For example, monarchies that enforced brutal punishments and controlled women were prominent for many other countries in this time period. </w:t>
      </w:r>
    </w:p>
    <w:p w:rsidR="00000000" w:rsidDel="00000000" w:rsidP="00000000" w:rsidRDefault="00000000" w:rsidRPr="00000000" w14:paraId="0000000E">
      <w:pPr>
        <w:spacing w:line="480" w:lineRule="auto"/>
        <w:ind w:left="720" w:firstLine="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The general rule of the laws is that women were considered beth, 'legally incompetent' or 'senseless', but there are many exceptions to this rule. In certain circumstances a woman was allowed to own property, and therefore also be the person in charge of that property.</w:t>
      </w:r>
    </w:p>
    <w:p w:rsidR="00000000" w:rsidDel="00000000" w:rsidP="00000000" w:rsidRDefault="00000000" w:rsidRPr="00000000" w14:paraId="0000000F">
      <w:pPr>
        <w:spacing w:line="480" w:lineRule="auto"/>
        <w:ind w:left="720" w:firstLine="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To allow for instances like this, there were necessarily laws regarding the exceptions to the rule of women's legal incapacity. (Raae, 1) </w:t>
      </w:r>
    </w:p>
    <w:p w:rsidR="00000000" w:rsidDel="00000000" w:rsidP="00000000" w:rsidRDefault="00000000" w:rsidRPr="00000000" w14:paraId="00000010">
      <w:pPr>
        <w:spacing w:line="480" w:lineRule="auto"/>
        <w:ind w:left="0" w:firstLine="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However, women in Welsh and Irish mythology were regularly seen as divine and powerful beings. They were illustrated having a higher status in social settings and they played crucial roles in the stories that were told about them. They were portrayed as teachers, warriors, sovereignty figures, and tied to the land itself. This was not a concept foreign to other European groups such as the Greeks and Romans. However, the Brittonics and Gaelics were unique in their belief that the women of mythology could be a wide range of supernatural beings. These beings were said to stem from deep connections to nature and the Otherworld. The literature and stories of Celtic mythology can show the unique connection between different communities, such as the Brittons and Gaelics. Proinsias Mac Cana’s book </w:t>
      </w:r>
      <w:r w:rsidDel="00000000" w:rsidR="00000000" w:rsidRPr="00000000">
        <w:rPr>
          <w:rFonts w:ascii="Times New Roman" w:cs="Times New Roman" w:eastAsia="Times New Roman" w:hAnsi="Times New Roman"/>
          <w:i w:val="1"/>
          <w:iCs w:val="1"/>
          <w:color w:val="2a2a2a"/>
          <w:sz w:val="24"/>
          <w:szCs w:val="24"/>
          <w:highlight w:val="white"/>
          <w:rtl w:val="0"/>
        </w:rPr>
        <w:t xml:space="preserve">Celtic Mythology</w:t>
      </w:r>
      <w:r w:rsidDel="00000000" w:rsidR="00000000" w:rsidRPr="00000000">
        <w:rPr>
          <w:rFonts w:ascii="Times New Roman" w:cs="Times New Roman" w:eastAsia="Times New Roman" w:hAnsi="Times New Roman"/>
          <w:i w:val="1"/>
          <w:iCs w:val="1"/>
          <w:color w:val="2a2a2a"/>
          <w:sz w:val="24"/>
          <w:szCs w:val="24"/>
          <w:highlight w:val="white"/>
          <w:vertAlign w:val="superscript"/>
        </w:rPr>
        <w:footnoteReference w:customMarkFollows="0" w:id="6"/>
      </w:r>
      <w:r w:rsidDel="00000000" w:rsidR="00000000" w:rsidRPr="00000000">
        <w:rPr>
          <w:rFonts w:ascii="Times New Roman" w:cs="Times New Roman" w:eastAsia="Times New Roman" w:hAnsi="Times New Roman"/>
          <w:color w:val="2a2a2a"/>
          <w:sz w:val="24"/>
          <w:szCs w:val="24"/>
          <w:highlight w:val="white"/>
          <w:rtl w:val="0"/>
        </w:rPr>
        <w:t xml:space="preserve">explains that although the mythology between Ireland and Wales differs in some ways, their connection with the Earth and the mythological stories they would tell, were quite similar. </w:t>
      </w:r>
    </w:p>
    <w:p w:rsidR="00000000" w:rsidDel="00000000" w:rsidP="00000000" w:rsidRDefault="00000000" w:rsidRPr="00000000" w14:paraId="00000011">
      <w:pPr>
        <w:spacing w:line="480" w:lineRule="auto"/>
        <w:ind w:left="720" w:firstLine="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Nowadays we know that what gave the Celts such unity as they possessed was not common racial origins but a common culture and environment. The classical ethnographers identified them- not infallibly it may be said - by their language, their shared characteristics, and their mode of life, as well as by their geographical location, and one can still sense something of this cultural coherence in the remarkable analogies, both of ideas and their expression, in the traditional literatures of Ireland and Wales. (Mac Cana, 19)</w:t>
      </w:r>
    </w:p>
    <w:p w:rsidR="00000000" w:rsidDel="00000000" w:rsidP="00000000" w:rsidRDefault="00000000" w:rsidRPr="00000000" w14:paraId="00000012">
      <w:pPr>
        <w:spacing w:line="480" w:lineRule="auto"/>
        <w:ind w:left="0" w:firstLine="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A majority of the folklore and mythology of the Irish and Welsh had the same setting, Celtic Otherworld. The Otherworld allows for the barrier between nature's power and human life to dissipate. It was described as a landscape for the gods, druids, and Celtic traditions. For the Gaelics, the Otherworld was depicted as small kingdoms that could also be considered fairy mounds. They also believed that the Otherworld could be accessed through small islands. As for the Brittonics s, they saw the Otherworld as its own realm that can be visited through finding the different entrances scattered around the land and sea. In </w:t>
      </w:r>
      <w:r w:rsidDel="00000000" w:rsidR="00000000" w:rsidRPr="00000000">
        <w:rPr>
          <w:rFonts w:ascii="Times New Roman" w:cs="Times New Roman" w:eastAsia="Times New Roman" w:hAnsi="Times New Roman"/>
          <w:i w:val="1"/>
          <w:iCs w:val="1"/>
          <w:color w:val="2a2a2a"/>
          <w:sz w:val="24"/>
          <w:szCs w:val="24"/>
          <w:highlight w:val="white"/>
          <w:rtl w:val="0"/>
        </w:rPr>
        <w:t xml:space="preserve">Irish Influence of Medieval Welsh Literature</w:t>
      </w:r>
      <w:r w:rsidDel="00000000" w:rsidR="00000000" w:rsidRPr="00000000">
        <w:rPr>
          <w:rFonts w:ascii="Times New Roman" w:cs="Times New Roman" w:eastAsia="Times New Roman" w:hAnsi="Times New Roman"/>
          <w:color w:val="2a2a2a"/>
          <w:sz w:val="24"/>
          <w:szCs w:val="24"/>
          <w:highlight w:val="white"/>
          <w:rtl w:val="0"/>
        </w:rPr>
        <w:t xml:space="preserve"> by Patrick Sims-Williams</w:t>
      </w:r>
      <w:r w:rsidDel="00000000" w:rsidR="00000000" w:rsidRPr="00000000">
        <w:rPr>
          <w:rFonts w:ascii="Times New Roman" w:cs="Times New Roman" w:eastAsia="Times New Roman" w:hAnsi="Times New Roman"/>
          <w:color w:val="2a2a2a"/>
          <w:sz w:val="24"/>
          <w:szCs w:val="24"/>
          <w:highlight w:val="white"/>
          <w:vertAlign w:val="superscript"/>
        </w:rPr>
        <w:footnoteReference w:customMarkFollows="0" w:id="7"/>
      </w:r>
      <w:r w:rsidDel="00000000" w:rsidR="00000000" w:rsidRPr="00000000">
        <w:rPr>
          <w:rFonts w:ascii="Times New Roman" w:cs="Times New Roman" w:eastAsia="Times New Roman" w:hAnsi="Times New Roman"/>
          <w:color w:val="2a2a2a"/>
          <w:sz w:val="24"/>
          <w:szCs w:val="24"/>
          <w:highlight w:val="white"/>
          <w:rtl w:val="0"/>
        </w:rPr>
        <w:t xml:space="preserve">, the Otherworld could also be a reference to Ireland and Wales being surrounded by the sea. Sims-Williams says that there is no singular definition or translation for the meaning of the Otherworld, but in literature it is consistent in its appearance. “The so‐called ‘Otherworld’ appears in both medieval Irish and Welsh literature, where it has two main locations: under the ground, including beneath lakes and springs, and on islands across (or under) the sea.” (Sims-Williams, 53-78) </w:t>
      </w:r>
    </w:p>
    <w:p w:rsidR="00000000" w:rsidDel="00000000" w:rsidP="00000000" w:rsidRDefault="00000000" w:rsidRPr="00000000" w14:paraId="00000013">
      <w:pPr>
        <w:spacing w:line="480" w:lineRule="auto"/>
        <w:ind w:left="0" w:firstLine="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The supposed inhabitants of the Otherworld are very similar in both Welsh and Irish culture. The common mythological creatures that these communities told stories of, all provide a glimpse into how the Brittonics and Gaelics celebrated their land and history. There is a shared belief that the land is timeless and sacred, while also being the explanation for life and death. For example, the Aos Sí and Tylwyth Teg are both portrayed as fairy-like creatures who bridge the natural and supernatural worlds. The stories of these beings strengthen the conviction that the Otherworld, the land, and the nature that encompasses it, is sacred and contains spiritual significance. Juliette Wood examines this topic in her book </w:t>
      </w:r>
      <w:r w:rsidDel="00000000" w:rsidR="00000000" w:rsidRPr="00000000">
        <w:rPr>
          <w:rFonts w:ascii="Times New Roman" w:cs="Times New Roman" w:eastAsia="Times New Roman" w:hAnsi="Times New Roman"/>
          <w:i w:val="1"/>
          <w:iCs w:val="1"/>
          <w:color w:val="2c2c2c"/>
          <w:sz w:val="24"/>
          <w:szCs w:val="24"/>
          <w:highlight w:val="white"/>
          <w:rtl w:val="0"/>
        </w:rPr>
        <w:t xml:space="preserve">The Celts: life, myth, and art.</w:t>
      </w:r>
      <w:r w:rsidDel="00000000" w:rsidR="00000000" w:rsidRPr="00000000">
        <w:rPr>
          <w:rFonts w:ascii="Times New Roman" w:cs="Times New Roman" w:eastAsia="Times New Roman" w:hAnsi="Times New Roman"/>
          <w:i w:val="1"/>
          <w:iCs w:val="1"/>
          <w:color w:val="2c2c2c"/>
          <w:sz w:val="24"/>
          <w:szCs w:val="24"/>
          <w:highlight w:val="white"/>
          <w:vertAlign w:val="superscript"/>
        </w:rPr>
        <w:footnoteReference w:customMarkFollows="0" w:id="8"/>
      </w:r>
      <w:r w:rsidDel="00000000" w:rsidR="00000000" w:rsidRPr="00000000">
        <w:rPr>
          <w:rFonts w:ascii="Times New Roman" w:cs="Times New Roman" w:eastAsia="Times New Roman" w:hAnsi="Times New Roman"/>
          <w:i w:val="1"/>
          <w:iCs w:val="1"/>
          <w:color w:val="2a2a2a"/>
          <w:sz w:val="24"/>
          <w:szCs w:val="24"/>
          <w:highlight w:val="white"/>
          <w:rtl w:val="0"/>
        </w:rPr>
        <w:t xml:space="preserve"> </w:t>
      </w:r>
      <w:r w:rsidDel="00000000" w:rsidR="00000000" w:rsidRPr="00000000">
        <w:rPr>
          <w:rFonts w:ascii="Times New Roman" w:cs="Times New Roman" w:eastAsia="Times New Roman" w:hAnsi="Times New Roman"/>
          <w:color w:val="2a2a2a"/>
          <w:sz w:val="24"/>
          <w:szCs w:val="24"/>
          <w:highlight w:val="white"/>
          <w:rtl w:val="0"/>
        </w:rPr>
        <w:t xml:space="preserve">stating that “While storytellers often located these mysterious and beautiful worlds within the ancient burial sites, known in Irish as </w:t>
      </w:r>
      <w:r w:rsidDel="00000000" w:rsidR="00000000" w:rsidRPr="00000000">
        <w:rPr>
          <w:rFonts w:ascii="Times New Roman" w:cs="Times New Roman" w:eastAsia="Times New Roman" w:hAnsi="Times New Roman"/>
          <w:i w:val="1"/>
          <w:iCs w:val="1"/>
          <w:color w:val="2a2a2a"/>
          <w:sz w:val="24"/>
          <w:szCs w:val="24"/>
          <w:highlight w:val="white"/>
          <w:rtl w:val="0"/>
        </w:rPr>
        <w:t xml:space="preserve">sidhe</w:t>
      </w:r>
      <w:r w:rsidDel="00000000" w:rsidR="00000000" w:rsidRPr="00000000">
        <w:rPr>
          <w:rFonts w:ascii="Times New Roman" w:cs="Times New Roman" w:eastAsia="Times New Roman" w:hAnsi="Times New Roman"/>
          <w:color w:val="2a2a2a"/>
          <w:sz w:val="24"/>
          <w:szCs w:val="24"/>
          <w:highlight w:val="white"/>
          <w:rtl w:val="0"/>
        </w:rPr>
        <w:t xml:space="preserve"> ("fairy mounds"[...]), they also envisaged idyllic Otherworld islands beyond great stretches of sea.” (Wood, 67) Wood claims that the Gaelics wrote stories about traveling into the otherworld  in order to demonstrate honor and the preservation of nature.</w:t>
      </w:r>
    </w:p>
    <w:p w:rsidR="00000000" w:rsidDel="00000000" w:rsidP="00000000" w:rsidRDefault="00000000" w:rsidRPr="00000000" w14:paraId="00000014">
      <w:pPr>
        <w:spacing w:line="480" w:lineRule="auto"/>
        <w:ind w:left="720" w:firstLine="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Irish tales known as </w:t>
      </w:r>
      <w:r w:rsidDel="00000000" w:rsidR="00000000" w:rsidRPr="00000000">
        <w:rPr>
          <w:rFonts w:ascii="Times New Roman" w:cs="Times New Roman" w:eastAsia="Times New Roman" w:hAnsi="Times New Roman"/>
          <w:i w:val="1"/>
          <w:iCs w:val="1"/>
          <w:color w:val="2a2a2a"/>
          <w:sz w:val="24"/>
          <w:szCs w:val="24"/>
          <w:highlight w:val="white"/>
          <w:rtl w:val="0"/>
        </w:rPr>
        <w:t xml:space="preserve">immrama</w:t>
      </w:r>
      <w:r w:rsidDel="00000000" w:rsidR="00000000" w:rsidRPr="00000000">
        <w:rPr>
          <w:rFonts w:ascii="Times New Roman" w:cs="Times New Roman" w:eastAsia="Times New Roman" w:hAnsi="Times New Roman"/>
          <w:color w:val="2a2a2a"/>
          <w:sz w:val="24"/>
          <w:szCs w:val="24"/>
          <w:highlight w:val="white"/>
          <w:rtl w:val="0"/>
        </w:rPr>
        <w:t xml:space="preserve"> describe sea voyages to the Otherworld in which small bands of heroes or holy men visit a series of islands where mysterious intellect and bravery. Some islands are haunted by strange beasts such as monster cats; some contain springs pouring and ever- fruitful trees filled with exotic birds; others are inhabited by beautiful Otherworld women. (Wood, 67-68) </w:t>
      </w:r>
    </w:p>
    <w:p w:rsidR="00000000" w:rsidDel="00000000" w:rsidP="00000000" w:rsidRDefault="00000000" w:rsidRPr="00000000" w14:paraId="00000015">
      <w:pPr>
        <w:spacing w:line="480" w:lineRule="auto"/>
        <w:ind w:left="0" w:firstLine="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An Irish tale that matches the narration that Wood provided is </w:t>
      </w:r>
      <w:r w:rsidDel="00000000" w:rsidR="00000000" w:rsidRPr="00000000">
        <w:rPr>
          <w:rFonts w:ascii="Times New Roman" w:cs="Times New Roman" w:eastAsia="Times New Roman" w:hAnsi="Times New Roman"/>
          <w:i w:val="1"/>
          <w:iCs w:val="1"/>
          <w:color w:val="2c2c2c"/>
          <w:sz w:val="24"/>
          <w:szCs w:val="24"/>
          <w:highlight w:val="white"/>
          <w:rtl w:val="0"/>
        </w:rPr>
        <w:t xml:space="preserve">The voyage of Bran, son of Febal, to the land of the living; an old Irish saga, </w:t>
      </w:r>
      <w:r w:rsidDel="00000000" w:rsidR="00000000" w:rsidRPr="00000000">
        <w:rPr>
          <w:rFonts w:ascii="Times New Roman" w:cs="Times New Roman" w:eastAsia="Times New Roman" w:hAnsi="Times New Roman"/>
          <w:color w:val="2c2c2c"/>
          <w:sz w:val="24"/>
          <w:szCs w:val="24"/>
          <w:highlight w:val="white"/>
          <w:rtl w:val="0"/>
        </w:rPr>
        <w:t xml:space="preserve">edited and translated by Kuno Meyer.</w:t>
      </w:r>
      <w:r w:rsidDel="00000000" w:rsidR="00000000" w:rsidRPr="00000000">
        <w:rPr>
          <w:rFonts w:ascii="Times New Roman" w:cs="Times New Roman" w:eastAsia="Times New Roman" w:hAnsi="Times New Roman"/>
          <w:color w:val="2c2c2c"/>
          <w:sz w:val="24"/>
          <w:szCs w:val="24"/>
          <w:highlight w:val="white"/>
          <w:vertAlign w:val="superscript"/>
        </w:rPr>
        <w:footnoteReference w:customMarkFollows="0" w:id="9"/>
      </w:r>
      <w:r w:rsidDel="00000000" w:rsidR="00000000" w:rsidRPr="00000000">
        <w:rPr>
          <w:rFonts w:ascii="Times New Roman" w:cs="Times New Roman" w:eastAsia="Times New Roman" w:hAnsi="Times New Roman"/>
          <w:color w:val="2c2c2c"/>
          <w:sz w:val="24"/>
          <w:szCs w:val="24"/>
          <w:highlight w:val="white"/>
          <w:rtl w:val="0"/>
        </w:rPr>
        <w:t xml:space="preserve"> </w:t>
      </w:r>
      <w:r w:rsidDel="00000000" w:rsidR="00000000" w:rsidRPr="00000000">
        <w:rPr>
          <w:rFonts w:ascii="Times New Roman" w:cs="Times New Roman" w:eastAsia="Times New Roman" w:hAnsi="Times New Roman"/>
          <w:color w:val="2a2a2a"/>
          <w:sz w:val="24"/>
          <w:szCs w:val="24"/>
          <w:highlight w:val="white"/>
          <w:rtl w:val="0"/>
        </w:rPr>
        <w:t xml:space="preserve">The story follows a young king who becomes infatuated by a woman from the Otherworld and builds a ship to travel to her island. Bran and his crewmates are met with unusual challenges that lead them to realize that they have been deceived. This story is not only important for the Otherworldy aspects it contains, but for one of the characters that appears in the story, Mananan Mac Lir. This character of Irish myth and religion is also present in Welsh tales of the Otherworld, further showing the connection between the Gaelics and the Brittonics. </w:t>
      </w:r>
    </w:p>
    <w:p w:rsidR="00000000" w:rsidDel="00000000" w:rsidP="00000000" w:rsidRDefault="00000000" w:rsidRPr="00000000" w14:paraId="00000016">
      <w:pPr>
        <w:spacing w:line="480" w:lineRule="auto"/>
        <w:ind w:left="720" w:firstLine="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When he had been at sea two days and two nights, he saw a man in a chariot coming towards him over the sea. That man also sang thirty 3 other quatrains to him, and made himself known to him, and said that he was Manannan the son of Ler, and said that it was upon him to go to Ireland after long ages, and that a son would be born to him, even Mongan son of Fiachna-that was the name which would be upon him. (Meyer, 16)</w:t>
      </w:r>
    </w:p>
    <w:p w:rsidR="00000000" w:rsidDel="00000000" w:rsidP="00000000" w:rsidRDefault="00000000" w:rsidRPr="00000000" w14:paraId="00000017">
      <w:pPr>
        <w:spacing w:line="480" w:lineRule="auto"/>
        <w:ind w:left="0" w:firstLine="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In </w:t>
      </w:r>
      <w:r w:rsidDel="00000000" w:rsidR="00000000" w:rsidRPr="00000000">
        <w:rPr>
          <w:rFonts w:ascii="Times New Roman" w:cs="Times New Roman" w:eastAsia="Times New Roman" w:hAnsi="Times New Roman"/>
          <w:i w:val="1"/>
          <w:iCs w:val="1"/>
          <w:color w:val="2a2a2a"/>
          <w:sz w:val="24"/>
          <w:szCs w:val="24"/>
          <w:highlight w:val="white"/>
          <w:rtl w:val="0"/>
        </w:rPr>
        <w:t xml:space="preserve">The Four Branches of the Mabinogi</w:t>
      </w:r>
      <w:r w:rsidDel="00000000" w:rsidR="00000000" w:rsidRPr="00000000">
        <w:rPr>
          <w:rFonts w:ascii="Times New Roman" w:cs="Times New Roman" w:eastAsia="Times New Roman" w:hAnsi="Times New Roman"/>
          <w:color w:val="2a2a2a"/>
          <w:sz w:val="24"/>
          <w:szCs w:val="24"/>
          <w:highlight w:val="white"/>
          <w:rtl w:val="0"/>
        </w:rPr>
        <w:t xml:space="preserve">, Manawydan fab Llŷr is a very similar character to Mananan Mac Lir. This character appears in the second and third branches of the story with a different background, but with the same Otherworldly attributes. Patrick K. Ford’s </w:t>
      </w:r>
      <w:r w:rsidDel="00000000" w:rsidR="00000000" w:rsidRPr="00000000">
        <w:rPr>
          <w:rFonts w:ascii="Times New Roman" w:cs="Times New Roman" w:eastAsia="Times New Roman" w:hAnsi="Times New Roman"/>
          <w:i w:val="1"/>
          <w:iCs w:val="1"/>
          <w:sz w:val="24"/>
          <w:szCs w:val="24"/>
          <w:highlight w:val="white"/>
          <w:rtl w:val="0"/>
        </w:rPr>
        <w:t xml:space="preserve">The Mabinogi and Other Medieval Welsh Tales</w:t>
      </w:r>
      <w:r w:rsidDel="00000000" w:rsidR="00000000" w:rsidRPr="00000000">
        <w:rPr>
          <w:rFonts w:ascii="Times New Roman" w:cs="Times New Roman" w:eastAsia="Times New Roman" w:hAnsi="Times New Roman"/>
          <w:i w:val="1"/>
          <w:iCs w:val="1"/>
          <w:sz w:val="24"/>
          <w:szCs w:val="24"/>
          <w:highlight w:val="white"/>
          <w:vertAlign w:val="superscript"/>
        </w:rPr>
        <w:footnoteReference w:customMarkFollows="0" w:id="10"/>
      </w:r>
      <w:r w:rsidDel="00000000" w:rsidR="00000000" w:rsidRPr="00000000">
        <w:rPr>
          <w:rFonts w:ascii="Times New Roman" w:cs="Times New Roman" w:eastAsia="Times New Roman" w:hAnsi="Times New Roman"/>
          <w:i w:val="1"/>
          <w:iCs w:val="1"/>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says that Manawydan fab </w:t>
      </w:r>
      <w:r w:rsidDel="00000000" w:rsidR="00000000" w:rsidRPr="00000000">
        <w:rPr>
          <w:rFonts w:ascii="Times New Roman" w:cs="Times New Roman" w:eastAsia="Times New Roman" w:hAnsi="Times New Roman"/>
          <w:color w:val="2a2a2a"/>
          <w:sz w:val="24"/>
          <w:szCs w:val="24"/>
          <w:highlight w:val="white"/>
          <w:rtl w:val="0"/>
        </w:rPr>
        <w:t xml:space="preserve">Llŷr “</w:t>
      </w:r>
      <w:r w:rsidDel="00000000" w:rsidR="00000000" w:rsidRPr="00000000">
        <w:rPr>
          <w:rFonts w:ascii="Times New Roman" w:cs="Times New Roman" w:eastAsia="Times New Roman" w:hAnsi="Times New Roman"/>
          <w:color w:val="2a2a2a"/>
          <w:sz w:val="24"/>
          <w:szCs w:val="24"/>
          <w:highlight w:val="white"/>
          <w:rtl w:val="0"/>
        </w:rPr>
        <w:t xml:space="preserve">is a retiring, conciliatory figure, closely  resembling Rhiannon’s husband in the first branch. He has no desire for land (though it is entirely possible that this alienation from land reflects his essen-tial marine nature),[...])” (Ford, 72) A common theme between Manawydan and Mananan that goes beyond the Otherworld , is their connection with the sea. They are both preserved in Brittonic and Gaelic literature as travelling by sea and being closely related to gods and goddesses. While the details of Manawydan and Mananan’s voyages differ in many ways, their commonalities exemplify how even with the influence of the Romans, the Irish and Welsh mythologies continued to endure. </w:t>
      </w:r>
    </w:p>
    <w:p w:rsidR="00000000" w:rsidDel="00000000" w:rsidP="00000000" w:rsidRDefault="00000000" w:rsidRPr="00000000" w14:paraId="00000018">
      <w:pPr>
        <w:spacing w:line="480" w:lineRule="auto"/>
        <w:ind w:left="720" w:firstLine="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It would be strange had the Irish, whose fortunes were so permanently bound up with the seas around them, not known a god who claimed the sea for his special realm. In fact the indications are that they may have known several such deities, but of these the only one adequately documented is Manannán mac Lir, whose patronymic means literally</w:t>
      </w:r>
    </w:p>
    <w:p w:rsidR="00000000" w:rsidDel="00000000" w:rsidP="00000000" w:rsidRDefault="00000000" w:rsidRPr="00000000" w14:paraId="00000019">
      <w:pPr>
        <w:spacing w:line="480" w:lineRule="auto"/>
        <w:ind w:left="720" w:firstLine="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'son of the sea'. His name is related to that of the Isle of Man, and the waters with which he is particularly associated are those between north-east Ireland and Britain. He had, moreover, a near namesake in Britain: the names Manannán mac Lir and Manawydan fab Llyr form a close, though not an exact, correspondence. (Mac Cana, 69) </w:t>
      </w:r>
    </w:p>
    <w:p w:rsidR="00000000" w:rsidDel="00000000" w:rsidP="00000000" w:rsidRDefault="00000000" w:rsidRPr="00000000" w14:paraId="0000001A">
      <w:pPr>
        <w:spacing w:line="480" w:lineRule="auto"/>
        <w:ind w:left="0" w:firstLine="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The Brittonic’s and the Gael’s had a shared appreciation for nature and the Earth that was seen in their mythologies. They viewed mountains, rivers, and other significant landmarks as sanctified. These communities would perform rituals and worship their deities in the forest, often including nature itself as a focal point. “The Greeks and Romans, who built elaborate temples, marveled that Celtic deities were worshipped at simple open-air shrines or in plain forest clearings.”  (Wood, 27) These outdoor spaces that the Irish and Welsh resided in, were also used for meetings and other domestic activities. Sometimes religious events and practices would occur among bodies of water, as they believed the veil between the natural and supernatural worlds was thin here. </w:t>
      </w:r>
    </w:p>
    <w:p w:rsidR="00000000" w:rsidDel="00000000" w:rsidP="00000000" w:rsidRDefault="00000000" w:rsidRPr="00000000" w14:paraId="0000001B">
      <w:pPr>
        <w:spacing w:line="480" w:lineRule="auto"/>
        <w:ind w:left="720" w:firstLine="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The association between water and spiritual power is evident in Europe as early as the Bronze age, and veneration for water became a hallmark of Celtic religion. [...] For the ancient Celts, there was no clear distinction between the practice of medicine and healing by supernatural means. A great deal of trust was placed in the curative powers of springs, which often became the sites of great sanctuaries. (Wood, 34) </w:t>
      </w:r>
    </w:p>
    <w:p w:rsidR="00000000" w:rsidDel="00000000" w:rsidP="00000000" w:rsidRDefault="00000000" w:rsidRPr="00000000" w14:paraId="0000001C">
      <w:pPr>
        <w:spacing w:line="480" w:lineRule="auto"/>
        <w:ind w:left="0" w:firstLine="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The water that surrounded the tribes of the Brittonics and Gaelics was a source of healing and wisdom for them. They associated the flowing passageways as ritual sites that nurtured and provided throughout their lives. “Areas such as Snowdonia in Gwynedd, north Wales, are the settings for numerous Celtic folk traditions: the deep, mysterious lakes may lead to Otherworld realms while mountains represent places of sanctuary or the sites of heroic fights with marauding giants.” (Wood, 39)  Archeological evidence provides a glimpse into what rituals were performed at the different bodies of water and by who. Examples of this evidence include, daggers, cauldrons, and pendants that have been found at the bottom of lakes throughout Ireland and Wales. “Among the items offered to water divinities were cauldrons. These prestigious objects had mythological associations-  the "Cauldron of Rebirth," which restored the dead to life in the medieval Welsh </w:t>
      </w:r>
      <w:r w:rsidDel="00000000" w:rsidR="00000000" w:rsidRPr="00000000">
        <w:rPr>
          <w:rFonts w:ascii="Times New Roman" w:cs="Times New Roman" w:eastAsia="Times New Roman" w:hAnsi="Times New Roman"/>
          <w:i w:val="1"/>
          <w:iCs w:val="1"/>
          <w:color w:val="2a2a2a"/>
          <w:sz w:val="24"/>
          <w:szCs w:val="24"/>
          <w:highlight w:val="white"/>
          <w:rtl w:val="0"/>
        </w:rPr>
        <w:t xml:space="preserve">Mabinogi</w:t>
      </w:r>
      <w:r w:rsidDel="00000000" w:rsidR="00000000" w:rsidRPr="00000000">
        <w:rPr>
          <w:rFonts w:ascii="Times New Roman" w:cs="Times New Roman" w:eastAsia="Times New Roman" w:hAnsi="Times New Roman"/>
          <w:color w:val="2a2a2a"/>
          <w:sz w:val="24"/>
          <w:szCs w:val="24"/>
          <w:highlight w:val="white"/>
          <w:rtl w:val="0"/>
        </w:rPr>
        <w:t xml:space="preserve">, is said to have emerged from a lake.” (Wood, 37) </w:t>
      </w:r>
    </w:p>
    <w:p w:rsidR="00000000" w:rsidDel="00000000" w:rsidP="00000000" w:rsidRDefault="00000000" w:rsidRPr="00000000" w14:paraId="0000001D">
      <w:pPr>
        <w:spacing w:line="480" w:lineRule="auto"/>
        <w:ind w:left="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Along with water and forest sites, there is evidence of a great appreciation for animals. Stags, hounds, and other animals were thought to have been passengers from the Otherworld. Their images were carved onto offerings and other objects for rituals. Images of animals were also included on manuscripts as symbols of messages and motifs. Examples of these artifacts are items such as the </w:t>
      </w:r>
      <w:r w:rsidDel="00000000" w:rsidR="00000000" w:rsidRPr="00000000">
        <w:rPr>
          <w:rFonts w:ascii="Times New Roman" w:cs="Times New Roman" w:eastAsia="Times New Roman" w:hAnsi="Times New Roman"/>
          <w:i w:val="1"/>
          <w:iCs w:val="1"/>
          <w:color w:val="2a2a2a"/>
          <w:sz w:val="24"/>
          <w:szCs w:val="24"/>
          <w:highlight w:val="white"/>
          <w:rtl w:val="0"/>
        </w:rPr>
        <w:t xml:space="preserve">Brazen Beasts </w:t>
      </w:r>
      <w:r w:rsidDel="00000000" w:rsidR="00000000" w:rsidRPr="00000000">
        <w:rPr>
          <w:rFonts w:ascii="Times New Roman" w:cs="Times New Roman" w:eastAsia="Times New Roman" w:hAnsi="Times New Roman"/>
          <w:color w:val="2a2a2a"/>
          <w:sz w:val="24"/>
          <w:szCs w:val="24"/>
          <w:highlight w:val="white"/>
          <w:rtl w:val="0"/>
        </w:rPr>
        <w:t xml:space="preserve">figurines in the National Museum of Ireland and the </w:t>
      </w:r>
      <w:r w:rsidDel="00000000" w:rsidR="00000000" w:rsidRPr="00000000">
        <w:rPr>
          <w:rFonts w:ascii="Times New Roman" w:cs="Times New Roman" w:eastAsia="Times New Roman" w:hAnsi="Times New Roman"/>
          <w:i w:val="1"/>
          <w:iCs w:val="1"/>
          <w:sz w:val="24"/>
          <w:szCs w:val="24"/>
          <w:highlight w:val="white"/>
          <w:rtl w:val="0"/>
        </w:rPr>
        <w:t xml:space="preserve">Capel Garmon Firedog</w:t>
      </w:r>
      <w:r w:rsidDel="00000000" w:rsidR="00000000" w:rsidRPr="00000000">
        <w:rPr>
          <w:rFonts w:ascii="Times New Roman" w:cs="Times New Roman" w:eastAsia="Times New Roman" w:hAnsi="Times New Roman"/>
          <w:sz w:val="24"/>
          <w:szCs w:val="24"/>
          <w:highlight w:val="white"/>
          <w:rtl w:val="0"/>
        </w:rPr>
        <w:t xml:space="preserve"> in St. Fagans National Museum of History. </w:t>
      </w:r>
      <w:r w:rsidDel="00000000" w:rsidR="00000000" w:rsidRPr="00000000">
        <w:rPr>
          <w:rtl w:val="0"/>
        </w:rPr>
      </w:r>
    </w:p>
    <w:p w:rsidR="00000000" w:rsidDel="00000000" w:rsidP="00000000" w:rsidRDefault="00000000" w:rsidRPr="00000000" w14:paraId="0000001E">
      <w:pPr>
        <w:spacing w:line="480" w:lineRule="auto"/>
        <w:ind w:left="0" w:firstLine="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Constructed sites of spiritual importance were found in Brittonic and Gaelic tribes as well. One of the most notable being</w:t>
      </w:r>
      <w:r w:rsidDel="00000000" w:rsidR="00000000" w:rsidRPr="00000000">
        <w:rPr>
          <w:rFonts w:ascii="Times New Roman" w:cs="Times New Roman" w:eastAsia="Times New Roman" w:hAnsi="Times New Roman"/>
          <w:color w:val="2a2a2a"/>
          <w:sz w:val="24"/>
          <w:szCs w:val="24"/>
          <w:highlight w:val="white"/>
          <w:rtl w:val="0"/>
        </w:rPr>
        <w:t xml:space="preserve"> Wells. They were a prominent source of water that was included in their traditions. These Wells were visited for spiritual transformation and for offering or pilgrimage sites. They were enclosed spaces that were seen as bridges between the natural and supernatural world. The shared appreciation for rituals and healing at these sacred Wells, extends from mythological and supernatural beliefs, and  into beliefs that stem from the rising popularity and influence of Christianity. As polytheism was being dissolved, the Wells began to play an important part in recognizing Catholic saints across Ireland and Wales. The Wells continued to be places of offerings and healing, but in honor of Catholic figures rather than beings and symbols from the Otherworld. This is introduced in Ronan Foley’s article </w:t>
      </w:r>
      <w:r w:rsidDel="00000000" w:rsidR="00000000" w:rsidRPr="00000000">
        <w:rPr>
          <w:rFonts w:ascii="Times New Roman" w:cs="Times New Roman" w:eastAsia="Times New Roman" w:hAnsi="Times New Roman"/>
          <w:i w:val="1"/>
          <w:iCs w:val="1"/>
          <w:color w:val="2a2a2a"/>
          <w:sz w:val="24"/>
          <w:szCs w:val="24"/>
          <w:highlight w:val="white"/>
          <w:rtl w:val="0"/>
        </w:rPr>
        <w:t xml:space="preserve">Small health pilgrimages: Places and practice at the holy well</w:t>
      </w:r>
      <w:r w:rsidDel="00000000" w:rsidR="00000000" w:rsidRPr="00000000">
        <w:rPr>
          <w:rFonts w:ascii="Times New Roman" w:cs="Times New Roman" w:eastAsia="Times New Roman" w:hAnsi="Times New Roman"/>
          <w:color w:val="2a2a2a"/>
          <w:sz w:val="24"/>
          <w:szCs w:val="24"/>
          <w:highlight w:val="white"/>
          <w:rtl w:val="0"/>
        </w:rPr>
        <w:t xml:space="preserve">.</w:t>
      </w:r>
      <w:r w:rsidDel="00000000" w:rsidR="00000000" w:rsidRPr="00000000">
        <w:rPr>
          <w:rFonts w:ascii="Times New Roman" w:cs="Times New Roman" w:eastAsia="Times New Roman" w:hAnsi="Times New Roman"/>
          <w:color w:val="2a2a2a"/>
          <w:sz w:val="24"/>
          <w:szCs w:val="24"/>
          <w:highlight w:val="white"/>
          <w:vertAlign w:val="superscript"/>
        </w:rPr>
        <w:footnoteReference w:customMarkFollows="0" w:id="11"/>
      </w:r>
      <w:r w:rsidDel="00000000" w:rsidR="00000000" w:rsidRPr="00000000">
        <w:rPr>
          <w:rFonts w:ascii="Times New Roman" w:cs="Times New Roman" w:eastAsia="Times New Roman" w:hAnsi="Times New Roman"/>
          <w:color w:val="2a2a2a"/>
          <w:sz w:val="24"/>
          <w:szCs w:val="24"/>
          <w:highlight w:val="white"/>
          <w:rtl w:val="0"/>
        </w:rPr>
        <w:t xml:space="preserve">  </w:t>
      </w:r>
    </w:p>
    <w:p w:rsidR="00000000" w:rsidDel="00000000" w:rsidP="00000000" w:rsidRDefault="00000000" w:rsidRPr="00000000" w14:paraId="0000001F">
      <w:pPr>
        <w:spacing w:line="480" w:lineRule="auto"/>
        <w:ind w:left="720" w:firstLine="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As sites of small pilgrimage, holy wells have complex and ambivalent histories. Some were originally of contested pagan origin, others were then subsumed into a still semipaganised Celtic Christian theology/practice and finally, more formally catholicised with the creation of an independent Ireland. (Foley, 48) </w:t>
      </w:r>
    </w:p>
    <w:p w:rsidR="00000000" w:rsidDel="00000000" w:rsidP="00000000" w:rsidRDefault="00000000" w:rsidRPr="00000000" w14:paraId="00000020">
      <w:pPr>
        <w:spacing w:line="480" w:lineRule="auto"/>
        <w:ind w:left="0" w:firstLine="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The arrival of Christianity did not erase early Brittonic and Gaelic traditions and instead was slowly blended within them. The wells, springs, and forests that were associated with the Otherworld were still valued and seen as sacred spaces, but with a different meaning placed behind them. The expansion of the Christian faith further demonstrates the link between the Brittonics and Gaelic communities by the introduction of saints and monasteries.  Examples include key figures such as St. Patrick and St. David who were celebrated throughout Ireland and Wales. This allowed for new opportunities for communication and interaction between the Brittonics and Gaelics. As pilgrimage to monasteries and other Christian sites became more popular, the more that special relationship between the two communities grew. The exchange of religious manuscripts and the interactions between religious leaders highlighted how religion became another key aspect in the relationship between the Brittonic and Gaelic groups. It was an era of transition and communication that greatly strengthened the bond between the residents of Wales, Ireland, and other Brittonic and Gaelic areas.  </w:t>
      </w:r>
    </w:p>
    <w:p w:rsidR="00000000" w:rsidDel="00000000" w:rsidP="00000000" w:rsidRDefault="00000000" w:rsidRPr="00000000" w14:paraId="00000021">
      <w:pPr>
        <w:spacing w:line="480" w:lineRule="auto"/>
        <w:ind w:left="0" w:firstLine="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The social structures of nobility and inheritance, the mythological literature, an appreciation for the natural world, and shared religious practices established a unique relationship between the Brittonic and Gaelic speaking communities. Often named under the “Celtic” umbrella, these two groups had growing ties that linked them closer together. They valued sacred landscapes and kinship societies. They adapted to Christianity while maintaining an appreciation for the mythology that they created. The existence of these similarities shows an almost unified cultural identity and tradition between the Brittonics and Gaelics of the medieval period. </w:t>
      </w:r>
    </w:p>
    <w:p w:rsidR="00000000" w:rsidDel="00000000" w:rsidP="00000000" w:rsidRDefault="00000000" w:rsidRPr="00000000" w14:paraId="00000022">
      <w:pPr>
        <w:spacing w:line="480" w:lineRule="auto"/>
        <w:ind w:left="1440" w:firstLine="720"/>
        <w:rPr>
          <w:rFonts w:ascii="Times New Roman" w:cs="Times New Roman" w:eastAsia="Times New Roman" w:hAnsi="Times New Roman"/>
          <w:color w:val="2a2a2a"/>
          <w:sz w:val="24"/>
          <w:szCs w:val="24"/>
          <w:highlight w:val="white"/>
        </w:rPr>
      </w:pPr>
      <w:r w:rsidDel="00000000" w:rsidR="00000000" w:rsidRPr="00000000">
        <w:rPr>
          <w:rtl w:val="0"/>
        </w:rPr>
      </w:r>
    </w:p>
    <w:p w:rsidR="00000000" w:rsidDel="00000000" w:rsidP="00000000" w:rsidRDefault="00000000" w:rsidRPr="00000000" w14:paraId="00000023">
      <w:pPr>
        <w:spacing w:line="480" w:lineRule="auto"/>
        <w:ind w:left="720" w:firstLine="0"/>
        <w:rPr>
          <w:rFonts w:ascii="Times New Roman" w:cs="Times New Roman" w:eastAsia="Times New Roman" w:hAnsi="Times New Roman"/>
          <w:color w:val="2a2a2a"/>
          <w:sz w:val="24"/>
          <w:szCs w:val="24"/>
          <w:highlight w:val="white"/>
        </w:rPr>
      </w:pPr>
      <w:r w:rsidDel="00000000" w:rsidR="00000000" w:rsidRPr="00000000">
        <w:rPr>
          <w:rtl w:val="0"/>
        </w:rPr>
      </w:r>
    </w:p>
    <w:p w:rsidR="00000000" w:rsidDel="00000000" w:rsidP="00000000" w:rsidRDefault="00000000" w:rsidRPr="00000000" w14:paraId="00000024">
      <w:pPr>
        <w:spacing w:line="480" w:lineRule="auto"/>
        <w:ind w:left="720" w:firstLine="720"/>
        <w:rPr>
          <w:rFonts w:ascii="Times New Roman" w:cs="Times New Roman" w:eastAsia="Times New Roman" w:hAnsi="Times New Roman"/>
          <w:color w:val="2a2a2a"/>
          <w:sz w:val="24"/>
          <w:szCs w:val="24"/>
          <w:highlight w:val="white"/>
        </w:rPr>
      </w:pPr>
      <w:r w:rsidDel="00000000" w:rsidR="00000000" w:rsidRPr="00000000">
        <w:rPr>
          <w:rtl w:val="0"/>
        </w:rPr>
      </w:r>
    </w:p>
    <w:p w:rsidR="00000000" w:rsidDel="00000000" w:rsidP="00000000" w:rsidRDefault="00000000" w:rsidRPr="00000000" w14:paraId="00000025">
      <w:pPr>
        <w:spacing w:line="480" w:lineRule="auto"/>
        <w:ind w:left="0" w:firstLine="720"/>
        <w:rPr>
          <w:rFonts w:ascii="Times New Roman" w:cs="Times New Roman" w:eastAsia="Times New Roman" w:hAnsi="Times New Roman"/>
          <w:color w:val="2a2a2a"/>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26">
      <w:pPr>
        <w:spacing w:line="480" w:lineRule="auto"/>
        <w:ind w:left="0" w:firstLine="0"/>
        <w:jc w:val="center"/>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Works Cited </w:t>
      </w:r>
    </w:p>
    <w:p w:rsidR="00000000" w:rsidDel="00000000" w:rsidP="00000000" w:rsidRDefault="00000000" w:rsidRPr="00000000" w14:paraId="00000027">
      <w:pPr>
        <w:spacing w:line="24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Cunliffe, Barry W. </w:t>
      </w:r>
      <w:r w:rsidDel="00000000" w:rsidR="00000000" w:rsidRPr="00000000">
        <w:rPr>
          <w:rFonts w:ascii="Times New Roman" w:cs="Times New Roman" w:eastAsia="Times New Roman" w:hAnsi="Times New Roman"/>
          <w:i w:val="1"/>
          <w:iCs w:val="1"/>
          <w:sz w:val="24"/>
          <w:szCs w:val="24"/>
          <w:rtl w:val="0"/>
        </w:rPr>
        <w:t xml:space="preserve">The Ancient Celts</w:t>
      </w:r>
      <w:r w:rsidDel="00000000" w:rsidR="00000000" w:rsidRPr="00000000">
        <w:rPr>
          <w:rFonts w:ascii="Times New Roman" w:cs="Times New Roman" w:eastAsia="Times New Roman" w:hAnsi="Times New Roman"/>
          <w:sz w:val="24"/>
          <w:szCs w:val="24"/>
          <w:rtl w:val="0"/>
        </w:rPr>
        <w:t xml:space="preserve">. Oxford University Press, 2018, </w:t>
      </w:r>
      <w:r w:rsidDel="00000000" w:rsidR="00000000" w:rsidRPr="00000000">
        <w:rPr>
          <w:rFonts w:ascii="Times New Roman" w:cs="Times New Roman" w:eastAsia="Times New Roman" w:hAnsi="Times New Roman"/>
          <w:i w:val="1"/>
          <w:iCs w:val="1"/>
          <w:sz w:val="24"/>
          <w:szCs w:val="24"/>
          <w:rtl w:val="0"/>
        </w:rPr>
        <w:t xml:space="preserve">Oxford University Press Preview</w:t>
      </w:r>
      <w:r w:rsidDel="00000000" w:rsidR="00000000" w:rsidRPr="00000000">
        <w:rPr>
          <w:rFonts w:ascii="Times New Roman" w:cs="Times New Roman" w:eastAsia="Times New Roman" w:hAnsi="Times New Roman"/>
          <w:sz w:val="24"/>
          <w:szCs w:val="24"/>
          <w:rtl w:val="0"/>
        </w:rPr>
        <w:t xml:space="preserve">, https://api.pageplace.de/preview/DT0400.9780191067211_A35116654/preview-9780191067211_A35116654.pdf?</w:t>
      </w:r>
    </w:p>
    <w:p w:rsidR="00000000" w:rsidDel="00000000" w:rsidP="00000000" w:rsidRDefault="00000000" w:rsidRPr="00000000" w14:paraId="00000028">
      <w:pPr>
        <w:spacing w:line="240" w:lineRule="auto"/>
        <w:ind w:left="720"/>
        <w:rPr>
          <w:rFonts w:ascii="Times New Roman" w:cs="Times New Roman" w:eastAsia="Times New Roman" w:hAnsi="Times New Roman"/>
          <w:color w:val="2a2a2a"/>
          <w:sz w:val="24"/>
          <w:szCs w:val="24"/>
          <w:highlight w:val="white"/>
        </w:rPr>
      </w:pPr>
      <w:r w:rsidDel="00000000" w:rsidR="00000000" w:rsidRPr="00000000">
        <w:rPr>
          <w:rtl w:val="0"/>
        </w:rPr>
      </w:r>
    </w:p>
    <w:p w:rsidR="00000000" w:rsidDel="00000000" w:rsidP="00000000" w:rsidRDefault="00000000" w:rsidRPr="00000000" w14:paraId="00000029">
      <w:pPr>
        <w:spacing w:line="240" w:lineRule="auto"/>
        <w:ind w:left="72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2a2a2a"/>
          <w:sz w:val="24"/>
          <w:szCs w:val="24"/>
          <w:highlight w:val="white"/>
          <w:rtl w:val="0"/>
        </w:rPr>
        <w:t xml:space="preserve">CHARLES-EDWARDS, T. M., 'Kinship and Lordship in Wales', </w:t>
      </w:r>
      <w:r w:rsidDel="00000000" w:rsidR="00000000" w:rsidRPr="00000000">
        <w:rPr>
          <w:rFonts w:ascii="Times New Roman" w:cs="Times New Roman" w:eastAsia="Times New Roman" w:hAnsi="Times New Roman"/>
          <w:i w:val="1"/>
          <w:iCs w:val="1"/>
          <w:color w:val="2a2a2a"/>
          <w:sz w:val="24"/>
          <w:szCs w:val="24"/>
          <w:highlight w:val="white"/>
          <w:rtl w:val="0"/>
        </w:rPr>
        <w:t xml:space="preserve">Early Irish and Welsh Kinship</w:t>
      </w:r>
      <w:r w:rsidDel="00000000" w:rsidR="00000000" w:rsidRPr="00000000">
        <w:rPr>
          <w:rFonts w:ascii="Times New Roman" w:cs="Times New Roman" w:eastAsia="Times New Roman" w:hAnsi="Times New Roman"/>
          <w:color w:val="2a2a2a"/>
          <w:sz w:val="24"/>
          <w:szCs w:val="24"/>
          <w:highlight w:val="white"/>
          <w:rtl w:val="0"/>
        </w:rPr>
        <w:t xml:space="preserve"> (Oxford, 1993; online edn, Oxford Academic, 3 Oct. 2011), https://doi.org/10.1093/acprof:oso/9780198201038.003.0010, accessed 16 July 2026.</w:t>
      </w:r>
    </w:p>
    <w:p w:rsidR="00000000" w:rsidDel="00000000" w:rsidP="00000000" w:rsidRDefault="00000000" w:rsidRPr="00000000" w14:paraId="0000002A">
      <w:pPr>
        <w:spacing w:line="240" w:lineRule="auto"/>
        <w:ind w:left="720"/>
        <w:rPr>
          <w:rFonts w:ascii="Times New Roman" w:cs="Times New Roman" w:eastAsia="Times New Roman" w:hAnsi="Times New Roman"/>
          <w:color w:val="2a2a2a"/>
          <w:sz w:val="24"/>
          <w:szCs w:val="24"/>
          <w:highlight w:val="white"/>
        </w:rPr>
      </w:pPr>
      <w:r w:rsidDel="00000000" w:rsidR="00000000" w:rsidRPr="00000000">
        <w:rPr>
          <w:rtl w:val="0"/>
        </w:rPr>
      </w:r>
    </w:p>
    <w:p w:rsidR="00000000" w:rsidDel="00000000" w:rsidP="00000000" w:rsidRDefault="00000000" w:rsidRPr="00000000" w14:paraId="0000002B">
      <w:pPr>
        <w:spacing w:line="240" w:lineRule="auto"/>
        <w:ind w:left="720"/>
        <w:rPr>
          <w:rFonts w:ascii="Times New Roman" w:cs="Times New Roman" w:eastAsia="Times New Roman" w:hAnsi="Times New Roman"/>
          <w:sz w:val="24"/>
          <w:szCs w:val="24"/>
        </w:rPr>
      </w:pP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Foley, Ronan. "Small Health Pilgrimages: Place and Practice at the Holy Well." </w:t>
      </w:r>
      <w:r w:rsidDel="00000000" w:rsidR="00000000" w:rsidRPr="00000000">
        <w:rPr>
          <w:rFonts w:ascii="Times New Roman" w:cs="Times New Roman" w:eastAsia="Times New Roman" w:hAnsi="Times New Roman"/>
          <w:i w:val="1"/>
          <w:iCs w:val="1"/>
          <w:sz w:val="24"/>
          <w:szCs w:val="24"/>
          <w:rtl w:val="0"/>
        </w:rPr>
        <w:t xml:space="preserve">Culture and Religion</w:t>
      </w:r>
      <w:r w:rsidDel="00000000" w:rsidR="00000000" w:rsidRPr="00000000">
        <w:rPr>
          <w:rFonts w:ascii="Times New Roman" w:cs="Times New Roman" w:eastAsia="Times New Roman" w:hAnsi="Times New Roman"/>
          <w:sz w:val="24"/>
          <w:szCs w:val="24"/>
          <w:rtl w:val="0"/>
        </w:rPr>
        <w:t xml:space="preserve">, vol. 14, no. 1, 2013, pp. 44–62. Taylor &amp; Francis, https://doi.org/10.1080/14755610.2012.756410. </w:t>
      </w:r>
      <w:r w:rsidDel="00000000" w:rsidR="00000000" w:rsidRPr="00000000">
        <w:rPr>
          <w:rFonts w:ascii="Times New Roman" w:cs="Times New Roman" w:eastAsia="Times New Roman" w:hAnsi="Times New Roman"/>
          <w:i w:val="1"/>
          <w:iCs w:val="1"/>
          <w:sz w:val="24"/>
          <w:szCs w:val="24"/>
          <w:rtl w:val="0"/>
        </w:rPr>
        <w:t xml:space="preserve">MURAL: Maynooth University Research Archive Library</w:t>
      </w:r>
      <w:r w:rsidDel="00000000" w:rsidR="00000000" w:rsidRPr="00000000">
        <w:rPr>
          <w:rFonts w:ascii="Times New Roman" w:cs="Times New Roman" w:eastAsia="Times New Roman" w:hAnsi="Times New Roman"/>
          <w:sz w:val="24"/>
          <w:szCs w:val="24"/>
          <w:rtl w:val="0"/>
        </w:rPr>
        <w:t xml:space="preserve">, https://mural.maynoothuniversity.ie/id/eprint/8854/1/RF_small%20health%202013.pdf. Accessed 23 July 2026</w:t>
      </w:r>
    </w:p>
    <w:p w:rsidR="00000000" w:rsidDel="00000000" w:rsidP="00000000" w:rsidRDefault="00000000" w:rsidRPr="00000000" w14:paraId="0000002C">
      <w:pPr>
        <w:spacing w:line="24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240" w:lineRule="auto"/>
        <w:ind w:left="720"/>
        <w:rPr>
          <w:rFonts w:ascii="Times New Roman" w:cs="Times New Roman" w:eastAsia="Times New Roman" w:hAnsi="Times New Roman"/>
          <w:sz w:val="24"/>
          <w:szCs w:val="24"/>
        </w:rPr>
      </w:pP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Ford, Patrick K., editor. “Manawydan Son of Llŷr.” </w:t>
      </w:r>
      <w:r w:rsidDel="00000000" w:rsidR="00000000" w:rsidRPr="00000000">
        <w:rPr>
          <w:rFonts w:ascii="Times New Roman" w:cs="Times New Roman" w:eastAsia="Times New Roman" w:hAnsi="Times New Roman"/>
          <w:i w:val="1"/>
          <w:iCs w:val="1"/>
          <w:sz w:val="24"/>
          <w:szCs w:val="24"/>
          <w:rtl w:val="0"/>
        </w:rPr>
        <w:t xml:space="preserve">The Mabinogi and Other Medieval Welsh Tales</w:t>
      </w:r>
      <w:r w:rsidDel="00000000" w:rsidR="00000000" w:rsidRPr="00000000">
        <w:rPr>
          <w:rFonts w:ascii="Times New Roman" w:cs="Times New Roman" w:eastAsia="Times New Roman" w:hAnsi="Times New Roman"/>
          <w:sz w:val="24"/>
          <w:szCs w:val="24"/>
          <w:rtl w:val="0"/>
        </w:rPr>
        <w:t xml:space="preserve">, 2nd ed., University of California Press, 2019, pp. 71–86. </w:t>
      </w:r>
      <w:r w:rsidDel="00000000" w:rsidR="00000000" w:rsidRPr="00000000">
        <w:rPr>
          <w:rFonts w:ascii="Times New Roman" w:cs="Times New Roman" w:eastAsia="Times New Roman" w:hAnsi="Times New Roman"/>
          <w:i w:val="1"/>
          <w:iCs w:val="1"/>
          <w:sz w:val="24"/>
          <w:szCs w:val="24"/>
          <w:rtl w:val="0"/>
        </w:rPr>
        <w:t xml:space="preserve">JSTOR</w:t>
      </w:r>
      <w:r w:rsidDel="00000000" w:rsidR="00000000" w:rsidRPr="00000000">
        <w:rPr>
          <w:rFonts w:ascii="Times New Roman" w:cs="Times New Roman" w:eastAsia="Times New Roman" w:hAnsi="Times New Roman"/>
          <w:sz w:val="24"/>
          <w:szCs w:val="24"/>
          <w:rtl w:val="0"/>
        </w:rPr>
        <w:t xml:space="preserve">, https://doi.org/10.2307/j.ctvqr1b6m.7. Accessed 23 July 2026.</w:t>
      </w:r>
    </w:p>
    <w:p w:rsidR="00000000" w:rsidDel="00000000" w:rsidP="00000000" w:rsidRDefault="00000000" w:rsidRPr="00000000" w14:paraId="0000002E">
      <w:pPr>
        <w:spacing w:line="24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24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GINNELL, Laurence. </w:t>
      </w:r>
      <w:r w:rsidDel="00000000" w:rsidR="00000000" w:rsidRPr="00000000">
        <w:rPr>
          <w:rFonts w:ascii="Times New Roman" w:cs="Times New Roman" w:eastAsia="Times New Roman" w:hAnsi="Times New Roman"/>
          <w:i w:val="1"/>
          <w:iCs w:val="1"/>
          <w:sz w:val="24"/>
          <w:szCs w:val="24"/>
          <w:rtl w:val="0"/>
        </w:rPr>
        <w:t xml:space="preserve">Brehon Laws</w:t>
      </w:r>
      <w:r w:rsidDel="00000000" w:rsidR="00000000" w:rsidRPr="00000000">
        <w:rPr>
          <w:rFonts w:ascii="Times New Roman" w:cs="Times New Roman" w:eastAsia="Times New Roman" w:hAnsi="Times New Roman"/>
          <w:sz w:val="24"/>
          <w:szCs w:val="24"/>
          <w:rtl w:val="0"/>
        </w:rPr>
        <w:t xml:space="preserve">. T.F. Unwin, 1894, </w:t>
      </w:r>
      <w:r w:rsidDel="00000000" w:rsidR="00000000" w:rsidRPr="00000000">
        <w:rPr>
          <w:rFonts w:ascii="Times New Roman" w:cs="Times New Roman" w:eastAsia="Times New Roman" w:hAnsi="Times New Roman"/>
          <w:i w:val="1"/>
          <w:iCs w:val="1"/>
          <w:sz w:val="24"/>
          <w:szCs w:val="24"/>
          <w:rtl w:val="0"/>
        </w:rPr>
        <w:t xml:space="preserve">Open Library </w:t>
      </w:r>
      <w:r w:rsidDel="00000000" w:rsidR="00000000" w:rsidRPr="00000000">
        <w:rPr>
          <w:rFonts w:ascii="Times New Roman" w:cs="Times New Roman" w:eastAsia="Times New Roman" w:hAnsi="Times New Roman"/>
          <w:sz w:val="24"/>
          <w:szCs w:val="24"/>
          <w:rtl w:val="0"/>
        </w:rPr>
        <w:t xml:space="preserve">, https://archive.org/details/brehonlawsalega00ginngoog/mode/2up?ref=ol&amp;q=kinship.</w:t>
      </w:r>
    </w:p>
    <w:p w:rsidR="00000000" w:rsidDel="00000000" w:rsidP="00000000" w:rsidRDefault="00000000" w:rsidRPr="00000000" w14:paraId="00000030">
      <w:pPr>
        <w:spacing w:line="240" w:lineRule="auto"/>
        <w:ind w:left="720"/>
        <w:rPr>
          <w:rFonts w:ascii="Times New Roman" w:cs="Times New Roman" w:eastAsia="Times New Roman" w:hAnsi="Times New Roman"/>
          <w:color w:val="2a2a2a"/>
          <w:sz w:val="24"/>
          <w:szCs w:val="24"/>
          <w:highlight w:val="white"/>
        </w:rPr>
      </w:pPr>
      <w:r w:rsidDel="00000000" w:rsidR="00000000" w:rsidRPr="00000000">
        <w:rPr>
          <w:rtl w:val="0"/>
        </w:rPr>
      </w:r>
    </w:p>
    <w:p w:rsidR="00000000" w:rsidDel="00000000" w:rsidP="00000000" w:rsidRDefault="00000000" w:rsidRPr="00000000" w14:paraId="00000031">
      <w:pPr>
        <w:spacing w:line="240" w:lineRule="auto"/>
        <w:ind w:left="720"/>
        <w:rPr>
          <w:rFonts w:ascii="Times New Roman" w:cs="Times New Roman" w:eastAsia="Times New Roman" w:hAnsi="Times New Roman"/>
          <w:color w:val="2a2a2a"/>
          <w:sz w:val="24"/>
          <w:szCs w:val="24"/>
          <w:highlight w:val="white"/>
        </w:rPr>
      </w:pPr>
      <w:r w:rsidDel="00000000" w:rsidR="00000000" w:rsidRPr="00000000">
        <w:rPr>
          <w:rtl w:val="0"/>
        </w:rPr>
      </w:r>
    </w:p>
    <w:p w:rsidR="00000000" w:rsidDel="00000000" w:rsidP="00000000" w:rsidRDefault="00000000" w:rsidRPr="00000000" w14:paraId="00000032">
      <w:pPr>
        <w:spacing w:line="24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Lynch, Michael. </w:t>
      </w:r>
      <w:r w:rsidDel="00000000" w:rsidR="00000000" w:rsidRPr="00000000">
        <w:rPr>
          <w:rFonts w:ascii="Times New Roman" w:cs="Times New Roman" w:eastAsia="Times New Roman" w:hAnsi="Times New Roman"/>
          <w:i w:val="1"/>
          <w:iCs w:val="1"/>
          <w:sz w:val="24"/>
          <w:szCs w:val="24"/>
          <w:rtl w:val="0"/>
        </w:rPr>
        <w:t xml:space="preserve">The Oxford Companion to Scottish History</w:t>
      </w:r>
      <w:r w:rsidDel="00000000" w:rsidR="00000000" w:rsidRPr="00000000">
        <w:rPr>
          <w:rFonts w:ascii="Times New Roman" w:cs="Times New Roman" w:eastAsia="Times New Roman" w:hAnsi="Times New Roman"/>
          <w:sz w:val="24"/>
          <w:szCs w:val="24"/>
          <w:rtl w:val="0"/>
        </w:rPr>
        <w:t xml:space="preserve">. Oxford University Press, 2001, </w:t>
      </w:r>
      <w:r w:rsidDel="00000000" w:rsidR="00000000" w:rsidRPr="00000000">
        <w:rPr>
          <w:rFonts w:ascii="Times New Roman" w:cs="Times New Roman" w:eastAsia="Times New Roman" w:hAnsi="Times New Roman"/>
          <w:i w:val="1"/>
          <w:iCs w:val="1"/>
          <w:sz w:val="24"/>
          <w:szCs w:val="24"/>
          <w:rtl w:val="0"/>
        </w:rPr>
        <w:t xml:space="preserve">Oxford Reference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https://www.oxfordreference.com/display/10.1093/acref/9780199234820.001.0001/acref-9780199234820-e-50#acref-9780199234820-eSub-0019</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3">
      <w:pPr>
        <w:spacing w:line="24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24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Mac Cana, Proinsias. </w:t>
      </w:r>
      <w:r w:rsidDel="00000000" w:rsidR="00000000" w:rsidRPr="00000000">
        <w:rPr>
          <w:rFonts w:ascii="Times New Roman" w:cs="Times New Roman" w:eastAsia="Times New Roman" w:hAnsi="Times New Roman"/>
          <w:i w:val="1"/>
          <w:iCs w:val="1"/>
          <w:sz w:val="24"/>
          <w:szCs w:val="24"/>
          <w:rtl w:val="0"/>
        </w:rPr>
        <w:t xml:space="preserve">Celtic Mythology</w:t>
      </w:r>
      <w:r w:rsidDel="00000000" w:rsidR="00000000" w:rsidRPr="00000000">
        <w:rPr>
          <w:rFonts w:ascii="Times New Roman" w:cs="Times New Roman" w:eastAsia="Times New Roman" w:hAnsi="Times New Roman"/>
          <w:sz w:val="24"/>
          <w:szCs w:val="24"/>
          <w:rtl w:val="0"/>
        </w:rPr>
        <w:t xml:space="preserve">. Hamlyn, 1970. </w:t>
      </w:r>
      <w:r w:rsidDel="00000000" w:rsidR="00000000" w:rsidRPr="00000000">
        <w:rPr>
          <w:rFonts w:ascii="Times New Roman" w:cs="Times New Roman" w:eastAsia="Times New Roman" w:hAnsi="Times New Roman"/>
          <w:i w:val="1"/>
          <w:iCs w:val="1"/>
          <w:sz w:val="24"/>
          <w:szCs w:val="24"/>
          <w:rtl w:val="0"/>
        </w:rPr>
        <w:t xml:space="preserve">Internet Archive</w:t>
      </w:r>
      <w:r w:rsidDel="00000000" w:rsidR="00000000" w:rsidRPr="00000000">
        <w:rPr>
          <w:rFonts w:ascii="Times New Roman" w:cs="Times New Roman" w:eastAsia="Times New Roman" w:hAnsi="Times New Roman"/>
          <w:sz w:val="24"/>
          <w:szCs w:val="24"/>
          <w:rtl w:val="0"/>
        </w:rPr>
        <w:t xml:space="preserve">, https://archive.org/details/celticmythology00macc. Accessed 22 July 2026.</w:t>
      </w:r>
    </w:p>
    <w:p w:rsidR="00000000" w:rsidDel="00000000" w:rsidP="00000000" w:rsidRDefault="00000000" w:rsidRPr="00000000" w14:paraId="00000035">
      <w:pPr>
        <w:spacing w:line="24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24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Meyer, Kuno, translator. </w:t>
      </w:r>
      <w:r w:rsidDel="00000000" w:rsidR="00000000" w:rsidRPr="00000000">
        <w:rPr>
          <w:rFonts w:ascii="Times New Roman" w:cs="Times New Roman" w:eastAsia="Times New Roman" w:hAnsi="Times New Roman"/>
          <w:i w:val="1"/>
          <w:iCs w:val="1"/>
          <w:sz w:val="24"/>
          <w:szCs w:val="24"/>
          <w:rtl w:val="0"/>
        </w:rPr>
        <w:t xml:space="preserve">The Voyage of Bran, Son of Febal, to the Land of the Living: An Old Irish Saga</w:t>
      </w:r>
      <w:r w:rsidDel="00000000" w:rsidR="00000000" w:rsidRPr="00000000">
        <w:rPr>
          <w:rFonts w:ascii="Times New Roman" w:cs="Times New Roman" w:eastAsia="Times New Roman" w:hAnsi="Times New Roman"/>
          <w:sz w:val="24"/>
          <w:szCs w:val="24"/>
          <w:rtl w:val="0"/>
        </w:rPr>
        <w:t xml:space="preserve">. Vol. 1, D. Nutt, 1895. </w:t>
      </w:r>
      <w:r w:rsidDel="00000000" w:rsidR="00000000" w:rsidRPr="00000000">
        <w:rPr>
          <w:rFonts w:ascii="Times New Roman" w:cs="Times New Roman" w:eastAsia="Times New Roman" w:hAnsi="Times New Roman"/>
          <w:i w:val="1"/>
          <w:iCs w:val="1"/>
          <w:sz w:val="24"/>
          <w:szCs w:val="24"/>
          <w:rtl w:val="0"/>
        </w:rPr>
        <w:t xml:space="preserve">Internet Archive</w:t>
      </w:r>
      <w:r w:rsidDel="00000000" w:rsidR="00000000" w:rsidRPr="00000000">
        <w:rPr>
          <w:rFonts w:ascii="Times New Roman" w:cs="Times New Roman" w:eastAsia="Times New Roman" w:hAnsi="Times New Roman"/>
          <w:sz w:val="24"/>
          <w:szCs w:val="24"/>
          <w:rtl w:val="0"/>
        </w:rPr>
        <w:t xml:space="preserve">, https://archive.org/details/voyageofbranson02scuoft. Accessed 22 July 2026.</w:t>
      </w:r>
    </w:p>
    <w:p w:rsidR="00000000" w:rsidDel="00000000" w:rsidP="00000000" w:rsidRDefault="00000000" w:rsidRPr="00000000" w14:paraId="00000037">
      <w:pPr>
        <w:spacing w:line="240" w:lineRule="auto"/>
        <w:rPr>
          <w:sz w:val="20"/>
          <w:szCs w:val="20"/>
        </w:rPr>
      </w:pPr>
      <w:r w:rsidDel="00000000" w:rsidR="00000000" w:rsidRPr="00000000">
        <w:rPr>
          <w:rtl w:val="0"/>
        </w:rPr>
      </w:r>
    </w:p>
    <w:p w:rsidR="00000000" w:rsidDel="00000000" w:rsidP="00000000" w:rsidRDefault="00000000" w:rsidRPr="00000000" w14:paraId="00000038">
      <w:pPr>
        <w:spacing w:line="24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24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Raae, Hanne-Mette Alsos. </w:t>
      </w:r>
      <w:r w:rsidDel="00000000" w:rsidR="00000000" w:rsidRPr="00000000">
        <w:rPr>
          <w:rFonts w:ascii="Times New Roman" w:cs="Times New Roman" w:eastAsia="Times New Roman" w:hAnsi="Times New Roman"/>
          <w:i w:val="1"/>
          <w:iCs w:val="1"/>
          <w:sz w:val="24"/>
          <w:szCs w:val="24"/>
          <w:rtl w:val="0"/>
        </w:rPr>
        <w:t xml:space="preserve">The Representation in Old Irish Law Texts of the Legal Position of Women in Early Medieval Ireland as Regards the Ownership of Property</w:t>
      </w:r>
      <w:r w:rsidDel="00000000" w:rsidR="00000000" w:rsidRPr="00000000">
        <w:rPr>
          <w:rFonts w:ascii="Times New Roman" w:cs="Times New Roman" w:eastAsia="Times New Roman" w:hAnsi="Times New Roman"/>
          <w:sz w:val="24"/>
          <w:szCs w:val="24"/>
          <w:rtl w:val="0"/>
        </w:rPr>
        <w:t xml:space="preserve">. PhD dissertation, National University of Ireland, Galway, 2013. </w:t>
      </w:r>
      <w:r w:rsidDel="00000000" w:rsidR="00000000" w:rsidRPr="00000000">
        <w:rPr>
          <w:rFonts w:ascii="Times New Roman" w:cs="Times New Roman" w:eastAsia="Times New Roman" w:hAnsi="Times New Roman"/>
          <w:i w:val="1"/>
          <w:iCs w:val="1"/>
          <w:sz w:val="24"/>
          <w:szCs w:val="24"/>
          <w:rtl w:val="0"/>
        </w:rPr>
        <w:t xml:space="preserve">DocsLib</w:t>
      </w:r>
      <w:r w:rsidDel="00000000" w:rsidR="00000000" w:rsidRPr="00000000">
        <w:rPr>
          <w:rFonts w:ascii="Times New Roman" w:cs="Times New Roman" w:eastAsia="Times New Roman" w:hAnsi="Times New Roman"/>
          <w:sz w:val="24"/>
          <w:szCs w:val="24"/>
          <w:rtl w:val="0"/>
        </w:rPr>
        <w:t xml:space="preserve">,</w:t>
      </w:r>
      <w:hyperlink r:id="rId7">
        <w:r w:rsidDel="00000000" w:rsidR="00000000" w:rsidRPr="00000000">
          <w:rPr>
            <w:rFonts w:ascii="Times New Roman" w:cs="Times New Roman" w:eastAsia="Times New Roman" w:hAnsi="Times New Roman"/>
            <w:sz w:val="24"/>
            <w:szCs w:val="24"/>
            <w:rtl w:val="0"/>
          </w:rPr>
          <w:t xml:space="preserve"> </w:t>
        </w:r>
      </w:hyperlink>
      <w:r w:rsidDel="00000000" w:rsidR="00000000" w:rsidRPr="00000000">
        <w:rPr>
          <w:rFonts w:ascii="Times New Roman" w:cs="Times New Roman" w:eastAsia="Times New Roman" w:hAnsi="Times New Roman"/>
          <w:sz w:val="24"/>
          <w:szCs w:val="24"/>
          <w:rtl w:val="0"/>
        </w:rPr>
        <w:t xml:space="preserve">https://docslib.org/doc/8178329/the-representation-in-old-irish-law-texts-of-the-legal-position-of-women-in-early-medieval. Accessed 22 July 2026. </w:t>
      </w:r>
    </w:p>
    <w:p w:rsidR="00000000" w:rsidDel="00000000" w:rsidP="00000000" w:rsidRDefault="00000000" w:rsidRPr="00000000" w14:paraId="0000003A">
      <w:pPr>
        <w:spacing w:line="24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240" w:lineRule="auto"/>
        <w:ind w:left="720"/>
        <w:rPr>
          <w:rFonts w:ascii="Times New Roman" w:cs="Times New Roman" w:eastAsia="Times New Roman" w:hAnsi="Times New Roman"/>
          <w:color w:val="2a2a2a"/>
          <w:sz w:val="24"/>
          <w:szCs w:val="24"/>
        </w:rPr>
      </w:pPr>
      <w:r w:rsidDel="00000000" w:rsidR="00000000" w:rsidRPr="00000000">
        <w:rPr>
          <w:rFonts w:ascii="Times New Roman" w:cs="Times New Roman" w:eastAsia="Times New Roman" w:hAnsi="Times New Roman"/>
          <w:color w:val="2a2a2a"/>
          <w:sz w:val="24"/>
          <w:szCs w:val="24"/>
          <w:rtl w:val="0"/>
        </w:rPr>
        <w:t xml:space="preserve">Sims‐Williams, Patrick, '</w:t>
      </w:r>
      <w:r w:rsidDel="00000000" w:rsidR="00000000" w:rsidRPr="00000000">
        <w:rPr>
          <w:rFonts w:ascii="Times New Roman" w:cs="Times New Roman" w:eastAsia="Times New Roman" w:hAnsi="Times New Roman"/>
          <w:i w:val="1"/>
          <w:iCs w:val="1"/>
          <w:color w:val="2a2a2a"/>
          <w:sz w:val="24"/>
          <w:szCs w:val="24"/>
          <w:rtl w:val="0"/>
        </w:rPr>
        <w:t xml:space="preserve">Kaer Sidi</w:t>
      </w:r>
      <w:r w:rsidDel="00000000" w:rsidR="00000000" w:rsidRPr="00000000">
        <w:rPr>
          <w:rFonts w:ascii="Times New Roman" w:cs="Times New Roman" w:eastAsia="Times New Roman" w:hAnsi="Times New Roman"/>
          <w:color w:val="2a2a2a"/>
          <w:sz w:val="24"/>
          <w:szCs w:val="24"/>
          <w:rtl w:val="0"/>
        </w:rPr>
        <w:t xml:space="preserve"> and Other Celtic Otherworld Terms', </w:t>
      </w:r>
      <w:r w:rsidDel="00000000" w:rsidR="00000000" w:rsidRPr="00000000">
        <w:rPr>
          <w:rFonts w:ascii="Times New Roman" w:cs="Times New Roman" w:eastAsia="Times New Roman" w:hAnsi="Times New Roman"/>
          <w:i w:val="1"/>
          <w:iCs w:val="1"/>
          <w:color w:val="2a2a2a"/>
          <w:sz w:val="24"/>
          <w:szCs w:val="24"/>
          <w:rtl w:val="0"/>
        </w:rPr>
        <w:t xml:space="preserve">Irish Influence on Medieval Welsh Literature</w:t>
      </w:r>
      <w:r w:rsidDel="00000000" w:rsidR="00000000" w:rsidRPr="00000000">
        <w:rPr>
          <w:rFonts w:ascii="Times New Roman" w:cs="Times New Roman" w:eastAsia="Times New Roman" w:hAnsi="Times New Roman"/>
          <w:color w:val="2a2a2a"/>
          <w:sz w:val="24"/>
          <w:szCs w:val="24"/>
          <w:rtl w:val="0"/>
        </w:rPr>
        <w:t xml:space="preserve"> (Oxford, 2010; online edn, Oxford Academic, 1 Jan. 2011), https://doi.org/10.1093/acprof:oso/9780199588657.003.0003, accessed 23 July 2026.</w:t>
      </w:r>
    </w:p>
    <w:p w:rsidR="00000000" w:rsidDel="00000000" w:rsidP="00000000" w:rsidRDefault="00000000" w:rsidRPr="00000000" w14:paraId="0000003C">
      <w:pPr>
        <w:spacing w:line="24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24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Stacey, Robin Chapman. "Gender and the Social Imaginary in Medieval Welsh Law." </w:t>
      </w:r>
      <w:r w:rsidDel="00000000" w:rsidR="00000000" w:rsidRPr="00000000">
        <w:rPr>
          <w:rFonts w:ascii="Times New Roman" w:cs="Times New Roman" w:eastAsia="Times New Roman" w:hAnsi="Times New Roman"/>
          <w:i w:val="1"/>
          <w:iCs w:val="1"/>
          <w:sz w:val="24"/>
          <w:szCs w:val="24"/>
          <w:rtl w:val="0"/>
        </w:rPr>
        <w:t xml:space="preserve">Journal of the British Academy</w:t>
      </w:r>
      <w:r w:rsidDel="00000000" w:rsidR="00000000" w:rsidRPr="00000000">
        <w:rPr>
          <w:rFonts w:ascii="Times New Roman" w:cs="Times New Roman" w:eastAsia="Times New Roman" w:hAnsi="Times New Roman"/>
          <w:sz w:val="24"/>
          <w:szCs w:val="24"/>
          <w:rtl w:val="0"/>
        </w:rPr>
        <w:t xml:space="preserve">, vol. 8, 2020, pp. 267–293. The British Academy, https://doi.org/10.5871/jba/008.267. Accessed 22 July 2026. </w:t>
      </w:r>
    </w:p>
    <w:p w:rsidR="00000000" w:rsidDel="00000000" w:rsidP="00000000" w:rsidRDefault="00000000" w:rsidRPr="00000000" w14:paraId="0000003E">
      <w:pPr>
        <w:spacing w:line="24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24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24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Wood, Juliette. </w:t>
      </w:r>
      <w:r w:rsidDel="00000000" w:rsidR="00000000" w:rsidRPr="00000000">
        <w:rPr>
          <w:rFonts w:ascii="Times New Roman" w:cs="Times New Roman" w:eastAsia="Times New Roman" w:hAnsi="Times New Roman"/>
          <w:i w:val="1"/>
          <w:iCs w:val="1"/>
          <w:sz w:val="24"/>
          <w:szCs w:val="24"/>
          <w:rtl w:val="0"/>
        </w:rPr>
        <w:t xml:space="preserve">The Celts: Life, Myth, and Art</w:t>
      </w:r>
      <w:r w:rsidDel="00000000" w:rsidR="00000000" w:rsidRPr="00000000">
        <w:rPr>
          <w:rFonts w:ascii="Times New Roman" w:cs="Times New Roman" w:eastAsia="Times New Roman" w:hAnsi="Times New Roman"/>
          <w:sz w:val="24"/>
          <w:szCs w:val="24"/>
          <w:rtl w:val="0"/>
        </w:rPr>
        <w:t xml:space="preserve">. Duncan Baird, 2001. </w:t>
      </w:r>
      <w:r w:rsidDel="00000000" w:rsidR="00000000" w:rsidRPr="00000000">
        <w:rPr>
          <w:rFonts w:ascii="Times New Roman" w:cs="Times New Roman" w:eastAsia="Times New Roman" w:hAnsi="Times New Roman"/>
          <w:i w:val="1"/>
          <w:iCs w:val="1"/>
          <w:sz w:val="24"/>
          <w:szCs w:val="24"/>
          <w:rtl w:val="0"/>
        </w:rPr>
        <w:t xml:space="preserve">Internet Archive</w:t>
      </w:r>
      <w:r w:rsidDel="00000000" w:rsidR="00000000" w:rsidRPr="00000000">
        <w:rPr>
          <w:rFonts w:ascii="Times New Roman" w:cs="Times New Roman" w:eastAsia="Times New Roman" w:hAnsi="Times New Roman"/>
          <w:sz w:val="24"/>
          <w:szCs w:val="24"/>
          <w:rtl w:val="0"/>
        </w:rPr>
        <w:t xml:space="preserve">, https://archive.org/details/celtslifemythart0000wood_b1q3. Accessed 22 July 2026. </w:t>
      </w:r>
    </w:p>
    <w:p w:rsidR="00000000" w:rsidDel="00000000" w:rsidP="00000000" w:rsidRDefault="00000000" w:rsidRPr="00000000" w14:paraId="00000041">
      <w:pPr>
        <w:spacing w:line="24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24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240" w:lineRule="auto"/>
        <w:ind w:left="720"/>
        <w:rPr>
          <w:rFonts w:ascii="Times New Roman" w:cs="Times New Roman" w:eastAsia="Times New Roman" w:hAnsi="Times New Roman"/>
          <w:sz w:val="24"/>
          <w:szCs w:val="24"/>
        </w:rPr>
      </w:pPr>
      <w:r w:rsidDel="00000000" w:rsidR="00000000" w:rsidRPr="00000000">
        <w:rPr>
          <w:rtl w:val="0"/>
        </w:rPr>
      </w:r>
    </w:p>
    <w:sectPr>
      <w:headerReference r:id="rId8" w:type="default"/>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5">
    <w:pPr>
      <w:jc w:val="righ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46">
      <w:pPr>
        <w:spacing w:line="240" w:lineRule="auto"/>
        <w:ind w:left="720" w:hanging="720"/>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2a2a2a"/>
          <w:sz w:val="24"/>
          <w:szCs w:val="24"/>
          <w:highlight w:val="white"/>
          <w:rtl w:val="0"/>
        </w:rPr>
        <w:t xml:space="preserve">CHARLES-EDWARDS, T. M., 'Kinship and Lordship in Wales', </w:t>
      </w:r>
      <w:r w:rsidDel="00000000" w:rsidR="00000000" w:rsidRPr="00000000">
        <w:rPr>
          <w:rFonts w:ascii="Times New Roman" w:cs="Times New Roman" w:eastAsia="Times New Roman" w:hAnsi="Times New Roman"/>
          <w:i w:val="1"/>
          <w:iCs w:val="1"/>
          <w:color w:val="2a2a2a"/>
          <w:sz w:val="24"/>
          <w:szCs w:val="24"/>
          <w:highlight w:val="white"/>
          <w:rtl w:val="0"/>
        </w:rPr>
        <w:t xml:space="preserve">Early Irish and Welsh Kinship</w:t>
      </w:r>
      <w:r w:rsidDel="00000000" w:rsidR="00000000" w:rsidRPr="00000000">
        <w:rPr>
          <w:rFonts w:ascii="Times New Roman" w:cs="Times New Roman" w:eastAsia="Times New Roman" w:hAnsi="Times New Roman"/>
          <w:color w:val="2a2a2a"/>
          <w:sz w:val="24"/>
          <w:szCs w:val="24"/>
          <w:highlight w:val="white"/>
          <w:rtl w:val="0"/>
        </w:rPr>
        <w:t xml:space="preserve"> (Oxford, 1993; online edn, Oxford Academic, 3 Oct. 2011), https://doi.org/10.1093/acprof:oso/9780198201038.003.0010, accessed 16 July 2026.</w:t>
      </w:r>
      <w:r w:rsidDel="00000000" w:rsidR="00000000" w:rsidRPr="00000000">
        <w:rPr>
          <w:rtl w:val="0"/>
        </w:rPr>
      </w:r>
    </w:p>
  </w:footnote>
  <w:footnote w:id="1">
    <w:p w:rsidR="00000000" w:rsidDel="00000000" w:rsidP="00000000" w:rsidRDefault="00000000" w:rsidRPr="00000000" w14:paraId="00000047">
      <w:pPr>
        <w:spacing w:line="240" w:lineRule="auto"/>
        <w:ind w:left="720" w:hanging="720"/>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4"/>
          <w:szCs w:val="24"/>
          <w:rtl w:val="0"/>
        </w:rPr>
        <w:t xml:space="preserve"> Lynch, Michael. </w:t>
      </w:r>
      <w:r w:rsidDel="00000000" w:rsidR="00000000" w:rsidRPr="00000000">
        <w:rPr>
          <w:rFonts w:ascii="Times New Roman" w:cs="Times New Roman" w:eastAsia="Times New Roman" w:hAnsi="Times New Roman"/>
          <w:i w:val="1"/>
          <w:iCs w:val="1"/>
          <w:sz w:val="24"/>
          <w:szCs w:val="24"/>
          <w:rtl w:val="0"/>
        </w:rPr>
        <w:t xml:space="preserve">The Oxford Companion to Scottish History</w:t>
      </w:r>
      <w:r w:rsidDel="00000000" w:rsidR="00000000" w:rsidRPr="00000000">
        <w:rPr>
          <w:rFonts w:ascii="Times New Roman" w:cs="Times New Roman" w:eastAsia="Times New Roman" w:hAnsi="Times New Roman"/>
          <w:sz w:val="24"/>
          <w:szCs w:val="24"/>
          <w:rtl w:val="0"/>
        </w:rPr>
        <w:t xml:space="preserve">. Oxford University Press, 2001, </w:t>
      </w:r>
      <w:r w:rsidDel="00000000" w:rsidR="00000000" w:rsidRPr="00000000">
        <w:rPr>
          <w:rFonts w:ascii="Times New Roman" w:cs="Times New Roman" w:eastAsia="Times New Roman" w:hAnsi="Times New Roman"/>
          <w:i w:val="1"/>
          <w:iCs w:val="1"/>
          <w:sz w:val="24"/>
          <w:szCs w:val="24"/>
          <w:rtl w:val="0"/>
        </w:rPr>
        <w:t xml:space="preserve">Oxford Reference</w:t>
      </w:r>
      <w:r w:rsidDel="00000000" w:rsidR="00000000" w:rsidRPr="00000000">
        <w:rPr>
          <w:rFonts w:ascii="Times New Roman" w:cs="Times New Roman" w:eastAsia="Times New Roman" w:hAnsi="Times New Roman"/>
          <w:sz w:val="24"/>
          <w:szCs w:val="24"/>
          <w:rtl w:val="0"/>
        </w:rPr>
        <w:t xml:space="preserve">, https://www.oxfordreference.com/display/10.1093/acref/9780199234820.001.0001/acref-9780199234820-e-50#acref-9780199234820-eSub-0019.</w:t>
      </w:r>
    </w:p>
    <w:p w:rsidR="00000000" w:rsidDel="00000000" w:rsidP="00000000" w:rsidRDefault="00000000" w:rsidRPr="00000000" w14:paraId="00000048">
      <w:pPr>
        <w:spacing w:line="240" w:lineRule="auto"/>
        <w:rPr>
          <w:sz w:val="20"/>
          <w:szCs w:val="20"/>
        </w:rPr>
      </w:pPr>
      <w:r w:rsidDel="00000000" w:rsidR="00000000" w:rsidRPr="00000000">
        <w:rPr>
          <w:rtl w:val="0"/>
        </w:rPr>
      </w:r>
    </w:p>
  </w:footnote>
  <w:footnote w:id="2">
    <w:p w:rsidR="00000000" w:rsidDel="00000000" w:rsidP="00000000" w:rsidRDefault="00000000" w:rsidRPr="00000000" w14:paraId="00000049">
      <w:pPr>
        <w:spacing w:line="240" w:lineRule="auto"/>
        <w:ind w:left="720" w:hanging="720"/>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GINNELL, Laurence. </w:t>
      </w:r>
      <w:r w:rsidDel="00000000" w:rsidR="00000000" w:rsidRPr="00000000">
        <w:rPr>
          <w:rFonts w:ascii="Times New Roman" w:cs="Times New Roman" w:eastAsia="Times New Roman" w:hAnsi="Times New Roman"/>
          <w:i w:val="1"/>
          <w:iCs w:val="1"/>
          <w:sz w:val="24"/>
          <w:szCs w:val="24"/>
          <w:rtl w:val="0"/>
        </w:rPr>
        <w:t xml:space="preserve">Brehon Laws</w:t>
      </w:r>
      <w:r w:rsidDel="00000000" w:rsidR="00000000" w:rsidRPr="00000000">
        <w:rPr>
          <w:rFonts w:ascii="Times New Roman" w:cs="Times New Roman" w:eastAsia="Times New Roman" w:hAnsi="Times New Roman"/>
          <w:sz w:val="24"/>
          <w:szCs w:val="24"/>
          <w:rtl w:val="0"/>
        </w:rPr>
        <w:t xml:space="preserve">. T.F. Unwin, 1894, </w:t>
      </w:r>
      <w:r w:rsidDel="00000000" w:rsidR="00000000" w:rsidRPr="00000000">
        <w:rPr>
          <w:rFonts w:ascii="Times New Roman" w:cs="Times New Roman" w:eastAsia="Times New Roman" w:hAnsi="Times New Roman"/>
          <w:i w:val="1"/>
          <w:iCs w:val="1"/>
          <w:sz w:val="24"/>
          <w:szCs w:val="24"/>
          <w:rtl w:val="0"/>
        </w:rPr>
        <w:t xml:space="preserve">Open Library </w:t>
      </w:r>
      <w:r w:rsidDel="00000000" w:rsidR="00000000" w:rsidRPr="00000000">
        <w:rPr>
          <w:rFonts w:ascii="Times New Roman" w:cs="Times New Roman" w:eastAsia="Times New Roman" w:hAnsi="Times New Roman"/>
          <w:sz w:val="24"/>
          <w:szCs w:val="24"/>
          <w:rtl w:val="0"/>
        </w:rPr>
        <w:t xml:space="preserve">, https://archive.org/details/brehonlawsalega00ginngoog/mode/2up?ref=ol&amp;q=kinship.</w:t>
      </w:r>
    </w:p>
    <w:p w:rsidR="00000000" w:rsidDel="00000000" w:rsidP="00000000" w:rsidRDefault="00000000" w:rsidRPr="00000000" w14:paraId="0000004A">
      <w:pPr>
        <w:spacing w:line="240" w:lineRule="auto"/>
        <w:rPr>
          <w:sz w:val="20"/>
          <w:szCs w:val="20"/>
        </w:rPr>
      </w:pPr>
      <w:r w:rsidDel="00000000" w:rsidR="00000000" w:rsidRPr="00000000">
        <w:rPr>
          <w:rtl w:val="0"/>
        </w:rPr>
      </w:r>
    </w:p>
  </w:footnote>
  <w:footnote w:id="3">
    <w:p w:rsidR="00000000" w:rsidDel="00000000" w:rsidP="00000000" w:rsidRDefault="00000000" w:rsidRPr="00000000" w14:paraId="0000004B">
      <w:pPr>
        <w:spacing w:line="240" w:lineRule="auto"/>
        <w:ind w:left="720" w:hanging="720"/>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Cunliffe, Barry W. </w:t>
      </w:r>
      <w:r w:rsidDel="00000000" w:rsidR="00000000" w:rsidRPr="00000000">
        <w:rPr>
          <w:rFonts w:ascii="Times New Roman" w:cs="Times New Roman" w:eastAsia="Times New Roman" w:hAnsi="Times New Roman"/>
          <w:i w:val="1"/>
          <w:iCs w:val="1"/>
          <w:sz w:val="24"/>
          <w:szCs w:val="24"/>
          <w:rtl w:val="0"/>
        </w:rPr>
        <w:t xml:space="preserve">The Ancient Celts</w:t>
      </w:r>
      <w:r w:rsidDel="00000000" w:rsidR="00000000" w:rsidRPr="00000000">
        <w:rPr>
          <w:rFonts w:ascii="Times New Roman" w:cs="Times New Roman" w:eastAsia="Times New Roman" w:hAnsi="Times New Roman"/>
          <w:sz w:val="24"/>
          <w:szCs w:val="24"/>
          <w:rtl w:val="0"/>
        </w:rPr>
        <w:t xml:space="preserve">. Oxford University Press, 2018, </w:t>
      </w:r>
      <w:r w:rsidDel="00000000" w:rsidR="00000000" w:rsidRPr="00000000">
        <w:rPr>
          <w:rFonts w:ascii="Times New Roman" w:cs="Times New Roman" w:eastAsia="Times New Roman" w:hAnsi="Times New Roman"/>
          <w:i w:val="1"/>
          <w:iCs w:val="1"/>
          <w:sz w:val="24"/>
          <w:szCs w:val="24"/>
          <w:rtl w:val="0"/>
        </w:rPr>
        <w:t xml:space="preserve">Oxford University Press Preview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https://api.pageplace.de/preview/DT0400.9780191067211_A35116654/preview-9780191067211_A35116654.pdf</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C">
      <w:pPr>
        <w:spacing w:line="240" w:lineRule="auto"/>
        <w:ind w:left="720" w:hanging="720"/>
        <w:rPr>
          <w:rFonts w:ascii="Times New Roman" w:cs="Times New Roman" w:eastAsia="Times New Roman" w:hAnsi="Times New Roman"/>
          <w:sz w:val="24"/>
          <w:szCs w:val="24"/>
        </w:rPr>
      </w:pPr>
      <w:r w:rsidDel="00000000" w:rsidR="00000000" w:rsidRPr="00000000">
        <w:rPr>
          <w:rtl w:val="0"/>
        </w:rPr>
      </w:r>
    </w:p>
  </w:footnote>
  <w:footnote w:id="4">
    <w:p w:rsidR="00000000" w:rsidDel="00000000" w:rsidP="00000000" w:rsidRDefault="00000000" w:rsidRPr="00000000" w14:paraId="0000004D">
      <w:pPr>
        <w:spacing w:line="240" w:lineRule="auto"/>
        <w:ind w:left="720" w:hanging="720"/>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Raae, Hanne-Mette Alsos. </w:t>
      </w:r>
      <w:r w:rsidDel="00000000" w:rsidR="00000000" w:rsidRPr="00000000">
        <w:rPr>
          <w:rFonts w:ascii="Times New Roman" w:cs="Times New Roman" w:eastAsia="Times New Roman" w:hAnsi="Times New Roman"/>
          <w:i w:val="1"/>
          <w:iCs w:val="1"/>
          <w:sz w:val="24"/>
          <w:szCs w:val="24"/>
          <w:rtl w:val="0"/>
        </w:rPr>
        <w:t xml:space="preserve">The Representation in Old Irish Law Texts of the Legal Position of Women in Early Medieval Ireland as Regards the Ownership of Property</w:t>
      </w:r>
      <w:r w:rsidDel="00000000" w:rsidR="00000000" w:rsidRPr="00000000">
        <w:rPr>
          <w:rFonts w:ascii="Times New Roman" w:cs="Times New Roman" w:eastAsia="Times New Roman" w:hAnsi="Times New Roman"/>
          <w:sz w:val="24"/>
          <w:szCs w:val="24"/>
          <w:rtl w:val="0"/>
        </w:rPr>
        <w:t xml:space="preserve">. PhD dissertation, National University of Ireland, Galway, 2013. </w:t>
      </w:r>
      <w:r w:rsidDel="00000000" w:rsidR="00000000" w:rsidRPr="00000000">
        <w:rPr>
          <w:rFonts w:ascii="Times New Roman" w:cs="Times New Roman" w:eastAsia="Times New Roman" w:hAnsi="Times New Roman"/>
          <w:i w:val="1"/>
          <w:iCs w:val="1"/>
          <w:sz w:val="24"/>
          <w:szCs w:val="24"/>
          <w:rtl w:val="0"/>
        </w:rPr>
        <w:t xml:space="preserve">DocsLib</w:t>
      </w:r>
      <w:r w:rsidDel="00000000" w:rsidR="00000000" w:rsidRPr="00000000">
        <w:rPr>
          <w:rFonts w:ascii="Times New Roman" w:cs="Times New Roman" w:eastAsia="Times New Roman" w:hAnsi="Times New Roman"/>
          <w:sz w:val="24"/>
          <w:szCs w:val="24"/>
          <w:rtl w:val="0"/>
        </w:rPr>
        <w:t xml:space="preserve">,</w:t>
      </w:r>
      <w:hyperlink r:id="rId1">
        <w:r w:rsidDel="00000000" w:rsidR="00000000" w:rsidRPr="00000000">
          <w:rPr>
            <w:rFonts w:ascii="Times New Roman" w:cs="Times New Roman" w:eastAsia="Times New Roman" w:hAnsi="Times New Roman"/>
            <w:sz w:val="24"/>
            <w:szCs w:val="24"/>
            <w:rtl w:val="0"/>
          </w:rPr>
          <w:t xml:space="preserve"> </w:t>
        </w:r>
      </w:hyperlink>
      <w:r w:rsidDel="00000000" w:rsidR="00000000" w:rsidRPr="00000000">
        <w:rPr>
          <w:rFonts w:ascii="Times New Roman" w:cs="Times New Roman" w:eastAsia="Times New Roman" w:hAnsi="Times New Roman"/>
          <w:sz w:val="24"/>
          <w:szCs w:val="24"/>
          <w:rtl w:val="0"/>
        </w:rPr>
        <w:t xml:space="preserve">https://docslib.org/doc/8178329/the-representation-in-old-irish-law-texts-of-the-legal-position-of-women-in-early-medieval. Accessed 22 July 2026. </w:t>
      </w:r>
    </w:p>
  </w:footnote>
  <w:footnote w:id="5">
    <w:p w:rsidR="00000000" w:rsidDel="00000000" w:rsidP="00000000" w:rsidRDefault="00000000" w:rsidRPr="00000000" w14:paraId="0000004E">
      <w:pPr>
        <w:spacing w:line="240" w:lineRule="auto"/>
        <w:ind w:left="720" w:hanging="720"/>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Stacey, Robin Chapman. "Gender and the Social Imaginary in Medieval Welsh Law." </w:t>
      </w:r>
      <w:r w:rsidDel="00000000" w:rsidR="00000000" w:rsidRPr="00000000">
        <w:rPr>
          <w:rFonts w:ascii="Times New Roman" w:cs="Times New Roman" w:eastAsia="Times New Roman" w:hAnsi="Times New Roman"/>
          <w:i w:val="1"/>
          <w:iCs w:val="1"/>
          <w:sz w:val="24"/>
          <w:szCs w:val="24"/>
          <w:rtl w:val="0"/>
        </w:rPr>
        <w:t xml:space="preserve">Journal of the British Academy</w:t>
      </w:r>
      <w:r w:rsidDel="00000000" w:rsidR="00000000" w:rsidRPr="00000000">
        <w:rPr>
          <w:rFonts w:ascii="Times New Roman" w:cs="Times New Roman" w:eastAsia="Times New Roman" w:hAnsi="Times New Roman"/>
          <w:sz w:val="24"/>
          <w:szCs w:val="24"/>
          <w:rtl w:val="0"/>
        </w:rPr>
        <w:t xml:space="preserve">, vol. 8, 2020, pp. 267–293. The British Academy, https://doi.org/10.5871/jba/008.267. Accessed 22 July 2026. </w:t>
      </w:r>
    </w:p>
  </w:footnote>
  <w:footnote w:id="6">
    <w:p w:rsidR="00000000" w:rsidDel="00000000" w:rsidP="00000000" w:rsidRDefault="00000000" w:rsidRPr="00000000" w14:paraId="0000004F">
      <w:pPr>
        <w:spacing w:line="240" w:lineRule="auto"/>
        <w:ind w:left="720" w:hanging="720"/>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Mac Cana, Proinsias. </w:t>
      </w:r>
      <w:r w:rsidDel="00000000" w:rsidR="00000000" w:rsidRPr="00000000">
        <w:rPr>
          <w:rFonts w:ascii="Times New Roman" w:cs="Times New Roman" w:eastAsia="Times New Roman" w:hAnsi="Times New Roman"/>
          <w:i w:val="1"/>
          <w:iCs w:val="1"/>
          <w:sz w:val="24"/>
          <w:szCs w:val="24"/>
          <w:rtl w:val="0"/>
        </w:rPr>
        <w:t xml:space="preserve">Celtic Mythology</w:t>
      </w:r>
      <w:r w:rsidDel="00000000" w:rsidR="00000000" w:rsidRPr="00000000">
        <w:rPr>
          <w:rFonts w:ascii="Times New Roman" w:cs="Times New Roman" w:eastAsia="Times New Roman" w:hAnsi="Times New Roman"/>
          <w:sz w:val="24"/>
          <w:szCs w:val="24"/>
          <w:rtl w:val="0"/>
        </w:rPr>
        <w:t xml:space="preserve">. Hamlyn, 1970. </w:t>
      </w:r>
      <w:r w:rsidDel="00000000" w:rsidR="00000000" w:rsidRPr="00000000">
        <w:rPr>
          <w:rFonts w:ascii="Times New Roman" w:cs="Times New Roman" w:eastAsia="Times New Roman" w:hAnsi="Times New Roman"/>
          <w:i w:val="1"/>
          <w:iCs w:val="1"/>
          <w:sz w:val="24"/>
          <w:szCs w:val="24"/>
          <w:rtl w:val="0"/>
        </w:rPr>
        <w:t xml:space="preserve">Internet Archive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https://archive.org/details/celticmythology00macc</w:t>
      </w:r>
      <w:r w:rsidDel="00000000" w:rsidR="00000000" w:rsidRPr="00000000">
        <w:rPr>
          <w:rFonts w:ascii="Times New Roman" w:cs="Times New Roman" w:eastAsia="Times New Roman" w:hAnsi="Times New Roman"/>
          <w:sz w:val="24"/>
          <w:szCs w:val="24"/>
          <w:rtl w:val="0"/>
        </w:rPr>
        <w:t xml:space="preserve">. Accessed 22 July 2026.</w:t>
      </w:r>
    </w:p>
  </w:footnote>
  <w:footnote w:id="7">
    <w:p w:rsidR="00000000" w:rsidDel="00000000" w:rsidP="00000000" w:rsidRDefault="00000000" w:rsidRPr="00000000" w14:paraId="00000050">
      <w:pPr>
        <w:spacing w:line="240" w:lineRule="auto"/>
        <w:ind w:left="720" w:hanging="720"/>
        <w:rPr>
          <w:rFonts w:ascii="Times New Roman" w:cs="Times New Roman" w:eastAsia="Times New Roman" w:hAnsi="Times New Roman"/>
          <w:color w:val="2a2a2a"/>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color w:val="2a2a2a"/>
          <w:sz w:val="24"/>
          <w:szCs w:val="24"/>
          <w:rtl w:val="0"/>
        </w:rPr>
        <w:t xml:space="preserve">Sims‐Williams, Patrick, '</w:t>
      </w:r>
      <w:r w:rsidDel="00000000" w:rsidR="00000000" w:rsidRPr="00000000">
        <w:rPr>
          <w:rFonts w:ascii="Times New Roman" w:cs="Times New Roman" w:eastAsia="Times New Roman" w:hAnsi="Times New Roman"/>
          <w:i w:val="1"/>
          <w:iCs w:val="1"/>
          <w:color w:val="2a2a2a"/>
          <w:sz w:val="24"/>
          <w:szCs w:val="24"/>
          <w:rtl w:val="0"/>
        </w:rPr>
        <w:t xml:space="preserve">Kaer Sidi</w:t>
      </w:r>
      <w:r w:rsidDel="00000000" w:rsidR="00000000" w:rsidRPr="00000000">
        <w:rPr>
          <w:rFonts w:ascii="Times New Roman" w:cs="Times New Roman" w:eastAsia="Times New Roman" w:hAnsi="Times New Roman"/>
          <w:color w:val="2a2a2a"/>
          <w:sz w:val="24"/>
          <w:szCs w:val="24"/>
          <w:rtl w:val="0"/>
        </w:rPr>
        <w:t xml:space="preserve"> and Other Celtic Otherworld Terms', </w:t>
      </w:r>
      <w:r w:rsidDel="00000000" w:rsidR="00000000" w:rsidRPr="00000000">
        <w:rPr>
          <w:rFonts w:ascii="Times New Roman" w:cs="Times New Roman" w:eastAsia="Times New Roman" w:hAnsi="Times New Roman"/>
          <w:i w:val="1"/>
          <w:iCs w:val="1"/>
          <w:color w:val="2a2a2a"/>
          <w:sz w:val="24"/>
          <w:szCs w:val="24"/>
          <w:rtl w:val="0"/>
        </w:rPr>
        <w:t xml:space="preserve">Irish Influence on Medieval Welsh Literature</w:t>
      </w:r>
      <w:r w:rsidDel="00000000" w:rsidR="00000000" w:rsidRPr="00000000">
        <w:rPr>
          <w:rFonts w:ascii="Times New Roman" w:cs="Times New Roman" w:eastAsia="Times New Roman" w:hAnsi="Times New Roman"/>
          <w:color w:val="2a2a2a"/>
          <w:sz w:val="24"/>
          <w:szCs w:val="24"/>
          <w:rtl w:val="0"/>
        </w:rPr>
        <w:t xml:space="preserve"> (Oxford, 2010; online edn, Oxford Academic, 1 Jan. 2011), https://doi.org/10.1093/acprof:oso/9780199588657.003.0003, accessed 23 July 2026.</w:t>
      </w:r>
    </w:p>
    <w:p w:rsidR="00000000" w:rsidDel="00000000" w:rsidP="00000000" w:rsidRDefault="00000000" w:rsidRPr="00000000" w14:paraId="00000051">
      <w:pPr>
        <w:spacing w:line="240" w:lineRule="auto"/>
        <w:ind w:left="720" w:hanging="720"/>
        <w:rPr>
          <w:rFonts w:ascii="Times New Roman" w:cs="Times New Roman" w:eastAsia="Times New Roman" w:hAnsi="Times New Roman"/>
          <w:color w:val="2a2a2a"/>
          <w:sz w:val="24"/>
          <w:szCs w:val="24"/>
        </w:rPr>
      </w:pPr>
      <w:r w:rsidDel="00000000" w:rsidR="00000000" w:rsidRPr="00000000">
        <w:rPr>
          <w:rtl w:val="0"/>
        </w:rPr>
      </w:r>
    </w:p>
    <w:p w:rsidR="00000000" w:rsidDel="00000000" w:rsidP="00000000" w:rsidRDefault="00000000" w:rsidRPr="00000000" w14:paraId="00000052">
      <w:pPr>
        <w:spacing w:line="240" w:lineRule="auto"/>
        <w:rPr>
          <w:sz w:val="20"/>
          <w:szCs w:val="20"/>
        </w:rPr>
      </w:pPr>
      <w:r w:rsidDel="00000000" w:rsidR="00000000" w:rsidRPr="00000000">
        <w:rPr>
          <w:rtl w:val="0"/>
        </w:rPr>
      </w:r>
    </w:p>
  </w:footnote>
  <w:footnote w:id="8">
    <w:p w:rsidR="00000000" w:rsidDel="00000000" w:rsidP="00000000" w:rsidRDefault="00000000" w:rsidRPr="00000000" w14:paraId="00000053">
      <w:pPr>
        <w:spacing w:line="240" w:lineRule="auto"/>
        <w:ind w:left="720" w:hanging="720"/>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Wood, Juliette. </w:t>
      </w:r>
      <w:r w:rsidDel="00000000" w:rsidR="00000000" w:rsidRPr="00000000">
        <w:rPr>
          <w:rFonts w:ascii="Times New Roman" w:cs="Times New Roman" w:eastAsia="Times New Roman" w:hAnsi="Times New Roman"/>
          <w:i w:val="1"/>
          <w:iCs w:val="1"/>
          <w:sz w:val="24"/>
          <w:szCs w:val="24"/>
          <w:rtl w:val="0"/>
        </w:rPr>
        <w:t xml:space="preserve">The Celts: Life, Myth, and Art</w:t>
      </w:r>
      <w:r w:rsidDel="00000000" w:rsidR="00000000" w:rsidRPr="00000000">
        <w:rPr>
          <w:rFonts w:ascii="Times New Roman" w:cs="Times New Roman" w:eastAsia="Times New Roman" w:hAnsi="Times New Roman"/>
          <w:sz w:val="24"/>
          <w:szCs w:val="24"/>
          <w:rtl w:val="0"/>
        </w:rPr>
        <w:t xml:space="preserve">. Duncan Baird, 2001. </w:t>
      </w:r>
      <w:r w:rsidDel="00000000" w:rsidR="00000000" w:rsidRPr="00000000">
        <w:rPr>
          <w:rFonts w:ascii="Times New Roman" w:cs="Times New Roman" w:eastAsia="Times New Roman" w:hAnsi="Times New Roman"/>
          <w:i w:val="1"/>
          <w:iCs w:val="1"/>
          <w:sz w:val="24"/>
          <w:szCs w:val="24"/>
          <w:rtl w:val="0"/>
        </w:rPr>
        <w:t xml:space="preserve">Internet Archive</w:t>
      </w:r>
      <w:r w:rsidDel="00000000" w:rsidR="00000000" w:rsidRPr="00000000">
        <w:rPr>
          <w:rFonts w:ascii="Times New Roman" w:cs="Times New Roman" w:eastAsia="Times New Roman" w:hAnsi="Times New Roman"/>
          <w:sz w:val="24"/>
          <w:szCs w:val="24"/>
          <w:rtl w:val="0"/>
        </w:rPr>
        <w:t xml:space="preserve">, https://archive.org/details/celtslifemythart0000wood_b1q3. Accessed 22 July 2026. </w:t>
      </w:r>
    </w:p>
  </w:footnote>
  <w:footnote w:id="9">
    <w:p w:rsidR="00000000" w:rsidDel="00000000" w:rsidP="00000000" w:rsidRDefault="00000000" w:rsidRPr="00000000" w14:paraId="00000054">
      <w:pPr>
        <w:spacing w:line="240" w:lineRule="auto"/>
        <w:ind w:left="720" w:hanging="720"/>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4"/>
          <w:szCs w:val="24"/>
          <w:rtl w:val="0"/>
        </w:rPr>
        <w:t xml:space="preserve"> Meyer, Kuno, translator. </w:t>
      </w:r>
      <w:r w:rsidDel="00000000" w:rsidR="00000000" w:rsidRPr="00000000">
        <w:rPr>
          <w:rFonts w:ascii="Times New Roman" w:cs="Times New Roman" w:eastAsia="Times New Roman" w:hAnsi="Times New Roman"/>
          <w:i w:val="1"/>
          <w:iCs w:val="1"/>
          <w:sz w:val="24"/>
          <w:szCs w:val="24"/>
          <w:rtl w:val="0"/>
        </w:rPr>
        <w:t xml:space="preserve">The Voyage of Bran, Son of Febal, to the Land of the Living: An Old Irish Saga</w:t>
      </w:r>
      <w:r w:rsidDel="00000000" w:rsidR="00000000" w:rsidRPr="00000000">
        <w:rPr>
          <w:rFonts w:ascii="Times New Roman" w:cs="Times New Roman" w:eastAsia="Times New Roman" w:hAnsi="Times New Roman"/>
          <w:sz w:val="24"/>
          <w:szCs w:val="24"/>
          <w:rtl w:val="0"/>
        </w:rPr>
        <w:t xml:space="preserve">. Vol. 1, D. Nutt, 1895. </w:t>
      </w:r>
      <w:r w:rsidDel="00000000" w:rsidR="00000000" w:rsidRPr="00000000">
        <w:rPr>
          <w:rFonts w:ascii="Times New Roman" w:cs="Times New Roman" w:eastAsia="Times New Roman" w:hAnsi="Times New Roman"/>
          <w:i w:val="1"/>
          <w:iCs w:val="1"/>
          <w:sz w:val="24"/>
          <w:szCs w:val="24"/>
          <w:rtl w:val="0"/>
        </w:rPr>
        <w:t xml:space="preserve">Internet Archive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https://archive.org/details/voyageofbranson02scuoft</w:t>
      </w:r>
      <w:r w:rsidDel="00000000" w:rsidR="00000000" w:rsidRPr="00000000">
        <w:rPr>
          <w:rFonts w:ascii="Times New Roman" w:cs="Times New Roman" w:eastAsia="Times New Roman" w:hAnsi="Times New Roman"/>
          <w:sz w:val="24"/>
          <w:szCs w:val="24"/>
          <w:rtl w:val="0"/>
        </w:rPr>
        <w:t xml:space="preserve">. Accessed 22 July 2026.</w:t>
      </w:r>
    </w:p>
  </w:footnote>
  <w:footnote w:id="10">
    <w:p w:rsidR="00000000" w:rsidDel="00000000" w:rsidP="00000000" w:rsidRDefault="00000000" w:rsidRPr="00000000" w14:paraId="00000055">
      <w:pPr>
        <w:spacing w:line="240" w:lineRule="auto"/>
        <w:ind w:left="720" w:hanging="720"/>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Ford, Patrick K., editor. “Manawydan Son of Llŷr.” </w:t>
      </w:r>
      <w:r w:rsidDel="00000000" w:rsidR="00000000" w:rsidRPr="00000000">
        <w:rPr>
          <w:rFonts w:ascii="Times New Roman" w:cs="Times New Roman" w:eastAsia="Times New Roman" w:hAnsi="Times New Roman"/>
          <w:i w:val="1"/>
          <w:iCs w:val="1"/>
          <w:sz w:val="24"/>
          <w:szCs w:val="24"/>
          <w:rtl w:val="0"/>
        </w:rPr>
        <w:t xml:space="preserve">The Mabinogi and Other Medieval Welsh Tales</w:t>
      </w:r>
      <w:r w:rsidDel="00000000" w:rsidR="00000000" w:rsidRPr="00000000">
        <w:rPr>
          <w:rFonts w:ascii="Times New Roman" w:cs="Times New Roman" w:eastAsia="Times New Roman" w:hAnsi="Times New Roman"/>
          <w:sz w:val="24"/>
          <w:szCs w:val="24"/>
          <w:rtl w:val="0"/>
        </w:rPr>
        <w:t xml:space="preserve">, 2nd ed., University of California Press, 2019, pp. 71–86. </w:t>
      </w:r>
      <w:r w:rsidDel="00000000" w:rsidR="00000000" w:rsidRPr="00000000">
        <w:rPr>
          <w:rFonts w:ascii="Times New Roman" w:cs="Times New Roman" w:eastAsia="Times New Roman" w:hAnsi="Times New Roman"/>
          <w:i w:val="1"/>
          <w:iCs w:val="1"/>
          <w:sz w:val="24"/>
          <w:szCs w:val="24"/>
          <w:rtl w:val="0"/>
        </w:rPr>
        <w:t xml:space="preserve">JSTOR</w:t>
      </w:r>
      <w:r w:rsidDel="00000000" w:rsidR="00000000" w:rsidRPr="00000000">
        <w:rPr>
          <w:rFonts w:ascii="Times New Roman" w:cs="Times New Roman" w:eastAsia="Times New Roman" w:hAnsi="Times New Roman"/>
          <w:sz w:val="24"/>
          <w:szCs w:val="24"/>
          <w:rtl w:val="0"/>
        </w:rPr>
        <w:t xml:space="preserve">, https://doi.org/10.2307/j.ctvqr1b6m.7. Accessed 23 July 2026.</w:t>
      </w:r>
    </w:p>
    <w:p w:rsidR="00000000" w:rsidDel="00000000" w:rsidP="00000000" w:rsidRDefault="00000000" w:rsidRPr="00000000" w14:paraId="00000056">
      <w:pPr>
        <w:spacing w:line="240" w:lineRule="auto"/>
        <w:ind w:left="720" w:hanging="720"/>
        <w:rPr>
          <w:rFonts w:ascii="Times New Roman" w:cs="Times New Roman" w:eastAsia="Times New Roman" w:hAnsi="Times New Roman"/>
          <w:sz w:val="24"/>
          <w:szCs w:val="24"/>
        </w:rPr>
      </w:pPr>
      <w:r w:rsidDel="00000000" w:rsidR="00000000" w:rsidRPr="00000000">
        <w:rPr>
          <w:rtl w:val="0"/>
        </w:rPr>
      </w:r>
    </w:p>
  </w:footnote>
  <w:footnote w:id="11">
    <w:p w:rsidR="00000000" w:rsidDel="00000000" w:rsidP="00000000" w:rsidRDefault="00000000" w:rsidRPr="00000000" w14:paraId="00000057">
      <w:pPr>
        <w:spacing w:line="240" w:lineRule="auto"/>
        <w:ind w:left="720" w:hanging="720"/>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Foley, Ronan. "Small Health Pilgrimages: Place and Practice at the Holy Well." </w:t>
      </w:r>
      <w:r w:rsidDel="00000000" w:rsidR="00000000" w:rsidRPr="00000000">
        <w:rPr>
          <w:rFonts w:ascii="Times New Roman" w:cs="Times New Roman" w:eastAsia="Times New Roman" w:hAnsi="Times New Roman"/>
          <w:i w:val="1"/>
          <w:iCs w:val="1"/>
          <w:sz w:val="24"/>
          <w:szCs w:val="24"/>
          <w:rtl w:val="0"/>
        </w:rPr>
        <w:t xml:space="preserve">Culture and Religion</w:t>
      </w:r>
      <w:r w:rsidDel="00000000" w:rsidR="00000000" w:rsidRPr="00000000">
        <w:rPr>
          <w:rFonts w:ascii="Times New Roman" w:cs="Times New Roman" w:eastAsia="Times New Roman" w:hAnsi="Times New Roman"/>
          <w:sz w:val="24"/>
          <w:szCs w:val="24"/>
          <w:rtl w:val="0"/>
        </w:rPr>
        <w:t xml:space="preserve">, vol. 14, no. 1, 2013, pp. 44–62. Taylor &amp; Francis, https://doi.org/10.1080/14755610.2012.756410. </w:t>
      </w:r>
      <w:r w:rsidDel="00000000" w:rsidR="00000000" w:rsidRPr="00000000">
        <w:rPr>
          <w:rFonts w:ascii="Times New Roman" w:cs="Times New Roman" w:eastAsia="Times New Roman" w:hAnsi="Times New Roman"/>
          <w:i w:val="1"/>
          <w:iCs w:val="1"/>
          <w:sz w:val="24"/>
          <w:szCs w:val="24"/>
          <w:rtl w:val="0"/>
        </w:rPr>
        <w:t xml:space="preserve">MURAL: Maynooth University Research Archive Library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https://mural.maynoothuniversity.ie/id/eprint/8854/1/RF_small%20health%202013.pdf</w:t>
      </w:r>
      <w:r w:rsidDel="00000000" w:rsidR="00000000" w:rsidRPr="00000000">
        <w:rPr>
          <w:rFonts w:ascii="Times New Roman" w:cs="Times New Roman" w:eastAsia="Times New Roman" w:hAnsi="Times New Roman"/>
          <w:sz w:val="24"/>
          <w:szCs w:val="24"/>
          <w:rtl w:val="0"/>
        </w:rPr>
        <w:t xml:space="preserve">. Accessed 23 July 2026.</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4">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docslib.org/doc/8178329/the-representation-in-old-irish-law-texts-of-the-legal-position-of-women-in-early-medieval" TargetMode="External"/><Relationship Id="rId8"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docslib.org/doc/8178329/the-representation-in-old-irish-law-texts-of-the-legal-position-of-women-in-early-mediev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