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820C10" w14:textId="77777777" w:rsidR="00AC33A4" w:rsidRDefault="00AC33A4" w:rsidP="00AC33A4">
      <w:pPr>
        <w:spacing w:after="0" w:line="240" w:lineRule="auto"/>
        <w:jc w:val="center"/>
        <w:rPr>
          <w:rFonts w:ascii="Arial" w:eastAsia="Times New Roman" w:hAnsi="Arial" w:cs="Arial"/>
          <w:b/>
          <w:bCs/>
          <w:lang w:eastAsia="en-GB"/>
        </w:rPr>
      </w:pPr>
      <w:r w:rsidRPr="00AC33A4">
        <w:rPr>
          <w:rFonts w:ascii="Arial" w:eastAsia="Times New Roman" w:hAnsi="Arial" w:cs="Arial"/>
          <w:b/>
          <w:bCs/>
          <w:lang w:eastAsia="en-GB"/>
        </w:rPr>
        <w:t xml:space="preserve">Health and Social Care Group: </w:t>
      </w:r>
    </w:p>
    <w:p w14:paraId="1A4E15D0" w14:textId="77777777" w:rsidR="00AC33A4" w:rsidRDefault="00AC33A4" w:rsidP="00AC33A4">
      <w:pPr>
        <w:spacing w:after="0" w:line="240" w:lineRule="auto"/>
        <w:jc w:val="center"/>
        <w:rPr>
          <w:rFonts w:ascii="Arial" w:eastAsia="Times New Roman" w:hAnsi="Arial" w:cs="Arial"/>
          <w:b/>
          <w:bCs/>
          <w:lang w:eastAsia="en-GB"/>
        </w:rPr>
      </w:pPr>
    </w:p>
    <w:p w14:paraId="7404BB85" w14:textId="13417D09" w:rsidR="00AC33A4" w:rsidRDefault="00AC33A4" w:rsidP="00AC33A4">
      <w:pPr>
        <w:spacing w:after="0" w:line="240" w:lineRule="auto"/>
        <w:jc w:val="center"/>
        <w:rPr>
          <w:rFonts w:ascii="Arial" w:eastAsia="Times New Roman" w:hAnsi="Arial" w:cs="Arial"/>
          <w:b/>
          <w:bCs/>
          <w:lang w:eastAsia="en-GB"/>
        </w:rPr>
      </w:pPr>
      <w:r>
        <w:rPr>
          <w:rFonts w:ascii="Arial" w:eastAsia="Times New Roman" w:hAnsi="Arial" w:cs="Arial"/>
          <w:b/>
          <w:bCs/>
          <w:lang w:eastAsia="en-GB"/>
        </w:rPr>
        <w:t>Oana Larisa Costea</w:t>
      </w:r>
    </w:p>
    <w:p w14:paraId="712BCBED" w14:textId="77777777" w:rsidR="00AC33A4" w:rsidRDefault="00AC33A4" w:rsidP="00AC33A4">
      <w:pPr>
        <w:spacing w:after="0" w:line="240" w:lineRule="auto"/>
        <w:jc w:val="center"/>
        <w:rPr>
          <w:rFonts w:ascii="Arial" w:eastAsia="Times New Roman" w:hAnsi="Arial" w:cs="Arial"/>
          <w:b/>
          <w:bCs/>
          <w:lang w:eastAsia="en-GB"/>
        </w:rPr>
      </w:pPr>
    </w:p>
    <w:p w14:paraId="482CE7A2" w14:textId="749AC95C" w:rsidR="00AC33A4" w:rsidRPr="00AC33A4" w:rsidRDefault="00AC33A4" w:rsidP="00AC33A4">
      <w:pPr>
        <w:spacing w:after="0" w:line="240" w:lineRule="auto"/>
        <w:jc w:val="center"/>
        <w:rPr>
          <w:rFonts w:ascii="Arial" w:eastAsia="Times New Roman" w:hAnsi="Arial" w:cs="Arial"/>
          <w:b/>
          <w:bCs/>
          <w:lang w:eastAsia="en-GB"/>
        </w:rPr>
      </w:pPr>
      <w:r w:rsidRPr="00AC33A4">
        <w:rPr>
          <w:rFonts w:ascii="Arial" w:eastAsia="Times New Roman" w:hAnsi="Arial" w:cs="Arial"/>
          <w:b/>
          <w:bCs/>
          <w:lang w:eastAsia="en-GB"/>
        </w:rPr>
        <w:t>Student N</w:t>
      </w:r>
      <w:r>
        <w:rPr>
          <w:rFonts w:ascii="Arial" w:eastAsia="Times New Roman" w:hAnsi="Arial" w:cs="Arial"/>
          <w:b/>
          <w:bCs/>
          <w:lang w:eastAsia="en-GB"/>
        </w:rPr>
        <w:t>o 1918142</w:t>
      </w:r>
    </w:p>
    <w:p w14:paraId="7D4EAA10" w14:textId="6F828281" w:rsidR="00D505F1" w:rsidRPr="00AC33A4" w:rsidRDefault="00D505F1" w:rsidP="00AC33A4">
      <w:pPr>
        <w:jc w:val="center"/>
        <w:rPr>
          <w:rFonts w:ascii="Arial" w:hAnsi="Arial" w:cs="Arial"/>
          <w:b/>
          <w:bCs/>
        </w:rPr>
      </w:pPr>
    </w:p>
    <w:p w14:paraId="7CD572BD" w14:textId="7ADDC2D5" w:rsidR="00AC33A4" w:rsidRDefault="00AC33A4" w:rsidP="00AC33A4">
      <w:pPr>
        <w:jc w:val="center"/>
        <w:rPr>
          <w:rFonts w:ascii="Arial" w:hAnsi="Arial" w:cs="Arial"/>
          <w:b/>
          <w:bCs/>
        </w:rPr>
      </w:pPr>
      <w:r w:rsidRPr="00AC33A4">
        <w:rPr>
          <w:rFonts w:ascii="Arial" w:hAnsi="Arial" w:cs="Arial"/>
          <w:b/>
          <w:bCs/>
        </w:rPr>
        <w:t>Open Book Assessment: Case Study</w:t>
      </w:r>
    </w:p>
    <w:p w14:paraId="2888528D" w14:textId="77777777" w:rsidR="00AC33A4" w:rsidRPr="00AC33A4" w:rsidRDefault="00AC33A4" w:rsidP="00AC33A4">
      <w:pPr>
        <w:jc w:val="center"/>
        <w:rPr>
          <w:rFonts w:ascii="Arial" w:hAnsi="Arial" w:cs="Arial"/>
          <w:b/>
          <w:bCs/>
        </w:rPr>
      </w:pPr>
    </w:p>
    <w:p w14:paraId="7375DC8C" w14:textId="52668674" w:rsidR="00AC33A4" w:rsidRDefault="00AC33A4" w:rsidP="00AC33A4">
      <w:pPr>
        <w:jc w:val="center"/>
        <w:rPr>
          <w:rFonts w:ascii="Arial" w:hAnsi="Arial" w:cs="Arial"/>
          <w:b/>
          <w:bCs/>
        </w:rPr>
      </w:pPr>
      <w:r w:rsidRPr="00AC33A4">
        <w:rPr>
          <w:rFonts w:ascii="Arial" w:hAnsi="Arial" w:cs="Arial"/>
          <w:b/>
          <w:bCs/>
        </w:rPr>
        <w:t xml:space="preserve">Lecturer: Dr </w:t>
      </w:r>
      <w:proofErr w:type="spellStart"/>
      <w:r w:rsidRPr="00AC33A4">
        <w:rPr>
          <w:rFonts w:ascii="Arial" w:hAnsi="Arial" w:cs="Arial"/>
          <w:b/>
          <w:bCs/>
        </w:rPr>
        <w:t>Crisford</w:t>
      </w:r>
      <w:proofErr w:type="spellEnd"/>
      <w:r w:rsidRPr="00AC33A4">
        <w:rPr>
          <w:rFonts w:ascii="Arial" w:hAnsi="Arial" w:cs="Arial"/>
          <w:b/>
          <w:bCs/>
        </w:rPr>
        <w:t xml:space="preserve"> </w:t>
      </w:r>
      <w:proofErr w:type="spellStart"/>
      <w:r w:rsidRPr="00AC33A4">
        <w:rPr>
          <w:rFonts w:ascii="Arial" w:hAnsi="Arial" w:cs="Arial"/>
          <w:b/>
          <w:bCs/>
        </w:rPr>
        <w:t>Chogugudza</w:t>
      </w:r>
      <w:proofErr w:type="spellEnd"/>
      <w:r w:rsidRPr="00AC33A4">
        <w:rPr>
          <w:rFonts w:ascii="Arial" w:hAnsi="Arial" w:cs="Arial"/>
          <w:b/>
          <w:bCs/>
        </w:rPr>
        <w:t xml:space="preserve"> (</w:t>
      </w:r>
      <w:proofErr w:type="spellStart"/>
      <w:proofErr w:type="gramStart"/>
      <w:r w:rsidRPr="00AC33A4">
        <w:rPr>
          <w:rFonts w:ascii="Arial" w:hAnsi="Arial" w:cs="Arial"/>
          <w:b/>
          <w:bCs/>
        </w:rPr>
        <w:t>Ph.D</w:t>
      </w:r>
      <w:proofErr w:type="spellEnd"/>
      <w:proofErr w:type="gramEnd"/>
      <w:r w:rsidRPr="00AC33A4">
        <w:rPr>
          <w:rFonts w:ascii="Arial" w:hAnsi="Arial" w:cs="Arial"/>
          <w:b/>
          <w:bCs/>
        </w:rPr>
        <w:t>)</w:t>
      </w:r>
    </w:p>
    <w:p w14:paraId="4240F538" w14:textId="510C4075" w:rsidR="00AC33A4" w:rsidRDefault="00AC33A4" w:rsidP="00AC33A4">
      <w:pPr>
        <w:jc w:val="center"/>
        <w:rPr>
          <w:rFonts w:ascii="Arial" w:hAnsi="Arial" w:cs="Arial"/>
          <w:b/>
          <w:bCs/>
        </w:rPr>
      </w:pPr>
    </w:p>
    <w:p w14:paraId="5E119D8C" w14:textId="64D5E3EA" w:rsidR="00AC33A4" w:rsidRDefault="00AC33A4" w:rsidP="00AC33A4">
      <w:pPr>
        <w:jc w:val="center"/>
        <w:rPr>
          <w:rFonts w:ascii="Arial" w:hAnsi="Arial" w:cs="Arial"/>
          <w:b/>
          <w:bCs/>
        </w:rPr>
      </w:pPr>
    </w:p>
    <w:p w14:paraId="7C9582F6" w14:textId="56ED4389" w:rsidR="00AC33A4" w:rsidRPr="008C451D" w:rsidRDefault="002661FA" w:rsidP="008C451D">
      <w:pPr>
        <w:spacing w:line="360" w:lineRule="auto"/>
        <w:jc w:val="both"/>
        <w:rPr>
          <w:rFonts w:ascii="Arial" w:hAnsi="Arial" w:cs="Arial"/>
        </w:rPr>
      </w:pPr>
      <w:r w:rsidRPr="008C451D">
        <w:rPr>
          <w:rFonts w:ascii="Arial" w:hAnsi="Arial" w:cs="Arial"/>
        </w:rPr>
        <w:t>It is increasingly recognised that employees' mental health is a key determinant in overall health and that poor mental health and workplace stress can play an important part in various physical conditions, including hypertension, diabetes and cardiovascular conditions. Furthermore, poor mental health can cause employees to burn out, seriously affecting their ability to significantly contribute to their personal and professional lives.</w:t>
      </w:r>
    </w:p>
    <w:p w14:paraId="6744B276" w14:textId="56CC33B6" w:rsidR="009F59E1" w:rsidRPr="008C451D" w:rsidRDefault="009F59E1" w:rsidP="008C451D">
      <w:pPr>
        <w:spacing w:line="360" w:lineRule="auto"/>
        <w:jc w:val="both"/>
        <w:rPr>
          <w:rFonts w:ascii="Arial" w:hAnsi="Arial" w:cs="Arial"/>
        </w:rPr>
      </w:pPr>
      <w:r w:rsidRPr="008C451D">
        <w:rPr>
          <w:rFonts w:ascii="Arial" w:hAnsi="Arial" w:cs="Arial"/>
        </w:rPr>
        <w:t>Data from numerous countries around the world show that a percentage of workers falling out of work is caused by mental health issues. In the Netherlands, around 58% of illnesses in the workplace are due to mental health. In the UK, it is calculated that about 30-40% of the disorder can be traced to a specific category of mental health.</w:t>
      </w:r>
    </w:p>
    <w:p w14:paraId="72E8AD79" w14:textId="0E3DF93D" w:rsidR="009F59E1" w:rsidRPr="008C451D" w:rsidRDefault="009F59E1" w:rsidP="008C451D">
      <w:pPr>
        <w:spacing w:line="360" w:lineRule="auto"/>
        <w:jc w:val="both"/>
        <w:rPr>
          <w:rFonts w:ascii="Arial" w:hAnsi="Arial" w:cs="Arial"/>
        </w:rPr>
      </w:pPr>
      <w:r w:rsidRPr="008C451D">
        <w:rPr>
          <w:rFonts w:ascii="Arial" w:hAnsi="Arial" w:cs="Arial"/>
        </w:rPr>
        <w:t xml:space="preserve">Mental disorder (general wellbeing questionnaire), depressive symptoms (general behaviour surveys) and anxiety is </w:t>
      </w:r>
      <w:r w:rsidRPr="008C451D">
        <w:rPr>
          <w:rFonts w:ascii="Arial" w:hAnsi="Arial" w:cs="Arial"/>
        </w:rPr>
        <w:t>defined</w:t>
      </w:r>
      <w:r w:rsidRPr="008C451D">
        <w:rPr>
          <w:rFonts w:ascii="Arial" w:hAnsi="Arial" w:cs="Arial"/>
        </w:rPr>
        <w:t xml:space="preserve"> as psychotherapeutic distress. A support for an alternative model, however, has also been found in which depressed symptoms serve as a mediator between long unemployment and low self-esteem. This suggests that people can respond differently to unemployment.</w:t>
      </w:r>
    </w:p>
    <w:p w14:paraId="7A8F4524" w14:textId="30FD7F3C" w:rsidR="0074395B" w:rsidRPr="008C451D" w:rsidRDefault="0074395B" w:rsidP="008C451D">
      <w:pPr>
        <w:spacing w:line="360" w:lineRule="auto"/>
        <w:jc w:val="both"/>
        <w:rPr>
          <w:rFonts w:ascii="Arial" w:hAnsi="Arial" w:cs="Arial"/>
          <w:shd w:val="clear" w:color="auto" w:fill="FFFFFF"/>
        </w:rPr>
      </w:pPr>
      <w:r w:rsidRPr="008C451D">
        <w:rPr>
          <w:rFonts w:ascii="Arial" w:hAnsi="Arial" w:cs="Arial"/>
        </w:rPr>
        <w:t xml:space="preserve">According to </w:t>
      </w:r>
      <w:r w:rsidRPr="008C451D">
        <w:rPr>
          <w:rFonts w:ascii="Arial" w:hAnsi="Arial" w:cs="Arial"/>
          <w:shd w:val="clear" w:color="auto" w:fill="FFFFFF"/>
        </w:rPr>
        <w:t>Redekopp</w:t>
      </w:r>
      <w:r w:rsidRPr="008C451D">
        <w:rPr>
          <w:rFonts w:ascii="Arial" w:hAnsi="Arial" w:cs="Arial"/>
          <w:shd w:val="clear" w:color="auto" w:fill="FFFFFF"/>
        </w:rPr>
        <w:t xml:space="preserve"> (2019), w</w:t>
      </w:r>
      <w:r w:rsidRPr="008C451D">
        <w:rPr>
          <w:rFonts w:ascii="Arial" w:hAnsi="Arial" w:cs="Arial"/>
          <w:shd w:val="clear" w:color="auto" w:fill="FFFFFF"/>
        </w:rPr>
        <w:t>ork is a significant factor in mental health and wellbeing outcomes. Career development processes can be helpful in finding and managing work trajectories that lead to these as well as additional wellbeing outcomes. Conversely, mental illness can impede the acquisition and retention of suitable work as well as the ability to fully engage in career development</w:t>
      </w:r>
      <w:r w:rsidRPr="008C451D">
        <w:rPr>
          <w:rFonts w:ascii="Arial" w:hAnsi="Arial" w:cs="Arial"/>
          <w:shd w:val="clear" w:color="auto" w:fill="FFFFFF"/>
        </w:rPr>
        <w:t>.</w:t>
      </w:r>
      <w:r w:rsidRPr="008C451D">
        <w:rPr>
          <w:rFonts w:ascii="Arial" w:hAnsi="Arial" w:cs="Arial"/>
        </w:rPr>
        <w:t xml:space="preserve"> </w:t>
      </w:r>
      <w:r w:rsidRPr="008C451D">
        <w:rPr>
          <w:rFonts w:ascii="Arial" w:hAnsi="Arial" w:cs="Arial"/>
          <w:shd w:val="clear" w:color="auto" w:fill="FFFFFF"/>
        </w:rPr>
        <w:t>Evidence for interactive relationships between work, career, mental health and mental illness is analysed and the connections between work and wellbeing are focused on ("good" and "bad"). Evidence for counselling, guidance, organisation, and policies follows and concludes, through career-driving interventions, with suggestions for improving well-being.</w:t>
      </w:r>
    </w:p>
    <w:p w14:paraId="0806E596" w14:textId="7A558CD6" w:rsidR="000937D1" w:rsidRPr="008C451D" w:rsidRDefault="000937D1" w:rsidP="008C451D">
      <w:pPr>
        <w:spacing w:line="360" w:lineRule="auto"/>
        <w:jc w:val="both"/>
        <w:rPr>
          <w:rFonts w:ascii="Arial" w:hAnsi="Arial" w:cs="Arial"/>
        </w:rPr>
      </w:pPr>
      <w:r w:rsidRPr="008C451D">
        <w:rPr>
          <w:rFonts w:ascii="Arial" w:hAnsi="Arial" w:cs="Arial"/>
        </w:rPr>
        <w:t xml:space="preserve">The evidence demonstrates that career leadership could have major economic advantages by improving the ability of individuals in ways that translate to increased employment, </w:t>
      </w:r>
      <w:r w:rsidRPr="008C451D">
        <w:rPr>
          <w:rFonts w:ascii="Arial" w:hAnsi="Arial" w:cs="Arial"/>
        </w:rPr>
        <w:lastRenderedPageBreak/>
        <w:t>expertise and growth. This indicates that the Government should rethink the existing recommendations for professions and consider how best to optimise the economic benefits listed above. That should provide greater access in general, the best way to concentrate on procurement of services and rethinking which departments may help support and impact the creation of a lifetime career advice scheme in the United Kingdom.</w:t>
      </w:r>
    </w:p>
    <w:p w14:paraId="3F08F8E2" w14:textId="259A6463" w:rsidR="008C451D" w:rsidRPr="008C451D" w:rsidRDefault="008C451D" w:rsidP="008C451D">
      <w:pPr>
        <w:spacing w:line="360" w:lineRule="auto"/>
        <w:jc w:val="both"/>
        <w:rPr>
          <w:rFonts w:ascii="Arial" w:hAnsi="Arial" w:cs="Arial"/>
        </w:rPr>
      </w:pPr>
      <w:r w:rsidRPr="008C451D">
        <w:rPr>
          <w:rFonts w:ascii="Arial" w:hAnsi="Arial" w:cs="Arial"/>
        </w:rPr>
        <w:t xml:space="preserve">Although it is not yet complete and articulated to analyse the extent of relationships and the design of connections between job growth and mental health, this paper concluded that these relationships do exist. Given this hypothesis, career counsellors have been argued as </w:t>
      </w:r>
      <w:r w:rsidRPr="008C451D">
        <w:rPr>
          <w:rFonts w:ascii="Arial" w:hAnsi="Arial" w:cs="Arial"/>
        </w:rPr>
        <w:t>therapeutical</w:t>
      </w:r>
      <w:r w:rsidRPr="008C451D">
        <w:rPr>
          <w:rFonts w:ascii="Arial" w:hAnsi="Arial" w:cs="Arial"/>
        </w:rPr>
        <w:t xml:space="preserve"> models, since they provide knowledge, assistance, motivation and skills which increase personal competence, foster optimism and diminish sentiments of social alienation of low worth or integrity to dislocated, disappointed, ill-adjusted or underemployed staff.</w:t>
      </w:r>
    </w:p>
    <w:p w14:paraId="5D588FBF" w14:textId="5C34FC82" w:rsidR="000937D1" w:rsidRPr="008C451D" w:rsidRDefault="008C451D" w:rsidP="008C451D">
      <w:pPr>
        <w:spacing w:line="360" w:lineRule="auto"/>
        <w:jc w:val="both"/>
        <w:rPr>
          <w:rFonts w:ascii="Arial" w:hAnsi="Arial" w:cs="Arial"/>
        </w:rPr>
      </w:pPr>
      <w:r w:rsidRPr="008C451D">
        <w:rPr>
          <w:rFonts w:ascii="Arial" w:hAnsi="Arial" w:cs="Arial"/>
        </w:rPr>
        <w:t>Ability development and psycho-educational techniques will specifically answer problems such as conflict control, trust, preparation, leadership skills as well as tolerance to positive oversight. There are concerns about teaching individuals about options, purposes and paths to growth that help people create a truth and make sense in the light of jobs and employment. There are therapeutic ways in which behavioural wellbeing can be generated</w:t>
      </w:r>
      <w:r w:rsidRPr="008C451D">
        <w:rPr>
          <w:rFonts w:ascii="Arial" w:hAnsi="Arial" w:cs="Arial"/>
        </w:rPr>
        <w:t xml:space="preserve"> (Herr,1989).</w:t>
      </w:r>
    </w:p>
    <w:p w14:paraId="3007A36A" w14:textId="77777777" w:rsidR="009F59E1" w:rsidRDefault="009F59E1" w:rsidP="002661FA">
      <w:pPr>
        <w:spacing w:line="360" w:lineRule="auto"/>
        <w:rPr>
          <w:rFonts w:ascii="Arial" w:hAnsi="Arial" w:cs="Arial"/>
        </w:rPr>
      </w:pPr>
    </w:p>
    <w:p w14:paraId="438DCCF1" w14:textId="77777777" w:rsidR="009F59E1" w:rsidRDefault="009F59E1" w:rsidP="002661FA">
      <w:pPr>
        <w:spacing w:line="360" w:lineRule="auto"/>
        <w:rPr>
          <w:rFonts w:ascii="Arial" w:hAnsi="Arial" w:cs="Arial"/>
        </w:rPr>
      </w:pPr>
    </w:p>
    <w:p w14:paraId="2472611F" w14:textId="5304A3AC" w:rsidR="002661FA" w:rsidRDefault="002661FA" w:rsidP="002661FA">
      <w:pPr>
        <w:spacing w:line="360" w:lineRule="auto"/>
        <w:rPr>
          <w:rFonts w:ascii="Arial" w:hAnsi="Arial" w:cs="Arial"/>
        </w:rPr>
      </w:pPr>
    </w:p>
    <w:p w14:paraId="7407ED46" w14:textId="6F2696EE" w:rsidR="002661FA" w:rsidRDefault="002661FA" w:rsidP="002661FA">
      <w:pPr>
        <w:spacing w:line="360" w:lineRule="auto"/>
        <w:rPr>
          <w:rFonts w:ascii="Arial" w:hAnsi="Arial" w:cs="Arial"/>
        </w:rPr>
      </w:pPr>
    </w:p>
    <w:p w14:paraId="36791615" w14:textId="5E50F393" w:rsidR="002661FA" w:rsidRDefault="002661FA" w:rsidP="002661FA">
      <w:pPr>
        <w:spacing w:line="360" w:lineRule="auto"/>
        <w:rPr>
          <w:rFonts w:ascii="Arial" w:hAnsi="Arial" w:cs="Arial"/>
        </w:rPr>
      </w:pPr>
    </w:p>
    <w:p w14:paraId="629D4756" w14:textId="46C68E86" w:rsidR="002661FA" w:rsidRDefault="002661FA" w:rsidP="002661FA">
      <w:pPr>
        <w:spacing w:line="360" w:lineRule="auto"/>
        <w:rPr>
          <w:rFonts w:ascii="Arial" w:hAnsi="Arial" w:cs="Arial"/>
        </w:rPr>
      </w:pPr>
    </w:p>
    <w:p w14:paraId="4A56942E" w14:textId="767F78F5" w:rsidR="002661FA" w:rsidRDefault="002661FA" w:rsidP="002661FA">
      <w:pPr>
        <w:spacing w:line="360" w:lineRule="auto"/>
        <w:rPr>
          <w:rFonts w:ascii="Arial" w:hAnsi="Arial" w:cs="Arial"/>
        </w:rPr>
      </w:pPr>
    </w:p>
    <w:p w14:paraId="13503D74" w14:textId="085234BB" w:rsidR="002661FA" w:rsidRDefault="002661FA" w:rsidP="002661FA">
      <w:pPr>
        <w:spacing w:line="360" w:lineRule="auto"/>
        <w:rPr>
          <w:rFonts w:ascii="Arial" w:hAnsi="Arial" w:cs="Arial"/>
        </w:rPr>
      </w:pPr>
    </w:p>
    <w:p w14:paraId="54BD9624" w14:textId="0835C35D" w:rsidR="002661FA" w:rsidRDefault="002661FA" w:rsidP="002661FA">
      <w:pPr>
        <w:spacing w:line="360" w:lineRule="auto"/>
        <w:rPr>
          <w:rFonts w:ascii="Arial" w:hAnsi="Arial" w:cs="Arial"/>
        </w:rPr>
      </w:pPr>
    </w:p>
    <w:p w14:paraId="119489ED" w14:textId="0A7BF2FC" w:rsidR="002661FA" w:rsidRDefault="002661FA" w:rsidP="002661FA">
      <w:pPr>
        <w:spacing w:line="360" w:lineRule="auto"/>
        <w:rPr>
          <w:rFonts w:ascii="Arial" w:hAnsi="Arial" w:cs="Arial"/>
        </w:rPr>
      </w:pPr>
    </w:p>
    <w:p w14:paraId="502575A1" w14:textId="481E7149" w:rsidR="002661FA" w:rsidRDefault="002661FA" w:rsidP="002661FA">
      <w:pPr>
        <w:spacing w:line="360" w:lineRule="auto"/>
        <w:rPr>
          <w:rFonts w:ascii="Arial" w:hAnsi="Arial" w:cs="Arial"/>
        </w:rPr>
      </w:pPr>
    </w:p>
    <w:p w14:paraId="52ECE884" w14:textId="65A0F87A" w:rsidR="002661FA" w:rsidRDefault="002661FA" w:rsidP="002661FA">
      <w:pPr>
        <w:spacing w:line="360" w:lineRule="auto"/>
        <w:rPr>
          <w:rFonts w:ascii="Arial" w:hAnsi="Arial" w:cs="Arial"/>
        </w:rPr>
      </w:pPr>
    </w:p>
    <w:p w14:paraId="6B694911" w14:textId="41250ED5" w:rsidR="002661FA" w:rsidRDefault="002661FA" w:rsidP="002661FA">
      <w:pPr>
        <w:spacing w:line="360" w:lineRule="auto"/>
        <w:rPr>
          <w:rFonts w:ascii="Arial" w:hAnsi="Arial" w:cs="Arial"/>
        </w:rPr>
      </w:pPr>
    </w:p>
    <w:p w14:paraId="6E911D7D" w14:textId="50253B8C" w:rsidR="002661FA" w:rsidRDefault="002661FA" w:rsidP="002661FA">
      <w:pPr>
        <w:spacing w:line="360" w:lineRule="auto"/>
        <w:rPr>
          <w:rFonts w:ascii="Arial" w:hAnsi="Arial" w:cs="Arial"/>
        </w:rPr>
      </w:pPr>
    </w:p>
    <w:p w14:paraId="09637486" w14:textId="77777777" w:rsidR="008C451D" w:rsidRPr="008C451D" w:rsidRDefault="008C451D" w:rsidP="008C451D">
      <w:pPr>
        <w:spacing w:line="360" w:lineRule="auto"/>
        <w:rPr>
          <w:rFonts w:ascii="Arial" w:hAnsi="Arial" w:cs="Arial"/>
        </w:rPr>
      </w:pPr>
      <w:r w:rsidRPr="008C451D">
        <w:rPr>
          <w:rFonts w:ascii="Arial" w:hAnsi="Arial" w:cs="Arial"/>
        </w:rPr>
        <w:lastRenderedPageBreak/>
        <w:t>Herr, E.L., 1989. Career development and mental health. Journal of Career Development, 16(1), pp.5-18.</w:t>
      </w:r>
    </w:p>
    <w:p w14:paraId="4779EDE1" w14:textId="77777777" w:rsidR="008C451D" w:rsidRPr="008C451D" w:rsidRDefault="008C451D" w:rsidP="008C451D">
      <w:pPr>
        <w:spacing w:line="360" w:lineRule="auto"/>
        <w:rPr>
          <w:rFonts w:ascii="Arial" w:hAnsi="Arial" w:cs="Arial"/>
        </w:rPr>
      </w:pPr>
      <w:r w:rsidRPr="008C451D">
        <w:rPr>
          <w:rFonts w:ascii="Arial" w:hAnsi="Arial" w:cs="Arial"/>
        </w:rPr>
        <w:t>Hooley, T. and Dodd, V., 2015. The economic benefits of career guidance.</w:t>
      </w:r>
    </w:p>
    <w:p w14:paraId="2BA7A93B" w14:textId="77777777" w:rsidR="008C451D" w:rsidRPr="008C451D" w:rsidRDefault="008C451D" w:rsidP="008C451D">
      <w:pPr>
        <w:spacing w:line="360" w:lineRule="auto"/>
        <w:rPr>
          <w:rFonts w:ascii="Arial" w:hAnsi="Arial" w:cs="Arial"/>
        </w:rPr>
      </w:pPr>
      <w:proofErr w:type="spellStart"/>
      <w:r w:rsidRPr="008C451D">
        <w:rPr>
          <w:rFonts w:ascii="Arial" w:hAnsi="Arial" w:cs="Arial"/>
        </w:rPr>
        <w:t>Kokko</w:t>
      </w:r>
      <w:proofErr w:type="spellEnd"/>
      <w:r w:rsidRPr="008C451D">
        <w:rPr>
          <w:rFonts w:ascii="Arial" w:hAnsi="Arial" w:cs="Arial"/>
        </w:rPr>
        <w:t xml:space="preserve">, K. and </w:t>
      </w:r>
      <w:proofErr w:type="spellStart"/>
      <w:r w:rsidRPr="008C451D">
        <w:rPr>
          <w:rFonts w:ascii="Arial" w:hAnsi="Arial" w:cs="Arial"/>
        </w:rPr>
        <w:t>Pulkkinen</w:t>
      </w:r>
      <w:proofErr w:type="spellEnd"/>
      <w:r w:rsidRPr="008C451D">
        <w:rPr>
          <w:rFonts w:ascii="Arial" w:hAnsi="Arial" w:cs="Arial"/>
        </w:rPr>
        <w:t>, L., 1998. Unemployment and psychological distress: Mediator effects. Journal of Adult Development, 5(4), pp.205-217.</w:t>
      </w:r>
    </w:p>
    <w:p w14:paraId="5A1403C4" w14:textId="74276737" w:rsidR="008C451D" w:rsidRPr="008C451D" w:rsidRDefault="008C451D" w:rsidP="008C451D">
      <w:pPr>
        <w:spacing w:line="360" w:lineRule="auto"/>
        <w:rPr>
          <w:rFonts w:ascii="Arial" w:hAnsi="Arial" w:cs="Arial"/>
        </w:rPr>
      </w:pPr>
      <w:proofErr w:type="spellStart"/>
      <w:r w:rsidRPr="008C451D">
        <w:rPr>
          <w:rFonts w:ascii="Arial" w:hAnsi="Arial" w:cs="Arial"/>
        </w:rPr>
        <w:t>Rajgopal</w:t>
      </w:r>
      <w:proofErr w:type="spellEnd"/>
      <w:r w:rsidRPr="008C451D">
        <w:rPr>
          <w:rFonts w:ascii="Arial" w:hAnsi="Arial" w:cs="Arial"/>
        </w:rPr>
        <w:t>, T., 2010. Mental well-being at the workplace. Indian journal of occupational and environmental medicine, 14(3), p.63.</w:t>
      </w:r>
    </w:p>
    <w:p w14:paraId="4CE14D0B" w14:textId="77777777" w:rsidR="008C451D" w:rsidRPr="008C451D" w:rsidRDefault="008C451D" w:rsidP="008C451D">
      <w:pPr>
        <w:spacing w:line="360" w:lineRule="auto"/>
        <w:rPr>
          <w:rFonts w:ascii="Arial" w:hAnsi="Arial" w:cs="Arial"/>
        </w:rPr>
      </w:pPr>
      <w:r w:rsidRPr="008C451D">
        <w:rPr>
          <w:rFonts w:ascii="Arial" w:hAnsi="Arial" w:cs="Arial"/>
          <w:shd w:val="clear" w:color="auto" w:fill="FFFFFF"/>
        </w:rPr>
        <w:t>Redekopp, D.E. and Huston, M., 2019. The broader aims of career development: mental health, wellbeing and work. British Journal of Guidance &amp; Counselling, 47(2), pp.246-257.</w:t>
      </w:r>
    </w:p>
    <w:p w14:paraId="5C6C05E6" w14:textId="372B1F8C" w:rsidR="002661FA" w:rsidRDefault="002661FA" w:rsidP="002661FA">
      <w:pPr>
        <w:spacing w:line="360" w:lineRule="auto"/>
        <w:rPr>
          <w:rFonts w:ascii="Arial" w:hAnsi="Arial" w:cs="Arial"/>
        </w:rPr>
      </w:pPr>
    </w:p>
    <w:p w14:paraId="0C661348" w14:textId="77777777" w:rsidR="002661FA" w:rsidRPr="002661FA" w:rsidRDefault="002661FA" w:rsidP="002661FA">
      <w:pPr>
        <w:spacing w:line="360" w:lineRule="auto"/>
        <w:rPr>
          <w:rFonts w:ascii="Arial" w:hAnsi="Arial" w:cs="Arial"/>
        </w:rPr>
      </w:pPr>
    </w:p>
    <w:sectPr w:rsidR="002661FA" w:rsidRPr="002661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5F4"/>
    <w:rsid w:val="000937D1"/>
    <w:rsid w:val="002661FA"/>
    <w:rsid w:val="004362C5"/>
    <w:rsid w:val="0074395B"/>
    <w:rsid w:val="008C451D"/>
    <w:rsid w:val="009F59E1"/>
    <w:rsid w:val="00AC33A4"/>
    <w:rsid w:val="00D505F1"/>
    <w:rsid w:val="00DE05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EDF8A"/>
  <w15:chartTrackingRefBased/>
  <w15:docId w15:val="{5DDB27B2-3251-4064-B62B-9B84B732A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77969733">
      <w:bodyDiv w:val="1"/>
      <w:marLeft w:val="0"/>
      <w:marRight w:val="0"/>
      <w:marTop w:val="0"/>
      <w:marBottom w:val="0"/>
      <w:divBdr>
        <w:top w:val="none" w:sz="0" w:space="0" w:color="auto"/>
        <w:left w:val="none" w:sz="0" w:space="0" w:color="auto"/>
        <w:bottom w:val="none" w:sz="0" w:space="0" w:color="auto"/>
        <w:right w:val="none" w:sz="0" w:space="0" w:color="auto"/>
      </w:divBdr>
      <w:divsChild>
        <w:div w:id="18344897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3</Pages>
  <Words>640</Words>
  <Characters>3653</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Costea</dc:creator>
  <cp:keywords/>
  <dc:description/>
  <cp:lastModifiedBy>Oana Costea</cp:lastModifiedBy>
  <cp:revision>30</cp:revision>
  <dcterms:created xsi:type="dcterms:W3CDTF">2021-02-09T14:10:00Z</dcterms:created>
  <dcterms:modified xsi:type="dcterms:W3CDTF">2021-02-09T16:01:00Z</dcterms:modified>
</cp:coreProperties>
</file>