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sz w:val="24"/>
          <w:lang w:val="en-AU"/>
          <w14:ligatures w14:val="standardContextual"/>
        </w:rPr>
        <w:id w:val="-1708406580"/>
        <w:docPartObj>
          <w:docPartGallery w:val="Cover Pages"/>
          <w:docPartUnique/>
        </w:docPartObj>
      </w:sdtPr>
      <w:sdtContent>
        <w:p w14:paraId="6D553F1D" w14:textId="4D73F0C4" w:rsidR="00AF16DB" w:rsidRDefault="00AF16DB">
          <w:pPr>
            <w:pStyle w:val="NoSpacing"/>
          </w:pPr>
          <w:r>
            <w:rPr>
              <w:noProof/>
            </w:rPr>
            <mc:AlternateContent>
              <mc:Choice Requires="wpg">
                <w:drawing>
                  <wp:anchor distT="0" distB="0" distL="114300" distR="114300" simplePos="0" relativeHeight="251659264" behindDoc="1" locked="0" layoutInCell="1" allowOverlap="1" wp14:anchorId="7A632734" wp14:editId="48E3F6D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4T00:00:00Z">
                                      <w:dateFormat w:val="M/d/yyyy"/>
                                      <w:lid w:val="en-US"/>
                                      <w:storeMappedDataAs w:val="dateTime"/>
                                      <w:calendar w:val="gregorian"/>
                                    </w:date>
                                  </w:sdtPr>
                                  <w:sdtContent>
                                    <w:p w14:paraId="0D65201C" w14:textId="0557AEA9" w:rsidR="00AF16DB" w:rsidRDefault="00D601E0">
                                      <w:pPr>
                                        <w:pStyle w:val="NoSpacing"/>
                                        <w:jc w:val="right"/>
                                        <w:rPr>
                                          <w:color w:val="FFFFFF" w:themeColor="background1"/>
                                          <w:sz w:val="28"/>
                                          <w:szCs w:val="28"/>
                                        </w:rPr>
                                      </w:pPr>
                                      <w:r>
                                        <w:rPr>
                                          <w:color w:val="FFFFFF" w:themeColor="background1"/>
                                          <w:sz w:val="28"/>
                                          <w:szCs w:val="28"/>
                                        </w:rPr>
                                        <w:t>8/4/2026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A632734"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4T00:00:00Z">
                                <w:dateFormat w:val="M/d/yyyy"/>
                                <w:lid w:val="en-US"/>
                                <w:storeMappedDataAs w:val="dateTime"/>
                                <w:calendar w:val="gregorian"/>
                              </w:date>
                            </w:sdtPr>
                            <w:sdtContent>
                              <w:p w14:paraId="0D65201C" w14:textId="0557AEA9" w:rsidR="00AF16DB" w:rsidRDefault="00D601E0">
                                <w:pPr>
                                  <w:pStyle w:val="NoSpacing"/>
                                  <w:jc w:val="right"/>
                                  <w:rPr>
                                    <w:color w:val="FFFFFF" w:themeColor="background1"/>
                                    <w:sz w:val="28"/>
                                    <w:szCs w:val="28"/>
                                  </w:rPr>
                                </w:pPr>
                                <w:r>
                                  <w:rPr>
                                    <w:color w:val="FFFFFF" w:themeColor="background1"/>
                                    <w:sz w:val="28"/>
                                    <w:szCs w:val="28"/>
                                  </w:rPr>
                                  <w:t>8/4/2026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C81872B" wp14:editId="402B807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6C760C" w14:textId="5E6FACB2" w:rsidR="00AF16DB" w:rsidRDefault="00000000">
                                <w:pPr>
                                  <w:pStyle w:val="NoSpacing"/>
                                  <w:rPr>
                                    <w:color w:val="4472C4" w:themeColor="accent1"/>
                                    <w:sz w:val="26"/>
                                    <w:szCs w:val="26"/>
                                  </w:rPr>
                                </w:pPr>
                                <w:sdt>
                                  <w:sdtPr>
                                    <w:rPr>
                                      <w:color w:val="4472C4" w:themeColor="accent1"/>
                                      <w:kern w:val="2"/>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324D2" w:rsidRPr="000324D2">
                                      <w:rPr>
                                        <w:color w:val="4472C4" w:themeColor="accent1"/>
                                        <w:kern w:val="2"/>
                                        <w:sz w:val="26"/>
                                        <w:szCs w:val="26"/>
                                      </w:rPr>
                                      <w:t>University of Wales Trinity Saint David</w:t>
                                    </w:r>
                                  </w:sdtContent>
                                </w:sdt>
                              </w:p>
                              <w:p w14:paraId="5BF9676D" w14:textId="785E9F1B" w:rsidR="00AF16DB"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01AE7">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C81872B"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06C760C" w14:textId="5E6FACB2" w:rsidR="00AF16DB" w:rsidRDefault="00000000">
                          <w:pPr>
                            <w:pStyle w:val="NoSpacing"/>
                            <w:rPr>
                              <w:color w:val="4472C4" w:themeColor="accent1"/>
                              <w:sz w:val="26"/>
                              <w:szCs w:val="26"/>
                            </w:rPr>
                          </w:pPr>
                          <w:sdt>
                            <w:sdtPr>
                              <w:rPr>
                                <w:color w:val="4472C4" w:themeColor="accent1"/>
                                <w:kern w:val="2"/>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324D2" w:rsidRPr="000324D2">
                                <w:rPr>
                                  <w:color w:val="4472C4" w:themeColor="accent1"/>
                                  <w:kern w:val="2"/>
                                  <w:sz w:val="26"/>
                                  <w:szCs w:val="26"/>
                                </w:rPr>
                                <w:t>University of Wales Trinity Saint David</w:t>
                              </w:r>
                            </w:sdtContent>
                          </w:sdt>
                        </w:p>
                        <w:p w14:paraId="5BF9676D" w14:textId="785E9F1B" w:rsidR="00AF16DB"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01AE7">
                                <w:rPr>
                                  <w:caps/>
                                  <w:color w:val="595959" w:themeColor="text1" w:themeTint="A6"/>
                                  <w:sz w:val="20"/>
                                  <w:szCs w:val="20"/>
                                </w:rPr>
                                <w:t>London campus</w:t>
                              </w:r>
                            </w:sdtContent>
                          </w:sdt>
                        </w:p>
                      </w:txbxContent>
                    </v:textbox>
                    <w10:wrap anchorx="page" anchory="page"/>
                  </v:shape>
                </w:pict>
              </mc:Fallback>
            </mc:AlternateContent>
          </w:r>
        </w:p>
        <w:p w14:paraId="01B30E94" w14:textId="2F439EA5" w:rsidR="00740838" w:rsidRDefault="00002F3B" w:rsidP="00740838">
          <w:pPr>
            <w:spacing w:line="259" w:lineRule="auto"/>
            <w:jc w:val="left"/>
          </w:pPr>
          <w:r>
            <w:rPr>
              <w:noProof/>
            </w:rPr>
            <mc:AlternateContent>
              <mc:Choice Requires="wps">
                <w:drawing>
                  <wp:anchor distT="45720" distB="45720" distL="114300" distR="114300" simplePos="0" relativeHeight="251663360" behindDoc="0" locked="0" layoutInCell="1" allowOverlap="1" wp14:anchorId="5029DDD5" wp14:editId="0AE6FFDC">
                    <wp:simplePos x="0" y="0"/>
                    <wp:positionH relativeFrom="margin">
                      <wp:posOffset>2095500</wp:posOffset>
                    </wp:positionH>
                    <wp:positionV relativeFrom="paragraph">
                      <wp:posOffset>3311525</wp:posOffset>
                    </wp:positionV>
                    <wp:extent cx="4175760" cy="1988820"/>
                    <wp:effectExtent l="0" t="0" r="1524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75760" cy="1988820"/>
                            </a:xfrm>
                            <a:prstGeom prst="rect">
                              <a:avLst/>
                            </a:prstGeom>
                            <a:solidFill>
                              <a:srgbClr val="FFFFFF"/>
                            </a:solidFill>
                            <a:ln w="9525">
                              <a:solidFill>
                                <a:srgbClr val="000000"/>
                              </a:solidFill>
                              <a:miter lim="800000"/>
                              <a:headEnd/>
                              <a:tailEnd/>
                            </a:ln>
                          </wps:spPr>
                          <wps:txbx>
                            <w:txbxContent>
                              <w:p w14:paraId="561C8B6D" w14:textId="7F5DF34F" w:rsidR="00002F3B" w:rsidRDefault="00D73AB7">
                                <w:pPr>
                                  <w:rPr>
                                    <w:rFonts w:cs="Arial"/>
                                    <w:sz w:val="32"/>
                                    <w:szCs w:val="32"/>
                                  </w:rPr>
                                </w:pPr>
                                <w:r>
                                  <w:rPr>
                                    <w:rFonts w:cs="Arial"/>
                                    <w:sz w:val="32"/>
                                    <w:szCs w:val="32"/>
                                  </w:rPr>
                                  <w:t>S</w:t>
                                </w:r>
                                <w:r w:rsidR="00876ED7">
                                  <w:rPr>
                                    <w:rFonts w:cs="Arial"/>
                                    <w:sz w:val="32"/>
                                    <w:szCs w:val="32"/>
                                  </w:rPr>
                                  <w:t>tudent Name: Adriano Antonio Donda</w:t>
                                </w:r>
                              </w:p>
                              <w:p w14:paraId="4ADF52CA" w14:textId="388DD719" w:rsidR="00876ED7" w:rsidRDefault="00876ED7">
                                <w:pPr>
                                  <w:rPr>
                                    <w:rFonts w:cs="Arial"/>
                                    <w:sz w:val="32"/>
                                    <w:szCs w:val="32"/>
                                  </w:rPr>
                                </w:pPr>
                                <w:r>
                                  <w:rPr>
                                    <w:rFonts w:cs="Arial"/>
                                    <w:sz w:val="32"/>
                                    <w:szCs w:val="32"/>
                                  </w:rPr>
                                  <w:t>Student ID: 2428051</w:t>
                                </w:r>
                              </w:p>
                              <w:p w14:paraId="6B42A00C" w14:textId="3ED1AF4C" w:rsidR="00876ED7" w:rsidRDefault="00876ED7">
                                <w:pPr>
                                  <w:rPr>
                                    <w:rFonts w:cs="Arial"/>
                                    <w:sz w:val="32"/>
                                    <w:szCs w:val="32"/>
                                  </w:rPr>
                                </w:pPr>
                                <w:r>
                                  <w:rPr>
                                    <w:rFonts w:cs="Arial"/>
                                    <w:sz w:val="32"/>
                                    <w:szCs w:val="32"/>
                                  </w:rPr>
                                  <w:t xml:space="preserve">Modular Code: </w:t>
                                </w:r>
                                <w:r w:rsidR="00B61A96">
                                  <w:rPr>
                                    <w:rFonts w:cs="Arial"/>
                                    <w:sz w:val="32"/>
                                    <w:szCs w:val="32"/>
                                  </w:rPr>
                                  <w:t>ACCA 5034</w:t>
                                </w:r>
                              </w:p>
                              <w:p w14:paraId="2DADC149" w14:textId="37120D7E" w:rsidR="00E22A14" w:rsidRDefault="0094205C">
                                <w:pPr>
                                  <w:rPr>
                                    <w:rFonts w:cs="Arial"/>
                                    <w:sz w:val="32"/>
                                    <w:szCs w:val="32"/>
                                  </w:rPr>
                                </w:pPr>
                                <w:r>
                                  <w:rPr>
                                    <w:rFonts w:cs="Arial"/>
                                    <w:sz w:val="32"/>
                                    <w:szCs w:val="32"/>
                                  </w:rPr>
                                  <w:t xml:space="preserve">Lecturer: Dr. </w:t>
                                </w:r>
                                <w:r w:rsidR="003818F4">
                                  <w:rPr>
                                    <w:rFonts w:cs="Arial"/>
                                    <w:sz w:val="32"/>
                                    <w:szCs w:val="32"/>
                                  </w:rPr>
                                  <w:t xml:space="preserve">Ayman El </w:t>
                                </w:r>
                                <w:r w:rsidR="0056027E">
                                  <w:rPr>
                                    <w:rFonts w:cs="Arial"/>
                                    <w:sz w:val="32"/>
                                    <w:szCs w:val="32"/>
                                  </w:rPr>
                                  <w:t>Hajjar</w:t>
                                </w:r>
                              </w:p>
                              <w:p w14:paraId="3AE15F34" w14:textId="77777777" w:rsidR="00B61A96" w:rsidRDefault="00B61A9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29DDD5" id="Text Box 2" o:spid="_x0000_s1056" type="#_x0000_t202" style="position:absolute;margin-left:165pt;margin-top:260.75pt;width:328.8pt;height:156.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">
                    <v:textbox>
                      <w:txbxContent>
                        <w:p w14:paraId="561C8B6D" w14:textId="7F5DF34F" w:rsidR="00002F3B" w:rsidRDefault="00D73AB7">
                          <w:pPr>
                            <w:rPr>
                              <w:rFonts w:cs="Arial"/>
                              <w:sz w:val="32"/>
                              <w:szCs w:val="32"/>
                            </w:rPr>
                          </w:pPr>
                          <w:r>
                            <w:rPr>
                              <w:rFonts w:cs="Arial"/>
                              <w:sz w:val="32"/>
                              <w:szCs w:val="32"/>
                            </w:rPr>
                            <w:t>S</w:t>
                          </w:r>
                          <w:r w:rsidR="00876ED7">
                            <w:rPr>
                              <w:rFonts w:cs="Arial"/>
                              <w:sz w:val="32"/>
                              <w:szCs w:val="32"/>
                            </w:rPr>
                            <w:t>tudent Name: Adriano Antonio Donda</w:t>
                          </w:r>
                        </w:p>
                        <w:p w14:paraId="4ADF52CA" w14:textId="388DD719" w:rsidR="00876ED7" w:rsidRDefault="00876ED7">
                          <w:pPr>
                            <w:rPr>
                              <w:rFonts w:cs="Arial"/>
                              <w:sz w:val="32"/>
                              <w:szCs w:val="32"/>
                            </w:rPr>
                          </w:pPr>
                          <w:r>
                            <w:rPr>
                              <w:rFonts w:cs="Arial"/>
                              <w:sz w:val="32"/>
                              <w:szCs w:val="32"/>
                            </w:rPr>
                            <w:t>Student ID: 2428051</w:t>
                          </w:r>
                        </w:p>
                        <w:p w14:paraId="6B42A00C" w14:textId="3ED1AF4C" w:rsidR="00876ED7" w:rsidRDefault="00876ED7">
                          <w:pPr>
                            <w:rPr>
                              <w:rFonts w:cs="Arial"/>
                              <w:sz w:val="32"/>
                              <w:szCs w:val="32"/>
                            </w:rPr>
                          </w:pPr>
                          <w:r>
                            <w:rPr>
                              <w:rFonts w:cs="Arial"/>
                              <w:sz w:val="32"/>
                              <w:szCs w:val="32"/>
                            </w:rPr>
                            <w:t xml:space="preserve">Modular Code: </w:t>
                          </w:r>
                          <w:r w:rsidR="00B61A96">
                            <w:rPr>
                              <w:rFonts w:cs="Arial"/>
                              <w:sz w:val="32"/>
                              <w:szCs w:val="32"/>
                            </w:rPr>
                            <w:t>ACCA 5034</w:t>
                          </w:r>
                        </w:p>
                        <w:p w14:paraId="2DADC149" w14:textId="37120D7E" w:rsidR="00E22A14" w:rsidRDefault="0094205C">
                          <w:pPr>
                            <w:rPr>
                              <w:rFonts w:cs="Arial"/>
                              <w:sz w:val="32"/>
                              <w:szCs w:val="32"/>
                            </w:rPr>
                          </w:pPr>
                          <w:r>
                            <w:rPr>
                              <w:rFonts w:cs="Arial"/>
                              <w:sz w:val="32"/>
                              <w:szCs w:val="32"/>
                            </w:rPr>
                            <w:t xml:space="preserve">Lecturer: Dr. </w:t>
                          </w:r>
                          <w:r w:rsidR="003818F4">
                            <w:rPr>
                              <w:rFonts w:cs="Arial"/>
                              <w:sz w:val="32"/>
                              <w:szCs w:val="32"/>
                            </w:rPr>
                            <w:t xml:space="preserve">Ayman El </w:t>
                          </w:r>
                          <w:r w:rsidR="0056027E">
                            <w:rPr>
                              <w:rFonts w:cs="Arial"/>
                              <w:sz w:val="32"/>
                              <w:szCs w:val="32"/>
                            </w:rPr>
                            <w:t>Hajjar</w:t>
                          </w:r>
                        </w:p>
                        <w:p w14:paraId="3AE15F34" w14:textId="77777777" w:rsidR="00B61A96" w:rsidRDefault="00B61A96"/>
                      </w:txbxContent>
                    </v:textbox>
                    <w10:wrap type="square" anchorx="margin"/>
                  </v:shape>
                </w:pict>
              </mc:Fallback>
            </mc:AlternateContent>
          </w:r>
          <w:r w:rsidR="00340945">
            <w:rPr>
              <w:noProof/>
            </w:rPr>
            <mc:AlternateContent>
              <mc:Choice Requires="wps">
                <w:drawing>
                  <wp:anchor distT="0" distB="0" distL="114300" distR="114300" simplePos="0" relativeHeight="251660288" behindDoc="0" locked="0" layoutInCell="1" allowOverlap="1" wp14:anchorId="5FED55FC" wp14:editId="1E4B2185">
                    <wp:simplePos x="0" y="0"/>
                    <wp:positionH relativeFrom="page">
                      <wp:posOffset>2956560</wp:posOffset>
                    </wp:positionH>
                    <wp:positionV relativeFrom="page">
                      <wp:posOffset>1874520</wp:posOffset>
                    </wp:positionV>
                    <wp:extent cx="4000500" cy="2293620"/>
                    <wp:effectExtent l="0" t="0" r="0" b="11430"/>
                    <wp:wrapNone/>
                    <wp:docPr id="1" name="Text Box 30"/>
                    <wp:cNvGraphicFramePr/>
                    <a:graphic xmlns:a="http://schemas.openxmlformats.org/drawingml/2006/main">
                      <a:graphicData uri="http://schemas.microsoft.com/office/word/2010/wordprocessingShape">
                        <wps:wsp>
                          <wps:cNvSpPr txBox="1"/>
                          <wps:spPr>
                            <a:xfrm>
                              <a:off x="0" y="0"/>
                              <a:ext cx="4000500" cy="2293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C5355D" w14:textId="4C872079" w:rsidR="00AF16DB" w:rsidRDefault="00000000">
                                <w:pPr>
                                  <w:pStyle w:val="NoSpacing"/>
                                  <w:rPr>
                                    <w:rFonts w:ascii="Arial" w:eastAsiaTheme="minorHAnsi" w:hAnsi="Arial" w:cs="Arial"/>
                                    <w:b/>
                                    <w:kern w:val="2"/>
                                    <w:sz w:val="56"/>
                                    <w:szCs w:val="56"/>
                                    <w14:ligatures w14:val="standardContextual"/>
                                  </w:rPr>
                                </w:pPr>
                                <w:sdt>
                                  <w:sdtPr>
                                    <w:rPr>
                                      <w:rFonts w:ascii="Arial" w:eastAsiaTheme="minorHAnsi" w:hAnsi="Arial" w:cs="Arial"/>
                                      <w:b/>
                                      <w:kern w:val="2"/>
                                      <w:sz w:val="56"/>
                                      <w:szCs w:val="56"/>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40945" w:rsidRPr="00340945">
                                      <w:rPr>
                                        <w:rFonts w:ascii="Arial" w:eastAsiaTheme="minorHAnsi" w:hAnsi="Arial" w:cs="Arial"/>
                                        <w:b/>
                                        <w:kern w:val="2"/>
                                        <w:sz w:val="56"/>
                                        <w:szCs w:val="56"/>
                                        <w14:ligatures w14:val="standardContextual"/>
                                      </w:rPr>
                                      <w:t>DATA SECURITY AND COMPLIANCE</w:t>
                                    </w:r>
                                  </w:sdtContent>
                                </w:sdt>
                              </w:p>
                              <w:p w14:paraId="28C04E86" w14:textId="77777777" w:rsidR="00D115A0" w:rsidRDefault="00D115A0">
                                <w:pPr>
                                  <w:pStyle w:val="NoSpacing"/>
                                  <w:rPr>
                                    <w:rFonts w:asciiTheme="majorHAnsi" w:eastAsiaTheme="majorEastAsia" w:hAnsiTheme="majorHAnsi" w:cstheme="majorBidi"/>
                                    <w:color w:val="262626" w:themeColor="text1" w:themeTint="D9"/>
                                    <w:sz w:val="72"/>
                                  </w:rPr>
                                </w:pPr>
                              </w:p>
                              <w:p w14:paraId="38410512" w14:textId="2B090C99" w:rsidR="00C50987" w:rsidRDefault="00000000">
                                <w:pPr>
                                  <w:spacing w:before="120"/>
                                  <w:rPr>
                                    <w:color w:val="404040" w:themeColor="text1" w:themeTint="BF"/>
                                    <w:sz w:val="36"/>
                                    <w:szCs w:val="36"/>
                                  </w:rPr>
                                </w:pPr>
                                <w:sdt>
                                  <w:sdtPr>
                                    <w:rPr>
                                      <w:b/>
                                      <w:sz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115A0" w:rsidRPr="00AE707F">
                                      <w:rPr>
                                        <w:b/>
                                        <w:sz w:val="32"/>
                                      </w:rPr>
                                      <w:t>CYBERSECURITY RESEARCH AND PROGRAMME DESIGN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FED55FC" id="Text Box 30" o:spid="_x0000_s1057" type="#_x0000_t202" style="position:absolute;margin-left:232.8pt;margin-top:147.6pt;width:315pt;height:180.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" filled="f" stroked="f" strokeweight=".5pt">
                    <v:textbox inset="0,0,0,0">
                      <w:txbxContent>
                        <w:p w14:paraId="7AC5355D" w14:textId="4C872079" w:rsidR="00AF16DB" w:rsidRDefault="00000000">
                          <w:pPr>
                            <w:pStyle w:val="NoSpacing"/>
                            <w:rPr>
                              <w:rFonts w:ascii="Arial" w:eastAsiaTheme="minorHAnsi" w:hAnsi="Arial" w:cs="Arial"/>
                              <w:b/>
                              <w:kern w:val="2"/>
                              <w:sz w:val="56"/>
                              <w:szCs w:val="56"/>
                              <w14:ligatures w14:val="standardContextual"/>
                            </w:rPr>
                          </w:pPr>
                          <w:sdt>
                            <w:sdtPr>
                              <w:rPr>
                                <w:rFonts w:ascii="Arial" w:eastAsiaTheme="minorHAnsi" w:hAnsi="Arial" w:cs="Arial"/>
                                <w:b/>
                                <w:kern w:val="2"/>
                                <w:sz w:val="56"/>
                                <w:szCs w:val="56"/>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40945" w:rsidRPr="00340945">
                                <w:rPr>
                                  <w:rFonts w:ascii="Arial" w:eastAsiaTheme="minorHAnsi" w:hAnsi="Arial" w:cs="Arial"/>
                                  <w:b/>
                                  <w:kern w:val="2"/>
                                  <w:sz w:val="56"/>
                                  <w:szCs w:val="56"/>
                                  <w14:ligatures w14:val="standardContextual"/>
                                </w:rPr>
                                <w:t>DATA SECURITY AND COMPLIANCE</w:t>
                              </w:r>
                            </w:sdtContent>
                          </w:sdt>
                        </w:p>
                        <w:p w14:paraId="28C04E86" w14:textId="77777777" w:rsidR="00D115A0" w:rsidRDefault="00D115A0">
                          <w:pPr>
                            <w:pStyle w:val="NoSpacing"/>
                            <w:rPr>
                              <w:rFonts w:asciiTheme="majorHAnsi" w:eastAsiaTheme="majorEastAsia" w:hAnsiTheme="majorHAnsi" w:cstheme="majorBidi"/>
                              <w:color w:val="262626" w:themeColor="text1" w:themeTint="D9"/>
                              <w:sz w:val="72"/>
                            </w:rPr>
                          </w:pPr>
                        </w:p>
                        <w:p w14:paraId="38410512" w14:textId="2B090C99" w:rsidR="00C50987" w:rsidRDefault="00000000">
                          <w:pPr>
                            <w:spacing w:before="120"/>
                            <w:rPr>
                              <w:color w:val="404040" w:themeColor="text1" w:themeTint="BF"/>
                              <w:sz w:val="36"/>
                              <w:szCs w:val="36"/>
                            </w:rPr>
                          </w:pPr>
                          <w:sdt>
                            <w:sdtPr>
                              <w:rPr>
                                <w:b/>
                                <w:sz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115A0" w:rsidRPr="00AE707F">
                                <w:rPr>
                                  <w:b/>
                                  <w:sz w:val="32"/>
                                </w:rPr>
                                <w:t>CYBERSECURITY RESEARCH AND PROGRAMME DESIGN</w:t>
                              </w:r>
                            </w:sdtContent>
                          </w:sdt>
                        </w:p>
                      </w:txbxContent>
                    </v:textbox>
                    <w10:wrap anchorx="page" anchory="page"/>
                  </v:shape>
                </w:pict>
              </mc:Fallback>
            </mc:AlternateContent>
          </w:r>
          <w:r w:rsidR="00AF16DB">
            <w:br w:type="page"/>
          </w:r>
        </w:p>
      </w:sdtContent>
    </w:sdt>
    <w:p w14:paraId="24879691" w14:textId="4D42EACE" w:rsidR="00AC2769" w:rsidRPr="00740838" w:rsidRDefault="00AC2769" w:rsidP="00740838">
      <w:pPr>
        <w:spacing w:line="259" w:lineRule="auto"/>
        <w:jc w:val="left"/>
        <w:rPr>
          <w:rFonts w:eastAsiaTheme="majorEastAsia" w:cstheme="majorBidi"/>
          <w:b/>
          <w:bCs/>
          <w:spacing w:val="-10"/>
          <w:kern w:val="28"/>
          <w:sz w:val="56"/>
          <w:szCs w:val="56"/>
        </w:rPr>
      </w:pPr>
    </w:p>
    <w:bookmarkStart w:id="0" w:name="_Toc236767187" w:displacedByCustomXml="next"/>
    <w:sdt>
      <w:sdtPr>
        <w:rPr>
          <w:b w:val="0"/>
          <w:sz w:val="24"/>
          <w:szCs w:val="22"/>
        </w:rPr>
        <w:id w:val="-1242788231"/>
        <w:docPartObj>
          <w:docPartGallery w:val="Table of Contents"/>
          <w:docPartUnique/>
        </w:docPartObj>
      </w:sdtPr>
      <w:sdtEndPr>
        <w:rPr>
          <w:bCs/>
          <w:noProof/>
        </w:rPr>
      </w:sdtEndPr>
      <w:sdtContent>
        <w:p w14:paraId="7E43A51F" w14:textId="1EFF7657" w:rsidR="00F7383F" w:rsidRPr="00A64D5D" w:rsidRDefault="00F7383F" w:rsidP="0049630A">
          <w:pPr>
            <w:pStyle w:val="Heading1"/>
          </w:pPr>
          <w:r w:rsidRPr="00A64D5D">
            <w:t>Table of Contents</w:t>
          </w:r>
          <w:bookmarkEnd w:id="0"/>
        </w:p>
        <w:p w14:paraId="2A8EF1E8" w14:textId="77777777" w:rsidR="00787846" w:rsidRPr="00787846" w:rsidRDefault="00787846" w:rsidP="00787846">
          <w:pPr>
            <w:rPr>
              <w:lang w:val="en-US"/>
            </w:rPr>
          </w:pPr>
        </w:p>
        <w:p w14:paraId="0F4EE12E" w14:textId="5CBCDDFF" w:rsidR="00C158DD" w:rsidRDefault="00F7383F">
          <w:pPr>
            <w:pStyle w:val="TOC1"/>
            <w:tabs>
              <w:tab w:val="right" w:leader="dot" w:pos="9016"/>
            </w:tabs>
            <w:rPr>
              <w:rFonts w:asciiTheme="minorHAnsi" w:eastAsiaTheme="minorEastAsia" w:hAnsiTheme="minorHAnsi"/>
              <w:noProof/>
              <w:kern w:val="2"/>
              <w:szCs w:val="24"/>
              <w:lang w:val="en-GB" w:eastAsia="en-GB"/>
            </w:rPr>
          </w:pPr>
          <w:r>
            <w:fldChar w:fldCharType="begin"/>
          </w:r>
          <w:r>
            <w:instrText xml:space="preserve"> TOC \o "1-3" \h \z \u </w:instrText>
          </w:r>
          <w:r>
            <w:fldChar w:fldCharType="separate"/>
          </w:r>
          <w:hyperlink w:anchor="_Toc236767187" w:history="1">
            <w:r w:rsidR="00C158DD" w:rsidRPr="00FC48C7">
              <w:rPr>
                <w:rStyle w:val="Hyperlink"/>
                <w:noProof/>
              </w:rPr>
              <w:t>Table of Contents</w:t>
            </w:r>
            <w:r w:rsidR="00C158DD">
              <w:rPr>
                <w:noProof/>
                <w:webHidden/>
              </w:rPr>
              <w:tab/>
            </w:r>
            <w:r w:rsidR="00C158DD">
              <w:rPr>
                <w:noProof/>
                <w:webHidden/>
              </w:rPr>
              <w:fldChar w:fldCharType="begin"/>
            </w:r>
            <w:r w:rsidR="00C158DD">
              <w:rPr>
                <w:noProof/>
                <w:webHidden/>
              </w:rPr>
              <w:instrText xml:space="preserve"> PAGEREF _Toc236767187 \h </w:instrText>
            </w:r>
            <w:r w:rsidR="00C158DD">
              <w:rPr>
                <w:noProof/>
                <w:webHidden/>
              </w:rPr>
            </w:r>
            <w:r w:rsidR="00C158DD">
              <w:rPr>
                <w:noProof/>
                <w:webHidden/>
              </w:rPr>
              <w:fldChar w:fldCharType="separate"/>
            </w:r>
            <w:r w:rsidR="00C158DD">
              <w:rPr>
                <w:noProof/>
                <w:webHidden/>
              </w:rPr>
              <w:t>1</w:t>
            </w:r>
            <w:r w:rsidR="00C158DD">
              <w:rPr>
                <w:noProof/>
                <w:webHidden/>
              </w:rPr>
              <w:fldChar w:fldCharType="end"/>
            </w:r>
          </w:hyperlink>
        </w:p>
        <w:p w14:paraId="602147EC" w14:textId="35615944" w:rsidR="00C158DD" w:rsidRDefault="00C158DD">
          <w:pPr>
            <w:pStyle w:val="TOC1"/>
            <w:tabs>
              <w:tab w:val="right" w:leader="dot" w:pos="9016"/>
            </w:tabs>
            <w:rPr>
              <w:rFonts w:asciiTheme="minorHAnsi" w:eastAsiaTheme="minorEastAsia" w:hAnsiTheme="minorHAnsi"/>
              <w:noProof/>
              <w:kern w:val="2"/>
              <w:szCs w:val="24"/>
              <w:lang w:val="en-GB" w:eastAsia="en-GB"/>
            </w:rPr>
          </w:pPr>
          <w:hyperlink w:anchor="_Toc236767188" w:history="1">
            <w:r w:rsidRPr="00FC48C7">
              <w:rPr>
                <w:rStyle w:val="Hyperlink"/>
                <w:noProof/>
              </w:rPr>
              <w:t>Task 1 – Research in Data Security and Compliance</w:t>
            </w:r>
            <w:r>
              <w:rPr>
                <w:noProof/>
                <w:webHidden/>
              </w:rPr>
              <w:tab/>
            </w:r>
            <w:r>
              <w:rPr>
                <w:noProof/>
                <w:webHidden/>
              </w:rPr>
              <w:fldChar w:fldCharType="begin"/>
            </w:r>
            <w:r>
              <w:rPr>
                <w:noProof/>
                <w:webHidden/>
              </w:rPr>
              <w:instrText xml:space="preserve"> PAGEREF _Toc236767188 \h </w:instrText>
            </w:r>
            <w:r>
              <w:rPr>
                <w:noProof/>
                <w:webHidden/>
              </w:rPr>
            </w:r>
            <w:r>
              <w:rPr>
                <w:noProof/>
                <w:webHidden/>
              </w:rPr>
              <w:fldChar w:fldCharType="separate"/>
            </w:r>
            <w:r>
              <w:rPr>
                <w:noProof/>
                <w:webHidden/>
              </w:rPr>
              <w:t>2</w:t>
            </w:r>
            <w:r>
              <w:rPr>
                <w:noProof/>
                <w:webHidden/>
              </w:rPr>
              <w:fldChar w:fldCharType="end"/>
            </w:r>
          </w:hyperlink>
        </w:p>
        <w:p w14:paraId="77D11AFF" w14:textId="0CC9ED0D" w:rsidR="00C158DD" w:rsidRDefault="00C158DD">
          <w:pPr>
            <w:pStyle w:val="TOC2"/>
            <w:tabs>
              <w:tab w:val="right" w:leader="dot" w:pos="9016"/>
            </w:tabs>
            <w:rPr>
              <w:rFonts w:asciiTheme="minorHAnsi" w:eastAsiaTheme="minorEastAsia" w:hAnsiTheme="minorHAnsi"/>
              <w:noProof/>
              <w:kern w:val="2"/>
              <w:szCs w:val="24"/>
              <w:lang w:val="en-GB" w:eastAsia="en-GB"/>
            </w:rPr>
          </w:pPr>
          <w:hyperlink w:anchor="_Toc236767189" w:history="1">
            <w:r w:rsidRPr="00FC48C7">
              <w:rPr>
                <w:rStyle w:val="Hyperlink"/>
                <w:noProof/>
              </w:rPr>
              <w:t>Introduction</w:t>
            </w:r>
            <w:r>
              <w:rPr>
                <w:noProof/>
                <w:webHidden/>
              </w:rPr>
              <w:tab/>
            </w:r>
            <w:r>
              <w:rPr>
                <w:noProof/>
                <w:webHidden/>
              </w:rPr>
              <w:fldChar w:fldCharType="begin"/>
            </w:r>
            <w:r>
              <w:rPr>
                <w:noProof/>
                <w:webHidden/>
              </w:rPr>
              <w:instrText xml:space="preserve"> PAGEREF _Toc236767189 \h </w:instrText>
            </w:r>
            <w:r>
              <w:rPr>
                <w:noProof/>
                <w:webHidden/>
              </w:rPr>
            </w:r>
            <w:r>
              <w:rPr>
                <w:noProof/>
                <w:webHidden/>
              </w:rPr>
              <w:fldChar w:fldCharType="separate"/>
            </w:r>
            <w:r>
              <w:rPr>
                <w:noProof/>
                <w:webHidden/>
              </w:rPr>
              <w:t>2</w:t>
            </w:r>
            <w:r>
              <w:rPr>
                <w:noProof/>
                <w:webHidden/>
              </w:rPr>
              <w:fldChar w:fldCharType="end"/>
            </w:r>
          </w:hyperlink>
        </w:p>
        <w:p w14:paraId="2C05A8EA" w14:textId="0EC54B3C" w:rsidR="00C158DD" w:rsidRDefault="00C158DD">
          <w:pPr>
            <w:pStyle w:val="TOC2"/>
            <w:tabs>
              <w:tab w:val="right" w:leader="dot" w:pos="9016"/>
            </w:tabs>
            <w:rPr>
              <w:rFonts w:asciiTheme="minorHAnsi" w:eastAsiaTheme="minorEastAsia" w:hAnsiTheme="minorHAnsi"/>
              <w:noProof/>
              <w:kern w:val="2"/>
              <w:szCs w:val="24"/>
              <w:lang w:val="en-GB" w:eastAsia="en-GB"/>
            </w:rPr>
          </w:pPr>
          <w:hyperlink w:anchor="_Toc236767190" w:history="1">
            <w:r w:rsidRPr="00FC48C7">
              <w:rPr>
                <w:rStyle w:val="Hyperlink"/>
                <w:noProof/>
              </w:rPr>
              <w:t>The Risk Landscape of AI and Machine Learning Systems</w:t>
            </w:r>
            <w:r>
              <w:rPr>
                <w:noProof/>
                <w:webHidden/>
              </w:rPr>
              <w:tab/>
            </w:r>
            <w:r>
              <w:rPr>
                <w:noProof/>
                <w:webHidden/>
              </w:rPr>
              <w:fldChar w:fldCharType="begin"/>
            </w:r>
            <w:r>
              <w:rPr>
                <w:noProof/>
                <w:webHidden/>
              </w:rPr>
              <w:instrText xml:space="preserve"> PAGEREF _Toc236767190 \h </w:instrText>
            </w:r>
            <w:r>
              <w:rPr>
                <w:noProof/>
                <w:webHidden/>
              </w:rPr>
            </w:r>
            <w:r>
              <w:rPr>
                <w:noProof/>
                <w:webHidden/>
              </w:rPr>
              <w:fldChar w:fldCharType="separate"/>
            </w:r>
            <w:r>
              <w:rPr>
                <w:noProof/>
                <w:webHidden/>
              </w:rPr>
              <w:t>3</w:t>
            </w:r>
            <w:r>
              <w:rPr>
                <w:noProof/>
                <w:webHidden/>
              </w:rPr>
              <w:fldChar w:fldCharType="end"/>
            </w:r>
          </w:hyperlink>
        </w:p>
        <w:p w14:paraId="702DF1A5" w14:textId="62BEA57E" w:rsidR="00C158DD" w:rsidRDefault="00C158DD">
          <w:pPr>
            <w:pStyle w:val="TOC2"/>
            <w:tabs>
              <w:tab w:val="right" w:leader="dot" w:pos="9016"/>
            </w:tabs>
            <w:rPr>
              <w:rFonts w:asciiTheme="minorHAnsi" w:eastAsiaTheme="minorEastAsia" w:hAnsiTheme="minorHAnsi"/>
              <w:noProof/>
              <w:kern w:val="2"/>
              <w:szCs w:val="24"/>
              <w:lang w:val="en-GB" w:eastAsia="en-GB"/>
            </w:rPr>
          </w:pPr>
          <w:hyperlink w:anchor="_Toc236767191" w:history="1">
            <w:r w:rsidRPr="00FC48C7">
              <w:rPr>
                <w:rStyle w:val="Hyperlink"/>
                <w:noProof/>
              </w:rPr>
              <w:t>Ethical Dimensions of AI Governance</w:t>
            </w:r>
            <w:r>
              <w:rPr>
                <w:noProof/>
                <w:webHidden/>
              </w:rPr>
              <w:tab/>
            </w:r>
            <w:r>
              <w:rPr>
                <w:noProof/>
                <w:webHidden/>
              </w:rPr>
              <w:fldChar w:fldCharType="begin"/>
            </w:r>
            <w:r>
              <w:rPr>
                <w:noProof/>
                <w:webHidden/>
              </w:rPr>
              <w:instrText xml:space="preserve"> PAGEREF _Toc236767191 \h </w:instrText>
            </w:r>
            <w:r>
              <w:rPr>
                <w:noProof/>
                <w:webHidden/>
              </w:rPr>
            </w:r>
            <w:r>
              <w:rPr>
                <w:noProof/>
                <w:webHidden/>
              </w:rPr>
              <w:fldChar w:fldCharType="separate"/>
            </w:r>
            <w:r>
              <w:rPr>
                <w:noProof/>
                <w:webHidden/>
              </w:rPr>
              <w:t>5</w:t>
            </w:r>
            <w:r>
              <w:rPr>
                <w:noProof/>
                <w:webHidden/>
              </w:rPr>
              <w:fldChar w:fldCharType="end"/>
            </w:r>
          </w:hyperlink>
        </w:p>
        <w:p w14:paraId="2D9C4293" w14:textId="120FA51E" w:rsidR="00C158DD" w:rsidRDefault="00C158DD">
          <w:pPr>
            <w:pStyle w:val="TOC2"/>
            <w:tabs>
              <w:tab w:val="right" w:leader="dot" w:pos="9016"/>
            </w:tabs>
            <w:rPr>
              <w:rFonts w:asciiTheme="minorHAnsi" w:eastAsiaTheme="minorEastAsia" w:hAnsiTheme="minorHAnsi"/>
              <w:noProof/>
              <w:kern w:val="2"/>
              <w:szCs w:val="24"/>
              <w:lang w:val="en-GB" w:eastAsia="en-GB"/>
            </w:rPr>
          </w:pPr>
          <w:hyperlink w:anchor="_Toc236767192" w:history="1">
            <w:r w:rsidRPr="00FC48C7">
              <w:rPr>
                <w:rStyle w:val="Hyperlink"/>
                <w:noProof/>
              </w:rPr>
              <w:t>Regulatory Compliance and Legal Frameworks</w:t>
            </w:r>
            <w:r>
              <w:rPr>
                <w:noProof/>
                <w:webHidden/>
              </w:rPr>
              <w:tab/>
            </w:r>
            <w:r>
              <w:rPr>
                <w:noProof/>
                <w:webHidden/>
              </w:rPr>
              <w:fldChar w:fldCharType="begin"/>
            </w:r>
            <w:r>
              <w:rPr>
                <w:noProof/>
                <w:webHidden/>
              </w:rPr>
              <w:instrText xml:space="preserve"> PAGEREF _Toc236767192 \h </w:instrText>
            </w:r>
            <w:r>
              <w:rPr>
                <w:noProof/>
                <w:webHidden/>
              </w:rPr>
            </w:r>
            <w:r>
              <w:rPr>
                <w:noProof/>
                <w:webHidden/>
              </w:rPr>
              <w:fldChar w:fldCharType="separate"/>
            </w:r>
            <w:r>
              <w:rPr>
                <w:noProof/>
                <w:webHidden/>
              </w:rPr>
              <w:t>6</w:t>
            </w:r>
            <w:r>
              <w:rPr>
                <w:noProof/>
                <w:webHidden/>
              </w:rPr>
              <w:fldChar w:fldCharType="end"/>
            </w:r>
          </w:hyperlink>
        </w:p>
        <w:p w14:paraId="5EB2D027" w14:textId="56808D49" w:rsidR="00C158DD" w:rsidRDefault="00C158DD">
          <w:pPr>
            <w:pStyle w:val="TOC2"/>
            <w:tabs>
              <w:tab w:val="right" w:leader="dot" w:pos="9016"/>
            </w:tabs>
            <w:rPr>
              <w:rFonts w:asciiTheme="minorHAnsi" w:eastAsiaTheme="minorEastAsia" w:hAnsiTheme="minorHAnsi"/>
              <w:noProof/>
              <w:kern w:val="2"/>
              <w:szCs w:val="24"/>
              <w:lang w:val="en-GB" w:eastAsia="en-GB"/>
            </w:rPr>
          </w:pPr>
          <w:hyperlink w:anchor="_Toc236767193" w:history="1">
            <w:r w:rsidRPr="00FC48C7">
              <w:rPr>
                <w:rStyle w:val="Hyperlink"/>
                <w:noProof/>
              </w:rPr>
              <w:t>An Integrated Governance Framework</w:t>
            </w:r>
            <w:r>
              <w:rPr>
                <w:noProof/>
                <w:webHidden/>
              </w:rPr>
              <w:tab/>
            </w:r>
            <w:r>
              <w:rPr>
                <w:noProof/>
                <w:webHidden/>
              </w:rPr>
              <w:fldChar w:fldCharType="begin"/>
            </w:r>
            <w:r>
              <w:rPr>
                <w:noProof/>
                <w:webHidden/>
              </w:rPr>
              <w:instrText xml:space="preserve"> PAGEREF _Toc236767193 \h </w:instrText>
            </w:r>
            <w:r>
              <w:rPr>
                <w:noProof/>
                <w:webHidden/>
              </w:rPr>
            </w:r>
            <w:r>
              <w:rPr>
                <w:noProof/>
                <w:webHidden/>
              </w:rPr>
              <w:fldChar w:fldCharType="separate"/>
            </w:r>
            <w:r>
              <w:rPr>
                <w:noProof/>
                <w:webHidden/>
              </w:rPr>
              <w:t>8</w:t>
            </w:r>
            <w:r>
              <w:rPr>
                <w:noProof/>
                <w:webHidden/>
              </w:rPr>
              <w:fldChar w:fldCharType="end"/>
            </w:r>
          </w:hyperlink>
        </w:p>
        <w:p w14:paraId="0CE83E57" w14:textId="7FE83BEB" w:rsidR="00C158DD" w:rsidRDefault="00C158DD">
          <w:pPr>
            <w:pStyle w:val="TOC1"/>
            <w:tabs>
              <w:tab w:val="right" w:leader="dot" w:pos="9016"/>
            </w:tabs>
            <w:rPr>
              <w:rFonts w:asciiTheme="minorHAnsi" w:eastAsiaTheme="minorEastAsia" w:hAnsiTheme="minorHAnsi"/>
              <w:noProof/>
              <w:kern w:val="2"/>
              <w:szCs w:val="24"/>
              <w:lang w:val="en-GB" w:eastAsia="en-GB"/>
            </w:rPr>
          </w:pPr>
          <w:hyperlink w:anchor="_Toc236767194" w:history="1">
            <w:r w:rsidRPr="00FC48C7">
              <w:rPr>
                <w:rStyle w:val="Hyperlink"/>
                <w:noProof/>
              </w:rPr>
              <w:t>Conclusion</w:t>
            </w:r>
            <w:r>
              <w:rPr>
                <w:noProof/>
                <w:webHidden/>
              </w:rPr>
              <w:tab/>
            </w:r>
            <w:r>
              <w:rPr>
                <w:noProof/>
                <w:webHidden/>
              </w:rPr>
              <w:fldChar w:fldCharType="begin"/>
            </w:r>
            <w:r>
              <w:rPr>
                <w:noProof/>
                <w:webHidden/>
              </w:rPr>
              <w:instrText xml:space="preserve"> PAGEREF _Toc236767194 \h </w:instrText>
            </w:r>
            <w:r>
              <w:rPr>
                <w:noProof/>
                <w:webHidden/>
              </w:rPr>
            </w:r>
            <w:r>
              <w:rPr>
                <w:noProof/>
                <w:webHidden/>
              </w:rPr>
              <w:fldChar w:fldCharType="separate"/>
            </w:r>
            <w:r>
              <w:rPr>
                <w:noProof/>
                <w:webHidden/>
              </w:rPr>
              <w:t>10</w:t>
            </w:r>
            <w:r>
              <w:rPr>
                <w:noProof/>
                <w:webHidden/>
              </w:rPr>
              <w:fldChar w:fldCharType="end"/>
            </w:r>
          </w:hyperlink>
        </w:p>
        <w:p w14:paraId="44AC3EBC" w14:textId="0A965D11" w:rsidR="00C158DD" w:rsidRDefault="00C158DD">
          <w:pPr>
            <w:pStyle w:val="TOC1"/>
            <w:tabs>
              <w:tab w:val="right" w:leader="dot" w:pos="9016"/>
            </w:tabs>
            <w:rPr>
              <w:rFonts w:asciiTheme="minorHAnsi" w:eastAsiaTheme="minorEastAsia" w:hAnsiTheme="minorHAnsi"/>
              <w:noProof/>
              <w:kern w:val="2"/>
              <w:szCs w:val="24"/>
              <w:lang w:val="en-GB" w:eastAsia="en-GB"/>
            </w:rPr>
          </w:pPr>
          <w:hyperlink w:anchor="_Toc236767195" w:history="1">
            <w:r w:rsidRPr="00FC48C7">
              <w:rPr>
                <w:rStyle w:val="Hyperlink"/>
                <w:noProof/>
              </w:rPr>
              <w:t>Task 2 – Case Scenario</w:t>
            </w:r>
            <w:r>
              <w:rPr>
                <w:noProof/>
                <w:webHidden/>
              </w:rPr>
              <w:tab/>
            </w:r>
            <w:r>
              <w:rPr>
                <w:noProof/>
                <w:webHidden/>
              </w:rPr>
              <w:fldChar w:fldCharType="begin"/>
            </w:r>
            <w:r>
              <w:rPr>
                <w:noProof/>
                <w:webHidden/>
              </w:rPr>
              <w:instrText xml:space="preserve"> PAGEREF _Toc236767195 \h </w:instrText>
            </w:r>
            <w:r>
              <w:rPr>
                <w:noProof/>
                <w:webHidden/>
              </w:rPr>
            </w:r>
            <w:r>
              <w:rPr>
                <w:noProof/>
                <w:webHidden/>
              </w:rPr>
              <w:fldChar w:fldCharType="separate"/>
            </w:r>
            <w:r>
              <w:rPr>
                <w:noProof/>
                <w:webHidden/>
              </w:rPr>
              <w:t>11</w:t>
            </w:r>
            <w:r>
              <w:rPr>
                <w:noProof/>
                <w:webHidden/>
              </w:rPr>
              <w:fldChar w:fldCharType="end"/>
            </w:r>
          </w:hyperlink>
        </w:p>
        <w:p w14:paraId="1EEF95CE" w14:textId="678E2E2D" w:rsidR="00C158DD" w:rsidRDefault="00C158DD">
          <w:pPr>
            <w:pStyle w:val="TOC2"/>
            <w:tabs>
              <w:tab w:val="right" w:leader="dot" w:pos="9016"/>
            </w:tabs>
            <w:rPr>
              <w:rFonts w:asciiTheme="minorHAnsi" w:eastAsiaTheme="minorEastAsia" w:hAnsiTheme="minorHAnsi"/>
              <w:noProof/>
              <w:kern w:val="2"/>
              <w:szCs w:val="24"/>
              <w:lang w:val="en-GB" w:eastAsia="en-GB"/>
            </w:rPr>
          </w:pPr>
          <w:hyperlink w:anchor="_Toc236767196" w:history="1">
            <w:r w:rsidRPr="00FC48C7">
              <w:rPr>
                <w:rStyle w:val="Hyperlink"/>
                <w:noProof/>
              </w:rPr>
              <w:t>Organizational Structure and Accountability</w:t>
            </w:r>
            <w:r>
              <w:rPr>
                <w:noProof/>
                <w:webHidden/>
              </w:rPr>
              <w:tab/>
            </w:r>
            <w:r>
              <w:rPr>
                <w:noProof/>
                <w:webHidden/>
              </w:rPr>
              <w:fldChar w:fldCharType="begin"/>
            </w:r>
            <w:r>
              <w:rPr>
                <w:noProof/>
                <w:webHidden/>
              </w:rPr>
              <w:instrText xml:space="preserve"> PAGEREF _Toc236767196 \h </w:instrText>
            </w:r>
            <w:r>
              <w:rPr>
                <w:noProof/>
                <w:webHidden/>
              </w:rPr>
            </w:r>
            <w:r>
              <w:rPr>
                <w:noProof/>
                <w:webHidden/>
              </w:rPr>
              <w:fldChar w:fldCharType="separate"/>
            </w:r>
            <w:r>
              <w:rPr>
                <w:noProof/>
                <w:webHidden/>
              </w:rPr>
              <w:t>11</w:t>
            </w:r>
            <w:r>
              <w:rPr>
                <w:noProof/>
                <w:webHidden/>
              </w:rPr>
              <w:fldChar w:fldCharType="end"/>
            </w:r>
          </w:hyperlink>
        </w:p>
        <w:p w14:paraId="6852BBB4" w14:textId="7520592A" w:rsidR="00C158DD" w:rsidRDefault="00C158DD">
          <w:pPr>
            <w:pStyle w:val="TOC2"/>
            <w:tabs>
              <w:tab w:val="right" w:leader="dot" w:pos="9016"/>
            </w:tabs>
            <w:rPr>
              <w:rFonts w:asciiTheme="minorHAnsi" w:eastAsiaTheme="minorEastAsia" w:hAnsiTheme="minorHAnsi"/>
              <w:noProof/>
              <w:kern w:val="2"/>
              <w:szCs w:val="24"/>
              <w:lang w:val="en-GB" w:eastAsia="en-GB"/>
            </w:rPr>
          </w:pPr>
          <w:hyperlink w:anchor="_Toc236767197" w:history="1">
            <w:r w:rsidRPr="00FC48C7">
              <w:rPr>
                <w:rStyle w:val="Hyperlink"/>
                <w:noProof/>
              </w:rPr>
              <w:t>Policies and Procedures</w:t>
            </w:r>
            <w:r>
              <w:rPr>
                <w:noProof/>
                <w:webHidden/>
              </w:rPr>
              <w:tab/>
            </w:r>
            <w:r>
              <w:rPr>
                <w:noProof/>
                <w:webHidden/>
              </w:rPr>
              <w:fldChar w:fldCharType="begin"/>
            </w:r>
            <w:r>
              <w:rPr>
                <w:noProof/>
                <w:webHidden/>
              </w:rPr>
              <w:instrText xml:space="preserve"> PAGEREF _Toc236767197 \h </w:instrText>
            </w:r>
            <w:r>
              <w:rPr>
                <w:noProof/>
                <w:webHidden/>
              </w:rPr>
            </w:r>
            <w:r>
              <w:rPr>
                <w:noProof/>
                <w:webHidden/>
              </w:rPr>
              <w:fldChar w:fldCharType="separate"/>
            </w:r>
            <w:r>
              <w:rPr>
                <w:noProof/>
                <w:webHidden/>
              </w:rPr>
              <w:t>13</w:t>
            </w:r>
            <w:r>
              <w:rPr>
                <w:noProof/>
                <w:webHidden/>
              </w:rPr>
              <w:fldChar w:fldCharType="end"/>
            </w:r>
          </w:hyperlink>
        </w:p>
        <w:p w14:paraId="48F7C740" w14:textId="0A3BA4A0" w:rsidR="00C158DD" w:rsidRDefault="00C158DD">
          <w:pPr>
            <w:pStyle w:val="TOC2"/>
            <w:tabs>
              <w:tab w:val="right" w:leader="dot" w:pos="9016"/>
            </w:tabs>
            <w:rPr>
              <w:rFonts w:asciiTheme="minorHAnsi" w:eastAsiaTheme="minorEastAsia" w:hAnsiTheme="minorHAnsi"/>
              <w:noProof/>
              <w:kern w:val="2"/>
              <w:szCs w:val="24"/>
              <w:lang w:val="en-GB" w:eastAsia="en-GB"/>
            </w:rPr>
          </w:pPr>
          <w:hyperlink w:anchor="_Toc236767198" w:history="1">
            <w:r w:rsidRPr="00FC48C7">
              <w:rPr>
                <w:rStyle w:val="Hyperlink"/>
                <w:noProof/>
              </w:rPr>
              <w:t>Governance and Strategic Alignment</w:t>
            </w:r>
            <w:r>
              <w:rPr>
                <w:noProof/>
                <w:webHidden/>
              </w:rPr>
              <w:tab/>
            </w:r>
            <w:r>
              <w:rPr>
                <w:noProof/>
                <w:webHidden/>
              </w:rPr>
              <w:fldChar w:fldCharType="begin"/>
            </w:r>
            <w:r>
              <w:rPr>
                <w:noProof/>
                <w:webHidden/>
              </w:rPr>
              <w:instrText xml:space="preserve"> PAGEREF _Toc236767198 \h </w:instrText>
            </w:r>
            <w:r>
              <w:rPr>
                <w:noProof/>
                <w:webHidden/>
              </w:rPr>
            </w:r>
            <w:r>
              <w:rPr>
                <w:noProof/>
                <w:webHidden/>
              </w:rPr>
              <w:fldChar w:fldCharType="separate"/>
            </w:r>
            <w:r>
              <w:rPr>
                <w:noProof/>
                <w:webHidden/>
              </w:rPr>
              <w:t>15</w:t>
            </w:r>
            <w:r>
              <w:rPr>
                <w:noProof/>
                <w:webHidden/>
              </w:rPr>
              <w:fldChar w:fldCharType="end"/>
            </w:r>
          </w:hyperlink>
        </w:p>
        <w:p w14:paraId="64A3BA70" w14:textId="55D30534" w:rsidR="00C158DD" w:rsidRDefault="00C158DD">
          <w:pPr>
            <w:pStyle w:val="TOC2"/>
            <w:tabs>
              <w:tab w:val="right" w:leader="dot" w:pos="9016"/>
            </w:tabs>
            <w:rPr>
              <w:rFonts w:asciiTheme="minorHAnsi" w:eastAsiaTheme="minorEastAsia" w:hAnsiTheme="minorHAnsi"/>
              <w:noProof/>
              <w:kern w:val="2"/>
              <w:szCs w:val="24"/>
              <w:lang w:val="en-GB" w:eastAsia="en-GB"/>
            </w:rPr>
          </w:pPr>
          <w:hyperlink w:anchor="_Toc236767199" w:history="1">
            <w:r w:rsidRPr="00FC48C7">
              <w:rPr>
                <w:rStyle w:val="Hyperlink"/>
                <w:noProof/>
              </w:rPr>
              <w:t>Risk Management and Assessment</w:t>
            </w:r>
            <w:r>
              <w:rPr>
                <w:noProof/>
                <w:webHidden/>
              </w:rPr>
              <w:tab/>
            </w:r>
            <w:r>
              <w:rPr>
                <w:noProof/>
                <w:webHidden/>
              </w:rPr>
              <w:fldChar w:fldCharType="begin"/>
            </w:r>
            <w:r>
              <w:rPr>
                <w:noProof/>
                <w:webHidden/>
              </w:rPr>
              <w:instrText xml:space="preserve"> PAGEREF _Toc236767199 \h </w:instrText>
            </w:r>
            <w:r>
              <w:rPr>
                <w:noProof/>
                <w:webHidden/>
              </w:rPr>
            </w:r>
            <w:r>
              <w:rPr>
                <w:noProof/>
                <w:webHidden/>
              </w:rPr>
              <w:fldChar w:fldCharType="separate"/>
            </w:r>
            <w:r>
              <w:rPr>
                <w:noProof/>
                <w:webHidden/>
              </w:rPr>
              <w:t>17</w:t>
            </w:r>
            <w:r>
              <w:rPr>
                <w:noProof/>
                <w:webHidden/>
              </w:rPr>
              <w:fldChar w:fldCharType="end"/>
            </w:r>
          </w:hyperlink>
        </w:p>
        <w:p w14:paraId="783452DF" w14:textId="6B298F8D" w:rsidR="00C158DD" w:rsidRDefault="00C158DD">
          <w:pPr>
            <w:pStyle w:val="TOC2"/>
            <w:tabs>
              <w:tab w:val="right" w:leader="dot" w:pos="9016"/>
            </w:tabs>
            <w:rPr>
              <w:rFonts w:asciiTheme="minorHAnsi" w:eastAsiaTheme="minorEastAsia" w:hAnsiTheme="minorHAnsi"/>
              <w:noProof/>
              <w:kern w:val="2"/>
              <w:szCs w:val="24"/>
              <w:lang w:val="en-GB" w:eastAsia="en-GB"/>
            </w:rPr>
          </w:pPr>
          <w:hyperlink w:anchor="_Toc236767200" w:history="1">
            <w:r w:rsidRPr="00FC48C7">
              <w:rPr>
                <w:rStyle w:val="Hyperlink"/>
                <w:noProof/>
              </w:rPr>
              <w:t>Compliance, Incident Response, and Protection Controls</w:t>
            </w:r>
            <w:r>
              <w:rPr>
                <w:noProof/>
                <w:webHidden/>
              </w:rPr>
              <w:tab/>
            </w:r>
            <w:r>
              <w:rPr>
                <w:noProof/>
                <w:webHidden/>
              </w:rPr>
              <w:fldChar w:fldCharType="begin"/>
            </w:r>
            <w:r>
              <w:rPr>
                <w:noProof/>
                <w:webHidden/>
              </w:rPr>
              <w:instrText xml:space="preserve"> PAGEREF _Toc236767200 \h </w:instrText>
            </w:r>
            <w:r>
              <w:rPr>
                <w:noProof/>
                <w:webHidden/>
              </w:rPr>
            </w:r>
            <w:r>
              <w:rPr>
                <w:noProof/>
                <w:webHidden/>
              </w:rPr>
              <w:fldChar w:fldCharType="separate"/>
            </w:r>
            <w:r>
              <w:rPr>
                <w:noProof/>
                <w:webHidden/>
              </w:rPr>
              <w:t>19</w:t>
            </w:r>
            <w:r>
              <w:rPr>
                <w:noProof/>
                <w:webHidden/>
              </w:rPr>
              <w:fldChar w:fldCharType="end"/>
            </w:r>
          </w:hyperlink>
        </w:p>
        <w:p w14:paraId="0A5C1C57" w14:textId="078F8E86" w:rsidR="00C158DD" w:rsidRDefault="00C158DD">
          <w:pPr>
            <w:pStyle w:val="TOC1"/>
            <w:tabs>
              <w:tab w:val="right" w:leader="dot" w:pos="9016"/>
            </w:tabs>
            <w:rPr>
              <w:rFonts w:asciiTheme="minorHAnsi" w:eastAsiaTheme="minorEastAsia" w:hAnsiTheme="minorHAnsi"/>
              <w:noProof/>
              <w:kern w:val="2"/>
              <w:szCs w:val="24"/>
              <w:lang w:val="en-GB" w:eastAsia="en-GB"/>
            </w:rPr>
          </w:pPr>
          <w:hyperlink w:anchor="_Toc236767201" w:history="1">
            <w:r w:rsidRPr="00FC48C7">
              <w:rPr>
                <w:rStyle w:val="Hyperlink"/>
                <w:noProof/>
              </w:rPr>
              <w:t>References</w:t>
            </w:r>
            <w:r>
              <w:rPr>
                <w:noProof/>
                <w:webHidden/>
              </w:rPr>
              <w:tab/>
            </w:r>
            <w:r>
              <w:rPr>
                <w:noProof/>
                <w:webHidden/>
              </w:rPr>
              <w:fldChar w:fldCharType="begin"/>
            </w:r>
            <w:r>
              <w:rPr>
                <w:noProof/>
                <w:webHidden/>
              </w:rPr>
              <w:instrText xml:space="preserve"> PAGEREF _Toc236767201 \h </w:instrText>
            </w:r>
            <w:r>
              <w:rPr>
                <w:noProof/>
                <w:webHidden/>
              </w:rPr>
            </w:r>
            <w:r>
              <w:rPr>
                <w:noProof/>
                <w:webHidden/>
              </w:rPr>
              <w:fldChar w:fldCharType="separate"/>
            </w:r>
            <w:r>
              <w:rPr>
                <w:noProof/>
                <w:webHidden/>
              </w:rPr>
              <w:t>23</w:t>
            </w:r>
            <w:r>
              <w:rPr>
                <w:noProof/>
                <w:webHidden/>
              </w:rPr>
              <w:fldChar w:fldCharType="end"/>
            </w:r>
          </w:hyperlink>
        </w:p>
        <w:p w14:paraId="04229651" w14:textId="0AB7FBAB" w:rsidR="00F7383F" w:rsidRDefault="00F7383F">
          <w:r>
            <w:rPr>
              <w:b/>
              <w:bCs/>
              <w:noProof/>
            </w:rPr>
            <w:fldChar w:fldCharType="end"/>
          </w:r>
        </w:p>
      </w:sdtContent>
    </w:sdt>
    <w:p w14:paraId="2B8BE478" w14:textId="30C8ABAF" w:rsidR="00AC2769" w:rsidRDefault="00AC2769">
      <w:pPr>
        <w:spacing w:line="259" w:lineRule="auto"/>
        <w:jc w:val="left"/>
      </w:pPr>
      <w:r>
        <w:br w:type="page"/>
      </w:r>
    </w:p>
    <w:p w14:paraId="61E5465E" w14:textId="38981AEF" w:rsidR="00416EE3" w:rsidRDefault="00416EE3" w:rsidP="0049630A">
      <w:pPr>
        <w:pStyle w:val="Heading1"/>
      </w:pPr>
      <w:bookmarkStart w:id="1" w:name="_Toc236767188"/>
      <w:r w:rsidRPr="00416EE3">
        <w:lastRenderedPageBreak/>
        <w:t>Task 1 – Research in Data Security and Compliance</w:t>
      </w:r>
      <w:bookmarkEnd w:id="1"/>
    </w:p>
    <w:p w14:paraId="6DF899F2" w14:textId="09FFBD14" w:rsidR="00410749" w:rsidRDefault="00410749" w:rsidP="00A64D5D">
      <w:pPr>
        <w:pStyle w:val="Heading2"/>
      </w:pPr>
      <w:bookmarkStart w:id="2" w:name="_Toc236767189"/>
      <w:r w:rsidRPr="00410749">
        <w:t>Introduction</w:t>
      </w:r>
      <w:bookmarkEnd w:id="2"/>
    </w:p>
    <w:p w14:paraId="2B3BD660" w14:textId="77777777" w:rsidR="00A64D5D" w:rsidRPr="00A64D5D" w:rsidRDefault="00A64D5D" w:rsidP="00A64D5D">
      <w:pPr>
        <w:rPr>
          <w:lang w:val="en-US"/>
        </w:rPr>
      </w:pPr>
    </w:p>
    <w:p w14:paraId="22FACFD3" w14:textId="1B9BD58D" w:rsidR="003F3A87" w:rsidRPr="003F3A87" w:rsidRDefault="003F3A87" w:rsidP="003F3A87">
      <w:pPr>
        <w:rPr>
          <w:lang w:val="en-US"/>
        </w:rPr>
      </w:pPr>
      <w:r w:rsidRPr="003F3A87">
        <w:rPr>
          <w:lang w:val="en-US"/>
        </w:rPr>
        <w:t>AI has developed out of a fringe discipline in computation into an infrastructure development that is ubiquitous in decision-making in areas such as finance, health, job hiring, police work, and government bureaucracy. Creditworthiness is decided by machine learning algorithms without much human involvement; job applicants are chosen; medical diagnoses are made; judicial sentences are determined. Algorithms decide who is worthy of credit; they choose employment candidates; they help diagnose health issues</w:t>
      </w:r>
      <w:r>
        <w:rPr>
          <w:lang w:val="en-US"/>
        </w:rPr>
        <w:t>;</w:t>
      </w:r>
      <w:r w:rsidRPr="003F3A87">
        <w:rPr>
          <w:lang w:val="en-US"/>
        </w:rPr>
        <w:t xml:space="preserve"> they affect sentencing in courts; machine learning algorithms are engaged to </w:t>
      </w:r>
      <w:r>
        <w:rPr>
          <w:lang w:val="en-US"/>
        </w:rPr>
        <w:t>a</w:t>
      </w:r>
      <w:r w:rsidRPr="003F3A87">
        <w:rPr>
          <w:lang w:val="en-US"/>
        </w:rPr>
        <w:t xml:space="preserve"> large extent without human intervention. The ensuing ubiquity has spawned a challenging governance problem: how do we develop and deploy AI-based systems in a manner that is both responsive to legal and ethical frameworks, builds trust, is both fair and answerable?</w:t>
      </w:r>
    </w:p>
    <w:p w14:paraId="43DDC83A" w14:textId="7B65D272" w:rsidR="00410749" w:rsidRPr="00410749" w:rsidRDefault="003F3A87" w:rsidP="003F3A87">
      <w:pPr>
        <w:rPr>
          <w:lang w:val="en-US"/>
        </w:rPr>
      </w:pPr>
      <w:r>
        <w:rPr>
          <w:lang w:val="en-US"/>
        </w:rPr>
        <w:t>Algorithm</w:t>
      </w:r>
      <w:r w:rsidRPr="003F3A87">
        <w:rPr>
          <w:lang w:val="en-US"/>
        </w:rPr>
        <w:t xml:space="preserve"> governance is the policies, checks, balances and accountability that govern the development, deployment and evolution of the AI artefacts through their lifecycle, including data collection and use and model depreciation.</w:t>
      </w:r>
      <w:r>
        <w:rPr>
          <w:lang w:val="en-US"/>
        </w:rPr>
        <w:t xml:space="preserve"> </w:t>
      </w:r>
      <w:r w:rsidR="00410749" w:rsidRPr="00410749">
        <w:rPr>
          <w:lang w:val="en-US"/>
        </w:rPr>
        <w:t>It is worth noting that to achieve this effective governance, interdisciplinary collaboration is required</w:t>
      </w:r>
      <w:r w:rsidR="00410749">
        <w:rPr>
          <w:lang w:val="en-US"/>
        </w:rPr>
        <w:t>,</w:t>
      </w:r>
      <w:r w:rsidR="00410749" w:rsidRPr="00410749">
        <w:rPr>
          <w:lang w:val="en-US"/>
        </w:rPr>
        <w:t xml:space="preserve"> as can be seen from the </w:t>
      </w:r>
      <w:r w:rsidR="00410749">
        <w:rPr>
          <w:lang w:val="en-US"/>
        </w:rPr>
        <w:t xml:space="preserve">fact that </w:t>
      </w:r>
      <w:r w:rsidR="00410749" w:rsidRPr="00410749">
        <w:rPr>
          <w:lang w:val="en-US"/>
        </w:rPr>
        <w:t xml:space="preserve">computer scientists and experts from other </w:t>
      </w:r>
      <w:r w:rsidR="00410749">
        <w:rPr>
          <w:lang w:val="en-US"/>
        </w:rPr>
        <w:t>professions,</w:t>
      </w:r>
      <w:r w:rsidR="00410749" w:rsidRPr="00410749">
        <w:rPr>
          <w:lang w:val="en-US"/>
        </w:rPr>
        <w:t xml:space="preserve"> such as policymakers, legalists and ethicists</w:t>
      </w:r>
      <w:r w:rsidR="00410749">
        <w:rPr>
          <w:lang w:val="en-US"/>
        </w:rPr>
        <w:t>,</w:t>
      </w:r>
      <w:r w:rsidR="00410749" w:rsidRPr="00410749">
        <w:rPr>
          <w:lang w:val="en-US"/>
        </w:rPr>
        <w:t xml:space="preserve"> have to work together to ensure that AI is within </w:t>
      </w:r>
      <w:r w:rsidR="00410749">
        <w:rPr>
          <w:lang w:val="en-US"/>
        </w:rPr>
        <w:t xml:space="preserve">the </w:t>
      </w:r>
      <w:r w:rsidR="00410749" w:rsidRPr="00410749">
        <w:rPr>
          <w:lang w:val="en-US"/>
        </w:rPr>
        <w:t>dictates of democratic values and the public interests</w:t>
      </w:r>
      <w:r w:rsidR="00AF323F">
        <w:rPr>
          <w:lang w:val="en-US"/>
        </w:rPr>
        <w:t>.</w:t>
      </w:r>
      <w:sdt>
        <w:sdtPr>
          <w:rPr>
            <w:lang w:val="en-US"/>
          </w:rPr>
          <w:id w:val="-1416929489"/>
          <w:citation/>
        </w:sdtPr>
        <w:sdtContent>
          <w:r w:rsidR="00F70245">
            <w:rPr>
              <w:lang w:val="en-US"/>
            </w:rPr>
            <w:fldChar w:fldCharType="begin"/>
          </w:r>
          <w:r w:rsidR="00F70245">
            <w:rPr>
              <w:lang w:val="en-US"/>
            </w:rPr>
            <w:instrText xml:space="preserve"> CITATION Boo25 \l 1033 </w:instrText>
          </w:r>
          <w:r w:rsidR="00F70245">
            <w:rPr>
              <w:lang w:val="en-US"/>
            </w:rPr>
            <w:fldChar w:fldCharType="separate"/>
          </w:r>
          <w:r w:rsidR="00C158DD">
            <w:rPr>
              <w:noProof/>
              <w:lang w:val="en-US"/>
            </w:rPr>
            <w:t xml:space="preserve"> </w:t>
          </w:r>
          <w:r w:rsidR="00C158DD" w:rsidRPr="00C158DD">
            <w:rPr>
              <w:noProof/>
              <w:lang w:val="en-US"/>
            </w:rPr>
            <w:t>[1]</w:t>
          </w:r>
          <w:r w:rsidR="00F70245">
            <w:rPr>
              <w:lang w:val="en-US"/>
            </w:rPr>
            <w:fldChar w:fldCharType="end"/>
          </w:r>
        </w:sdtContent>
      </w:sdt>
      <w:r w:rsidR="00410749" w:rsidRPr="00410749">
        <w:rPr>
          <w:lang w:val="en-US"/>
        </w:rPr>
        <w:t xml:space="preserve">. The consequences are significant; improperly designed and regulated AI systems have the potential to further </w:t>
      </w:r>
      <w:r w:rsidR="00213362">
        <w:rPr>
          <w:lang w:val="en-US"/>
        </w:rPr>
        <w:t>institutionalize</w:t>
      </w:r>
      <w:r w:rsidR="00410749" w:rsidRPr="00410749">
        <w:rPr>
          <w:lang w:val="en-US"/>
        </w:rPr>
        <w:t xml:space="preserve"> discriminatory practices, invade privacy, violate due process, and </w:t>
      </w:r>
      <w:r w:rsidR="00213362">
        <w:rPr>
          <w:lang w:val="en-US"/>
        </w:rPr>
        <w:t>centralize</w:t>
      </w:r>
      <w:r w:rsidR="00410749" w:rsidRPr="00410749">
        <w:rPr>
          <w:lang w:val="en-US"/>
        </w:rPr>
        <w:t xml:space="preserve"> power in a way that risks divisions within society.</w:t>
      </w:r>
    </w:p>
    <w:p w14:paraId="47D71130" w14:textId="03565ECD" w:rsidR="00A64D5D" w:rsidRPr="00410749" w:rsidRDefault="00410749" w:rsidP="00410749">
      <w:pPr>
        <w:rPr>
          <w:lang w:val="en-US"/>
        </w:rPr>
      </w:pPr>
      <w:r w:rsidRPr="00410749">
        <w:rPr>
          <w:lang w:val="en-US"/>
        </w:rPr>
        <w:t xml:space="preserve">This paper talks about three interdependent aspects of AI Governance: Risk Management, Ethics, </w:t>
      </w:r>
      <w:r>
        <w:rPr>
          <w:lang w:val="en-US"/>
        </w:rPr>
        <w:t xml:space="preserve">and </w:t>
      </w:r>
      <w:r w:rsidRPr="00410749">
        <w:rPr>
          <w:lang w:val="en-US"/>
        </w:rPr>
        <w:t>Compliance. It first looks at the specific risks that such "data-dependent"</w:t>
      </w:r>
      <w:r>
        <w:rPr>
          <w:lang w:val="en-US"/>
        </w:rPr>
        <w:t>,</w:t>
      </w:r>
      <w:r w:rsidRPr="00410749">
        <w:rPr>
          <w:lang w:val="en-US"/>
        </w:rPr>
        <w:t xml:space="preserve"> “data-heavy" and “autonomous” AI systems create, conforming to taxonomies that classify privacy-related harms and outcomes with respect to discrimination. Moreover, it investigates the ways of interpreting the abstract ethical norms in </w:t>
      </w:r>
      <w:r>
        <w:rPr>
          <w:lang w:val="en-US"/>
        </w:rPr>
        <w:t xml:space="preserve">the </w:t>
      </w:r>
      <w:r w:rsidRPr="00410749">
        <w:rPr>
          <w:lang w:val="en-US"/>
        </w:rPr>
        <w:t xml:space="preserve">practical practice of governance, including the roles of human control and </w:t>
      </w:r>
      <w:r w:rsidRPr="00410749">
        <w:rPr>
          <w:lang w:val="en-US"/>
        </w:rPr>
        <w:lastRenderedPageBreak/>
        <w:t>involving stakeholders. Thirdly, it examines the fast-changing regulatory environment and the need for more complex governance frameworks that incorporate compliance needs. These dimensions are combined to create a theoretically sound yet practically applicable framework that moves to more effective adaptive governance moving forward with technological innovation.</w:t>
      </w:r>
    </w:p>
    <w:p w14:paraId="1F23BCC5" w14:textId="472F6D5F" w:rsidR="00410749" w:rsidRDefault="00410749" w:rsidP="00213362">
      <w:pPr>
        <w:pStyle w:val="Heading2"/>
      </w:pPr>
      <w:bookmarkStart w:id="3" w:name="_Toc236767190"/>
      <w:r w:rsidRPr="00410749">
        <w:t>The Risk Landscape of AI and Machine Learning Systems</w:t>
      </w:r>
      <w:bookmarkEnd w:id="3"/>
    </w:p>
    <w:p w14:paraId="0C307775" w14:textId="77777777" w:rsidR="00213362" w:rsidRPr="00213362" w:rsidRDefault="00213362" w:rsidP="00213362">
      <w:pPr>
        <w:rPr>
          <w:lang w:val="en-US"/>
        </w:rPr>
      </w:pPr>
    </w:p>
    <w:p w14:paraId="74088260" w14:textId="58497F44" w:rsidR="00226EEE" w:rsidRPr="00410749" w:rsidRDefault="00410749" w:rsidP="00410749">
      <w:pPr>
        <w:rPr>
          <w:b/>
          <w:bCs/>
          <w:lang w:val="en-US"/>
        </w:rPr>
      </w:pPr>
      <w:r w:rsidRPr="00410749">
        <w:rPr>
          <w:b/>
          <w:bCs/>
          <w:lang w:val="en-US"/>
        </w:rPr>
        <w:t>Identifying AI-Specific Harms and Vulnerabilities</w:t>
      </w:r>
    </w:p>
    <w:p w14:paraId="58CC9705" w14:textId="33417399" w:rsidR="004A7414" w:rsidRDefault="00410749" w:rsidP="00410749">
      <w:pPr>
        <w:rPr>
          <w:lang w:val="en-US"/>
        </w:rPr>
      </w:pPr>
      <w:r w:rsidRPr="00410749">
        <w:rPr>
          <w:lang w:val="en-US"/>
        </w:rPr>
        <w:t xml:space="preserve">There are risks to AI systems which are different in kind from typical information technology risks. Risks associated with the nature of machine learning statistical </w:t>
      </w:r>
      <w:r w:rsidR="00596788" w:rsidRPr="00410749">
        <w:rPr>
          <w:lang w:val="en-US"/>
        </w:rPr>
        <w:t>generalization</w:t>
      </w:r>
      <w:r w:rsidRPr="00410749">
        <w:rPr>
          <w:lang w:val="en-US"/>
        </w:rPr>
        <w:t xml:space="preserve"> from past learning, opacity of the algorithms, vulnerability to adversarial inputs and malicious actions, and emergence of </w:t>
      </w:r>
      <w:r w:rsidR="00596788" w:rsidRPr="00410749">
        <w:rPr>
          <w:lang w:val="en-US"/>
        </w:rPr>
        <w:t>behaviors</w:t>
      </w:r>
      <w:r w:rsidRPr="00410749">
        <w:rPr>
          <w:lang w:val="en-US"/>
        </w:rPr>
        <w:t xml:space="preserve"> differing from what was intended during design. One of the key contributions that has direct relevance for AI governance is the extended taxonomy of privacy harms introduced</w:t>
      </w:r>
      <w:r w:rsidR="00F70245">
        <w:rPr>
          <w:lang w:val="en-US"/>
        </w:rPr>
        <w:t>,</w:t>
      </w:r>
      <w:r w:rsidRPr="00410749">
        <w:rPr>
          <w:lang w:val="en-US"/>
        </w:rPr>
        <w:t xml:space="preserve"> </w:t>
      </w:r>
      <w:r w:rsidR="00F70245">
        <w:rPr>
          <w:lang w:val="en-US"/>
        </w:rPr>
        <w:t>which</w:t>
      </w:r>
      <w:r w:rsidRPr="00410749">
        <w:rPr>
          <w:lang w:val="en-US"/>
        </w:rPr>
        <w:t xml:space="preserve"> features particularly relevant </w:t>
      </w:r>
      <w:r w:rsidR="00F70245">
        <w:rPr>
          <w:lang w:val="en-US"/>
        </w:rPr>
        <w:t xml:space="preserve">aspects </w:t>
      </w:r>
      <w:r w:rsidRPr="00410749">
        <w:rPr>
          <w:lang w:val="en-US"/>
        </w:rPr>
        <w:t>to the governance of AI</w:t>
      </w:r>
      <w:r w:rsidR="00AF323F">
        <w:rPr>
          <w:lang w:val="en-US"/>
        </w:rPr>
        <w:t>.</w:t>
      </w:r>
      <w:sdt>
        <w:sdtPr>
          <w:rPr>
            <w:lang w:val="en-US"/>
          </w:rPr>
          <w:id w:val="151196591"/>
          <w:citation/>
        </w:sdtPr>
        <w:sdtContent>
          <w:r w:rsidR="00F70245">
            <w:rPr>
              <w:lang w:val="en-US"/>
            </w:rPr>
            <w:fldChar w:fldCharType="begin"/>
          </w:r>
          <w:r w:rsidR="00F70245">
            <w:rPr>
              <w:lang w:val="en-US"/>
            </w:rPr>
            <w:instrText xml:space="preserve">CITATION Sol18 \l 1033 </w:instrText>
          </w:r>
          <w:r w:rsidR="00F70245">
            <w:rPr>
              <w:lang w:val="en-US"/>
            </w:rPr>
            <w:fldChar w:fldCharType="separate"/>
          </w:r>
          <w:r w:rsidR="00C158DD">
            <w:rPr>
              <w:noProof/>
              <w:lang w:val="en-US"/>
            </w:rPr>
            <w:t xml:space="preserve"> </w:t>
          </w:r>
          <w:r w:rsidR="00C158DD" w:rsidRPr="00C158DD">
            <w:rPr>
              <w:noProof/>
              <w:lang w:val="en-US"/>
            </w:rPr>
            <w:t>[2]</w:t>
          </w:r>
          <w:r w:rsidR="00F70245">
            <w:rPr>
              <w:lang w:val="en-US"/>
            </w:rPr>
            <w:fldChar w:fldCharType="end"/>
          </w:r>
        </w:sdtContent>
      </w:sdt>
      <w:r w:rsidR="00F70245">
        <w:rPr>
          <w:lang w:val="en-US"/>
        </w:rPr>
        <w:t>.</w:t>
      </w:r>
      <w:r w:rsidRPr="00410749">
        <w:rPr>
          <w:lang w:val="en-US"/>
        </w:rPr>
        <w:t xml:space="preserve"> Their framework contains eighteen different types or categories of harm, such as surveillance, aggregation, identity, secondary use, exclusion, insecurity and more. </w:t>
      </w:r>
      <w:r w:rsidR="007173AD" w:rsidRPr="00410749">
        <w:rPr>
          <w:lang w:val="en-US"/>
        </w:rPr>
        <w:t>Taxonomy</w:t>
      </w:r>
      <w:r w:rsidRPr="00410749">
        <w:rPr>
          <w:lang w:val="en-US"/>
        </w:rPr>
        <w:t xml:space="preserve"> is essential for governance as it extends beyond privacy-focused notions by offering practical categories for the identification and management of AI-related risks and </w:t>
      </w:r>
      <w:r w:rsidR="00596788" w:rsidRPr="00410749">
        <w:rPr>
          <w:lang w:val="en-US"/>
        </w:rPr>
        <w:t>issues and</w:t>
      </w:r>
      <w:r w:rsidRPr="00410749">
        <w:rPr>
          <w:lang w:val="en-US"/>
        </w:rPr>
        <w:t xml:space="preserve"> is compatible with the functions of AI systems.</w:t>
      </w:r>
    </w:p>
    <w:p w14:paraId="30B3CFE4" w14:textId="151FB2B1" w:rsidR="003F3A87" w:rsidRPr="00410749" w:rsidRDefault="00410749" w:rsidP="00410749">
      <w:pPr>
        <w:rPr>
          <w:lang w:val="en-US"/>
        </w:rPr>
      </w:pPr>
      <w:r w:rsidRPr="00410749">
        <w:rPr>
          <w:lang w:val="en-US"/>
        </w:rPr>
        <w:t>In addition to privacy, AI systems may also create the potential for algorithmic discrimination. In their paper, Verma, Vyas and Kaushik discuss how data sets that are cultivated from previous sources and systems easily contain discriminatory information, or when not built with specific training on fairness</w:t>
      </w:r>
      <w:r>
        <w:rPr>
          <w:lang w:val="en-US"/>
        </w:rPr>
        <w:t>,</w:t>
      </w:r>
      <w:r w:rsidRPr="00410749">
        <w:rPr>
          <w:lang w:val="en-US"/>
        </w:rPr>
        <w:t xml:space="preserve"> the </w:t>
      </w:r>
      <w:r>
        <w:rPr>
          <w:lang w:val="en-US"/>
        </w:rPr>
        <w:t>AI instantiation</w:t>
      </w:r>
      <w:r w:rsidRPr="00410749">
        <w:rPr>
          <w:lang w:val="en-US"/>
        </w:rPr>
        <w:t xml:space="preserve"> might then manifest it</w:t>
      </w:r>
      <w:r w:rsidR="00AF323F">
        <w:rPr>
          <w:lang w:val="en-US"/>
        </w:rPr>
        <w:t>.</w:t>
      </w:r>
      <w:sdt>
        <w:sdtPr>
          <w:rPr>
            <w:lang w:val="en-US"/>
          </w:rPr>
          <w:id w:val="-1119059715"/>
          <w:citation/>
        </w:sdtPr>
        <w:sdtContent>
          <w:r w:rsidR="00F70245">
            <w:rPr>
              <w:lang w:val="en-US"/>
            </w:rPr>
            <w:fldChar w:fldCharType="begin"/>
          </w:r>
          <w:r w:rsidR="00F70245">
            <w:rPr>
              <w:lang w:val="en-US"/>
            </w:rPr>
            <w:instrText xml:space="preserve"> CITATION Ver22 \l 1033 </w:instrText>
          </w:r>
          <w:r w:rsidR="00F70245">
            <w:rPr>
              <w:lang w:val="en-US"/>
            </w:rPr>
            <w:fldChar w:fldCharType="separate"/>
          </w:r>
          <w:r w:rsidR="00C158DD">
            <w:rPr>
              <w:noProof/>
              <w:lang w:val="en-US"/>
            </w:rPr>
            <w:t xml:space="preserve"> </w:t>
          </w:r>
          <w:r w:rsidR="00C158DD" w:rsidRPr="00C158DD">
            <w:rPr>
              <w:noProof/>
              <w:lang w:val="en-US"/>
            </w:rPr>
            <w:t>[3]</w:t>
          </w:r>
          <w:r w:rsidR="00F70245">
            <w:rPr>
              <w:lang w:val="en-US"/>
            </w:rPr>
            <w:fldChar w:fldCharType="end"/>
          </w:r>
        </w:sdtContent>
      </w:sdt>
      <w:r w:rsidRPr="00410749">
        <w:rPr>
          <w:lang w:val="en-US"/>
        </w:rPr>
        <w:t xml:space="preserve">. For instance, for the task of employment screening, models trained using previous hiring data might have an implicit disadvantage for certain groups of individuals. </w:t>
      </w:r>
      <w:r w:rsidR="003F3A87" w:rsidRPr="003F3A87">
        <w:rPr>
          <w:lang w:val="en-US"/>
        </w:rPr>
        <w:t xml:space="preserve">Proxy variables (like postal codes) can be used in credit scoring as another way of granting/rejecting credit that inflicts disparate impact on race or socioeconomic status. The impact of such disproportionate outcomes can be more than a moral or ethical concern; it can result in legal liability, reputational or regulatory fines. </w:t>
      </w:r>
    </w:p>
    <w:p w14:paraId="0F3BBBFE" w14:textId="47A795CB" w:rsidR="00410749" w:rsidRDefault="00410749" w:rsidP="00410749">
      <w:pPr>
        <w:rPr>
          <w:b/>
          <w:bCs/>
          <w:lang w:val="en-US"/>
        </w:rPr>
      </w:pPr>
      <w:r w:rsidRPr="00410749">
        <w:rPr>
          <w:b/>
          <w:bCs/>
          <w:lang w:val="en-US"/>
        </w:rPr>
        <w:lastRenderedPageBreak/>
        <w:t>Socio-Technical Risk Management Frameworks</w:t>
      </w:r>
    </w:p>
    <w:p w14:paraId="726A8DCA" w14:textId="77777777" w:rsidR="004A7414" w:rsidRPr="00410749" w:rsidRDefault="004A7414" w:rsidP="00410749">
      <w:pPr>
        <w:rPr>
          <w:b/>
          <w:bCs/>
          <w:lang w:val="en-US"/>
        </w:rPr>
      </w:pPr>
    </w:p>
    <w:p w14:paraId="1B24EE8B" w14:textId="53FD4622" w:rsidR="00410749" w:rsidRPr="00410749" w:rsidRDefault="00410749" w:rsidP="00410749">
      <w:pPr>
        <w:rPr>
          <w:lang w:val="en-US"/>
        </w:rPr>
      </w:pPr>
      <w:r w:rsidRPr="00410749">
        <w:rPr>
          <w:lang w:val="en-US"/>
        </w:rPr>
        <w:t>Risk management must move beyond simply technical solutions</w:t>
      </w:r>
      <w:r>
        <w:rPr>
          <w:lang w:val="en-US"/>
        </w:rPr>
        <w:t>,</w:t>
      </w:r>
      <w:r w:rsidRPr="00410749">
        <w:rPr>
          <w:lang w:val="en-US"/>
        </w:rPr>
        <w:t xml:space="preserve"> and socio-technical approaches must be adopted for embeddedness of AI systems in </w:t>
      </w:r>
      <w:r w:rsidR="00D601E0">
        <w:rPr>
          <w:lang w:val="en-US"/>
        </w:rPr>
        <w:t>organizational</w:t>
      </w:r>
      <w:r w:rsidRPr="00410749">
        <w:rPr>
          <w:lang w:val="en-US"/>
        </w:rPr>
        <w:t xml:space="preserve"> and societal context. </w:t>
      </w:r>
      <w:r w:rsidR="003F3A87" w:rsidRPr="003F3A87">
        <w:rPr>
          <w:lang w:val="en-US"/>
        </w:rPr>
        <w:t xml:space="preserve">As an alternative to taking the path of users as a problem, where the human is taken as a source of error, Zimmermann and Renaud suggest the switch to a human-as-solution, with appropriate consideration </w:t>
      </w:r>
      <w:r w:rsidR="009B4F0E">
        <w:rPr>
          <w:lang w:val="en-US"/>
        </w:rPr>
        <w:t>of</w:t>
      </w:r>
      <w:r w:rsidR="003F3A87" w:rsidRPr="003F3A87">
        <w:rPr>
          <w:lang w:val="en-US"/>
        </w:rPr>
        <w:t xml:space="preserve"> human judgment, supervision, and adaptability as the property of risk governance</w:t>
      </w:r>
      <w:sdt>
        <w:sdtPr>
          <w:rPr>
            <w:lang w:val="en-US"/>
          </w:rPr>
          <w:id w:val="-336770811"/>
          <w:citation/>
        </w:sdtPr>
        <w:sdtContent>
          <w:r w:rsidR="00F70245">
            <w:rPr>
              <w:lang w:val="en-US"/>
            </w:rPr>
            <w:fldChar w:fldCharType="begin"/>
          </w:r>
          <w:r w:rsidR="00F70245">
            <w:rPr>
              <w:lang w:val="en-US"/>
            </w:rPr>
            <w:instrText xml:space="preserve"> CITATION Zim19 \l 1033 </w:instrText>
          </w:r>
          <w:r w:rsidR="00F70245">
            <w:rPr>
              <w:lang w:val="en-US"/>
            </w:rPr>
            <w:fldChar w:fldCharType="separate"/>
          </w:r>
          <w:r w:rsidR="00C158DD">
            <w:rPr>
              <w:noProof/>
              <w:lang w:val="en-US"/>
            </w:rPr>
            <w:t xml:space="preserve"> </w:t>
          </w:r>
          <w:r w:rsidR="00C158DD" w:rsidRPr="00C158DD">
            <w:rPr>
              <w:noProof/>
              <w:lang w:val="en-US"/>
            </w:rPr>
            <w:t>[4]</w:t>
          </w:r>
          <w:r w:rsidR="00F70245">
            <w:rPr>
              <w:lang w:val="en-US"/>
            </w:rPr>
            <w:fldChar w:fldCharType="end"/>
          </w:r>
        </w:sdtContent>
      </w:sdt>
      <w:r w:rsidRPr="00410749">
        <w:rPr>
          <w:lang w:val="en-US"/>
        </w:rPr>
        <w:t xml:space="preserve">. </w:t>
      </w:r>
      <w:r w:rsidR="003F3A87" w:rsidRPr="003F3A87">
        <w:rPr>
          <w:lang w:val="en-US"/>
        </w:rPr>
        <w:t xml:space="preserve">They </w:t>
      </w:r>
      <w:r w:rsidR="00596788" w:rsidRPr="003F3A87">
        <w:rPr>
          <w:lang w:val="en-US"/>
        </w:rPr>
        <w:t>emphasize</w:t>
      </w:r>
      <w:r w:rsidR="003F3A87" w:rsidRPr="003F3A87">
        <w:rPr>
          <w:lang w:val="en-US"/>
        </w:rPr>
        <w:t xml:space="preserve"> that, without considering the human operators, decision makers, and affected stakeholders who will operate and interact with AI systems, technical controls like explainability algorithms or fairness constraints alone aren't enough.</w:t>
      </w:r>
      <w:r w:rsidRPr="00410749">
        <w:rPr>
          <w:lang w:val="en-US"/>
        </w:rPr>
        <w:t xml:space="preserve"> Recently, governance </w:t>
      </w:r>
      <w:r w:rsidR="00596788" w:rsidRPr="00410749">
        <w:rPr>
          <w:lang w:val="en-US"/>
        </w:rPr>
        <w:t>needed</w:t>
      </w:r>
      <w:r w:rsidRPr="00410749">
        <w:rPr>
          <w:lang w:val="en-US"/>
        </w:rPr>
        <w:t xml:space="preserve"> to include the design of human-AI interfaces, along with training and communication, that will allow for meaningful governance.</w:t>
      </w:r>
    </w:p>
    <w:p w14:paraId="72E009A9" w14:textId="4F99DC4E" w:rsidR="00410749" w:rsidRDefault="003F3A87" w:rsidP="00410749">
      <w:pPr>
        <w:rPr>
          <w:lang w:val="en-US"/>
        </w:rPr>
      </w:pPr>
      <w:r w:rsidRPr="003F3A87">
        <w:rPr>
          <w:lang w:val="en-US"/>
        </w:rPr>
        <w:t xml:space="preserve">Following this line of thought, a restatement of the arguments fronted in Price and Evans is relevant, who propose single governance strategies that bring risk management into the processes and strategies of the </w:t>
      </w:r>
      <w:r w:rsidR="00596788" w:rsidRPr="003F3A87">
        <w:rPr>
          <w:lang w:val="en-US"/>
        </w:rPr>
        <w:t>organization</w:t>
      </w:r>
      <w:sdt>
        <w:sdtPr>
          <w:rPr>
            <w:lang w:val="en-US"/>
          </w:rPr>
          <w:id w:val="912125327"/>
          <w:citation/>
        </w:sdtPr>
        <w:sdtContent>
          <w:r w:rsidR="00F70245">
            <w:rPr>
              <w:lang w:val="en-US"/>
            </w:rPr>
            <w:fldChar w:fldCharType="begin"/>
          </w:r>
          <w:r w:rsidR="00F70245">
            <w:rPr>
              <w:lang w:val="en-US"/>
            </w:rPr>
            <w:instrText xml:space="preserve"> CITATION Pri24 \l 1033 </w:instrText>
          </w:r>
          <w:r w:rsidR="00F70245">
            <w:rPr>
              <w:lang w:val="en-US"/>
            </w:rPr>
            <w:fldChar w:fldCharType="separate"/>
          </w:r>
          <w:r w:rsidR="00C158DD">
            <w:rPr>
              <w:noProof/>
              <w:lang w:val="en-US"/>
            </w:rPr>
            <w:t xml:space="preserve"> </w:t>
          </w:r>
          <w:r w:rsidR="00C158DD" w:rsidRPr="00C158DD">
            <w:rPr>
              <w:noProof/>
              <w:lang w:val="en-US"/>
            </w:rPr>
            <w:t>[5]</w:t>
          </w:r>
          <w:r w:rsidR="00F70245">
            <w:rPr>
              <w:lang w:val="en-US"/>
            </w:rPr>
            <w:fldChar w:fldCharType="end"/>
          </w:r>
        </w:sdtContent>
      </w:sdt>
      <w:r w:rsidR="00410749" w:rsidRPr="00410749">
        <w:rPr>
          <w:lang w:val="en-US"/>
        </w:rPr>
        <w:t xml:space="preserve">. When discussing the risks from AI, not just a technical or legal issue, they want climate change to be part of enterprise risk management programs and assess it alongside financial, operational and strategic risks. The challenge hinges on the shared accountability of delivering AI governance at the senior level across a risk appetite and ethical and regulatory stance. A set of practical tools for </w:t>
      </w:r>
      <w:r w:rsidR="00596788">
        <w:rPr>
          <w:lang w:val="en-US"/>
        </w:rPr>
        <w:t>operationalizing</w:t>
      </w:r>
      <w:r w:rsidR="00410749" w:rsidRPr="00410749">
        <w:rPr>
          <w:lang w:val="en-US"/>
        </w:rPr>
        <w:t xml:space="preserve"> this process is now beginning to be launched by </w:t>
      </w:r>
      <w:r w:rsidR="00596788" w:rsidRPr="00410749">
        <w:rPr>
          <w:lang w:val="en-US"/>
        </w:rPr>
        <w:t>standardization</w:t>
      </w:r>
      <w:r w:rsidR="00410749" w:rsidRPr="00410749">
        <w:rPr>
          <w:lang w:val="en-US"/>
        </w:rPr>
        <w:t xml:space="preserve"> bodies and industry consortia. The recommended practices of DNV offer </w:t>
      </w:r>
      <w:proofErr w:type="spellStart"/>
      <w:r w:rsidR="00410749">
        <w:rPr>
          <w:lang w:val="en-US"/>
        </w:rPr>
        <w:t>organisations</w:t>
      </w:r>
      <w:proofErr w:type="spellEnd"/>
      <w:r w:rsidR="00410749" w:rsidRPr="00410749">
        <w:rPr>
          <w:lang w:val="en-US"/>
        </w:rPr>
        <w:t xml:space="preserve"> structured methodologies to perform risk assessment, model validation, performance monitoring and </w:t>
      </w:r>
      <w:r w:rsidR="00410749">
        <w:rPr>
          <w:lang w:val="en-US"/>
        </w:rPr>
        <w:t>incident response</w:t>
      </w:r>
      <w:r w:rsidR="00410749" w:rsidRPr="00410749">
        <w:rPr>
          <w:lang w:val="en-US"/>
        </w:rPr>
        <w:t>, all covering the entire lifecycle of an AI-powered system</w:t>
      </w:r>
      <w:r w:rsidR="00AF323F">
        <w:rPr>
          <w:lang w:val="en-US"/>
        </w:rPr>
        <w:t>.</w:t>
      </w:r>
      <w:sdt>
        <w:sdtPr>
          <w:rPr>
            <w:lang w:val="en-US"/>
          </w:rPr>
          <w:id w:val="981743183"/>
          <w:citation/>
        </w:sdtPr>
        <w:sdtContent>
          <w:r w:rsidR="00F70245">
            <w:rPr>
              <w:lang w:val="en-US"/>
            </w:rPr>
            <w:fldChar w:fldCharType="begin"/>
          </w:r>
          <w:r w:rsidR="00F70245">
            <w:rPr>
              <w:lang w:val="en-US"/>
            </w:rPr>
            <w:instrText xml:space="preserve"> CITATION DNV251 \l 1033 </w:instrText>
          </w:r>
          <w:r w:rsidR="00F70245">
            <w:rPr>
              <w:lang w:val="en-US"/>
            </w:rPr>
            <w:fldChar w:fldCharType="separate"/>
          </w:r>
          <w:r w:rsidR="00C158DD">
            <w:rPr>
              <w:noProof/>
              <w:lang w:val="en-US"/>
            </w:rPr>
            <w:t xml:space="preserve"> </w:t>
          </w:r>
          <w:r w:rsidR="00C158DD" w:rsidRPr="00C158DD">
            <w:rPr>
              <w:noProof/>
              <w:lang w:val="en-US"/>
            </w:rPr>
            <w:t>[6]</w:t>
          </w:r>
          <w:r w:rsidR="00F70245">
            <w:rPr>
              <w:lang w:val="en-US"/>
            </w:rPr>
            <w:fldChar w:fldCharType="end"/>
          </w:r>
        </w:sdtContent>
      </w:sdt>
      <w:r w:rsidR="00410749" w:rsidRPr="00410749">
        <w:rPr>
          <w:lang w:val="en-US"/>
        </w:rPr>
        <w:t>.</w:t>
      </w:r>
    </w:p>
    <w:p w14:paraId="1593B801" w14:textId="77777777" w:rsidR="004A7414" w:rsidRDefault="004A7414" w:rsidP="00410749">
      <w:pPr>
        <w:rPr>
          <w:lang w:val="en-US"/>
        </w:rPr>
      </w:pPr>
    </w:p>
    <w:p w14:paraId="21FAB316" w14:textId="77777777" w:rsidR="004A7414" w:rsidRDefault="004A7414" w:rsidP="00410749">
      <w:pPr>
        <w:rPr>
          <w:lang w:val="en-US"/>
        </w:rPr>
      </w:pPr>
    </w:p>
    <w:p w14:paraId="2E3001C1" w14:textId="77777777" w:rsidR="004A7414" w:rsidRDefault="004A7414" w:rsidP="00410749">
      <w:pPr>
        <w:rPr>
          <w:lang w:val="en-US"/>
        </w:rPr>
      </w:pPr>
    </w:p>
    <w:p w14:paraId="590D499A" w14:textId="77777777" w:rsidR="004A7414" w:rsidRPr="00410749" w:rsidRDefault="004A7414" w:rsidP="00410749">
      <w:pPr>
        <w:rPr>
          <w:lang w:val="en-US"/>
        </w:rPr>
      </w:pPr>
    </w:p>
    <w:p w14:paraId="2C67BFC3" w14:textId="5E1EACB5" w:rsidR="00410749" w:rsidRDefault="00410749" w:rsidP="00A64D5D">
      <w:pPr>
        <w:pStyle w:val="Heading2"/>
      </w:pPr>
      <w:bookmarkStart w:id="4" w:name="_Toc236767191"/>
      <w:r w:rsidRPr="00410749">
        <w:lastRenderedPageBreak/>
        <w:t>Ethical Dimensions of AI Governance</w:t>
      </w:r>
      <w:bookmarkEnd w:id="4"/>
    </w:p>
    <w:p w14:paraId="169689E4" w14:textId="77777777" w:rsidR="004A7414" w:rsidRPr="004A7414" w:rsidRDefault="004A7414" w:rsidP="004A7414">
      <w:pPr>
        <w:rPr>
          <w:lang w:val="en-US"/>
        </w:rPr>
      </w:pPr>
    </w:p>
    <w:p w14:paraId="2EFC1840" w14:textId="02E433A9" w:rsidR="00410749" w:rsidRPr="00410749" w:rsidRDefault="0049630A" w:rsidP="00410749">
      <w:pPr>
        <w:rPr>
          <w:b/>
          <w:bCs/>
          <w:lang w:val="en-US"/>
        </w:rPr>
      </w:pPr>
      <w:r>
        <w:rPr>
          <w:b/>
          <w:bCs/>
          <w:lang w:val="en-US"/>
        </w:rPr>
        <w:t>Operationalizing</w:t>
      </w:r>
      <w:r w:rsidR="00410749" w:rsidRPr="00410749">
        <w:rPr>
          <w:b/>
          <w:bCs/>
          <w:lang w:val="en-US"/>
        </w:rPr>
        <w:t xml:space="preserve"> Fairness and Transparency</w:t>
      </w:r>
    </w:p>
    <w:p w14:paraId="66E3012B" w14:textId="59470A06" w:rsidR="00410749" w:rsidRPr="00410749" w:rsidRDefault="00410749" w:rsidP="00410749">
      <w:pPr>
        <w:rPr>
          <w:lang w:val="en-US"/>
        </w:rPr>
      </w:pPr>
      <w:r w:rsidRPr="00410749">
        <w:rPr>
          <w:lang w:val="en-US"/>
        </w:rPr>
        <w:t xml:space="preserve">The number of moral frameworks for AI, from fairness to accountability, transparency and explainability, and </w:t>
      </w:r>
      <w:r>
        <w:rPr>
          <w:lang w:val="en-US"/>
        </w:rPr>
        <w:t>human-</w:t>
      </w:r>
      <w:r w:rsidR="004A7414">
        <w:rPr>
          <w:lang w:val="en-US"/>
        </w:rPr>
        <w:t>centeredness</w:t>
      </w:r>
      <w:r w:rsidRPr="00410749">
        <w:rPr>
          <w:lang w:val="en-US"/>
        </w:rPr>
        <w:t xml:space="preserve">, has been astounding, but there remains a substantial disconnect between ideals and actions. </w:t>
      </w:r>
      <w:r>
        <w:rPr>
          <w:lang w:val="en-US"/>
        </w:rPr>
        <w:t>To</w:t>
      </w:r>
      <w:r w:rsidRPr="00410749">
        <w:rPr>
          <w:lang w:val="en-US"/>
        </w:rPr>
        <w:t xml:space="preserve"> </w:t>
      </w:r>
      <w:r w:rsidR="004A7414" w:rsidRPr="00410749">
        <w:rPr>
          <w:lang w:val="en-US"/>
        </w:rPr>
        <w:t>operationalize</w:t>
      </w:r>
      <w:r w:rsidRPr="00410749">
        <w:rPr>
          <w:lang w:val="en-US"/>
        </w:rPr>
        <w:t xml:space="preserve"> the principles into governance processes</w:t>
      </w:r>
      <w:r>
        <w:rPr>
          <w:lang w:val="en-US"/>
        </w:rPr>
        <w:t>,</w:t>
      </w:r>
      <w:r w:rsidRPr="00410749">
        <w:rPr>
          <w:lang w:val="en-US"/>
        </w:rPr>
        <w:t xml:space="preserve"> robust governance structures and mechanisms for data curation, bias auditing, model selection, and impact assessment must exist. Employee training and awareness </w:t>
      </w:r>
      <w:r>
        <w:rPr>
          <w:lang w:val="en-US"/>
        </w:rPr>
        <w:t>are</w:t>
      </w:r>
      <w:r w:rsidRPr="00410749">
        <w:rPr>
          <w:lang w:val="en-US"/>
        </w:rPr>
        <w:t xml:space="preserve"> one of the most crucial factors that can facilitate ethical governance of AI</w:t>
      </w:r>
      <w:r w:rsidR="00F438CE">
        <w:rPr>
          <w:lang w:val="en-US"/>
        </w:rPr>
        <w:t xml:space="preserve"> </w:t>
      </w:r>
      <w:sdt>
        <w:sdtPr>
          <w:rPr>
            <w:lang w:val="en-US"/>
          </w:rPr>
          <w:id w:val="1984120640"/>
          <w:citation/>
        </w:sdtPr>
        <w:sdtContent>
          <w:r w:rsidR="00F438CE">
            <w:rPr>
              <w:lang w:val="en-US"/>
            </w:rPr>
            <w:fldChar w:fldCharType="begin"/>
          </w:r>
          <w:r w:rsidR="00F438CE">
            <w:rPr>
              <w:lang w:val="en-US"/>
            </w:rPr>
            <w:instrText xml:space="preserve"> CITATION Cha24 \l 1033 </w:instrText>
          </w:r>
          <w:r w:rsidR="00F438CE">
            <w:rPr>
              <w:lang w:val="en-US"/>
            </w:rPr>
            <w:fldChar w:fldCharType="separate"/>
          </w:r>
          <w:r w:rsidR="00C158DD" w:rsidRPr="00C158DD">
            <w:rPr>
              <w:noProof/>
              <w:lang w:val="en-US"/>
            </w:rPr>
            <w:t>[7]</w:t>
          </w:r>
          <w:r w:rsidR="00F438CE">
            <w:rPr>
              <w:lang w:val="en-US"/>
            </w:rPr>
            <w:fldChar w:fldCharType="end"/>
          </w:r>
        </w:sdtContent>
      </w:sdt>
      <w:r w:rsidRPr="00410749">
        <w:rPr>
          <w:lang w:val="en-US"/>
        </w:rPr>
        <w:t>. Few practitioners and end-users know the dangers, biases and potential liabilities of relying on AI platforms, and they may misuse and/or trust the outputs of their algorithms too much. Invite</w:t>
      </w:r>
      <w:r>
        <w:rPr>
          <w:lang w:val="en-US"/>
        </w:rPr>
        <w:t>,</w:t>
      </w:r>
      <w:r w:rsidRPr="00410749">
        <w:rPr>
          <w:lang w:val="en-US"/>
        </w:rPr>
        <w:t xml:space="preserve"> therefore</w:t>
      </w:r>
      <w:r>
        <w:rPr>
          <w:lang w:val="en-US"/>
        </w:rPr>
        <w:t>,</w:t>
      </w:r>
      <w:r w:rsidRPr="00410749">
        <w:rPr>
          <w:lang w:val="en-US"/>
        </w:rPr>
        <w:t xml:space="preserve"> to make responsible AI a common cultural factor and to invest in comprehensive education </w:t>
      </w:r>
      <w:r w:rsidR="0049630A" w:rsidRPr="00410749">
        <w:rPr>
          <w:lang w:val="en-US"/>
        </w:rPr>
        <w:t>programmers</w:t>
      </w:r>
      <w:r w:rsidRPr="00410749">
        <w:rPr>
          <w:lang w:val="en-US"/>
        </w:rPr>
        <w:t>, covering technical and non-technical roles.</w:t>
      </w:r>
    </w:p>
    <w:p w14:paraId="2DB0C77B" w14:textId="69F00E41" w:rsidR="00410749" w:rsidRPr="00410749" w:rsidRDefault="00410749" w:rsidP="00410749">
      <w:pPr>
        <w:rPr>
          <w:lang w:val="en-US"/>
        </w:rPr>
      </w:pPr>
      <w:r w:rsidRPr="00410749">
        <w:rPr>
          <w:lang w:val="en-US"/>
        </w:rPr>
        <w:t xml:space="preserve">Transparency is an integral part of ethical AI and includes both the explicability of algorithms and disclosure within an </w:t>
      </w:r>
      <w:r w:rsidR="0049630A">
        <w:rPr>
          <w:lang w:val="en-US"/>
        </w:rPr>
        <w:t>organization</w:t>
      </w:r>
      <w:r w:rsidRPr="00410749">
        <w:rPr>
          <w:lang w:val="en-US"/>
        </w:rPr>
        <w:t xml:space="preserve">. Certain techniques of explainability, like feature attribution and counterfactual reasoning, can </w:t>
      </w:r>
      <w:r>
        <w:rPr>
          <w:lang w:val="en-US"/>
        </w:rPr>
        <w:t>shed light</w:t>
      </w:r>
      <w:r w:rsidRPr="00410749">
        <w:rPr>
          <w:lang w:val="en-US"/>
        </w:rPr>
        <w:t xml:space="preserve"> </w:t>
      </w:r>
      <w:r>
        <w:rPr>
          <w:lang w:val="en-US"/>
        </w:rPr>
        <w:t>on</w:t>
      </w:r>
      <w:r w:rsidRPr="00410749">
        <w:rPr>
          <w:lang w:val="en-US"/>
        </w:rPr>
        <w:t xml:space="preserve"> the construction of choices that are made by models, permitting them to be evaluated and challenged. While </w:t>
      </w:r>
      <w:r w:rsidR="0049630A" w:rsidRPr="00410749">
        <w:rPr>
          <w:lang w:val="en-US"/>
        </w:rPr>
        <w:t>BIM</w:t>
      </w:r>
      <w:r w:rsidRPr="00410749">
        <w:rPr>
          <w:lang w:val="en-US"/>
        </w:rPr>
        <w:t xml:space="preserve"> is a useful analogy</w:t>
      </w:r>
      <w:r w:rsidR="00F438CE">
        <w:rPr>
          <w:lang w:val="en-US"/>
        </w:rPr>
        <w:t xml:space="preserve"> </w:t>
      </w:r>
      <w:sdt>
        <w:sdtPr>
          <w:rPr>
            <w:lang w:val="en-US"/>
          </w:rPr>
          <w:id w:val="2106374345"/>
          <w:citation/>
        </w:sdtPr>
        <w:sdtContent>
          <w:r w:rsidR="00F438CE">
            <w:rPr>
              <w:lang w:val="en-US"/>
            </w:rPr>
            <w:fldChar w:fldCharType="begin"/>
          </w:r>
          <w:r w:rsidR="00F438CE">
            <w:rPr>
              <w:lang w:val="en-US"/>
            </w:rPr>
            <w:instrText xml:space="preserve"> CITATION Cav17 \l 1033 </w:instrText>
          </w:r>
          <w:r w:rsidR="00F438CE">
            <w:rPr>
              <w:lang w:val="en-US"/>
            </w:rPr>
            <w:fldChar w:fldCharType="separate"/>
          </w:r>
          <w:r w:rsidR="00C158DD" w:rsidRPr="00C158DD">
            <w:rPr>
              <w:noProof/>
              <w:lang w:val="en-US"/>
            </w:rPr>
            <w:t>[8]</w:t>
          </w:r>
          <w:r w:rsidR="00F438CE">
            <w:rPr>
              <w:lang w:val="en-US"/>
            </w:rPr>
            <w:fldChar w:fldCharType="end"/>
          </w:r>
        </w:sdtContent>
      </w:sdt>
      <w:r w:rsidRPr="00410749">
        <w:rPr>
          <w:lang w:val="en-US"/>
        </w:rPr>
        <w:t xml:space="preserve">, it is important to clearly define the requirements and expectations from the very beginning in order to achieve good transparency, because BIM is included. When it comes to AI, </w:t>
      </w:r>
      <w:proofErr w:type="spellStart"/>
      <w:r>
        <w:rPr>
          <w:lang w:val="en-US"/>
        </w:rPr>
        <w:t>organisations</w:t>
      </w:r>
      <w:proofErr w:type="spellEnd"/>
      <w:r w:rsidRPr="00410749">
        <w:rPr>
          <w:lang w:val="en-US"/>
        </w:rPr>
        <w:t xml:space="preserve"> need to communicate their needs for data provenance, model interpretability, and maintaining </w:t>
      </w:r>
      <w:r w:rsidR="0049630A" w:rsidRPr="00410749">
        <w:rPr>
          <w:lang w:val="en-US"/>
        </w:rPr>
        <w:t>a lot of</w:t>
      </w:r>
      <w:r w:rsidRPr="00410749">
        <w:rPr>
          <w:lang w:val="en-US"/>
        </w:rPr>
        <w:t xml:space="preserve"> decisions, as well as building a framework for meaningful accountability.</w:t>
      </w:r>
    </w:p>
    <w:p w14:paraId="44BC31B1" w14:textId="77777777" w:rsidR="00410749" w:rsidRPr="00410749" w:rsidRDefault="00410749" w:rsidP="00410749">
      <w:pPr>
        <w:rPr>
          <w:b/>
          <w:bCs/>
          <w:lang w:val="en-US"/>
        </w:rPr>
      </w:pPr>
      <w:r w:rsidRPr="00410749">
        <w:rPr>
          <w:b/>
          <w:bCs/>
          <w:lang w:val="en-US"/>
        </w:rPr>
        <w:t>Human Oversight and Accountability in Autonomous Systems</w:t>
      </w:r>
    </w:p>
    <w:p w14:paraId="13347BBF" w14:textId="466D3BB8" w:rsidR="00410749" w:rsidRPr="00410749" w:rsidRDefault="003F3A87" w:rsidP="00410749">
      <w:pPr>
        <w:rPr>
          <w:lang w:val="en-US"/>
        </w:rPr>
      </w:pPr>
      <w:r w:rsidRPr="003F3A87">
        <w:rPr>
          <w:lang w:val="en-US"/>
        </w:rPr>
        <w:t>The ethical governance of AI presupposes meaningful human control as the essential element that should be followed. In the case of military use, Boutin discusses this principle in the realm of preventative governance and its applicability to the entire AI lifecycle, while giving states the right to maintain control over weighty decisions made by humans</w:t>
      </w:r>
      <w:r>
        <w:rPr>
          <w:lang w:val="en-US"/>
        </w:rPr>
        <w:t xml:space="preserve"> </w:t>
      </w:r>
      <w:sdt>
        <w:sdtPr>
          <w:rPr>
            <w:lang w:val="en-US"/>
          </w:rPr>
          <w:id w:val="-1765755205"/>
          <w:citation/>
        </w:sdtPr>
        <w:sdtContent>
          <w:r w:rsidR="00F438CE">
            <w:rPr>
              <w:lang w:val="en-US"/>
            </w:rPr>
            <w:fldChar w:fldCharType="begin"/>
          </w:r>
          <w:r w:rsidR="00F438CE">
            <w:rPr>
              <w:lang w:val="en-US"/>
            </w:rPr>
            <w:instrText xml:space="preserve"> CITATION Bou25 \l 1033 </w:instrText>
          </w:r>
          <w:r w:rsidR="00F438CE">
            <w:rPr>
              <w:lang w:val="en-US"/>
            </w:rPr>
            <w:fldChar w:fldCharType="separate"/>
          </w:r>
          <w:r w:rsidR="00C158DD" w:rsidRPr="00C158DD">
            <w:rPr>
              <w:noProof/>
              <w:lang w:val="en-US"/>
            </w:rPr>
            <w:t>[9]</w:t>
          </w:r>
          <w:r w:rsidR="00F438CE">
            <w:rPr>
              <w:lang w:val="en-US"/>
            </w:rPr>
            <w:fldChar w:fldCharType="end"/>
          </w:r>
        </w:sdtContent>
      </w:sdt>
      <w:r w:rsidR="00410749" w:rsidRPr="00410749">
        <w:rPr>
          <w:lang w:val="en-US"/>
        </w:rPr>
        <w:t xml:space="preserve">. Though deployed in the military context, the principle extends to civilian use: </w:t>
      </w:r>
      <w:proofErr w:type="spellStart"/>
      <w:r w:rsidR="00410749">
        <w:rPr>
          <w:lang w:val="en-US"/>
        </w:rPr>
        <w:t>organisations</w:t>
      </w:r>
      <w:proofErr w:type="spellEnd"/>
      <w:r w:rsidR="00410749" w:rsidRPr="00410749">
        <w:rPr>
          <w:lang w:val="en-US"/>
        </w:rPr>
        <w:t xml:space="preserve"> that use AI systems should keep human beings' ability to oversee, intervene and be accountable for algorithmic decisions as well. </w:t>
      </w:r>
      <w:r w:rsidRPr="003F3A87">
        <w:rPr>
          <w:lang w:val="en-US"/>
        </w:rPr>
        <w:t xml:space="preserve">This is associated with </w:t>
      </w:r>
      <w:r w:rsidRPr="003F3A87">
        <w:rPr>
          <w:lang w:val="en-US"/>
        </w:rPr>
        <w:lastRenderedPageBreak/>
        <w:t>the design of human-AI interfaces where salient information is presented</w:t>
      </w:r>
      <w:r w:rsidR="009B4F0E">
        <w:rPr>
          <w:lang w:val="en-US"/>
        </w:rPr>
        <w:t>,</w:t>
      </w:r>
      <w:r w:rsidRPr="003F3A87">
        <w:rPr>
          <w:lang w:val="en-US"/>
        </w:rPr>
        <w:t xml:space="preserve"> automation bias is prevented</w:t>
      </w:r>
      <w:r w:rsidR="009B4F0E">
        <w:rPr>
          <w:lang w:val="en-US"/>
        </w:rPr>
        <w:t>,</w:t>
      </w:r>
      <w:r w:rsidRPr="003F3A87">
        <w:rPr>
          <w:lang w:val="en-US"/>
        </w:rPr>
        <w:t xml:space="preserve"> and a timely override occurs.</w:t>
      </w:r>
    </w:p>
    <w:p w14:paraId="5F7C0F59" w14:textId="593FB0A8" w:rsidR="00410749" w:rsidRDefault="003F3A87" w:rsidP="00410749">
      <w:pPr>
        <w:rPr>
          <w:lang w:val="en-US"/>
        </w:rPr>
      </w:pPr>
      <w:r w:rsidRPr="003F3A87">
        <w:rPr>
          <w:lang w:val="en-US"/>
        </w:rPr>
        <w:t xml:space="preserve">Individual supervision is critical, but governance mechanisms should be adapted to the existing laws, such as the GDPR in Europe and the CCPA in California, on data privacy </w:t>
      </w:r>
      <w:sdt>
        <w:sdtPr>
          <w:rPr>
            <w:lang w:val="en-US"/>
          </w:rPr>
          <w:id w:val="-682902328"/>
          <w:citation/>
        </w:sdtPr>
        <w:sdtContent>
          <w:r w:rsidR="00F438CE">
            <w:rPr>
              <w:lang w:val="en-US"/>
            </w:rPr>
            <w:fldChar w:fldCharType="begin"/>
          </w:r>
          <w:r w:rsidR="00F438CE">
            <w:rPr>
              <w:lang w:val="en-US"/>
            </w:rPr>
            <w:instrText xml:space="preserve"> CITATION Øbe20 \l 1033 </w:instrText>
          </w:r>
          <w:r w:rsidR="00F438CE">
            <w:rPr>
              <w:lang w:val="en-US"/>
            </w:rPr>
            <w:fldChar w:fldCharType="separate"/>
          </w:r>
          <w:r w:rsidR="00C158DD" w:rsidRPr="00C158DD">
            <w:rPr>
              <w:noProof/>
              <w:lang w:val="en-US"/>
            </w:rPr>
            <w:t>[10]</w:t>
          </w:r>
          <w:r w:rsidR="00F438CE">
            <w:rPr>
              <w:lang w:val="en-US"/>
            </w:rPr>
            <w:fldChar w:fldCharType="end"/>
          </w:r>
        </w:sdtContent>
      </w:sdt>
      <w:r w:rsidR="00410749" w:rsidRPr="00410749">
        <w:rPr>
          <w:lang w:val="en-US"/>
        </w:rPr>
        <w:t xml:space="preserve">. </w:t>
      </w:r>
      <w:r w:rsidRPr="003F3A87">
        <w:rPr>
          <w:lang w:val="en-US"/>
        </w:rPr>
        <w:t>Integration is not only an administrative matter</w:t>
      </w:r>
      <w:r>
        <w:rPr>
          <w:lang w:val="en-US"/>
        </w:rPr>
        <w:t>,</w:t>
      </w:r>
      <w:r w:rsidRPr="003F3A87">
        <w:rPr>
          <w:lang w:val="en-US"/>
        </w:rPr>
        <w:t xml:space="preserve"> but compliance with the laws is an aspect of ethical AI management.</w:t>
      </w:r>
      <w:r>
        <w:rPr>
          <w:lang w:val="en-US"/>
        </w:rPr>
        <w:t xml:space="preserve"> </w:t>
      </w:r>
      <w:r w:rsidR="00410749" w:rsidRPr="00410749">
        <w:rPr>
          <w:lang w:val="en-US"/>
        </w:rPr>
        <w:t xml:space="preserve">There is </w:t>
      </w:r>
      <w:r w:rsidR="00410749">
        <w:rPr>
          <w:lang w:val="en-US"/>
        </w:rPr>
        <w:t xml:space="preserve">an </w:t>
      </w:r>
      <w:r w:rsidR="00410749" w:rsidRPr="00410749">
        <w:rPr>
          <w:lang w:val="en-US"/>
        </w:rPr>
        <w:t xml:space="preserve">opportunity for </w:t>
      </w:r>
      <w:r w:rsidR="0049630A" w:rsidRPr="00410749">
        <w:rPr>
          <w:lang w:val="en-US"/>
        </w:rPr>
        <w:t>harmonization</w:t>
      </w:r>
      <w:r w:rsidR="00410749" w:rsidRPr="00410749">
        <w:rPr>
          <w:lang w:val="en-US"/>
        </w:rPr>
        <w:t xml:space="preserve"> between applications of privacy impact assessments, DPIAs and AAIAs to develop a single framework for the governance of these algorithms that will respond to both ethical and legal concerns.</w:t>
      </w:r>
    </w:p>
    <w:p w14:paraId="1A0EDFEE" w14:textId="77777777" w:rsidR="0049630A" w:rsidRPr="00410749" w:rsidRDefault="0049630A" w:rsidP="00410749">
      <w:pPr>
        <w:rPr>
          <w:lang w:val="en-US"/>
        </w:rPr>
      </w:pPr>
    </w:p>
    <w:p w14:paraId="4BD24047" w14:textId="77777777" w:rsidR="00410749" w:rsidRDefault="00410749" w:rsidP="00A64D5D">
      <w:pPr>
        <w:pStyle w:val="Heading2"/>
      </w:pPr>
      <w:bookmarkStart w:id="5" w:name="_Toc236767192"/>
      <w:r w:rsidRPr="00410749">
        <w:t>Regulatory Compliance and Legal Frameworks</w:t>
      </w:r>
      <w:bookmarkEnd w:id="5"/>
    </w:p>
    <w:p w14:paraId="7C2B39FC" w14:textId="77777777" w:rsidR="0049630A" w:rsidRPr="0049630A" w:rsidRDefault="0049630A" w:rsidP="0049630A">
      <w:pPr>
        <w:rPr>
          <w:lang w:val="en-US"/>
        </w:rPr>
      </w:pPr>
    </w:p>
    <w:p w14:paraId="26EE7643" w14:textId="1245EA75" w:rsidR="00410749" w:rsidRPr="00410749" w:rsidRDefault="00410749" w:rsidP="00410749">
      <w:pPr>
        <w:rPr>
          <w:b/>
          <w:bCs/>
          <w:lang w:val="en-US"/>
        </w:rPr>
      </w:pPr>
      <w:r w:rsidRPr="00410749">
        <w:rPr>
          <w:b/>
          <w:bCs/>
          <w:lang w:val="en-US"/>
        </w:rPr>
        <w:t>Global Regulatory Divergence and Convergence</w:t>
      </w:r>
    </w:p>
    <w:p w14:paraId="1DA505C4" w14:textId="683C67B9" w:rsidR="00410749" w:rsidRPr="00410749" w:rsidRDefault="00410749" w:rsidP="00410749">
      <w:pPr>
        <w:rPr>
          <w:lang w:val="en-US"/>
        </w:rPr>
      </w:pPr>
      <w:r w:rsidRPr="00410749">
        <w:rPr>
          <w:lang w:val="en-US"/>
        </w:rPr>
        <w:t>The regulatory landscape for AI is rapidly evolving, with different jurisdictions taking different approaches</w:t>
      </w:r>
      <w:r>
        <w:rPr>
          <w:lang w:val="en-US"/>
        </w:rPr>
        <w:t>,</w:t>
      </w:r>
      <w:r w:rsidRPr="00410749">
        <w:rPr>
          <w:lang w:val="en-US"/>
        </w:rPr>
        <w:t xml:space="preserve"> which can pose regulatory challenges for multinationals. The EU's AI Act is the most </w:t>
      </w:r>
      <w:r>
        <w:rPr>
          <w:lang w:val="en-US"/>
        </w:rPr>
        <w:t>prescriptive</w:t>
      </w:r>
      <w:r w:rsidRPr="00410749">
        <w:rPr>
          <w:lang w:val="en-US"/>
        </w:rPr>
        <w:t xml:space="preserve"> and comprehensive package of regulations that sets out a risk-based classification framework with the most stringent requirements for "high-risk" AI systems, including requirements for data governance, technical documentation, transparency, human oversight and post-market monitoring. Jason presents a more differentiated view that suggests that not all problems of AI are created equal and that different kinds of AI problems (including bioweapons issues and issues of </w:t>
      </w:r>
      <w:r w:rsidR="00596788">
        <w:rPr>
          <w:lang w:val="en-US"/>
        </w:rPr>
        <w:t>labor</w:t>
      </w:r>
      <w:r w:rsidRPr="00410749">
        <w:rPr>
          <w:lang w:val="en-US"/>
        </w:rPr>
        <w:t xml:space="preserve"> displacement) should be addressed with different strategies for regulation</w:t>
      </w:r>
      <w:r w:rsidR="00AF323F">
        <w:rPr>
          <w:lang w:val="en-US"/>
        </w:rPr>
        <w:t>.</w:t>
      </w:r>
      <w:r w:rsidR="00F438CE">
        <w:rPr>
          <w:lang w:val="en-US"/>
        </w:rPr>
        <w:t xml:space="preserve"> </w:t>
      </w:r>
      <w:sdt>
        <w:sdtPr>
          <w:rPr>
            <w:lang w:val="en-US"/>
          </w:rPr>
          <w:id w:val="84802947"/>
          <w:citation/>
        </w:sdtPr>
        <w:sdtContent>
          <w:r w:rsidR="00F438CE">
            <w:rPr>
              <w:lang w:val="en-US"/>
            </w:rPr>
            <w:fldChar w:fldCharType="begin"/>
          </w:r>
          <w:r w:rsidR="00F438CE">
            <w:rPr>
              <w:lang w:val="en-US"/>
            </w:rPr>
            <w:instrText xml:space="preserve"> CITATION Jas26 \l 1033 </w:instrText>
          </w:r>
          <w:r w:rsidR="00F438CE">
            <w:rPr>
              <w:lang w:val="en-US"/>
            </w:rPr>
            <w:fldChar w:fldCharType="separate"/>
          </w:r>
          <w:r w:rsidR="00C158DD" w:rsidRPr="00C158DD">
            <w:rPr>
              <w:noProof/>
              <w:lang w:val="en-US"/>
            </w:rPr>
            <w:t>[11]</w:t>
          </w:r>
          <w:r w:rsidR="00F438CE">
            <w:rPr>
              <w:lang w:val="en-US"/>
            </w:rPr>
            <w:fldChar w:fldCharType="end"/>
          </w:r>
        </w:sdtContent>
      </w:sdt>
      <w:r w:rsidRPr="00410749">
        <w:rPr>
          <w:lang w:val="en-US"/>
        </w:rPr>
        <w:t>. The extent of government intervention should be adaptive to the type and severity of risk, and</w:t>
      </w:r>
      <w:r w:rsidR="00F438CE">
        <w:rPr>
          <w:lang w:val="en-US"/>
        </w:rPr>
        <w:t xml:space="preserve"> </w:t>
      </w:r>
      <w:r w:rsidRPr="00410749">
        <w:rPr>
          <w:lang w:val="en-US"/>
        </w:rPr>
        <w:t>this is the radical notion that Jason has missed that many would not even think progress on may come finally in the moral dimension, and not the technical one.</w:t>
      </w:r>
    </w:p>
    <w:p w14:paraId="5EDAE2A1" w14:textId="1BC699C7" w:rsidR="00410749" w:rsidRDefault="00410749" w:rsidP="00410749">
      <w:pPr>
        <w:rPr>
          <w:lang w:val="en-US"/>
        </w:rPr>
      </w:pPr>
      <w:r w:rsidRPr="00410749">
        <w:rPr>
          <w:lang w:val="en-US"/>
        </w:rPr>
        <w:t>Unlike the EU approach</w:t>
      </w:r>
      <w:r>
        <w:rPr>
          <w:lang w:val="en-US"/>
        </w:rPr>
        <w:t>,</w:t>
      </w:r>
      <w:r w:rsidRPr="00410749">
        <w:rPr>
          <w:lang w:val="en-US"/>
        </w:rPr>
        <w:t xml:space="preserve"> which adopts a comprehensive concept, the U.S. has a more </w:t>
      </w:r>
      <w:r>
        <w:rPr>
          <w:lang w:val="en-US"/>
        </w:rPr>
        <w:t>fragmented-based</w:t>
      </w:r>
      <w:r w:rsidRPr="00410749">
        <w:rPr>
          <w:lang w:val="en-US"/>
        </w:rPr>
        <w:t xml:space="preserve"> concept. </w:t>
      </w:r>
      <w:r w:rsidR="0049630A" w:rsidRPr="00410749">
        <w:rPr>
          <w:lang w:val="en-US"/>
        </w:rPr>
        <w:t>Boosting</w:t>
      </w:r>
      <w:r w:rsidRPr="00410749">
        <w:rPr>
          <w:lang w:val="en-US"/>
        </w:rPr>
        <w:t xml:space="preserve"> his expertise as an AI policy advisor in the US Senate, Booth</w:t>
      </w:r>
      <w:r w:rsidR="00F438CE">
        <w:rPr>
          <w:lang w:val="en-US"/>
        </w:rPr>
        <w:t xml:space="preserve"> </w:t>
      </w:r>
      <w:r w:rsidRPr="00410749">
        <w:rPr>
          <w:lang w:val="en-US"/>
        </w:rPr>
        <w:t>explores the federal regulatory and legislative frameworks, including the Federal Trade Commission, Consumer Financial Protection Bureau and Equal Employment Opportunity Commission</w:t>
      </w:r>
      <w:r w:rsidR="00AF323F">
        <w:rPr>
          <w:lang w:val="en-US"/>
        </w:rPr>
        <w:t>.</w:t>
      </w:r>
      <w:r w:rsidR="003903EA">
        <w:rPr>
          <w:lang w:val="en-US"/>
        </w:rPr>
        <w:t xml:space="preserve"> </w:t>
      </w:r>
      <w:sdt>
        <w:sdtPr>
          <w:rPr>
            <w:lang w:val="en-US"/>
          </w:rPr>
          <w:id w:val="189723901"/>
          <w:citation/>
        </w:sdtPr>
        <w:sdtContent>
          <w:r w:rsidR="003903EA">
            <w:rPr>
              <w:lang w:val="en-US"/>
            </w:rPr>
            <w:fldChar w:fldCharType="begin"/>
          </w:r>
          <w:r w:rsidR="003903EA">
            <w:rPr>
              <w:lang w:val="en-US"/>
            </w:rPr>
            <w:instrText xml:space="preserve"> CITATION Boo25 \l 1033 </w:instrText>
          </w:r>
          <w:r w:rsidR="003903EA">
            <w:rPr>
              <w:lang w:val="en-US"/>
            </w:rPr>
            <w:fldChar w:fldCharType="separate"/>
          </w:r>
          <w:r w:rsidR="00C158DD" w:rsidRPr="00C158DD">
            <w:rPr>
              <w:noProof/>
              <w:lang w:val="en-US"/>
            </w:rPr>
            <w:t>[1]</w:t>
          </w:r>
          <w:r w:rsidR="003903EA">
            <w:rPr>
              <w:lang w:val="en-US"/>
            </w:rPr>
            <w:fldChar w:fldCharType="end"/>
          </w:r>
        </w:sdtContent>
      </w:sdt>
      <w:r w:rsidRPr="00410749">
        <w:rPr>
          <w:lang w:val="en-US"/>
        </w:rPr>
        <w:t xml:space="preserve">. Consumer protection laws are essential to </w:t>
      </w:r>
      <w:r w:rsidRPr="00410749">
        <w:rPr>
          <w:lang w:val="en-US"/>
        </w:rPr>
        <w:lastRenderedPageBreak/>
        <w:t xml:space="preserve">AI governance, as they offer a key baseline in financial services to keep algorithmic decision-making in line with laws on fair lending and anti-discrimination, Booth points out. </w:t>
      </w:r>
    </w:p>
    <w:p w14:paraId="58D30195" w14:textId="77777777" w:rsidR="0049630A" w:rsidRPr="00410749" w:rsidRDefault="0049630A" w:rsidP="00410749">
      <w:pPr>
        <w:rPr>
          <w:lang w:val="en-US"/>
        </w:rPr>
      </w:pPr>
    </w:p>
    <w:p w14:paraId="11AF243C" w14:textId="77777777" w:rsidR="00410749" w:rsidRPr="00410749" w:rsidRDefault="00410749" w:rsidP="00410749">
      <w:pPr>
        <w:rPr>
          <w:b/>
          <w:bCs/>
          <w:lang w:val="en-US"/>
        </w:rPr>
      </w:pPr>
      <w:r w:rsidRPr="00410749">
        <w:rPr>
          <w:b/>
          <w:bCs/>
          <w:lang w:val="en-US"/>
        </w:rPr>
        <w:t>Compliance as a Dynamic Governance Mechanism</w:t>
      </w:r>
    </w:p>
    <w:p w14:paraId="62976A96" w14:textId="064CBFBF" w:rsidR="00410749" w:rsidRPr="00410749" w:rsidRDefault="003F3A87" w:rsidP="00410749">
      <w:pPr>
        <w:rPr>
          <w:lang w:val="en-US"/>
        </w:rPr>
      </w:pPr>
      <w:r w:rsidRPr="003F3A87">
        <w:rPr>
          <w:lang w:val="en-US"/>
        </w:rPr>
        <w:t xml:space="preserve">Compliance is not a checklist, but rather a process and a mechanism of governance, </w:t>
      </w:r>
      <w:r w:rsidR="009B4F0E">
        <w:rPr>
          <w:lang w:val="en-US"/>
        </w:rPr>
        <w:t>and</w:t>
      </w:r>
      <w:r w:rsidRPr="003F3A87">
        <w:rPr>
          <w:lang w:val="en-US"/>
        </w:rPr>
        <w:t xml:space="preserve"> it is dynamic due to the evolving nature of technology and the changes in the development of society</w:t>
      </w:r>
      <w:r w:rsidR="00410749" w:rsidRPr="00410749">
        <w:rPr>
          <w:lang w:val="en-US"/>
        </w:rPr>
        <w:t xml:space="preserve">. The article by Hayward discusses fundamental principles, risk assessment, ethics and legal compliance, model validation and bias prevention in </w:t>
      </w:r>
      <w:r w:rsidR="00410749">
        <w:rPr>
          <w:lang w:val="en-US"/>
        </w:rPr>
        <w:t xml:space="preserve">the </w:t>
      </w:r>
      <w:r w:rsidR="00410749" w:rsidRPr="00410749">
        <w:rPr>
          <w:lang w:val="en-US"/>
        </w:rPr>
        <w:t>context of cybersecurity and the governance of AI</w:t>
      </w:r>
      <w:r w:rsidR="003903EA">
        <w:rPr>
          <w:lang w:val="en-US"/>
        </w:rPr>
        <w:t xml:space="preserve"> </w:t>
      </w:r>
      <w:sdt>
        <w:sdtPr>
          <w:rPr>
            <w:lang w:val="en-US"/>
          </w:rPr>
          <w:id w:val="-710804862"/>
          <w:citation/>
        </w:sdtPr>
        <w:sdtContent>
          <w:r w:rsidR="003903EA">
            <w:rPr>
              <w:lang w:val="en-US"/>
            </w:rPr>
            <w:fldChar w:fldCharType="begin"/>
          </w:r>
          <w:r w:rsidR="003903EA">
            <w:rPr>
              <w:lang w:val="en-US"/>
            </w:rPr>
            <w:instrText xml:space="preserve"> CITATION Hay25 \l 1033 </w:instrText>
          </w:r>
          <w:r w:rsidR="003903EA">
            <w:rPr>
              <w:lang w:val="en-US"/>
            </w:rPr>
            <w:fldChar w:fldCharType="separate"/>
          </w:r>
          <w:r w:rsidR="00C158DD" w:rsidRPr="00C158DD">
            <w:rPr>
              <w:noProof/>
              <w:lang w:val="en-US"/>
            </w:rPr>
            <w:t>[12]</w:t>
          </w:r>
          <w:r w:rsidR="003903EA">
            <w:rPr>
              <w:lang w:val="en-US"/>
            </w:rPr>
            <w:fldChar w:fldCharType="end"/>
          </w:r>
        </w:sdtContent>
      </w:sdt>
      <w:r w:rsidR="00410749" w:rsidRPr="00410749">
        <w:rPr>
          <w:lang w:val="en-US"/>
        </w:rPr>
        <w:t>. The lesson here is that compliance should not occur just at the point of deployment, but it should also be continuously monitored and adaptive whenever the distribution of data changes and even if there are attacks performed.AI systems, just like any other kind of system, can drift from previously validated baselines, for reasons such as distribution, shift of data and attacks, so compliance should not only be done at the deployment point, but it should also be done continuously and adaptively as well.</w:t>
      </w:r>
    </w:p>
    <w:p w14:paraId="65E0DC66" w14:textId="5EDC8373" w:rsidR="00410749" w:rsidRDefault="00410749" w:rsidP="00410749">
      <w:pPr>
        <w:rPr>
          <w:lang w:val="en-US"/>
        </w:rPr>
      </w:pPr>
      <w:r w:rsidRPr="00410749">
        <w:rPr>
          <w:lang w:val="en-US"/>
        </w:rPr>
        <w:t xml:space="preserve">This paper joins the understanding of machine learning applications and their governance consequences by highlighting the importance of having strong frameworks for the validation of machine learning models across various demographic subgroups and machine learning applications, to ensure the models are performing well, and that the machine learning environment is robust and fair. As others join this sentiment, it is now understood that compliance is </w:t>
      </w:r>
      <w:r>
        <w:rPr>
          <w:lang w:val="en-US"/>
        </w:rPr>
        <w:t>process-oriented</w:t>
      </w:r>
      <w:r w:rsidRPr="00410749">
        <w:rPr>
          <w:lang w:val="en-US"/>
        </w:rPr>
        <w:t xml:space="preserve"> and that forms of collaboration with stakeholders</w:t>
      </w:r>
      <w:r>
        <w:rPr>
          <w:lang w:val="en-US"/>
        </w:rPr>
        <w:t>,</w:t>
      </w:r>
      <w:r w:rsidRPr="00410749">
        <w:rPr>
          <w:lang w:val="en-US"/>
        </w:rPr>
        <w:t xml:space="preserve"> along with being recruited into it, must be documented, monitored and checked </w:t>
      </w:r>
      <w:r>
        <w:rPr>
          <w:lang w:val="en-US"/>
        </w:rPr>
        <w:t>regularly</w:t>
      </w:r>
      <w:r w:rsidRPr="00410749">
        <w:rPr>
          <w:lang w:val="en-US"/>
        </w:rPr>
        <w:t xml:space="preserve">. The creation of internal compliance infrastructure is, therefore, crucial for any </w:t>
      </w:r>
      <w:r w:rsidR="00596788">
        <w:rPr>
          <w:lang w:val="en-US"/>
        </w:rPr>
        <w:t>organization</w:t>
      </w:r>
      <w:r w:rsidRPr="00410749">
        <w:rPr>
          <w:lang w:val="en-US"/>
        </w:rPr>
        <w:t xml:space="preserve"> that wants to keep its AI systems compliant and under control all the way through.</w:t>
      </w:r>
    </w:p>
    <w:p w14:paraId="74FEB307" w14:textId="77777777" w:rsidR="0049630A" w:rsidRDefault="0049630A" w:rsidP="00410749">
      <w:pPr>
        <w:rPr>
          <w:lang w:val="en-US"/>
        </w:rPr>
      </w:pPr>
    </w:p>
    <w:p w14:paraId="7897B345" w14:textId="77777777" w:rsidR="0049630A" w:rsidRDefault="0049630A" w:rsidP="00410749">
      <w:pPr>
        <w:rPr>
          <w:lang w:val="en-US"/>
        </w:rPr>
      </w:pPr>
    </w:p>
    <w:p w14:paraId="773FCE1A" w14:textId="77777777" w:rsidR="0049630A" w:rsidRPr="00410749" w:rsidRDefault="0049630A" w:rsidP="00410749">
      <w:pPr>
        <w:rPr>
          <w:lang w:val="en-US"/>
        </w:rPr>
      </w:pPr>
    </w:p>
    <w:p w14:paraId="19876F44" w14:textId="77777777" w:rsidR="00410749" w:rsidRDefault="00410749" w:rsidP="00A64D5D">
      <w:pPr>
        <w:pStyle w:val="Heading2"/>
      </w:pPr>
      <w:bookmarkStart w:id="6" w:name="_Toc236767193"/>
      <w:r w:rsidRPr="00410749">
        <w:lastRenderedPageBreak/>
        <w:t>An Integrated Governance Framework</w:t>
      </w:r>
      <w:bookmarkEnd w:id="6"/>
    </w:p>
    <w:p w14:paraId="3A3EC6A1" w14:textId="77777777" w:rsidR="0049630A" w:rsidRPr="0049630A" w:rsidRDefault="0049630A" w:rsidP="0049630A">
      <w:pPr>
        <w:rPr>
          <w:lang w:val="en-US"/>
        </w:rPr>
      </w:pPr>
    </w:p>
    <w:p w14:paraId="0A671977" w14:textId="020A57CA" w:rsidR="00410749" w:rsidRPr="00410749" w:rsidRDefault="00410749" w:rsidP="00410749">
      <w:pPr>
        <w:rPr>
          <w:b/>
          <w:bCs/>
          <w:lang w:val="en-US"/>
        </w:rPr>
      </w:pPr>
      <w:r w:rsidRPr="00410749">
        <w:rPr>
          <w:b/>
          <w:bCs/>
          <w:lang w:val="en-US"/>
        </w:rPr>
        <w:t>Core Pillars: Risk, Ethics, and Compliance</w:t>
      </w:r>
    </w:p>
    <w:p w14:paraId="5396CCE6" w14:textId="018457E1" w:rsidR="00410749" w:rsidRPr="00410749" w:rsidRDefault="00410749" w:rsidP="00410749">
      <w:pPr>
        <w:rPr>
          <w:lang w:val="en-US"/>
        </w:rPr>
      </w:pPr>
      <w:r w:rsidRPr="00410749">
        <w:rPr>
          <w:lang w:val="en-US"/>
        </w:rPr>
        <w:t>Based on the above discussion, this work presents the integrated governance framework consisting of three pillars of risk management, ethics and compliance</w:t>
      </w:r>
      <w:r>
        <w:rPr>
          <w:lang w:val="en-US"/>
        </w:rPr>
        <w:t>,</w:t>
      </w:r>
      <w:r w:rsidRPr="00410749">
        <w:rPr>
          <w:lang w:val="en-US"/>
        </w:rPr>
        <w:t xml:space="preserve"> all of which complement each other. The pillars are not causal or hierarchical</w:t>
      </w:r>
      <w:r>
        <w:rPr>
          <w:lang w:val="en-US"/>
        </w:rPr>
        <w:t>,</w:t>
      </w:r>
      <w:r w:rsidRPr="00410749">
        <w:rPr>
          <w:lang w:val="en-US"/>
        </w:rPr>
        <w:t xml:space="preserve"> but they are interconnected. Effectiveness in managing risks demands ethical orientation and regulatory foundations; ethical commitments underpin risk management and compliance </w:t>
      </w:r>
      <w:r>
        <w:rPr>
          <w:lang w:val="en-US"/>
        </w:rPr>
        <w:t>checks</w:t>
      </w:r>
      <w:r w:rsidRPr="00410749">
        <w:rPr>
          <w:lang w:val="en-US"/>
        </w:rPr>
        <w:t xml:space="preserve">; and compliance is underpinned by risk management and ethical principles. These pillars are effectively implemented in governance as a well-structured accountability system, detailed </w:t>
      </w:r>
      <w:r>
        <w:rPr>
          <w:lang w:val="en-US"/>
        </w:rPr>
        <w:t>policies,</w:t>
      </w:r>
      <w:r w:rsidRPr="00410749">
        <w:rPr>
          <w:lang w:val="en-US"/>
        </w:rPr>
        <w:t xml:space="preserve"> and enforcement measures.</w:t>
      </w:r>
    </w:p>
    <w:p w14:paraId="5B3F7376" w14:textId="3EB4B760" w:rsidR="00410749" w:rsidRPr="00410749" w:rsidRDefault="00410749" w:rsidP="00410749">
      <w:pPr>
        <w:rPr>
          <w:lang w:val="en-US"/>
        </w:rPr>
      </w:pPr>
      <w:r w:rsidRPr="00410749">
        <w:rPr>
          <w:lang w:val="en-US"/>
        </w:rPr>
        <w:t xml:space="preserve">Governance bodies should be </w:t>
      </w:r>
      <w:r w:rsidR="0049630A" w:rsidRPr="00410749">
        <w:rPr>
          <w:lang w:val="en-US"/>
        </w:rPr>
        <w:t>recognized</w:t>
      </w:r>
      <w:r w:rsidRPr="00410749">
        <w:rPr>
          <w:lang w:val="en-US"/>
        </w:rPr>
        <w:t xml:space="preserve"> both at the higher level (strategic level) and at the lower level (operational level). When questions of critical importance, like security, discrimination, or even safety, are involved, high-level management should be concerned with monitoring and overseeing AI systems, as Zimmerman &amp; Renaud (2019) state. Boards and senior leaders need to establish a tone, define a risk appetite and allocate resources around action on risk governance. At the same time, everyone on the business team needs to work with governance measures on </w:t>
      </w:r>
      <w:r>
        <w:rPr>
          <w:lang w:val="en-US"/>
        </w:rPr>
        <w:t>a day-to-day</w:t>
      </w:r>
      <w:r w:rsidRPr="00410749">
        <w:rPr>
          <w:lang w:val="en-US"/>
        </w:rPr>
        <w:t xml:space="preserve"> basis, from data scientists writing down model assumptions to the product manager auditing and doing ethics compliance tests.</w:t>
      </w:r>
    </w:p>
    <w:p w14:paraId="20A7E54B" w14:textId="77777777" w:rsidR="00410749" w:rsidRPr="00410749" w:rsidRDefault="00410749" w:rsidP="00410749">
      <w:pPr>
        <w:rPr>
          <w:b/>
          <w:bCs/>
          <w:lang w:val="en-US"/>
        </w:rPr>
      </w:pPr>
      <w:r w:rsidRPr="00410749">
        <w:rPr>
          <w:b/>
          <w:bCs/>
          <w:lang w:val="en-US"/>
        </w:rPr>
        <w:t>Lifecycle Governance and Continuous Auditing</w:t>
      </w:r>
    </w:p>
    <w:p w14:paraId="1424660C" w14:textId="3208FE11" w:rsidR="00410749" w:rsidRPr="00410749" w:rsidRDefault="00410749" w:rsidP="00410749">
      <w:pPr>
        <w:rPr>
          <w:lang w:val="en-US"/>
        </w:rPr>
      </w:pPr>
      <w:r w:rsidRPr="00410749">
        <w:rPr>
          <w:lang w:val="en-US"/>
        </w:rPr>
        <w:t>Preventing or remediating threats to data is a key element of an effective governance framework that spans the continuum of the AI lifecycle from identifying a use case to laying plans to decommission it upon completion. A good methodology for lifecycle assurance is offered by DNV</w:t>
      </w:r>
      <w:r>
        <w:rPr>
          <w:lang w:val="en-US"/>
        </w:rPr>
        <w:t>,</w:t>
      </w:r>
      <w:r w:rsidRPr="00410749">
        <w:rPr>
          <w:lang w:val="en-US"/>
        </w:rPr>
        <w:t xml:space="preserve"> which requires independent verification and validation to be carried out at each stage</w:t>
      </w:r>
      <w:r>
        <w:rPr>
          <w:lang w:val="en-US"/>
        </w:rPr>
        <w:t>,</w:t>
      </w:r>
      <w:r w:rsidRPr="00410749">
        <w:rPr>
          <w:lang w:val="en-US"/>
        </w:rPr>
        <w:t xml:space="preserve"> with an increasing level of risk early in the lifecycle that is identified and mitigated</w:t>
      </w:r>
      <w:r w:rsidR="00AF323F">
        <w:rPr>
          <w:lang w:val="en-US"/>
        </w:rPr>
        <w:t>.</w:t>
      </w:r>
      <w:r w:rsidR="003903EA">
        <w:rPr>
          <w:lang w:val="en-US"/>
        </w:rPr>
        <w:t xml:space="preserve"> </w:t>
      </w:r>
      <w:sdt>
        <w:sdtPr>
          <w:rPr>
            <w:lang w:val="en-US"/>
          </w:rPr>
          <w:id w:val="-1828352095"/>
          <w:citation/>
        </w:sdtPr>
        <w:sdtContent>
          <w:r w:rsidR="003903EA">
            <w:rPr>
              <w:lang w:val="en-US"/>
            </w:rPr>
            <w:fldChar w:fldCharType="begin"/>
          </w:r>
          <w:r w:rsidR="003903EA">
            <w:rPr>
              <w:lang w:val="en-US"/>
            </w:rPr>
            <w:instrText xml:space="preserve"> CITATION DNV251 \l 1033 </w:instrText>
          </w:r>
          <w:r w:rsidR="003903EA">
            <w:rPr>
              <w:lang w:val="en-US"/>
            </w:rPr>
            <w:fldChar w:fldCharType="separate"/>
          </w:r>
          <w:r w:rsidR="00C158DD" w:rsidRPr="00C158DD">
            <w:rPr>
              <w:noProof/>
              <w:lang w:val="en-US"/>
            </w:rPr>
            <w:t>[6]</w:t>
          </w:r>
          <w:r w:rsidR="003903EA">
            <w:rPr>
              <w:lang w:val="en-US"/>
            </w:rPr>
            <w:fldChar w:fldCharType="end"/>
          </w:r>
        </w:sdtContent>
      </w:sdt>
      <w:r w:rsidRPr="00410749">
        <w:rPr>
          <w:lang w:val="en-US"/>
        </w:rPr>
        <w:t xml:space="preserve">. Such a lifecycle is important since vulnerabilities can have been seeded </w:t>
      </w:r>
      <w:r w:rsidR="00596788" w:rsidRPr="00410749">
        <w:rPr>
          <w:lang w:val="en-US"/>
        </w:rPr>
        <w:t>through</w:t>
      </w:r>
      <w:r w:rsidRPr="00410749">
        <w:rPr>
          <w:lang w:val="en-US"/>
        </w:rPr>
        <w:t xml:space="preserve"> the entire process from the training set, how the deployment environment is built, and how it interacts with other systems.</w:t>
      </w:r>
    </w:p>
    <w:p w14:paraId="536B92EE" w14:textId="3050C8BF" w:rsidR="00410749" w:rsidRDefault="00410749" w:rsidP="00410749">
      <w:pPr>
        <w:rPr>
          <w:lang w:val="en-US"/>
        </w:rPr>
      </w:pPr>
      <w:r w:rsidRPr="00410749">
        <w:rPr>
          <w:lang w:val="en-US"/>
        </w:rPr>
        <w:t xml:space="preserve">Openness, </w:t>
      </w:r>
      <w:r w:rsidR="0049630A" w:rsidRPr="00410749">
        <w:rPr>
          <w:lang w:val="en-US"/>
        </w:rPr>
        <w:t>auditing</w:t>
      </w:r>
      <w:r w:rsidRPr="00410749">
        <w:rPr>
          <w:lang w:val="en-US"/>
        </w:rPr>
        <w:t xml:space="preserve"> and monitoring are essential elements of </w:t>
      </w:r>
      <w:r>
        <w:rPr>
          <w:lang w:val="en-US"/>
        </w:rPr>
        <w:t>lifecycle governance</w:t>
      </w:r>
      <w:r w:rsidRPr="00410749">
        <w:rPr>
          <w:lang w:val="en-US"/>
        </w:rPr>
        <w:t xml:space="preserve">. Independent auditing mechanisms act as mechanisms to ensure accountability, to </w:t>
      </w:r>
      <w:r w:rsidRPr="00410749">
        <w:rPr>
          <w:lang w:val="en-US"/>
        </w:rPr>
        <w:lastRenderedPageBreak/>
        <w:t xml:space="preserve">make sure implementation is in accordance with the law, and to reduce risk in practice. Price and Evans have highlighted ‘governance across </w:t>
      </w:r>
      <w:r w:rsidR="0049630A" w:rsidRPr="00410749">
        <w:rPr>
          <w:lang w:val="en-US"/>
        </w:rPr>
        <w:t>operations,</w:t>
      </w:r>
      <w:r w:rsidRPr="00410749">
        <w:rPr>
          <w:lang w:val="en-US"/>
        </w:rPr>
        <w:t xml:space="preserve"> meaning auditing must form a crucial part of the continuum of business operations and not be carried out as a stand-out even</w:t>
      </w:r>
      <w:r w:rsidR="003903EA">
        <w:rPr>
          <w:lang w:val="en-US"/>
        </w:rPr>
        <w:t>t</w:t>
      </w:r>
      <w:r w:rsidR="00AF323F">
        <w:rPr>
          <w:lang w:val="en-US"/>
        </w:rPr>
        <w:t>.</w:t>
      </w:r>
      <w:r w:rsidR="003903EA">
        <w:rPr>
          <w:lang w:val="en-US"/>
        </w:rPr>
        <w:t xml:space="preserve"> </w:t>
      </w:r>
      <w:sdt>
        <w:sdtPr>
          <w:rPr>
            <w:lang w:val="en-US"/>
          </w:rPr>
          <w:id w:val="-215749527"/>
          <w:citation/>
        </w:sdtPr>
        <w:sdtContent>
          <w:r w:rsidR="003903EA">
            <w:rPr>
              <w:lang w:val="en-US"/>
            </w:rPr>
            <w:fldChar w:fldCharType="begin"/>
          </w:r>
          <w:r w:rsidR="003903EA">
            <w:rPr>
              <w:lang w:val="en-US"/>
            </w:rPr>
            <w:instrText xml:space="preserve"> CITATION Pri24 \l 1033 </w:instrText>
          </w:r>
          <w:r w:rsidR="003903EA">
            <w:rPr>
              <w:lang w:val="en-US"/>
            </w:rPr>
            <w:fldChar w:fldCharType="separate"/>
          </w:r>
          <w:r w:rsidR="00C158DD" w:rsidRPr="00C158DD">
            <w:rPr>
              <w:noProof/>
              <w:lang w:val="en-US"/>
            </w:rPr>
            <w:t>[5]</w:t>
          </w:r>
          <w:r w:rsidR="003903EA">
            <w:rPr>
              <w:lang w:val="en-US"/>
            </w:rPr>
            <w:fldChar w:fldCharType="end"/>
          </w:r>
        </w:sdtContent>
      </w:sdt>
      <w:r w:rsidRPr="00410749">
        <w:rPr>
          <w:lang w:val="en-US"/>
        </w:rPr>
        <w:t xml:space="preserve">. Feedback loops are needed for adaptive governance, through regular algorithmic impact assessments, touching base with stakeholders, and incident reporting systems. </w:t>
      </w:r>
      <w:r w:rsidR="00E500B0" w:rsidRPr="00E500B0">
        <w:rPr>
          <w:lang w:val="en-US"/>
        </w:rPr>
        <w:t xml:space="preserve">Communication of clear requirements </w:t>
      </w:r>
      <w:r w:rsidR="009B4F0E">
        <w:rPr>
          <w:lang w:val="en-US"/>
        </w:rPr>
        <w:t>for</w:t>
      </w:r>
      <w:r w:rsidR="00E500B0" w:rsidRPr="00E500B0">
        <w:rPr>
          <w:lang w:val="en-US"/>
        </w:rPr>
        <w:t xml:space="preserve"> the performance of a model, whether it is fair and robust</w:t>
      </w:r>
      <w:r w:rsidR="009B4F0E">
        <w:rPr>
          <w:lang w:val="en-US"/>
        </w:rPr>
        <w:t>,</w:t>
      </w:r>
      <w:r w:rsidR="00E500B0" w:rsidRPr="00E500B0">
        <w:rPr>
          <w:lang w:val="en-US"/>
        </w:rPr>
        <w:t xml:space="preserve"> is essential in complex technology areas, as in the case of AI governance, which can be translated to an objective basis of auditing the performance of a model based on the nature of information a machine learning model was expected to accomplish</w:t>
      </w:r>
      <w:r w:rsidR="00E500B0">
        <w:rPr>
          <w:lang w:val="en-US"/>
        </w:rPr>
        <w:t xml:space="preserve"> </w:t>
      </w:r>
      <w:sdt>
        <w:sdtPr>
          <w:rPr>
            <w:lang w:val="en-US"/>
          </w:rPr>
          <w:id w:val="968940740"/>
          <w:citation/>
        </w:sdtPr>
        <w:sdtContent>
          <w:r w:rsidR="003903EA">
            <w:rPr>
              <w:lang w:val="en-US"/>
            </w:rPr>
            <w:fldChar w:fldCharType="begin"/>
          </w:r>
          <w:r w:rsidR="003903EA">
            <w:rPr>
              <w:lang w:val="en-US"/>
            </w:rPr>
            <w:instrText xml:space="preserve"> CITATION Cav17 \l 1033 </w:instrText>
          </w:r>
          <w:r w:rsidR="003903EA">
            <w:rPr>
              <w:lang w:val="en-US"/>
            </w:rPr>
            <w:fldChar w:fldCharType="separate"/>
          </w:r>
          <w:r w:rsidR="00C158DD" w:rsidRPr="00C158DD">
            <w:rPr>
              <w:noProof/>
              <w:lang w:val="en-US"/>
            </w:rPr>
            <w:t>[8]</w:t>
          </w:r>
          <w:r w:rsidR="003903EA">
            <w:rPr>
              <w:lang w:val="en-US"/>
            </w:rPr>
            <w:fldChar w:fldCharType="end"/>
          </w:r>
        </w:sdtContent>
      </w:sdt>
      <w:r w:rsidR="003903EA">
        <w:rPr>
          <w:lang w:val="en-US"/>
        </w:rPr>
        <w:t>.</w:t>
      </w:r>
    </w:p>
    <w:p w14:paraId="48FF8440" w14:textId="77777777" w:rsidR="0049630A" w:rsidRDefault="0049630A" w:rsidP="00410749">
      <w:pPr>
        <w:rPr>
          <w:lang w:val="en-US"/>
        </w:rPr>
      </w:pPr>
    </w:p>
    <w:p w14:paraId="3A8298D6" w14:textId="77777777" w:rsidR="0049630A" w:rsidRDefault="0049630A" w:rsidP="00410749">
      <w:pPr>
        <w:rPr>
          <w:lang w:val="en-US"/>
        </w:rPr>
      </w:pPr>
    </w:p>
    <w:p w14:paraId="000973EB" w14:textId="77777777" w:rsidR="0049630A" w:rsidRDefault="0049630A" w:rsidP="00410749">
      <w:pPr>
        <w:rPr>
          <w:lang w:val="en-US"/>
        </w:rPr>
      </w:pPr>
    </w:p>
    <w:p w14:paraId="4F41A378" w14:textId="77777777" w:rsidR="0049630A" w:rsidRDefault="0049630A" w:rsidP="00410749">
      <w:pPr>
        <w:rPr>
          <w:lang w:val="en-US"/>
        </w:rPr>
      </w:pPr>
    </w:p>
    <w:p w14:paraId="58F3304A" w14:textId="77777777" w:rsidR="0049630A" w:rsidRDefault="0049630A" w:rsidP="00410749">
      <w:pPr>
        <w:rPr>
          <w:lang w:val="en-US"/>
        </w:rPr>
      </w:pPr>
    </w:p>
    <w:p w14:paraId="37AA3D79" w14:textId="77777777" w:rsidR="0049630A" w:rsidRDefault="0049630A" w:rsidP="00410749">
      <w:pPr>
        <w:rPr>
          <w:lang w:val="en-US"/>
        </w:rPr>
      </w:pPr>
    </w:p>
    <w:p w14:paraId="310D2386" w14:textId="77777777" w:rsidR="0049630A" w:rsidRDefault="0049630A" w:rsidP="00410749">
      <w:pPr>
        <w:rPr>
          <w:lang w:val="en-US"/>
        </w:rPr>
      </w:pPr>
    </w:p>
    <w:p w14:paraId="43C4B78A" w14:textId="77777777" w:rsidR="0049630A" w:rsidRDefault="0049630A" w:rsidP="00410749">
      <w:pPr>
        <w:rPr>
          <w:lang w:val="en-US"/>
        </w:rPr>
      </w:pPr>
    </w:p>
    <w:p w14:paraId="1E745B03" w14:textId="77777777" w:rsidR="0049630A" w:rsidRDefault="0049630A" w:rsidP="00410749">
      <w:pPr>
        <w:rPr>
          <w:lang w:val="en-US"/>
        </w:rPr>
      </w:pPr>
    </w:p>
    <w:p w14:paraId="4526DBAA" w14:textId="77777777" w:rsidR="0049630A" w:rsidRDefault="0049630A" w:rsidP="00410749">
      <w:pPr>
        <w:rPr>
          <w:lang w:val="en-US"/>
        </w:rPr>
      </w:pPr>
    </w:p>
    <w:p w14:paraId="11BA0D48" w14:textId="77777777" w:rsidR="0049630A" w:rsidRDefault="0049630A" w:rsidP="00410749">
      <w:pPr>
        <w:rPr>
          <w:lang w:val="en-US"/>
        </w:rPr>
      </w:pPr>
    </w:p>
    <w:p w14:paraId="2F379713" w14:textId="77777777" w:rsidR="0049630A" w:rsidRDefault="0049630A" w:rsidP="00410749">
      <w:pPr>
        <w:rPr>
          <w:lang w:val="en-US"/>
        </w:rPr>
      </w:pPr>
    </w:p>
    <w:p w14:paraId="047F1871" w14:textId="77777777" w:rsidR="0049630A" w:rsidRDefault="0049630A" w:rsidP="00410749">
      <w:pPr>
        <w:rPr>
          <w:lang w:val="en-US"/>
        </w:rPr>
      </w:pPr>
    </w:p>
    <w:p w14:paraId="41770B03" w14:textId="77777777" w:rsidR="0049630A" w:rsidRDefault="0049630A" w:rsidP="00410749">
      <w:pPr>
        <w:rPr>
          <w:lang w:val="en-US"/>
        </w:rPr>
      </w:pPr>
    </w:p>
    <w:p w14:paraId="6C02E82A" w14:textId="77777777" w:rsidR="0049630A" w:rsidRDefault="0049630A" w:rsidP="00410749">
      <w:pPr>
        <w:rPr>
          <w:lang w:val="en-US"/>
        </w:rPr>
      </w:pPr>
    </w:p>
    <w:p w14:paraId="5035D759" w14:textId="77777777" w:rsidR="0049630A" w:rsidRPr="00410749" w:rsidRDefault="0049630A" w:rsidP="00410749">
      <w:pPr>
        <w:rPr>
          <w:lang w:val="en-US"/>
        </w:rPr>
      </w:pPr>
    </w:p>
    <w:p w14:paraId="085C0877" w14:textId="73AC2462" w:rsidR="00410749" w:rsidRDefault="00410749" w:rsidP="0049630A">
      <w:pPr>
        <w:pStyle w:val="Heading1"/>
      </w:pPr>
      <w:bookmarkStart w:id="7" w:name="_Toc236767194"/>
      <w:r w:rsidRPr="00410749">
        <w:lastRenderedPageBreak/>
        <w:t>Conclusion</w:t>
      </w:r>
      <w:bookmarkEnd w:id="7"/>
    </w:p>
    <w:p w14:paraId="01B2D663" w14:textId="77777777" w:rsidR="0049630A" w:rsidRPr="0049630A" w:rsidRDefault="0049630A" w:rsidP="0049630A"/>
    <w:p w14:paraId="30414975" w14:textId="3BDF52BA" w:rsidR="00E500B0" w:rsidRPr="00E500B0" w:rsidRDefault="007173AD" w:rsidP="00E500B0">
      <w:pPr>
        <w:rPr>
          <w:lang w:val="en-US"/>
        </w:rPr>
      </w:pPr>
      <w:r w:rsidRPr="00E500B0">
        <w:rPr>
          <w:lang w:val="en-US"/>
        </w:rPr>
        <w:t>Correct</w:t>
      </w:r>
      <w:r w:rsidR="00E500B0" w:rsidRPr="00E500B0">
        <w:rPr>
          <w:lang w:val="en-US"/>
        </w:rPr>
        <w:t xml:space="preserve"> control of AI and machine learning systems is a multifaceted and immediate issue that needs a consistent and broad outlook on the parts of </w:t>
      </w:r>
      <w:r w:rsidR="0049630A" w:rsidRPr="00E500B0">
        <w:rPr>
          <w:lang w:val="en-US"/>
        </w:rPr>
        <w:t>organizations</w:t>
      </w:r>
      <w:r w:rsidR="00E500B0" w:rsidRPr="00E500B0">
        <w:rPr>
          <w:lang w:val="en-US"/>
        </w:rPr>
        <w:t xml:space="preserve"> and </w:t>
      </w:r>
      <w:r w:rsidR="0049630A" w:rsidRPr="00E500B0">
        <w:rPr>
          <w:lang w:val="en-US"/>
        </w:rPr>
        <w:t>policymaking</w:t>
      </w:r>
      <w:r w:rsidR="00E500B0" w:rsidRPr="00E500B0">
        <w:rPr>
          <w:lang w:val="en-US"/>
        </w:rPr>
        <w:t xml:space="preserve">. Good governance is now established as not just a constituent of planning, but also risk management, ethics and compliance are mutually supporting and cannot be duly isolated. </w:t>
      </w:r>
    </w:p>
    <w:p w14:paraId="5227430E" w14:textId="5533FD73" w:rsidR="00E500B0" w:rsidRDefault="00E500B0" w:rsidP="00E500B0">
      <w:pPr>
        <w:rPr>
          <w:lang w:val="en-US"/>
        </w:rPr>
      </w:pPr>
      <w:r w:rsidRPr="00E500B0">
        <w:rPr>
          <w:lang w:val="en-US"/>
        </w:rPr>
        <w:t xml:space="preserve">Among them is the necessity to comprehend and manage risks related to AI, the necessity to enforce ethical principles in the form of practices in training, transparency, and human control, and the necessity to incorporate compliance in AI decision-making in life cycle-focused governance systems. The rule of AI deployments </w:t>
      </w:r>
      <w:r w:rsidR="00C158DD" w:rsidRPr="00E500B0">
        <w:rPr>
          <w:lang w:val="en-US"/>
        </w:rPr>
        <w:t>is</w:t>
      </w:r>
      <w:r w:rsidRPr="00E500B0">
        <w:rPr>
          <w:lang w:val="en-US"/>
        </w:rPr>
        <w:t xml:space="preserve"> meaningful human control is valuable in </w:t>
      </w:r>
      <w:r w:rsidR="009B4F0E">
        <w:rPr>
          <w:lang w:val="en-US"/>
        </w:rPr>
        <w:t>high-stakes</w:t>
      </w:r>
      <w:r w:rsidRPr="00E500B0">
        <w:rPr>
          <w:lang w:val="en-US"/>
        </w:rPr>
        <w:t xml:space="preserve"> situations</w:t>
      </w:r>
      <w:r w:rsidR="009B4F0E">
        <w:rPr>
          <w:lang w:val="en-US"/>
        </w:rPr>
        <w:t>,</w:t>
      </w:r>
      <w:r w:rsidRPr="00E500B0">
        <w:rPr>
          <w:lang w:val="en-US"/>
        </w:rPr>
        <w:t xml:space="preserve"> and so the need to educate the workforce and introduce engineering prudence to the governance process. But in the future, what will be the basic question, in relation to AI governance, however</w:t>
      </w:r>
      <w:r w:rsidR="009B4F0E">
        <w:rPr>
          <w:lang w:val="en-US"/>
        </w:rPr>
        <w:t>,</w:t>
      </w:r>
      <w:r w:rsidRPr="00E500B0">
        <w:rPr>
          <w:lang w:val="en-US"/>
        </w:rPr>
        <w:t xml:space="preserve"> as Jason has pointed out well, will it be a moral question, and will the societies that consider how to govern have an option to make</w:t>
      </w:r>
      <w:r w:rsidR="009B4F0E">
        <w:rPr>
          <w:lang w:val="en-US"/>
        </w:rPr>
        <w:t>?</w:t>
      </w:r>
      <w:r w:rsidRPr="00E500B0">
        <w:rPr>
          <w:lang w:val="en-US"/>
        </w:rPr>
        <w:t xml:space="preserve"> The type of future that will be formed is subject to the </w:t>
      </w:r>
      <w:r w:rsidR="009B4F0E">
        <w:rPr>
          <w:lang w:val="en-US"/>
        </w:rPr>
        <w:t>present-day overstructures</w:t>
      </w:r>
      <w:r w:rsidRPr="00E500B0">
        <w:rPr>
          <w:lang w:val="en-US"/>
        </w:rPr>
        <w:t xml:space="preserve"> of governing systems that are either prescriptive or adaptive. </w:t>
      </w:r>
      <w:r w:rsidR="0049630A" w:rsidRPr="00E500B0">
        <w:rPr>
          <w:lang w:val="en-US"/>
        </w:rPr>
        <w:t>Governance</w:t>
      </w:r>
      <w:r w:rsidRPr="00E500B0">
        <w:rPr>
          <w:lang w:val="en-US"/>
        </w:rPr>
        <w:t xml:space="preserve"> would then emerge as a strategic agenda as opposed to compliance-based practice deploying structures, capabilities or cultures. Governance, in its turn, should be seen as </w:t>
      </w:r>
      <w:r w:rsidR="007173AD" w:rsidRPr="00E500B0">
        <w:rPr>
          <w:lang w:val="en-US"/>
        </w:rPr>
        <w:t>a</w:t>
      </w:r>
      <w:r w:rsidRPr="00E500B0">
        <w:rPr>
          <w:lang w:val="en-US"/>
        </w:rPr>
        <w:t xml:space="preserve"> strategic option, rather than a liability to the </w:t>
      </w:r>
      <w:r w:rsidR="0049630A" w:rsidRPr="00E500B0">
        <w:rPr>
          <w:lang w:val="en-US"/>
        </w:rPr>
        <w:t>organization</w:t>
      </w:r>
      <w:r w:rsidRPr="00E500B0">
        <w:rPr>
          <w:lang w:val="en-US"/>
        </w:rPr>
        <w:t>: it is in the infrastructure, skills, and culture of responsible AI innovation.</w:t>
      </w:r>
      <w:r w:rsidR="00A3127B">
        <w:rPr>
          <w:lang w:val="en-US"/>
        </w:rPr>
        <w:t xml:space="preserve"> </w:t>
      </w:r>
    </w:p>
    <w:p w14:paraId="718696E6" w14:textId="5357ECC4" w:rsidR="00410749" w:rsidRDefault="00410749">
      <w:pPr>
        <w:spacing w:line="259" w:lineRule="auto"/>
        <w:jc w:val="left"/>
        <w:rPr>
          <w:lang w:val="en-US"/>
        </w:rPr>
      </w:pPr>
      <w:r>
        <w:rPr>
          <w:lang w:val="en-US"/>
        </w:rPr>
        <w:br w:type="page"/>
      </w:r>
    </w:p>
    <w:p w14:paraId="6F22F4BD" w14:textId="4BFD8C66" w:rsidR="00410749" w:rsidRDefault="003903EA" w:rsidP="0049630A">
      <w:pPr>
        <w:pStyle w:val="Heading1"/>
      </w:pPr>
      <w:bookmarkStart w:id="8" w:name="_Toc236767195"/>
      <w:r w:rsidRPr="003903EA">
        <w:lastRenderedPageBreak/>
        <w:t>Task 2 – Case Scenario</w:t>
      </w:r>
      <w:bookmarkEnd w:id="8"/>
    </w:p>
    <w:p w14:paraId="0B7766E4" w14:textId="77777777" w:rsidR="0049630A" w:rsidRPr="0049630A" w:rsidRDefault="0049630A" w:rsidP="0049630A"/>
    <w:p w14:paraId="4C414B4C" w14:textId="69C068FB" w:rsidR="00AF323F" w:rsidRDefault="00AF323F" w:rsidP="00AF323F">
      <w:r>
        <w:t xml:space="preserve">The Equifax data breach of 2017 is one of the most impactful security breaches in history, as it compromised the personal data of about 147 million people. Earlier, the breach was caused by the exploitation of the known Apache Struts vulnerability that still hadn't been fixed (CVE-2017-5638), and attackers kept accessing the site for more than 76 days. But the US House Oversight Committee report found that this wasn't just a technical problem; it was an indicator of flaws in overall governance, accountability, risk assessment and compliance controls [2]. This paper proposes a structured forward-looking cybersecurity programme that can mitigate these systemic malfunctioning issues while building upon the existing cyber frameworks and providing reasoned, evidence-informed decision-making. </w:t>
      </w:r>
    </w:p>
    <w:p w14:paraId="1E57F2B6" w14:textId="77777777" w:rsidR="0049630A" w:rsidRDefault="0049630A" w:rsidP="00AF323F"/>
    <w:p w14:paraId="4AED432A" w14:textId="1419C680" w:rsidR="007E1C12" w:rsidRDefault="007173AD" w:rsidP="00A64D5D">
      <w:pPr>
        <w:pStyle w:val="Heading2"/>
      </w:pPr>
      <w:bookmarkStart w:id="9" w:name="_Toc236767196"/>
      <w:r>
        <w:t>Organizational</w:t>
      </w:r>
      <w:r w:rsidR="007E1C12">
        <w:t xml:space="preserve"> Structure and Accountability</w:t>
      </w:r>
      <w:bookmarkEnd w:id="9"/>
    </w:p>
    <w:p w14:paraId="38783752" w14:textId="77777777" w:rsidR="0049630A" w:rsidRPr="0049630A" w:rsidRDefault="0049630A" w:rsidP="0049630A">
      <w:pPr>
        <w:rPr>
          <w:lang w:val="en-US"/>
        </w:rPr>
      </w:pPr>
    </w:p>
    <w:p w14:paraId="3B959212" w14:textId="74117DE0" w:rsidR="007E1C12" w:rsidRPr="007E1C12" w:rsidRDefault="007E1C12" w:rsidP="007E1C12">
      <w:pPr>
        <w:rPr>
          <w:b/>
          <w:bCs/>
        </w:rPr>
      </w:pPr>
      <w:r w:rsidRPr="007E1C12">
        <w:rPr>
          <w:b/>
          <w:bCs/>
        </w:rPr>
        <w:t>Governance Failures at Equifax</w:t>
      </w:r>
    </w:p>
    <w:p w14:paraId="06DA36C3" w14:textId="47F40A63" w:rsidR="007E1C12" w:rsidRDefault="00AF323F" w:rsidP="007E1C12">
      <w:r>
        <w:t>This House Oversight Committee report spotlighted an important lack of accountability in Equifax's organisation</w:t>
      </w:r>
      <w:r w:rsidR="000D69F6">
        <w:t>.</w:t>
      </w:r>
      <w:r w:rsidR="007E1C12">
        <w:t xml:space="preserve"> </w:t>
      </w:r>
      <w:sdt>
        <w:sdtPr>
          <w:id w:val="180707744"/>
          <w:citation/>
        </w:sdtPr>
        <w:sdtContent>
          <w:r w:rsidR="007E1C12">
            <w:fldChar w:fldCharType="begin"/>
          </w:r>
          <w:r w:rsidR="007E1C12">
            <w:rPr>
              <w:lang w:val="en-US"/>
            </w:rPr>
            <w:instrText xml:space="preserve"> CITATION Com17 \l 1033 </w:instrText>
          </w:r>
          <w:r w:rsidR="007E1C12">
            <w:fldChar w:fldCharType="separate"/>
          </w:r>
          <w:r w:rsidR="00C158DD" w:rsidRPr="00C158DD">
            <w:rPr>
              <w:noProof/>
              <w:lang w:val="en-US"/>
            </w:rPr>
            <w:t>[13]</w:t>
          </w:r>
          <w:r w:rsidR="007E1C12">
            <w:fldChar w:fldCharType="end"/>
          </w:r>
        </w:sdtContent>
      </w:sdt>
      <w:r>
        <w:t xml:space="preserve">. The Chief Security Officer (CSO) reported to the Chief Legal Officer, </w:t>
      </w:r>
      <w:r w:rsidR="007E1C12">
        <w:t>to</w:t>
      </w:r>
      <w:r>
        <w:t xml:space="preserve"> separate IT operational and security roles. There were various practices in things that had been designed by security </w:t>
      </w:r>
      <w:r w:rsidR="0049630A">
        <w:t>personnel but</w:t>
      </w:r>
      <w:r>
        <w:t xml:space="preserve"> implemented by the IT personnel under no direct control of the CSO. This structural weakness was termed an “accountability gap”, as the patch management was done on an “honour” basis with no clear responsibility designated to it. The Committee also found that Equifax had not instituted the lines of authority that would have assured that the IT management structure was uniform, with an execution gap between equity policy and operating it. Poston et al. argue that these structural vulnerabilities were essential to the compromise, since they led to the lack of supervision and remedial measures for known vulnerabilities on time</w:t>
      </w:r>
      <w:r w:rsidR="000D69F6">
        <w:t>.</w:t>
      </w:r>
      <w:r w:rsidR="007E1C12">
        <w:t xml:space="preserve"> </w:t>
      </w:r>
      <w:sdt>
        <w:sdtPr>
          <w:id w:val="1892696490"/>
          <w:citation/>
        </w:sdtPr>
        <w:sdtContent>
          <w:r w:rsidR="007E1C12">
            <w:fldChar w:fldCharType="begin"/>
          </w:r>
          <w:r w:rsidR="007E1C12">
            <w:rPr>
              <w:lang w:val="en-US"/>
            </w:rPr>
            <w:instrText xml:space="preserve"> CITATION Pos18 \l 1033 </w:instrText>
          </w:r>
          <w:r w:rsidR="007E1C12">
            <w:fldChar w:fldCharType="separate"/>
          </w:r>
          <w:r w:rsidR="00C158DD" w:rsidRPr="00C158DD">
            <w:rPr>
              <w:noProof/>
              <w:lang w:val="en-US"/>
            </w:rPr>
            <w:t>[14]</w:t>
          </w:r>
          <w:r w:rsidR="007E1C12">
            <w:fldChar w:fldCharType="end"/>
          </w:r>
        </w:sdtContent>
      </w:sdt>
      <w:r>
        <w:t>.</w:t>
      </w:r>
    </w:p>
    <w:p w14:paraId="4C09F418" w14:textId="77777777" w:rsidR="0049630A" w:rsidRDefault="0049630A" w:rsidP="007E1C12"/>
    <w:p w14:paraId="7B1BB0AF" w14:textId="77777777" w:rsidR="0049630A" w:rsidRDefault="0049630A" w:rsidP="007E1C12"/>
    <w:p w14:paraId="07835951" w14:textId="77777777" w:rsidR="007E1C12" w:rsidRPr="007E1C12" w:rsidRDefault="007E1C12" w:rsidP="007E1C12">
      <w:pPr>
        <w:rPr>
          <w:b/>
          <w:bCs/>
        </w:rPr>
      </w:pPr>
      <w:r w:rsidRPr="007E1C12">
        <w:rPr>
          <w:b/>
          <w:bCs/>
        </w:rPr>
        <w:lastRenderedPageBreak/>
        <w:t>Proposed Governance and Reporting Structure</w:t>
      </w:r>
    </w:p>
    <w:p w14:paraId="681E1E73" w14:textId="57EBAE1C" w:rsidR="007E1C12" w:rsidRDefault="007E1C12" w:rsidP="007E1C12">
      <w:r>
        <w:t>To fill this accountability gap, the roadmap below is recommended. Its structure puts cybersecurity leadership in direct communication with the CEO and the company's board, establishes clear lines of accountability, and makes clear the tasks and duties associated with the organisation.</w:t>
      </w:r>
    </w:p>
    <w:tbl>
      <w:tblPr>
        <w:tblStyle w:val="TableGrid"/>
        <w:tblW w:w="9818" w:type="dxa"/>
        <w:tblInd w:w="-95" w:type="dxa"/>
        <w:tblLook w:val="04A0" w:firstRow="1" w:lastRow="0" w:firstColumn="1" w:lastColumn="0" w:noHBand="0" w:noVBand="1"/>
      </w:tblPr>
      <w:tblGrid>
        <w:gridCol w:w="2389"/>
        <w:gridCol w:w="1572"/>
        <w:gridCol w:w="5857"/>
      </w:tblGrid>
      <w:tr w:rsidR="007E1C12" w:rsidRPr="007E1C12" w14:paraId="3BE10564" w14:textId="77777777" w:rsidTr="007E1C12">
        <w:trPr>
          <w:trHeight w:val="1028"/>
        </w:trPr>
        <w:tc>
          <w:tcPr>
            <w:tcW w:w="2389" w:type="dxa"/>
            <w:hideMark/>
          </w:tcPr>
          <w:p w14:paraId="7FCBE393" w14:textId="77777777" w:rsidR="007E1C12" w:rsidRPr="007E1C12" w:rsidRDefault="007E1C12" w:rsidP="007E1C12">
            <w:pPr>
              <w:spacing w:after="160"/>
              <w:rPr>
                <w:lang w:val="en-US"/>
              </w:rPr>
            </w:pPr>
            <w:r w:rsidRPr="007E1C12">
              <w:rPr>
                <w:b/>
                <w:bCs/>
                <w:lang w:val="en-US"/>
              </w:rPr>
              <w:t>Role</w:t>
            </w:r>
          </w:p>
        </w:tc>
        <w:tc>
          <w:tcPr>
            <w:tcW w:w="0" w:type="auto"/>
            <w:hideMark/>
          </w:tcPr>
          <w:p w14:paraId="4BE668CD" w14:textId="77777777" w:rsidR="007E1C12" w:rsidRPr="007E1C12" w:rsidRDefault="007E1C12" w:rsidP="007E1C12">
            <w:pPr>
              <w:spacing w:after="160"/>
              <w:rPr>
                <w:lang w:val="en-US"/>
              </w:rPr>
            </w:pPr>
            <w:r w:rsidRPr="007E1C12">
              <w:rPr>
                <w:b/>
                <w:bCs/>
                <w:lang w:val="en-US"/>
              </w:rPr>
              <w:t>Reporting Line</w:t>
            </w:r>
          </w:p>
        </w:tc>
        <w:tc>
          <w:tcPr>
            <w:tcW w:w="0" w:type="auto"/>
            <w:hideMark/>
          </w:tcPr>
          <w:p w14:paraId="614F579D" w14:textId="77777777" w:rsidR="007E1C12" w:rsidRPr="007E1C12" w:rsidRDefault="007E1C12" w:rsidP="007E1C12">
            <w:pPr>
              <w:spacing w:after="160"/>
              <w:rPr>
                <w:lang w:val="en-US"/>
              </w:rPr>
            </w:pPr>
            <w:r w:rsidRPr="007E1C12">
              <w:rPr>
                <w:b/>
                <w:bCs/>
                <w:lang w:val="en-US"/>
              </w:rPr>
              <w:t>Key Responsibilities</w:t>
            </w:r>
          </w:p>
        </w:tc>
      </w:tr>
      <w:tr w:rsidR="007E1C12" w:rsidRPr="007E1C12" w14:paraId="3E23E883" w14:textId="77777777" w:rsidTr="007E1C12">
        <w:trPr>
          <w:trHeight w:val="1028"/>
        </w:trPr>
        <w:tc>
          <w:tcPr>
            <w:tcW w:w="2389" w:type="dxa"/>
            <w:hideMark/>
          </w:tcPr>
          <w:p w14:paraId="4298A19F" w14:textId="77777777" w:rsidR="007E1C12" w:rsidRPr="007E1C12" w:rsidRDefault="007E1C12" w:rsidP="007E1C12">
            <w:pPr>
              <w:spacing w:after="160"/>
              <w:rPr>
                <w:lang w:val="en-US"/>
              </w:rPr>
            </w:pPr>
            <w:r w:rsidRPr="007E1C12">
              <w:rPr>
                <w:lang w:val="en-US"/>
              </w:rPr>
              <w:t>Board Risk Committee</w:t>
            </w:r>
          </w:p>
        </w:tc>
        <w:tc>
          <w:tcPr>
            <w:tcW w:w="0" w:type="auto"/>
            <w:hideMark/>
          </w:tcPr>
          <w:p w14:paraId="747D37DC" w14:textId="77777777" w:rsidR="007E1C12" w:rsidRPr="007E1C12" w:rsidRDefault="007E1C12" w:rsidP="007E1C12">
            <w:pPr>
              <w:spacing w:after="160"/>
              <w:rPr>
                <w:lang w:val="en-US"/>
              </w:rPr>
            </w:pPr>
            <w:r w:rsidRPr="007E1C12">
              <w:rPr>
                <w:lang w:val="en-US"/>
              </w:rPr>
              <w:t>Full Board</w:t>
            </w:r>
          </w:p>
        </w:tc>
        <w:tc>
          <w:tcPr>
            <w:tcW w:w="0" w:type="auto"/>
            <w:hideMark/>
          </w:tcPr>
          <w:p w14:paraId="02D4F0BB" w14:textId="77777777" w:rsidR="007E1C12" w:rsidRPr="007E1C12" w:rsidRDefault="007E1C12" w:rsidP="007E1C12">
            <w:pPr>
              <w:spacing w:after="160"/>
              <w:rPr>
                <w:lang w:val="en-US"/>
              </w:rPr>
            </w:pPr>
            <w:r w:rsidRPr="007E1C12">
              <w:rPr>
                <w:lang w:val="en-US"/>
              </w:rPr>
              <w:t>Strategic oversight of cybersecurity risk; approves risk appetite; reviews major incidents and investments</w:t>
            </w:r>
          </w:p>
        </w:tc>
      </w:tr>
      <w:tr w:rsidR="007E1C12" w:rsidRPr="007E1C12" w14:paraId="7716176D" w14:textId="77777777" w:rsidTr="007E1C12">
        <w:trPr>
          <w:trHeight w:val="1028"/>
        </w:trPr>
        <w:tc>
          <w:tcPr>
            <w:tcW w:w="2389" w:type="dxa"/>
            <w:hideMark/>
          </w:tcPr>
          <w:p w14:paraId="029BB460" w14:textId="77777777" w:rsidR="007E1C12" w:rsidRPr="007E1C12" w:rsidRDefault="007E1C12" w:rsidP="007E1C12">
            <w:pPr>
              <w:spacing w:after="160"/>
              <w:rPr>
                <w:lang w:val="en-US"/>
              </w:rPr>
            </w:pPr>
            <w:r w:rsidRPr="007E1C12">
              <w:rPr>
                <w:lang w:val="en-US"/>
              </w:rPr>
              <w:t>Chief Information Security Officer (CISO)</w:t>
            </w:r>
          </w:p>
        </w:tc>
        <w:tc>
          <w:tcPr>
            <w:tcW w:w="0" w:type="auto"/>
            <w:hideMark/>
          </w:tcPr>
          <w:p w14:paraId="2A6375A2" w14:textId="77777777" w:rsidR="007E1C12" w:rsidRPr="007E1C12" w:rsidRDefault="007E1C12" w:rsidP="007E1C12">
            <w:pPr>
              <w:spacing w:after="160"/>
              <w:rPr>
                <w:lang w:val="en-US"/>
              </w:rPr>
            </w:pPr>
            <w:r w:rsidRPr="007E1C12">
              <w:rPr>
                <w:lang w:val="en-US"/>
              </w:rPr>
              <w:t>CEO</w:t>
            </w:r>
          </w:p>
        </w:tc>
        <w:tc>
          <w:tcPr>
            <w:tcW w:w="0" w:type="auto"/>
            <w:hideMark/>
          </w:tcPr>
          <w:p w14:paraId="44A48884" w14:textId="77777777" w:rsidR="007E1C12" w:rsidRPr="007E1C12" w:rsidRDefault="007E1C12" w:rsidP="007E1C12">
            <w:pPr>
              <w:spacing w:after="160"/>
              <w:rPr>
                <w:lang w:val="en-US"/>
              </w:rPr>
            </w:pPr>
            <w:r w:rsidRPr="007E1C12">
              <w:rPr>
                <w:lang w:val="en-US"/>
              </w:rPr>
              <w:t>Enterprise-wide security strategy; security governance; regulatory compliance; incident response leadership</w:t>
            </w:r>
          </w:p>
        </w:tc>
      </w:tr>
      <w:tr w:rsidR="007E1C12" w:rsidRPr="007E1C12" w14:paraId="147C1797" w14:textId="77777777" w:rsidTr="007E1C12">
        <w:trPr>
          <w:trHeight w:val="1028"/>
        </w:trPr>
        <w:tc>
          <w:tcPr>
            <w:tcW w:w="2389" w:type="dxa"/>
            <w:hideMark/>
          </w:tcPr>
          <w:p w14:paraId="258DAAE2" w14:textId="77777777" w:rsidR="007E1C12" w:rsidRPr="007E1C12" w:rsidRDefault="007E1C12" w:rsidP="007E1C12">
            <w:pPr>
              <w:spacing w:after="160"/>
              <w:rPr>
                <w:lang w:val="en-US"/>
              </w:rPr>
            </w:pPr>
            <w:r w:rsidRPr="007E1C12">
              <w:rPr>
                <w:lang w:val="en-US"/>
              </w:rPr>
              <w:t>Chief Information Officer (CIO)</w:t>
            </w:r>
          </w:p>
        </w:tc>
        <w:tc>
          <w:tcPr>
            <w:tcW w:w="0" w:type="auto"/>
            <w:hideMark/>
          </w:tcPr>
          <w:p w14:paraId="46E1645C" w14:textId="77777777" w:rsidR="007E1C12" w:rsidRPr="007E1C12" w:rsidRDefault="007E1C12" w:rsidP="007E1C12">
            <w:pPr>
              <w:spacing w:after="160"/>
              <w:rPr>
                <w:lang w:val="en-US"/>
              </w:rPr>
            </w:pPr>
            <w:r w:rsidRPr="007E1C12">
              <w:rPr>
                <w:lang w:val="en-US"/>
              </w:rPr>
              <w:t>CEO</w:t>
            </w:r>
          </w:p>
        </w:tc>
        <w:tc>
          <w:tcPr>
            <w:tcW w:w="0" w:type="auto"/>
            <w:hideMark/>
          </w:tcPr>
          <w:p w14:paraId="4FD40978" w14:textId="77777777" w:rsidR="007E1C12" w:rsidRPr="007E1C12" w:rsidRDefault="007E1C12" w:rsidP="007E1C12">
            <w:pPr>
              <w:spacing w:after="160"/>
              <w:rPr>
                <w:lang w:val="en-US"/>
              </w:rPr>
            </w:pPr>
            <w:r w:rsidRPr="007E1C12">
              <w:rPr>
                <w:lang w:val="en-US"/>
              </w:rPr>
              <w:t>IT infrastructure; system deployment; patch implementation; asset management</w:t>
            </w:r>
          </w:p>
        </w:tc>
      </w:tr>
      <w:tr w:rsidR="007E1C12" w:rsidRPr="007E1C12" w14:paraId="39CB742B" w14:textId="77777777" w:rsidTr="007E1C12">
        <w:trPr>
          <w:trHeight w:val="1028"/>
        </w:trPr>
        <w:tc>
          <w:tcPr>
            <w:tcW w:w="2389" w:type="dxa"/>
            <w:hideMark/>
          </w:tcPr>
          <w:p w14:paraId="77A1AAE8" w14:textId="77777777" w:rsidR="007E1C12" w:rsidRPr="007E1C12" w:rsidRDefault="007E1C12" w:rsidP="007E1C12">
            <w:pPr>
              <w:spacing w:after="160"/>
              <w:rPr>
                <w:lang w:val="en-US"/>
              </w:rPr>
            </w:pPr>
            <w:r w:rsidRPr="007E1C12">
              <w:rPr>
                <w:lang w:val="en-US"/>
              </w:rPr>
              <w:t>Security Architecture Lead</w:t>
            </w:r>
          </w:p>
        </w:tc>
        <w:tc>
          <w:tcPr>
            <w:tcW w:w="0" w:type="auto"/>
            <w:hideMark/>
          </w:tcPr>
          <w:p w14:paraId="1026892F" w14:textId="77777777" w:rsidR="007E1C12" w:rsidRPr="007E1C12" w:rsidRDefault="007E1C12" w:rsidP="007E1C12">
            <w:pPr>
              <w:spacing w:after="160"/>
              <w:rPr>
                <w:lang w:val="en-US"/>
              </w:rPr>
            </w:pPr>
            <w:r w:rsidRPr="007E1C12">
              <w:rPr>
                <w:lang w:val="en-US"/>
              </w:rPr>
              <w:t>CISO</w:t>
            </w:r>
          </w:p>
        </w:tc>
        <w:tc>
          <w:tcPr>
            <w:tcW w:w="0" w:type="auto"/>
            <w:hideMark/>
          </w:tcPr>
          <w:p w14:paraId="31699024" w14:textId="77777777" w:rsidR="007E1C12" w:rsidRPr="007E1C12" w:rsidRDefault="007E1C12" w:rsidP="007E1C12">
            <w:pPr>
              <w:spacing w:after="160"/>
              <w:rPr>
                <w:lang w:val="en-US"/>
              </w:rPr>
            </w:pPr>
            <w:r w:rsidRPr="007E1C12">
              <w:rPr>
                <w:lang w:val="en-US"/>
              </w:rPr>
              <w:t>Design of security controls; architecture reviews; secure development standards</w:t>
            </w:r>
          </w:p>
        </w:tc>
      </w:tr>
      <w:tr w:rsidR="007E1C12" w:rsidRPr="007E1C12" w14:paraId="529832E5" w14:textId="77777777" w:rsidTr="007E1C12">
        <w:trPr>
          <w:trHeight w:val="1028"/>
        </w:trPr>
        <w:tc>
          <w:tcPr>
            <w:tcW w:w="2389" w:type="dxa"/>
            <w:hideMark/>
          </w:tcPr>
          <w:p w14:paraId="4D346D36" w14:textId="77777777" w:rsidR="007E1C12" w:rsidRPr="007E1C12" w:rsidRDefault="007E1C12" w:rsidP="007E1C12">
            <w:pPr>
              <w:spacing w:after="160"/>
              <w:rPr>
                <w:lang w:val="en-US"/>
              </w:rPr>
            </w:pPr>
            <w:r w:rsidRPr="007E1C12">
              <w:rPr>
                <w:lang w:val="en-US"/>
              </w:rPr>
              <w:t>Secure Development Lead</w:t>
            </w:r>
          </w:p>
        </w:tc>
        <w:tc>
          <w:tcPr>
            <w:tcW w:w="0" w:type="auto"/>
            <w:hideMark/>
          </w:tcPr>
          <w:p w14:paraId="6F4E976B" w14:textId="77777777" w:rsidR="007E1C12" w:rsidRPr="007E1C12" w:rsidRDefault="007E1C12" w:rsidP="007E1C12">
            <w:pPr>
              <w:spacing w:after="160"/>
              <w:rPr>
                <w:lang w:val="en-US"/>
              </w:rPr>
            </w:pPr>
            <w:r w:rsidRPr="007E1C12">
              <w:rPr>
                <w:lang w:val="en-US"/>
              </w:rPr>
              <w:t>CISO</w:t>
            </w:r>
          </w:p>
        </w:tc>
        <w:tc>
          <w:tcPr>
            <w:tcW w:w="0" w:type="auto"/>
            <w:hideMark/>
          </w:tcPr>
          <w:p w14:paraId="3513C5CE" w14:textId="77777777" w:rsidR="007E1C12" w:rsidRPr="007E1C12" w:rsidRDefault="007E1C12" w:rsidP="007E1C12">
            <w:pPr>
              <w:spacing w:after="160"/>
              <w:rPr>
                <w:lang w:val="en-US"/>
              </w:rPr>
            </w:pPr>
            <w:r w:rsidRPr="007E1C12">
              <w:rPr>
                <w:lang w:val="en-US"/>
              </w:rPr>
              <w:t>SSDLC implementation; code reviews; security testing; developer training</w:t>
            </w:r>
          </w:p>
        </w:tc>
      </w:tr>
      <w:tr w:rsidR="007E1C12" w:rsidRPr="007E1C12" w14:paraId="396D4FC4" w14:textId="77777777" w:rsidTr="007E1C12">
        <w:trPr>
          <w:trHeight w:val="1028"/>
        </w:trPr>
        <w:tc>
          <w:tcPr>
            <w:tcW w:w="2389" w:type="dxa"/>
            <w:hideMark/>
          </w:tcPr>
          <w:p w14:paraId="33E56AD6" w14:textId="77777777" w:rsidR="007E1C12" w:rsidRPr="007E1C12" w:rsidRDefault="007E1C12" w:rsidP="007E1C12">
            <w:pPr>
              <w:spacing w:after="160"/>
              <w:rPr>
                <w:lang w:val="en-US"/>
              </w:rPr>
            </w:pPr>
            <w:r w:rsidRPr="007E1C12">
              <w:rPr>
                <w:lang w:val="en-US"/>
              </w:rPr>
              <w:t>Vulnerability Management Lead</w:t>
            </w:r>
          </w:p>
        </w:tc>
        <w:tc>
          <w:tcPr>
            <w:tcW w:w="0" w:type="auto"/>
            <w:hideMark/>
          </w:tcPr>
          <w:p w14:paraId="03405FF3" w14:textId="77777777" w:rsidR="007E1C12" w:rsidRPr="007E1C12" w:rsidRDefault="007E1C12" w:rsidP="007E1C12">
            <w:pPr>
              <w:spacing w:after="160"/>
              <w:rPr>
                <w:lang w:val="en-US"/>
              </w:rPr>
            </w:pPr>
            <w:r w:rsidRPr="007E1C12">
              <w:rPr>
                <w:lang w:val="en-US"/>
              </w:rPr>
              <w:t>CISO</w:t>
            </w:r>
          </w:p>
        </w:tc>
        <w:tc>
          <w:tcPr>
            <w:tcW w:w="0" w:type="auto"/>
            <w:hideMark/>
          </w:tcPr>
          <w:p w14:paraId="57AD9656" w14:textId="3CCDCD84" w:rsidR="007E1C12" w:rsidRPr="007E1C12" w:rsidRDefault="007E1C12" w:rsidP="007E1C12">
            <w:pPr>
              <w:spacing w:after="160"/>
              <w:rPr>
                <w:lang w:val="en-US"/>
              </w:rPr>
            </w:pPr>
            <w:r w:rsidRPr="007E1C12">
              <w:rPr>
                <w:lang w:val="en-US"/>
              </w:rPr>
              <w:t xml:space="preserve">Vulnerability scanning; patch coordination; risk </w:t>
            </w:r>
            <w:r w:rsidR="007173AD" w:rsidRPr="007E1C12">
              <w:rPr>
                <w:lang w:val="en-US"/>
              </w:rPr>
              <w:t>prioritization</w:t>
            </w:r>
          </w:p>
        </w:tc>
      </w:tr>
      <w:tr w:rsidR="007E1C12" w:rsidRPr="007E1C12" w14:paraId="74535E02" w14:textId="77777777" w:rsidTr="007E1C12">
        <w:trPr>
          <w:trHeight w:val="595"/>
        </w:trPr>
        <w:tc>
          <w:tcPr>
            <w:tcW w:w="2389" w:type="dxa"/>
            <w:hideMark/>
          </w:tcPr>
          <w:p w14:paraId="3199D99C" w14:textId="77777777" w:rsidR="007E1C12" w:rsidRPr="007E1C12" w:rsidRDefault="007E1C12" w:rsidP="007E1C12">
            <w:pPr>
              <w:spacing w:after="160"/>
              <w:rPr>
                <w:lang w:val="en-US"/>
              </w:rPr>
            </w:pPr>
            <w:r w:rsidRPr="007E1C12">
              <w:rPr>
                <w:lang w:val="en-US"/>
              </w:rPr>
              <w:t>Compliance Lead</w:t>
            </w:r>
          </w:p>
        </w:tc>
        <w:tc>
          <w:tcPr>
            <w:tcW w:w="0" w:type="auto"/>
            <w:hideMark/>
          </w:tcPr>
          <w:p w14:paraId="763E137B" w14:textId="77777777" w:rsidR="007E1C12" w:rsidRPr="007E1C12" w:rsidRDefault="007E1C12" w:rsidP="007E1C12">
            <w:pPr>
              <w:spacing w:after="160"/>
              <w:rPr>
                <w:lang w:val="en-US"/>
              </w:rPr>
            </w:pPr>
            <w:r w:rsidRPr="007E1C12">
              <w:rPr>
                <w:lang w:val="en-US"/>
              </w:rPr>
              <w:t>CISO</w:t>
            </w:r>
          </w:p>
        </w:tc>
        <w:tc>
          <w:tcPr>
            <w:tcW w:w="0" w:type="auto"/>
            <w:hideMark/>
          </w:tcPr>
          <w:p w14:paraId="467E3F68" w14:textId="77777777" w:rsidR="007E1C12" w:rsidRPr="007E1C12" w:rsidRDefault="007E1C12" w:rsidP="007E1C12">
            <w:pPr>
              <w:spacing w:after="160"/>
              <w:rPr>
                <w:lang w:val="en-US"/>
              </w:rPr>
            </w:pPr>
            <w:r w:rsidRPr="007E1C12">
              <w:rPr>
                <w:lang w:val="en-US"/>
              </w:rPr>
              <w:t>Regulatory alignment; audit coordination; breach notification</w:t>
            </w:r>
          </w:p>
        </w:tc>
      </w:tr>
      <w:tr w:rsidR="007E1C12" w:rsidRPr="007E1C12" w14:paraId="76056F5F" w14:textId="77777777" w:rsidTr="007E1C12">
        <w:trPr>
          <w:trHeight w:val="1028"/>
        </w:trPr>
        <w:tc>
          <w:tcPr>
            <w:tcW w:w="2389" w:type="dxa"/>
            <w:hideMark/>
          </w:tcPr>
          <w:p w14:paraId="3D4A5BC7" w14:textId="77777777" w:rsidR="007E1C12" w:rsidRPr="007E1C12" w:rsidRDefault="007E1C12" w:rsidP="007E1C12">
            <w:pPr>
              <w:spacing w:after="160"/>
              <w:rPr>
                <w:lang w:val="en-US"/>
              </w:rPr>
            </w:pPr>
            <w:r w:rsidRPr="007E1C12">
              <w:rPr>
                <w:lang w:val="en-US"/>
              </w:rPr>
              <w:t>Incident Response Lead</w:t>
            </w:r>
          </w:p>
        </w:tc>
        <w:tc>
          <w:tcPr>
            <w:tcW w:w="0" w:type="auto"/>
            <w:hideMark/>
          </w:tcPr>
          <w:p w14:paraId="68AFAE3E" w14:textId="77777777" w:rsidR="007E1C12" w:rsidRPr="007E1C12" w:rsidRDefault="007E1C12" w:rsidP="007E1C12">
            <w:pPr>
              <w:spacing w:after="160"/>
              <w:rPr>
                <w:lang w:val="en-US"/>
              </w:rPr>
            </w:pPr>
            <w:r w:rsidRPr="007E1C12">
              <w:rPr>
                <w:lang w:val="en-US"/>
              </w:rPr>
              <w:t>CISO</w:t>
            </w:r>
          </w:p>
        </w:tc>
        <w:tc>
          <w:tcPr>
            <w:tcW w:w="0" w:type="auto"/>
            <w:hideMark/>
          </w:tcPr>
          <w:p w14:paraId="36BC6F45" w14:textId="77777777" w:rsidR="007E1C12" w:rsidRPr="007E1C12" w:rsidRDefault="007E1C12" w:rsidP="007E1C12">
            <w:pPr>
              <w:spacing w:after="160"/>
              <w:rPr>
                <w:lang w:val="en-US"/>
              </w:rPr>
            </w:pPr>
            <w:r w:rsidRPr="007E1C12">
              <w:rPr>
                <w:lang w:val="en-US"/>
              </w:rPr>
              <w:t>IR plan maintenance; exercise coordination; forensic investigation</w:t>
            </w:r>
          </w:p>
        </w:tc>
      </w:tr>
    </w:tbl>
    <w:p w14:paraId="567B4E70" w14:textId="77777777" w:rsidR="00AF323F" w:rsidRDefault="00AF323F" w:rsidP="00AF323F"/>
    <w:p w14:paraId="089C23A1" w14:textId="566BD20C" w:rsidR="007E1C12" w:rsidRPr="007E1C12" w:rsidRDefault="007E1C12" w:rsidP="007E1C12">
      <w:pPr>
        <w:pStyle w:val="Caption"/>
        <w:jc w:val="center"/>
        <w:rPr>
          <w:b/>
          <w:bCs/>
          <w:sz w:val="22"/>
          <w:szCs w:val="22"/>
        </w:rPr>
      </w:pPr>
      <w:r w:rsidRPr="007E1C12">
        <w:rPr>
          <w:b/>
          <w:bCs/>
          <w:sz w:val="22"/>
          <w:szCs w:val="22"/>
        </w:rPr>
        <w:t xml:space="preserve">Table </w:t>
      </w:r>
      <w:r w:rsidRPr="007E1C12">
        <w:rPr>
          <w:b/>
          <w:bCs/>
          <w:sz w:val="22"/>
          <w:szCs w:val="22"/>
        </w:rPr>
        <w:fldChar w:fldCharType="begin"/>
      </w:r>
      <w:r w:rsidRPr="007E1C12">
        <w:rPr>
          <w:b/>
          <w:bCs/>
          <w:sz w:val="22"/>
          <w:szCs w:val="22"/>
        </w:rPr>
        <w:instrText xml:space="preserve"> SEQ Table \* ARABIC </w:instrText>
      </w:r>
      <w:r w:rsidRPr="007E1C12">
        <w:rPr>
          <w:b/>
          <w:bCs/>
          <w:sz w:val="22"/>
          <w:szCs w:val="22"/>
        </w:rPr>
        <w:fldChar w:fldCharType="separate"/>
      </w:r>
      <w:r w:rsidR="005D6506">
        <w:rPr>
          <w:b/>
          <w:bCs/>
          <w:noProof/>
          <w:sz w:val="22"/>
          <w:szCs w:val="22"/>
        </w:rPr>
        <w:t>1</w:t>
      </w:r>
      <w:r w:rsidRPr="007E1C12">
        <w:rPr>
          <w:b/>
          <w:bCs/>
          <w:sz w:val="22"/>
          <w:szCs w:val="22"/>
        </w:rPr>
        <w:fldChar w:fldCharType="end"/>
      </w:r>
      <w:r w:rsidRPr="007E1C12">
        <w:rPr>
          <w:b/>
          <w:bCs/>
          <w:sz w:val="22"/>
          <w:szCs w:val="22"/>
        </w:rPr>
        <w:t>: Proposed Cybersecurity Governance and Reporting Structure</w:t>
      </w:r>
    </w:p>
    <w:p w14:paraId="3C680D72" w14:textId="77777777" w:rsidR="00AF323F" w:rsidRDefault="00AF323F" w:rsidP="00AF323F"/>
    <w:p w14:paraId="7ED89E95" w14:textId="14F78241" w:rsidR="00AF323F" w:rsidRDefault="00AF323F" w:rsidP="00AF323F">
      <w:r>
        <w:lastRenderedPageBreak/>
        <w:t>Justification: This structure provides effective lines of responsibility and authority, helping to address the failure with Equifax for its lack of authority over the IT implementation by the CSO. It has heightened board visibility and executive sponsorship provided by the CISO to the CEO. The Security Architecture and the Secure Development roles are complementary, so their objective will be helping to build security in advance. The Committee highlights the need for effective and efficient governance structures, through established reporting lines and accountability, to ensure that security initiatives are put in place comprehensively and promptly</w:t>
      </w:r>
      <w:r w:rsidR="000D69F6">
        <w:t>.</w:t>
      </w:r>
      <w:sdt>
        <w:sdtPr>
          <w:id w:val="130451974"/>
          <w:citation/>
        </w:sdtPr>
        <w:sdtContent>
          <w:r w:rsidR="005D6506">
            <w:fldChar w:fldCharType="begin"/>
          </w:r>
          <w:r w:rsidR="005D6506">
            <w:rPr>
              <w:lang w:val="en-US"/>
            </w:rPr>
            <w:instrText xml:space="preserve"> CITATION Com17 \l 1033 </w:instrText>
          </w:r>
          <w:r w:rsidR="005D6506">
            <w:fldChar w:fldCharType="separate"/>
          </w:r>
          <w:r w:rsidR="00C158DD">
            <w:rPr>
              <w:noProof/>
              <w:lang w:val="en-US"/>
            </w:rPr>
            <w:t xml:space="preserve"> </w:t>
          </w:r>
          <w:r w:rsidR="00C158DD" w:rsidRPr="00C158DD">
            <w:rPr>
              <w:noProof/>
              <w:lang w:val="en-US"/>
            </w:rPr>
            <w:t>[13]</w:t>
          </w:r>
          <w:r w:rsidR="005D6506">
            <w:fldChar w:fldCharType="end"/>
          </w:r>
        </w:sdtContent>
      </w:sdt>
      <w:r>
        <w:t>. As cybersecurity leadership needs to have a seat at the table, it fosters resourcing and strategic alignment, which is a key point of this design, as raised by Khalil</w:t>
      </w:r>
      <w:r w:rsidR="000D69F6">
        <w:t>.</w:t>
      </w:r>
      <w:r>
        <w:t xml:space="preserve"> </w:t>
      </w:r>
      <w:sdt>
        <w:sdtPr>
          <w:id w:val="996993207"/>
          <w:citation/>
        </w:sdtPr>
        <w:sdtContent>
          <w:r w:rsidR="005D6506">
            <w:fldChar w:fldCharType="begin"/>
          </w:r>
          <w:r w:rsidR="005D6506">
            <w:rPr>
              <w:lang w:val="en-US"/>
            </w:rPr>
            <w:instrText xml:space="preserve"> CITATION Kha26 \l 1033 </w:instrText>
          </w:r>
          <w:r w:rsidR="005D6506">
            <w:fldChar w:fldCharType="separate"/>
          </w:r>
          <w:r w:rsidR="00C158DD" w:rsidRPr="00C158DD">
            <w:rPr>
              <w:noProof/>
              <w:lang w:val="en-US"/>
            </w:rPr>
            <w:t>[15]</w:t>
          </w:r>
          <w:r w:rsidR="005D6506">
            <w:fldChar w:fldCharType="end"/>
          </w:r>
        </w:sdtContent>
      </w:sdt>
      <w:r>
        <w:t>.</w:t>
      </w:r>
    </w:p>
    <w:p w14:paraId="35F7B8BF" w14:textId="77777777" w:rsidR="0049630A" w:rsidRDefault="0049630A" w:rsidP="00AF323F"/>
    <w:p w14:paraId="397D044E" w14:textId="77777777" w:rsidR="007E1C12" w:rsidRDefault="007E1C12" w:rsidP="00A64D5D">
      <w:pPr>
        <w:pStyle w:val="Heading2"/>
      </w:pPr>
      <w:bookmarkStart w:id="10" w:name="_Toc236767197"/>
      <w:r>
        <w:t>Policies and Procedures</w:t>
      </w:r>
      <w:bookmarkEnd w:id="10"/>
    </w:p>
    <w:p w14:paraId="295D47CC" w14:textId="77777777" w:rsidR="0049630A" w:rsidRPr="0049630A" w:rsidRDefault="0049630A" w:rsidP="0049630A">
      <w:pPr>
        <w:rPr>
          <w:lang w:val="en-US"/>
        </w:rPr>
      </w:pPr>
    </w:p>
    <w:p w14:paraId="16960A7B" w14:textId="29E0D2CD" w:rsidR="007E1C12" w:rsidRPr="005D6506" w:rsidRDefault="007E1C12" w:rsidP="007E1C12">
      <w:pPr>
        <w:rPr>
          <w:b/>
          <w:bCs/>
        </w:rPr>
      </w:pPr>
      <w:r w:rsidRPr="005D6506">
        <w:rPr>
          <w:b/>
          <w:bCs/>
        </w:rPr>
        <w:t>Policy Failures at Equifax</w:t>
      </w:r>
    </w:p>
    <w:p w14:paraId="32C1B60E" w14:textId="66D195D7" w:rsidR="00AF323F" w:rsidRDefault="00AF323F" w:rsidP="007E1C12">
      <w:r>
        <w:t>There was a lack of clarity on who was responsible for maintaining the proper updates, and Equifax's patch management policy was basically an “on the honour” system. The company's self-determined definition of system owners led to the use of employees. Employees were used because of the company's own definition of system owners. Equifax also didn't have an inventory of all its systems' IT assets, so that when the announcement of CVE-2017-5638 came out, Equifax did not know immediately whether and where it was running Apache Struts anywhere on its network</w:t>
      </w:r>
      <w:r w:rsidR="000D69F6">
        <w:t>.</w:t>
      </w:r>
      <w:r>
        <w:t xml:space="preserve"> </w:t>
      </w:r>
      <w:sdt>
        <w:sdtPr>
          <w:id w:val="-709024140"/>
          <w:citation/>
        </w:sdtPr>
        <w:sdtContent>
          <w:r w:rsidR="005D6506">
            <w:fldChar w:fldCharType="begin"/>
          </w:r>
          <w:r w:rsidR="005D6506">
            <w:rPr>
              <w:lang w:val="en-US"/>
            </w:rPr>
            <w:instrText xml:space="preserve"> CITATION Com17 \l 1033 </w:instrText>
          </w:r>
          <w:r w:rsidR="005D6506">
            <w:fldChar w:fldCharType="separate"/>
          </w:r>
          <w:r w:rsidR="00C158DD" w:rsidRPr="00C158DD">
            <w:rPr>
              <w:noProof/>
              <w:lang w:val="en-US"/>
            </w:rPr>
            <w:t>[13]</w:t>
          </w:r>
          <w:r w:rsidR="005D6506">
            <w:fldChar w:fldCharType="end"/>
          </w:r>
        </w:sdtContent>
      </w:sdt>
      <w:r>
        <w:t>. More than 300 security certificates expired throughout the company</w:t>
      </w:r>
      <w:r w:rsidR="005D6506">
        <w:t>,</w:t>
      </w:r>
      <w:r>
        <w:t xml:space="preserve"> including 79 of those used to monitor business-critical domains</w:t>
      </w:r>
      <w:r w:rsidR="005D6506">
        <w:t xml:space="preserve">, </w:t>
      </w:r>
      <w:r>
        <w:t>and they lost visibility of data exfiltration. The absence of policy (formulated and enforceable), procedure ownership and accountability are also noted by Poston et al. as contributing to these procedural failures</w:t>
      </w:r>
      <w:r w:rsidR="000D69F6">
        <w:t>.</w:t>
      </w:r>
      <w:sdt>
        <w:sdtPr>
          <w:id w:val="-99332560"/>
          <w:citation/>
        </w:sdtPr>
        <w:sdtContent>
          <w:r w:rsidR="005D6506">
            <w:fldChar w:fldCharType="begin"/>
          </w:r>
          <w:r w:rsidR="005D6506">
            <w:rPr>
              <w:lang w:val="en-US"/>
            </w:rPr>
            <w:instrText xml:space="preserve"> CITATION Pos18 \l 1033 </w:instrText>
          </w:r>
          <w:r w:rsidR="005D6506">
            <w:fldChar w:fldCharType="separate"/>
          </w:r>
          <w:r w:rsidR="00C158DD">
            <w:rPr>
              <w:noProof/>
              <w:lang w:val="en-US"/>
            </w:rPr>
            <w:t xml:space="preserve"> </w:t>
          </w:r>
          <w:r w:rsidR="00C158DD" w:rsidRPr="00C158DD">
            <w:rPr>
              <w:noProof/>
              <w:lang w:val="en-US"/>
            </w:rPr>
            <w:t>[14]</w:t>
          </w:r>
          <w:r w:rsidR="005D6506">
            <w:fldChar w:fldCharType="end"/>
          </w:r>
        </w:sdtContent>
      </w:sdt>
      <w:r>
        <w:t>.</w:t>
      </w:r>
    </w:p>
    <w:p w14:paraId="3C52DC05" w14:textId="77777777" w:rsidR="0049630A" w:rsidRDefault="0049630A" w:rsidP="007E1C12"/>
    <w:p w14:paraId="1F9DE2D8" w14:textId="77777777" w:rsidR="0049630A" w:rsidRDefault="0049630A" w:rsidP="007E1C12"/>
    <w:p w14:paraId="30FFB9E0" w14:textId="77777777" w:rsidR="0049630A" w:rsidRDefault="0049630A" w:rsidP="007E1C12"/>
    <w:p w14:paraId="25B36362" w14:textId="77777777" w:rsidR="0049630A" w:rsidRDefault="0049630A" w:rsidP="007E1C12"/>
    <w:p w14:paraId="22FA27E1" w14:textId="77777777" w:rsidR="007E1C12" w:rsidRPr="005D6506" w:rsidRDefault="007E1C12" w:rsidP="00AF323F">
      <w:pPr>
        <w:rPr>
          <w:b/>
          <w:bCs/>
        </w:rPr>
      </w:pPr>
      <w:r w:rsidRPr="005D6506">
        <w:rPr>
          <w:b/>
          <w:bCs/>
        </w:rPr>
        <w:lastRenderedPageBreak/>
        <w:t>Proposed Formalised Policies</w:t>
      </w:r>
    </w:p>
    <w:p w14:paraId="1A98CC65" w14:textId="29A879D0" w:rsidR="007E1C12" w:rsidRDefault="00AF323F" w:rsidP="00AF323F">
      <w:r>
        <w:t>The policies listed below aim to be formal, enforceable, measurable, and auditable; and are designed with the intent of reversing the failures that allowed Equifax to happen.</w:t>
      </w:r>
    </w:p>
    <w:tbl>
      <w:tblPr>
        <w:tblStyle w:val="TableGrid"/>
        <w:tblW w:w="9281" w:type="dxa"/>
        <w:tblInd w:w="175" w:type="dxa"/>
        <w:tblLook w:val="04A0" w:firstRow="1" w:lastRow="0" w:firstColumn="1" w:lastColumn="0" w:noHBand="0" w:noVBand="1"/>
      </w:tblPr>
      <w:tblGrid>
        <w:gridCol w:w="1724"/>
        <w:gridCol w:w="4126"/>
        <w:gridCol w:w="3431"/>
      </w:tblGrid>
      <w:tr w:rsidR="007E1C12" w:rsidRPr="007E1C12" w14:paraId="29C95A85" w14:textId="77777777" w:rsidTr="007E1C12">
        <w:trPr>
          <w:trHeight w:val="582"/>
        </w:trPr>
        <w:tc>
          <w:tcPr>
            <w:tcW w:w="1724" w:type="dxa"/>
            <w:hideMark/>
          </w:tcPr>
          <w:p w14:paraId="79B76B9D" w14:textId="77777777" w:rsidR="007E1C12" w:rsidRPr="007E1C12" w:rsidRDefault="007E1C12" w:rsidP="007E1C12">
            <w:pPr>
              <w:spacing w:after="160"/>
              <w:rPr>
                <w:lang w:val="en-US"/>
              </w:rPr>
            </w:pPr>
            <w:r w:rsidRPr="007E1C12">
              <w:rPr>
                <w:b/>
                <w:bCs/>
                <w:lang w:val="en-US"/>
              </w:rPr>
              <w:t>Policy Area</w:t>
            </w:r>
          </w:p>
        </w:tc>
        <w:tc>
          <w:tcPr>
            <w:tcW w:w="4126" w:type="dxa"/>
            <w:hideMark/>
          </w:tcPr>
          <w:p w14:paraId="0CA85815" w14:textId="77777777" w:rsidR="007E1C12" w:rsidRPr="007E1C12" w:rsidRDefault="007E1C12" w:rsidP="007E1C12">
            <w:pPr>
              <w:spacing w:after="160"/>
              <w:rPr>
                <w:lang w:val="en-US"/>
              </w:rPr>
            </w:pPr>
            <w:r w:rsidRPr="007E1C12">
              <w:rPr>
                <w:b/>
                <w:bCs/>
                <w:lang w:val="en-US"/>
              </w:rPr>
              <w:t>Key Provisions</w:t>
            </w:r>
          </w:p>
        </w:tc>
        <w:tc>
          <w:tcPr>
            <w:tcW w:w="3431" w:type="dxa"/>
            <w:hideMark/>
          </w:tcPr>
          <w:p w14:paraId="3147C7D1" w14:textId="77777777" w:rsidR="007E1C12" w:rsidRPr="007E1C12" w:rsidRDefault="007E1C12" w:rsidP="007E1C12">
            <w:pPr>
              <w:spacing w:after="160"/>
              <w:rPr>
                <w:lang w:val="en-US"/>
              </w:rPr>
            </w:pPr>
            <w:r w:rsidRPr="007E1C12">
              <w:rPr>
                <w:b/>
                <w:bCs/>
                <w:lang w:val="en-US"/>
              </w:rPr>
              <w:t>Measurement/Enforcement</w:t>
            </w:r>
          </w:p>
        </w:tc>
      </w:tr>
      <w:tr w:rsidR="007E1C12" w:rsidRPr="007E1C12" w14:paraId="2439F6AE" w14:textId="77777777" w:rsidTr="007E1C12">
        <w:trPr>
          <w:trHeight w:val="1428"/>
        </w:trPr>
        <w:tc>
          <w:tcPr>
            <w:tcW w:w="1724" w:type="dxa"/>
            <w:hideMark/>
          </w:tcPr>
          <w:p w14:paraId="2CA25FA2" w14:textId="77777777" w:rsidR="007E1C12" w:rsidRPr="007E1C12" w:rsidRDefault="007E1C12" w:rsidP="007E1C12">
            <w:pPr>
              <w:spacing w:after="160"/>
              <w:rPr>
                <w:lang w:val="en-US"/>
              </w:rPr>
            </w:pPr>
            <w:r w:rsidRPr="007E1C12">
              <w:rPr>
                <w:b/>
                <w:bCs/>
                <w:lang w:val="en-US"/>
              </w:rPr>
              <w:t>Vulnerability Management</w:t>
            </w:r>
          </w:p>
        </w:tc>
        <w:tc>
          <w:tcPr>
            <w:tcW w:w="4126" w:type="dxa"/>
            <w:hideMark/>
          </w:tcPr>
          <w:p w14:paraId="6C3B8FFB" w14:textId="700E4194" w:rsidR="007E1C12" w:rsidRPr="007E1C12" w:rsidRDefault="007E1C12" w:rsidP="007E1C12">
            <w:pPr>
              <w:spacing w:after="160"/>
              <w:rPr>
                <w:lang w:val="en-US"/>
              </w:rPr>
            </w:pPr>
            <w:r w:rsidRPr="007E1C12">
              <w:rPr>
                <w:lang w:val="en-US"/>
              </w:rPr>
              <w:t xml:space="preserve">Continuous scanning; risk-based </w:t>
            </w:r>
            <w:r w:rsidR="007173AD" w:rsidRPr="007E1C12">
              <w:rPr>
                <w:lang w:val="en-US"/>
              </w:rPr>
              <w:t>prioritization</w:t>
            </w:r>
            <w:r w:rsidRPr="007E1C12">
              <w:rPr>
                <w:lang w:val="en-US"/>
              </w:rPr>
              <w:t xml:space="preserve"> (CVSS + business context); 48-hour critical patch SLA</w:t>
            </w:r>
          </w:p>
        </w:tc>
        <w:tc>
          <w:tcPr>
            <w:tcW w:w="3431" w:type="dxa"/>
            <w:hideMark/>
          </w:tcPr>
          <w:p w14:paraId="440F90FC" w14:textId="77777777" w:rsidR="007E1C12" w:rsidRPr="007E1C12" w:rsidRDefault="007E1C12" w:rsidP="007E1C12">
            <w:pPr>
              <w:spacing w:after="160"/>
              <w:rPr>
                <w:lang w:val="en-US"/>
              </w:rPr>
            </w:pPr>
            <w:r w:rsidRPr="007E1C12">
              <w:rPr>
                <w:lang w:val="en-US"/>
              </w:rPr>
              <w:t>Quarterly audit; SLA compliance reporting; exception approval by CISO</w:t>
            </w:r>
          </w:p>
        </w:tc>
      </w:tr>
      <w:tr w:rsidR="007E1C12" w:rsidRPr="007E1C12" w14:paraId="5DEA4347" w14:textId="77777777" w:rsidTr="007E1C12">
        <w:trPr>
          <w:trHeight w:val="1428"/>
        </w:trPr>
        <w:tc>
          <w:tcPr>
            <w:tcW w:w="1724" w:type="dxa"/>
            <w:hideMark/>
          </w:tcPr>
          <w:p w14:paraId="5EB93099" w14:textId="77777777" w:rsidR="007E1C12" w:rsidRPr="007E1C12" w:rsidRDefault="007E1C12" w:rsidP="007E1C12">
            <w:pPr>
              <w:spacing w:after="160"/>
              <w:rPr>
                <w:lang w:val="en-US"/>
              </w:rPr>
            </w:pPr>
            <w:r w:rsidRPr="007E1C12">
              <w:rPr>
                <w:b/>
                <w:bCs/>
                <w:lang w:val="en-US"/>
              </w:rPr>
              <w:t>Patch Management</w:t>
            </w:r>
          </w:p>
        </w:tc>
        <w:tc>
          <w:tcPr>
            <w:tcW w:w="4126" w:type="dxa"/>
            <w:hideMark/>
          </w:tcPr>
          <w:p w14:paraId="018A510D" w14:textId="77777777" w:rsidR="007E1C12" w:rsidRPr="007E1C12" w:rsidRDefault="007E1C12" w:rsidP="007E1C12">
            <w:pPr>
              <w:spacing w:after="160"/>
              <w:rPr>
                <w:lang w:val="en-US"/>
              </w:rPr>
            </w:pPr>
            <w:r w:rsidRPr="007E1C12">
              <w:rPr>
                <w:lang w:val="en-US"/>
              </w:rPr>
              <w:t>Automated patch deployment; manual verification; system owner accountability</w:t>
            </w:r>
          </w:p>
        </w:tc>
        <w:tc>
          <w:tcPr>
            <w:tcW w:w="3431" w:type="dxa"/>
            <w:hideMark/>
          </w:tcPr>
          <w:p w14:paraId="32540FAE" w14:textId="77777777" w:rsidR="007E1C12" w:rsidRPr="007E1C12" w:rsidRDefault="007E1C12" w:rsidP="007E1C12">
            <w:pPr>
              <w:spacing w:after="160"/>
              <w:rPr>
                <w:lang w:val="en-US"/>
              </w:rPr>
            </w:pPr>
            <w:r w:rsidRPr="007E1C12">
              <w:rPr>
                <w:lang w:val="en-US"/>
              </w:rPr>
              <w:t>Patch compliance dashboard; monthly reporting to CISO; non-compliance escalation</w:t>
            </w:r>
          </w:p>
        </w:tc>
      </w:tr>
      <w:tr w:rsidR="007E1C12" w:rsidRPr="007E1C12" w14:paraId="6B4DC8CB" w14:textId="77777777" w:rsidTr="007E1C12">
        <w:trPr>
          <w:trHeight w:val="1851"/>
        </w:trPr>
        <w:tc>
          <w:tcPr>
            <w:tcW w:w="1724" w:type="dxa"/>
            <w:hideMark/>
          </w:tcPr>
          <w:p w14:paraId="7F23E18E" w14:textId="77777777" w:rsidR="007E1C12" w:rsidRPr="007E1C12" w:rsidRDefault="007E1C12" w:rsidP="007E1C12">
            <w:pPr>
              <w:spacing w:after="160"/>
              <w:rPr>
                <w:lang w:val="en-US"/>
              </w:rPr>
            </w:pPr>
            <w:r w:rsidRPr="007E1C12">
              <w:rPr>
                <w:b/>
                <w:bCs/>
                <w:lang w:val="en-US"/>
              </w:rPr>
              <w:t>Secure Software Development Lifecycle</w:t>
            </w:r>
          </w:p>
        </w:tc>
        <w:tc>
          <w:tcPr>
            <w:tcW w:w="4126" w:type="dxa"/>
            <w:hideMark/>
          </w:tcPr>
          <w:p w14:paraId="1E90F62E" w14:textId="77777777" w:rsidR="007E1C12" w:rsidRPr="007E1C12" w:rsidRDefault="007E1C12" w:rsidP="007E1C12">
            <w:pPr>
              <w:spacing w:after="160"/>
              <w:rPr>
                <w:lang w:val="en-US"/>
              </w:rPr>
            </w:pPr>
            <w:r w:rsidRPr="007E1C12">
              <w:rPr>
                <w:lang w:val="en-US"/>
              </w:rPr>
              <w:t>Security requirements; threat modelling; SAST/DAST; code review; pre-deployment security gate</w:t>
            </w:r>
          </w:p>
        </w:tc>
        <w:tc>
          <w:tcPr>
            <w:tcW w:w="3431" w:type="dxa"/>
            <w:hideMark/>
          </w:tcPr>
          <w:p w14:paraId="3A410446" w14:textId="77777777" w:rsidR="007E1C12" w:rsidRPr="007E1C12" w:rsidRDefault="007E1C12" w:rsidP="007E1C12">
            <w:pPr>
              <w:spacing w:after="160"/>
              <w:rPr>
                <w:lang w:val="en-US"/>
              </w:rPr>
            </w:pPr>
            <w:r w:rsidRPr="007E1C12">
              <w:rPr>
                <w:lang w:val="en-US"/>
              </w:rPr>
              <w:t>Gates in CI/CD pipeline; security review mandatory before production; quarterly training</w:t>
            </w:r>
          </w:p>
        </w:tc>
      </w:tr>
      <w:tr w:rsidR="007E1C12" w:rsidRPr="007E1C12" w14:paraId="1E4AABBF" w14:textId="77777777" w:rsidTr="007E1C12">
        <w:trPr>
          <w:trHeight w:val="1851"/>
        </w:trPr>
        <w:tc>
          <w:tcPr>
            <w:tcW w:w="1724" w:type="dxa"/>
            <w:hideMark/>
          </w:tcPr>
          <w:p w14:paraId="221D0C02" w14:textId="77777777" w:rsidR="007E1C12" w:rsidRPr="007E1C12" w:rsidRDefault="007E1C12" w:rsidP="007E1C12">
            <w:pPr>
              <w:spacing w:after="160"/>
              <w:rPr>
                <w:lang w:val="en-US"/>
              </w:rPr>
            </w:pPr>
            <w:r w:rsidRPr="007E1C12">
              <w:rPr>
                <w:b/>
                <w:bCs/>
                <w:lang w:val="en-US"/>
              </w:rPr>
              <w:t>Asset Management</w:t>
            </w:r>
          </w:p>
        </w:tc>
        <w:tc>
          <w:tcPr>
            <w:tcW w:w="4126" w:type="dxa"/>
            <w:hideMark/>
          </w:tcPr>
          <w:p w14:paraId="4F6270BB" w14:textId="4FE1E9A0" w:rsidR="007E1C12" w:rsidRPr="007E1C12" w:rsidRDefault="007E1C12" w:rsidP="007E1C12">
            <w:pPr>
              <w:spacing w:after="160"/>
              <w:rPr>
                <w:lang w:val="en-US"/>
              </w:rPr>
            </w:pPr>
            <w:r w:rsidRPr="007E1C12">
              <w:rPr>
                <w:lang w:val="en-US"/>
              </w:rPr>
              <w:t>Complete IT asset inventory; automated discovery; system owner assignment; quarterly verification</w:t>
            </w:r>
            <w:r w:rsidR="000D69F6">
              <w:rPr>
                <w:lang w:val="en-US"/>
              </w:rPr>
              <w:t>.</w:t>
            </w:r>
          </w:p>
        </w:tc>
        <w:tc>
          <w:tcPr>
            <w:tcW w:w="3431" w:type="dxa"/>
            <w:hideMark/>
          </w:tcPr>
          <w:p w14:paraId="0E8BA521" w14:textId="77777777" w:rsidR="007E1C12" w:rsidRPr="007E1C12" w:rsidRDefault="007E1C12" w:rsidP="007E1C12">
            <w:pPr>
              <w:spacing w:after="160"/>
              <w:rPr>
                <w:lang w:val="en-US"/>
              </w:rPr>
            </w:pPr>
            <w:r w:rsidRPr="007E1C12">
              <w:rPr>
                <w:lang w:val="en-US"/>
              </w:rPr>
              <w:t>Inventory completeness audit; unowned asset remediation within 7 days</w:t>
            </w:r>
          </w:p>
        </w:tc>
      </w:tr>
      <w:tr w:rsidR="007E1C12" w:rsidRPr="007E1C12" w14:paraId="6A91F3A5" w14:textId="77777777" w:rsidTr="007E1C12">
        <w:trPr>
          <w:trHeight w:val="1006"/>
        </w:trPr>
        <w:tc>
          <w:tcPr>
            <w:tcW w:w="1724" w:type="dxa"/>
            <w:hideMark/>
          </w:tcPr>
          <w:p w14:paraId="31AB802D" w14:textId="77777777" w:rsidR="007E1C12" w:rsidRPr="007E1C12" w:rsidRDefault="007E1C12" w:rsidP="007E1C12">
            <w:pPr>
              <w:spacing w:after="160"/>
              <w:rPr>
                <w:lang w:val="en-US"/>
              </w:rPr>
            </w:pPr>
            <w:r w:rsidRPr="007E1C12">
              <w:rPr>
                <w:b/>
                <w:bCs/>
                <w:lang w:val="en-US"/>
              </w:rPr>
              <w:t>Monitoring and Detection</w:t>
            </w:r>
          </w:p>
        </w:tc>
        <w:tc>
          <w:tcPr>
            <w:tcW w:w="4126" w:type="dxa"/>
            <w:hideMark/>
          </w:tcPr>
          <w:p w14:paraId="1B610442" w14:textId="77777777" w:rsidR="007E1C12" w:rsidRPr="007E1C12" w:rsidRDefault="007E1C12" w:rsidP="007E1C12">
            <w:pPr>
              <w:spacing w:after="160"/>
              <w:rPr>
                <w:lang w:val="en-US"/>
              </w:rPr>
            </w:pPr>
            <w:r w:rsidRPr="007E1C12">
              <w:rPr>
                <w:lang w:val="en-US"/>
              </w:rPr>
              <w:t>24/7 SOC; SIEM; EDR; network traffic analysis; anomaly detection</w:t>
            </w:r>
          </w:p>
        </w:tc>
        <w:tc>
          <w:tcPr>
            <w:tcW w:w="3431" w:type="dxa"/>
            <w:hideMark/>
          </w:tcPr>
          <w:p w14:paraId="73ED1D82" w14:textId="77777777" w:rsidR="007E1C12" w:rsidRPr="007E1C12" w:rsidRDefault="007E1C12" w:rsidP="007E1C12">
            <w:pPr>
              <w:spacing w:after="160"/>
              <w:rPr>
                <w:lang w:val="en-US"/>
              </w:rPr>
            </w:pPr>
            <w:r w:rsidRPr="007E1C12">
              <w:rPr>
                <w:lang w:val="en-US"/>
              </w:rPr>
              <w:t>Mean Time to Detect (MTTD) &lt; 24 hours; mean time to respond (MTTR) targets</w:t>
            </w:r>
          </w:p>
        </w:tc>
      </w:tr>
      <w:tr w:rsidR="007E1C12" w:rsidRPr="007E1C12" w14:paraId="2CA7CBCB" w14:textId="77777777" w:rsidTr="007E1C12">
        <w:trPr>
          <w:trHeight w:val="1428"/>
        </w:trPr>
        <w:tc>
          <w:tcPr>
            <w:tcW w:w="1724" w:type="dxa"/>
            <w:hideMark/>
          </w:tcPr>
          <w:p w14:paraId="7C3CDEAC" w14:textId="77777777" w:rsidR="007E1C12" w:rsidRPr="007E1C12" w:rsidRDefault="007E1C12" w:rsidP="007E1C12">
            <w:pPr>
              <w:spacing w:after="160"/>
              <w:rPr>
                <w:lang w:val="en-US"/>
              </w:rPr>
            </w:pPr>
            <w:r w:rsidRPr="007E1C12">
              <w:rPr>
                <w:b/>
                <w:bCs/>
                <w:lang w:val="en-US"/>
              </w:rPr>
              <w:t>Data Protection</w:t>
            </w:r>
          </w:p>
        </w:tc>
        <w:tc>
          <w:tcPr>
            <w:tcW w:w="4126" w:type="dxa"/>
            <w:hideMark/>
          </w:tcPr>
          <w:p w14:paraId="4637759A" w14:textId="77777777" w:rsidR="007E1C12" w:rsidRPr="007E1C12" w:rsidRDefault="007E1C12" w:rsidP="007E1C12">
            <w:pPr>
              <w:spacing w:after="160"/>
              <w:rPr>
                <w:lang w:val="en-US"/>
              </w:rPr>
            </w:pPr>
            <w:r w:rsidRPr="007E1C12">
              <w:rPr>
                <w:lang w:val="en-US"/>
              </w:rPr>
              <w:t>Data classification; encryption at rest and in transit; access controls; DLP; retention schedules</w:t>
            </w:r>
          </w:p>
        </w:tc>
        <w:tc>
          <w:tcPr>
            <w:tcW w:w="3431" w:type="dxa"/>
            <w:hideMark/>
          </w:tcPr>
          <w:p w14:paraId="58A77E5E" w14:textId="77777777" w:rsidR="007E1C12" w:rsidRPr="007E1C12" w:rsidRDefault="007E1C12" w:rsidP="007E1C12">
            <w:pPr>
              <w:spacing w:after="160"/>
              <w:rPr>
                <w:lang w:val="en-US"/>
              </w:rPr>
            </w:pPr>
            <w:r w:rsidRPr="007E1C12">
              <w:rPr>
                <w:lang w:val="en-US"/>
              </w:rPr>
              <w:t>Compliance audits; encryption coverage reporting; access review quarterly</w:t>
            </w:r>
          </w:p>
        </w:tc>
      </w:tr>
    </w:tbl>
    <w:p w14:paraId="1421618A" w14:textId="77777777" w:rsidR="00AF323F" w:rsidRDefault="00AF323F" w:rsidP="00AF323F"/>
    <w:p w14:paraId="5FA7B802" w14:textId="31EFDD0A" w:rsidR="00AF323F" w:rsidRDefault="007E1C12" w:rsidP="007E1C12">
      <w:pPr>
        <w:pStyle w:val="Caption"/>
        <w:jc w:val="center"/>
        <w:rPr>
          <w:b/>
          <w:bCs/>
          <w:sz w:val="22"/>
          <w:szCs w:val="22"/>
        </w:rPr>
      </w:pPr>
      <w:r w:rsidRPr="007E1C12">
        <w:rPr>
          <w:b/>
          <w:bCs/>
          <w:sz w:val="22"/>
          <w:szCs w:val="22"/>
        </w:rPr>
        <w:t xml:space="preserve">Table </w:t>
      </w:r>
      <w:r w:rsidRPr="007E1C12">
        <w:rPr>
          <w:b/>
          <w:bCs/>
          <w:sz w:val="22"/>
          <w:szCs w:val="22"/>
        </w:rPr>
        <w:fldChar w:fldCharType="begin"/>
      </w:r>
      <w:r w:rsidRPr="007E1C12">
        <w:rPr>
          <w:b/>
          <w:bCs/>
          <w:sz w:val="22"/>
          <w:szCs w:val="22"/>
        </w:rPr>
        <w:instrText xml:space="preserve"> SEQ Table \* ARABIC </w:instrText>
      </w:r>
      <w:r w:rsidRPr="007E1C12">
        <w:rPr>
          <w:b/>
          <w:bCs/>
          <w:sz w:val="22"/>
          <w:szCs w:val="22"/>
        </w:rPr>
        <w:fldChar w:fldCharType="separate"/>
      </w:r>
      <w:r w:rsidR="005D6506">
        <w:rPr>
          <w:b/>
          <w:bCs/>
          <w:noProof/>
          <w:sz w:val="22"/>
          <w:szCs w:val="22"/>
        </w:rPr>
        <w:t>2</w:t>
      </w:r>
      <w:r w:rsidRPr="007E1C12">
        <w:rPr>
          <w:b/>
          <w:bCs/>
          <w:sz w:val="22"/>
          <w:szCs w:val="22"/>
        </w:rPr>
        <w:fldChar w:fldCharType="end"/>
      </w:r>
      <w:r w:rsidRPr="007E1C12">
        <w:rPr>
          <w:b/>
          <w:bCs/>
          <w:sz w:val="22"/>
          <w:szCs w:val="22"/>
        </w:rPr>
        <w:t>: Cybersecurity Policies and Enforcement Mechanisms</w:t>
      </w:r>
    </w:p>
    <w:p w14:paraId="71250391" w14:textId="77777777" w:rsidR="0049630A" w:rsidRPr="0049630A" w:rsidRDefault="0049630A" w:rsidP="0049630A"/>
    <w:p w14:paraId="404B0C81" w14:textId="245A76B1" w:rsidR="00AF323F" w:rsidRDefault="005D6506" w:rsidP="00AF323F">
      <w:r>
        <w:lastRenderedPageBreak/>
        <w:t xml:space="preserve">Justification – </w:t>
      </w:r>
      <w:r w:rsidR="00AF323F">
        <w:t>Are there reasons other than Equifax's failures why it is so necessary to have the policies? The critical patch SLA component in the vulnerability management policy states that there will be no 48-hour delay; otherwise, the breach may have been allowed. The asset management policy provides for a complete inventory that addresses Equifax's problem of not being able to identify Struts instances directly. With that monitoring policy, they are aiming to be detected within 24 hours versus Equifax's average 76-day dwell time. Poston et al. list the important aspects of having policies which are measurable and auditable; each policy has specific metrics and enforcement mechanisms</w:t>
      </w:r>
      <w:sdt>
        <w:sdtPr>
          <w:id w:val="-470907569"/>
          <w:citation/>
        </w:sdtPr>
        <w:sdtContent>
          <w:r>
            <w:fldChar w:fldCharType="begin"/>
          </w:r>
          <w:r>
            <w:rPr>
              <w:lang w:val="en-US"/>
            </w:rPr>
            <w:instrText xml:space="preserve"> CITATION Pos18 \l 1033 </w:instrText>
          </w:r>
          <w:r>
            <w:fldChar w:fldCharType="separate"/>
          </w:r>
          <w:r w:rsidR="00C158DD">
            <w:rPr>
              <w:noProof/>
              <w:lang w:val="en-US"/>
            </w:rPr>
            <w:t xml:space="preserve"> </w:t>
          </w:r>
          <w:r w:rsidR="00C158DD" w:rsidRPr="00C158DD">
            <w:rPr>
              <w:noProof/>
              <w:lang w:val="en-US"/>
            </w:rPr>
            <w:t>[14]</w:t>
          </w:r>
          <w:r>
            <w:fldChar w:fldCharType="end"/>
          </w:r>
        </w:sdtContent>
      </w:sdt>
      <w:r w:rsidR="00AF323F">
        <w:t xml:space="preserve">. The principle of security being built in from the start of development, as opposed to being added on later, is highlighted in the SSDLC policy, in the work of </w:t>
      </w:r>
      <w:r w:rsidR="007173AD">
        <w:t>Ratleff</w:t>
      </w:r>
      <w:r w:rsidR="00AF323F">
        <w:t xml:space="preserve"> </w:t>
      </w:r>
      <w:sdt>
        <w:sdtPr>
          <w:id w:val="-170411505"/>
          <w:citation/>
        </w:sdtPr>
        <w:sdtContent>
          <w:r>
            <w:fldChar w:fldCharType="begin"/>
          </w:r>
          <w:r>
            <w:rPr>
              <w:lang w:val="en-US"/>
            </w:rPr>
            <w:instrText xml:space="preserve"> CITATION Tan18 \l 1033 </w:instrText>
          </w:r>
          <w:r>
            <w:fldChar w:fldCharType="separate"/>
          </w:r>
          <w:r w:rsidR="00C158DD" w:rsidRPr="00C158DD">
            <w:rPr>
              <w:noProof/>
              <w:lang w:val="en-US"/>
            </w:rPr>
            <w:t>[16]</w:t>
          </w:r>
          <w:r>
            <w:fldChar w:fldCharType="end"/>
          </w:r>
        </w:sdtContent>
      </w:sdt>
      <w:r w:rsidR="00AF323F">
        <w:t xml:space="preserve">. </w:t>
      </w:r>
    </w:p>
    <w:p w14:paraId="00F4216D" w14:textId="77777777" w:rsidR="0049630A" w:rsidRDefault="0049630A" w:rsidP="00AF323F"/>
    <w:p w14:paraId="3B6F5A9C" w14:textId="77777777" w:rsidR="007E1C12" w:rsidRDefault="007E1C12" w:rsidP="00A64D5D">
      <w:pPr>
        <w:pStyle w:val="Heading2"/>
      </w:pPr>
      <w:bookmarkStart w:id="11" w:name="_Toc236767198"/>
      <w:r>
        <w:t>Governance and Strategic Alignment</w:t>
      </w:r>
      <w:bookmarkEnd w:id="11"/>
    </w:p>
    <w:p w14:paraId="5E088391" w14:textId="77777777" w:rsidR="0049630A" w:rsidRPr="0049630A" w:rsidRDefault="0049630A" w:rsidP="0049630A">
      <w:pPr>
        <w:rPr>
          <w:lang w:val="en-US"/>
        </w:rPr>
      </w:pPr>
    </w:p>
    <w:p w14:paraId="5C43F5A5" w14:textId="417CC3C5" w:rsidR="007E1C12" w:rsidRPr="007E1C12" w:rsidRDefault="007E1C12" w:rsidP="007E1C12">
      <w:pPr>
        <w:rPr>
          <w:b/>
          <w:bCs/>
        </w:rPr>
      </w:pPr>
      <w:r w:rsidRPr="007E1C12">
        <w:rPr>
          <w:b/>
          <w:bCs/>
        </w:rPr>
        <w:t>Strategic Failure at Equifax</w:t>
      </w:r>
    </w:p>
    <w:p w14:paraId="4D76F4B6" w14:textId="77F01C77" w:rsidR="00AF323F" w:rsidRDefault="00AF323F" w:rsidP="00AF323F">
      <w:r>
        <w:t>A comprehensive IT system needed to be created for Equifax's fast-paced acquisition of new businesses, and that in turn made the company extremely vulnerable to legacy systems that were custom-built, but not prepared or able to be secured by Equifax, the House Report concluded</w:t>
      </w:r>
      <w:r w:rsidR="000D69F6">
        <w:t>.</w:t>
      </w:r>
      <w:sdt>
        <w:sdtPr>
          <w:id w:val="-1098870350"/>
          <w:citation/>
        </w:sdtPr>
        <w:sdtContent>
          <w:r w:rsidR="005D6506">
            <w:fldChar w:fldCharType="begin"/>
          </w:r>
          <w:r w:rsidR="005D6506">
            <w:rPr>
              <w:lang w:val="en-US"/>
            </w:rPr>
            <w:instrText xml:space="preserve"> CITATION Com17 \l 1033 </w:instrText>
          </w:r>
          <w:r w:rsidR="005D6506">
            <w:fldChar w:fldCharType="separate"/>
          </w:r>
          <w:r w:rsidR="00C158DD">
            <w:rPr>
              <w:noProof/>
              <w:lang w:val="en-US"/>
            </w:rPr>
            <w:t xml:space="preserve"> </w:t>
          </w:r>
          <w:r w:rsidR="00C158DD" w:rsidRPr="00C158DD">
            <w:rPr>
              <w:noProof/>
              <w:lang w:val="en-US"/>
            </w:rPr>
            <w:t>[13]</w:t>
          </w:r>
          <w:r w:rsidR="005D6506">
            <w:fldChar w:fldCharType="end"/>
          </w:r>
        </w:sdtContent>
      </w:sdt>
      <w:r>
        <w:t xml:space="preserve">. As compared to the amount of data the company was </w:t>
      </w:r>
      <w:r w:rsidR="0049630A">
        <w:t>holding,</w:t>
      </w:r>
      <w:r>
        <w:t xml:space="preserve"> and the size of the company, very little money and effort was spent on privacy and data security. The lack of alignment of cybersecurity with business strategy - treating it as a cost centre and not a strategic enabler. </w:t>
      </w:r>
    </w:p>
    <w:p w14:paraId="08071DE3" w14:textId="77777777" w:rsidR="0049630A" w:rsidRDefault="0049630A" w:rsidP="00AF323F"/>
    <w:p w14:paraId="008146AC" w14:textId="77777777" w:rsidR="005D6506" w:rsidRPr="005D6506" w:rsidRDefault="005D6506" w:rsidP="00AF323F">
      <w:pPr>
        <w:rPr>
          <w:b/>
          <w:bCs/>
        </w:rPr>
      </w:pPr>
      <w:r w:rsidRPr="005D6506">
        <w:rPr>
          <w:b/>
          <w:bCs/>
        </w:rPr>
        <w:t>NIST Cybersecurity Framework 2.0 Alignment</w:t>
      </w:r>
    </w:p>
    <w:p w14:paraId="07DB52C3" w14:textId="46268C23" w:rsidR="005D6506" w:rsidRDefault="00AF323F" w:rsidP="00AF323F">
      <w:r>
        <w:t xml:space="preserve">The NIST Cybersecurity Framework (CSF) 2.0 is an extensive governance model that tackles these strategic flaws right head-on. The CSF 2.0 have a Govern Function that emphasises the need for cybersecurity capabilities to be used to facilitate the overall mission with Enterprise Risk Management (ERM). Governance is "to decide on enterprise goals, to provide direction to achieve enterprise goals, and to monitor performance and adjust enterprise direction when needed". According to Tabassi, </w:t>
      </w:r>
      <w:r>
        <w:lastRenderedPageBreak/>
        <w:t>"CSF 2.0" introduces a new cybersecurity paradigm, putting it directly into organisations' goals</w:t>
      </w:r>
      <w:r w:rsidR="000D69F6">
        <w:t xml:space="preserve">. </w:t>
      </w:r>
      <w:sdt>
        <w:sdtPr>
          <w:id w:val="1794626508"/>
          <w:citation/>
        </w:sdtPr>
        <w:sdtContent>
          <w:r w:rsidR="000D69F6">
            <w:fldChar w:fldCharType="begin"/>
          </w:r>
          <w:r w:rsidR="000D69F6">
            <w:rPr>
              <w:lang w:val="en-US"/>
            </w:rPr>
            <w:instrText xml:space="preserve"> CITATION Tab23 \l 1033 </w:instrText>
          </w:r>
          <w:r w:rsidR="000D69F6">
            <w:fldChar w:fldCharType="separate"/>
          </w:r>
          <w:r w:rsidR="00C158DD" w:rsidRPr="00C158DD">
            <w:rPr>
              <w:noProof/>
              <w:lang w:val="en-US"/>
            </w:rPr>
            <w:t>[17]</w:t>
          </w:r>
          <w:r w:rsidR="000D69F6">
            <w:fldChar w:fldCharType="end"/>
          </w:r>
        </w:sdtContent>
      </w:sdt>
      <w:r>
        <w:t>.</w:t>
      </w:r>
    </w:p>
    <w:tbl>
      <w:tblPr>
        <w:tblStyle w:val="TableGrid"/>
        <w:tblW w:w="9469" w:type="dxa"/>
        <w:tblInd w:w="85" w:type="dxa"/>
        <w:tblLook w:val="04A0" w:firstRow="1" w:lastRow="0" w:firstColumn="1" w:lastColumn="0" w:noHBand="0" w:noVBand="1"/>
      </w:tblPr>
      <w:tblGrid>
        <w:gridCol w:w="2143"/>
        <w:gridCol w:w="3936"/>
        <w:gridCol w:w="3390"/>
      </w:tblGrid>
      <w:tr w:rsidR="005D6506" w:rsidRPr="005D6506" w14:paraId="1A6F0959" w14:textId="77777777" w:rsidTr="005D6506">
        <w:trPr>
          <w:trHeight w:val="603"/>
        </w:trPr>
        <w:tc>
          <w:tcPr>
            <w:tcW w:w="2143" w:type="dxa"/>
            <w:hideMark/>
          </w:tcPr>
          <w:p w14:paraId="26FB89DD" w14:textId="77777777" w:rsidR="005D6506" w:rsidRPr="005D6506" w:rsidRDefault="005D6506" w:rsidP="005D6506">
            <w:pPr>
              <w:spacing w:after="160"/>
              <w:rPr>
                <w:lang w:val="en-US"/>
              </w:rPr>
            </w:pPr>
            <w:r w:rsidRPr="005D6506">
              <w:rPr>
                <w:b/>
                <w:bCs/>
                <w:lang w:val="en-US"/>
              </w:rPr>
              <w:t>CSF 2.0 Category</w:t>
            </w:r>
          </w:p>
        </w:tc>
        <w:tc>
          <w:tcPr>
            <w:tcW w:w="0" w:type="auto"/>
            <w:hideMark/>
          </w:tcPr>
          <w:p w14:paraId="1AE4A17A" w14:textId="77777777" w:rsidR="005D6506" w:rsidRPr="005D6506" w:rsidRDefault="005D6506" w:rsidP="005D6506">
            <w:pPr>
              <w:spacing w:after="160"/>
              <w:rPr>
                <w:lang w:val="en-US"/>
              </w:rPr>
            </w:pPr>
            <w:proofErr w:type="spellStart"/>
            <w:r w:rsidRPr="005D6506">
              <w:rPr>
                <w:b/>
                <w:bCs/>
                <w:lang w:val="en-US"/>
              </w:rPr>
              <w:t>Organisational</w:t>
            </w:r>
            <w:proofErr w:type="spellEnd"/>
            <w:r w:rsidRPr="005D6506">
              <w:rPr>
                <w:b/>
                <w:bCs/>
                <w:lang w:val="en-US"/>
              </w:rPr>
              <w:t xml:space="preserve"> Application</w:t>
            </w:r>
          </w:p>
        </w:tc>
        <w:tc>
          <w:tcPr>
            <w:tcW w:w="0" w:type="auto"/>
            <w:hideMark/>
          </w:tcPr>
          <w:p w14:paraId="50139604" w14:textId="77777777" w:rsidR="005D6506" w:rsidRPr="005D6506" w:rsidRDefault="005D6506" w:rsidP="005D6506">
            <w:pPr>
              <w:spacing w:after="160"/>
              <w:rPr>
                <w:lang w:val="en-US"/>
              </w:rPr>
            </w:pPr>
            <w:r w:rsidRPr="005D6506">
              <w:rPr>
                <w:b/>
                <w:bCs/>
                <w:lang w:val="en-US"/>
              </w:rPr>
              <w:t>Strategic Linkage</w:t>
            </w:r>
          </w:p>
        </w:tc>
      </w:tr>
      <w:tr w:rsidR="005D6506" w:rsidRPr="005D6506" w14:paraId="7E8A875F" w14:textId="77777777" w:rsidTr="005D6506">
        <w:trPr>
          <w:trHeight w:val="1477"/>
        </w:trPr>
        <w:tc>
          <w:tcPr>
            <w:tcW w:w="2143" w:type="dxa"/>
            <w:hideMark/>
          </w:tcPr>
          <w:p w14:paraId="30C65268" w14:textId="77777777" w:rsidR="005D6506" w:rsidRPr="005D6506" w:rsidRDefault="005D6506" w:rsidP="005D6506">
            <w:pPr>
              <w:spacing w:after="160"/>
              <w:rPr>
                <w:lang w:val="en-US"/>
              </w:rPr>
            </w:pPr>
            <w:r w:rsidRPr="005D6506">
              <w:rPr>
                <w:b/>
                <w:bCs/>
                <w:lang w:val="en-US"/>
              </w:rPr>
              <w:t xml:space="preserve">GV.OC: </w:t>
            </w:r>
            <w:proofErr w:type="spellStart"/>
            <w:r w:rsidRPr="005D6506">
              <w:rPr>
                <w:b/>
                <w:bCs/>
                <w:lang w:val="en-US"/>
              </w:rPr>
              <w:t>Organisational</w:t>
            </w:r>
            <w:proofErr w:type="spellEnd"/>
            <w:r w:rsidRPr="005D6506">
              <w:rPr>
                <w:b/>
                <w:bCs/>
                <w:lang w:val="en-US"/>
              </w:rPr>
              <w:t xml:space="preserve"> Context</w:t>
            </w:r>
          </w:p>
        </w:tc>
        <w:tc>
          <w:tcPr>
            <w:tcW w:w="0" w:type="auto"/>
            <w:hideMark/>
          </w:tcPr>
          <w:p w14:paraId="435426AA" w14:textId="1BC64CD1" w:rsidR="005D6506" w:rsidRPr="005D6506" w:rsidRDefault="005D6506" w:rsidP="005D6506">
            <w:pPr>
              <w:spacing w:after="160"/>
              <w:rPr>
                <w:lang w:val="en-US"/>
              </w:rPr>
            </w:pPr>
            <w:r w:rsidRPr="005D6506">
              <w:rPr>
                <w:lang w:val="en-US"/>
              </w:rPr>
              <w:t>Cybersecurity strategy aligned with legal, regulatory, and contractual requirements</w:t>
            </w:r>
            <w:r w:rsidR="000D69F6">
              <w:rPr>
                <w:lang w:val="en-US"/>
              </w:rPr>
              <w:t>.</w:t>
            </w:r>
          </w:p>
        </w:tc>
        <w:tc>
          <w:tcPr>
            <w:tcW w:w="0" w:type="auto"/>
            <w:hideMark/>
          </w:tcPr>
          <w:p w14:paraId="0E5C1B28" w14:textId="77777777" w:rsidR="005D6506" w:rsidRPr="005D6506" w:rsidRDefault="005D6506" w:rsidP="005D6506">
            <w:pPr>
              <w:spacing w:after="160"/>
              <w:rPr>
                <w:lang w:val="en-US"/>
              </w:rPr>
            </w:pPr>
            <w:r w:rsidRPr="005D6506">
              <w:rPr>
                <w:lang w:val="en-US"/>
              </w:rPr>
              <w:t>Business continuity; customer trust; regulatory compliance</w:t>
            </w:r>
          </w:p>
        </w:tc>
      </w:tr>
      <w:tr w:rsidR="005D6506" w:rsidRPr="005D6506" w14:paraId="1C3D5B97" w14:textId="77777777" w:rsidTr="005D6506">
        <w:trPr>
          <w:trHeight w:val="1477"/>
        </w:trPr>
        <w:tc>
          <w:tcPr>
            <w:tcW w:w="2143" w:type="dxa"/>
            <w:hideMark/>
          </w:tcPr>
          <w:p w14:paraId="23785068" w14:textId="77777777" w:rsidR="005D6506" w:rsidRPr="005D6506" w:rsidRDefault="005D6506" w:rsidP="005D6506">
            <w:pPr>
              <w:spacing w:after="160"/>
              <w:rPr>
                <w:lang w:val="en-US"/>
              </w:rPr>
            </w:pPr>
            <w:r w:rsidRPr="005D6506">
              <w:rPr>
                <w:b/>
                <w:bCs/>
                <w:lang w:val="en-US"/>
              </w:rPr>
              <w:t>GV.RM: Risk Management Strategy</w:t>
            </w:r>
          </w:p>
        </w:tc>
        <w:tc>
          <w:tcPr>
            <w:tcW w:w="0" w:type="auto"/>
            <w:hideMark/>
          </w:tcPr>
          <w:p w14:paraId="59B17A39" w14:textId="77777777" w:rsidR="005D6506" w:rsidRPr="005D6506" w:rsidRDefault="005D6506" w:rsidP="005D6506">
            <w:pPr>
              <w:spacing w:after="160"/>
              <w:rPr>
                <w:lang w:val="en-US"/>
              </w:rPr>
            </w:pPr>
            <w:r w:rsidRPr="005D6506">
              <w:rPr>
                <w:lang w:val="en-US"/>
              </w:rPr>
              <w:t>Risk appetite articulated; ERM integration; risk-based decision-making</w:t>
            </w:r>
          </w:p>
        </w:tc>
        <w:tc>
          <w:tcPr>
            <w:tcW w:w="0" w:type="auto"/>
            <w:hideMark/>
          </w:tcPr>
          <w:p w14:paraId="08AAD1C0" w14:textId="5EC6ADCC" w:rsidR="005D6506" w:rsidRPr="005D6506" w:rsidRDefault="005D6506" w:rsidP="005D6506">
            <w:pPr>
              <w:spacing w:after="160"/>
              <w:rPr>
                <w:lang w:val="en-US"/>
              </w:rPr>
            </w:pPr>
            <w:r w:rsidRPr="005D6506">
              <w:rPr>
                <w:lang w:val="en-US"/>
              </w:rPr>
              <w:t xml:space="preserve">Resource allocation; investment </w:t>
            </w:r>
            <w:r w:rsidR="007173AD" w:rsidRPr="005D6506">
              <w:rPr>
                <w:lang w:val="en-US"/>
              </w:rPr>
              <w:t>prioritization</w:t>
            </w:r>
            <w:r w:rsidRPr="005D6506">
              <w:rPr>
                <w:lang w:val="en-US"/>
              </w:rPr>
              <w:t>; competitive advantage</w:t>
            </w:r>
          </w:p>
        </w:tc>
      </w:tr>
      <w:tr w:rsidR="005D6506" w:rsidRPr="005D6506" w14:paraId="09A18387" w14:textId="77777777" w:rsidTr="005D6506">
        <w:trPr>
          <w:trHeight w:val="1040"/>
        </w:trPr>
        <w:tc>
          <w:tcPr>
            <w:tcW w:w="2143" w:type="dxa"/>
            <w:hideMark/>
          </w:tcPr>
          <w:p w14:paraId="78EF631A" w14:textId="77777777" w:rsidR="005D6506" w:rsidRPr="005D6506" w:rsidRDefault="005D6506" w:rsidP="005D6506">
            <w:pPr>
              <w:spacing w:after="160"/>
              <w:rPr>
                <w:lang w:val="en-US"/>
              </w:rPr>
            </w:pPr>
            <w:hyperlink r:id="rId9" w:tgtFrame="_blank" w:history="1">
              <w:r w:rsidRPr="005D6506">
                <w:rPr>
                  <w:rStyle w:val="Hyperlink"/>
                  <w:b/>
                  <w:bCs/>
                  <w:lang w:val="en-US"/>
                </w:rPr>
                <w:t>GV.SC</w:t>
              </w:r>
            </w:hyperlink>
            <w:r w:rsidRPr="005D6506">
              <w:rPr>
                <w:b/>
                <w:bCs/>
                <w:lang w:val="en-US"/>
              </w:rPr>
              <w:t>: Supply Chain Risk Management</w:t>
            </w:r>
          </w:p>
        </w:tc>
        <w:tc>
          <w:tcPr>
            <w:tcW w:w="0" w:type="auto"/>
            <w:hideMark/>
          </w:tcPr>
          <w:p w14:paraId="12B9E5F1" w14:textId="77777777" w:rsidR="005D6506" w:rsidRPr="005D6506" w:rsidRDefault="005D6506" w:rsidP="005D6506">
            <w:pPr>
              <w:spacing w:after="160"/>
              <w:rPr>
                <w:lang w:val="en-US"/>
              </w:rPr>
            </w:pPr>
            <w:r w:rsidRPr="005D6506">
              <w:rPr>
                <w:lang w:val="en-US"/>
              </w:rPr>
              <w:t>Third-party risk assessment; vendor security requirements</w:t>
            </w:r>
          </w:p>
        </w:tc>
        <w:tc>
          <w:tcPr>
            <w:tcW w:w="0" w:type="auto"/>
            <w:hideMark/>
          </w:tcPr>
          <w:p w14:paraId="00B70E05" w14:textId="77777777" w:rsidR="005D6506" w:rsidRPr="005D6506" w:rsidRDefault="005D6506" w:rsidP="005D6506">
            <w:pPr>
              <w:spacing w:after="160"/>
              <w:rPr>
                <w:lang w:val="en-US"/>
              </w:rPr>
            </w:pPr>
            <w:r w:rsidRPr="005D6506">
              <w:rPr>
                <w:lang w:val="en-US"/>
              </w:rPr>
              <w:t>Operational resilience; supply chain continuity</w:t>
            </w:r>
          </w:p>
        </w:tc>
      </w:tr>
      <w:tr w:rsidR="005D6506" w:rsidRPr="005D6506" w14:paraId="732A48C4" w14:textId="77777777" w:rsidTr="005D6506">
        <w:trPr>
          <w:trHeight w:val="1040"/>
        </w:trPr>
        <w:tc>
          <w:tcPr>
            <w:tcW w:w="2143" w:type="dxa"/>
            <w:hideMark/>
          </w:tcPr>
          <w:p w14:paraId="143F7DE1" w14:textId="77777777" w:rsidR="005D6506" w:rsidRPr="005D6506" w:rsidRDefault="005D6506" w:rsidP="005D6506">
            <w:pPr>
              <w:spacing w:after="160"/>
              <w:rPr>
                <w:lang w:val="en-US"/>
              </w:rPr>
            </w:pPr>
            <w:r w:rsidRPr="005D6506">
              <w:rPr>
                <w:b/>
                <w:bCs/>
                <w:lang w:val="en-US"/>
              </w:rPr>
              <w:t>GV.OV: Oversight</w:t>
            </w:r>
          </w:p>
        </w:tc>
        <w:tc>
          <w:tcPr>
            <w:tcW w:w="0" w:type="auto"/>
            <w:hideMark/>
          </w:tcPr>
          <w:p w14:paraId="62CCE9AE" w14:textId="77777777" w:rsidR="005D6506" w:rsidRPr="005D6506" w:rsidRDefault="005D6506" w:rsidP="005D6506">
            <w:pPr>
              <w:spacing w:after="160"/>
              <w:rPr>
                <w:lang w:val="en-US"/>
              </w:rPr>
            </w:pPr>
            <w:r w:rsidRPr="005D6506">
              <w:rPr>
                <w:lang w:val="en-US"/>
              </w:rPr>
              <w:t>Board risk committee; CISO reporting to CEO; regular reporting</w:t>
            </w:r>
          </w:p>
        </w:tc>
        <w:tc>
          <w:tcPr>
            <w:tcW w:w="0" w:type="auto"/>
            <w:hideMark/>
          </w:tcPr>
          <w:p w14:paraId="6A2D9E99" w14:textId="77777777" w:rsidR="005D6506" w:rsidRPr="005D6506" w:rsidRDefault="005D6506" w:rsidP="005D6506">
            <w:pPr>
              <w:spacing w:after="160"/>
              <w:rPr>
                <w:lang w:val="en-US"/>
              </w:rPr>
            </w:pPr>
            <w:r w:rsidRPr="005D6506">
              <w:rPr>
                <w:lang w:val="en-US"/>
              </w:rPr>
              <w:t>Strategic governance; accountability; transparency</w:t>
            </w:r>
          </w:p>
        </w:tc>
      </w:tr>
    </w:tbl>
    <w:p w14:paraId="66E72C03" w14:textId="77777777" w:rsidR="00AF323F" w:rsidRDefault="00AF323F" w:rsidP="00AF323F"/>
    <w:p w14:paraId="4D9049E7" w14:textId="6E44E153" w:rsidR="00AF323F" w:rsidRDefault="005D6506" w:rsidP="005D6506">
      <w:pPr>
        <w:pStyle w:val="Caption"/>
        <w:jc w:val="center"/>
        <w:rPr>
          <w:b/>
          <w:bCs/>
          <w:sz w:val="22"/>
          <w:szCs w:val="22"/>
        </w:rPr>
      </w:pPr>
      <w:r w:rsidRPr="005D6506">
        <w:rPr>
          <w:b/>
          <w:bCs/>
          <w:sz w:val="22"/>
          <w:szCs w:val="22"/>
        </w:rPr>
        <w:t xml:space="preserve">Table </w:t>
      </w:r>
      <w:r w:rsidRPr="005D6506">
        <w:rPr>
          <w:b/>
          <w:bCs/>
          <w:sz w:val="22"/>
          <w:szCs w:val="22"/>
        </w:rPr>
        <w:fldChar w:fldCharType="begin"/>
      </w:r>
      <w:r w:rsidRPr="005D6506">
        <w:rPr>
          <w:b/>
          <w:bCs/>
          <w:sz w:val="22"/>
          <w:szCs w:val="22"/>
        </w:rPr>
        <w:instrText xml:space="preserve"> SEQ Table \* ARABIC </w:instrText>
      </w:r>
      <w:r w:rsidRPr="005D6506">
        <w:rPr>
          <w:b/>
          <w:bCs/>
          <w:sz w:val="22"/>
          <w:szCs w:val="22"/>
        </w:rPr>
        <w:fldChar w:fldCharType="separate"/>
      </w:r>
      <w:r>
        <w:rPr>
          <w:b/>
          <w:bCs/>
          <w:noProof/>
          <w:sz w:val="22"/>
          <w:szCs w:val="22"/>
        </w:rPr>
        <w:t>3</w:t>
      </w:r>
      <w:r w:rsidRPr="005D6506">
        <w:rPr>
          <w:b/>
          <w:bCs/>
          <w:sz w:val="22"/>
          <w:szCs w:val="22"/>
        </w:rPr>
        <w:fldChar w:fldCharType="end"/>
      </w:r>
      <w:r w:rsidRPr="005D6506">
        <w:rPr>
          <w:b/>
          <w:bCs/>
          <w:sz w:val="22"/>
          <w:szCs w:val="22"/>
        </w:rPr>
        <w:t>: NIST CSF 2.0 Govern Function Alignment</w:t>
      </w:r>
    </w:p>
    <w:p w14:paraId="73974A8D" w14:textId="77777777" w:rsidR="0049630A" w:rsidRPr="0049630A" w:rsidRDefault="0049630A" w:rsidP="0049630A"/>
    <w:p w14:paraId="33700274" w14:textId="0B63FD89" w:rsidR="00AF323F" w:rsidRDefault="00AF323F" w:rsidP="00AF323F">
      <w:r>
        <w:t>Justification – The programme integrates cybersecurity into ERM, understanding that transforming cybersecurity investments into a business risk</w:t>
      </w:r>
      <w:r w:rsidR="000D69F6">
        <w:t>,</w:t>
      </w:r>
      <w:r w:rsidR="005D6506">
        <w:t xml:space="preserve"> </w:t>
      </w:r>
      <w:r>
        <w:t>not as a compliance cost</w:t>
      </w:r>
      <w:r w:rsidR="000D69F6">
        <w:t>,</w:t>
      </w:r>
      <w:r w:rsidR="005D6506">
        <w:t xml:space="preserve"> </w:t>
      </w:r>
      <w:r>
        <w:t xml:space="preserve">can only be achieved when cybersecurity is embedded in ERM. The NIST IR 8286 series shares insights on how to incorporate cybersecurity and ERM into an integrated </w:t>
      </w:r>
      <w:r w:rsidR="0049630A">
        <w:t>plan and</w:t>
      </w:r>
      <w:r>
        <w:t xml:space="preserve"> facilitates bidirectional communication between cybersecurity practitioners and leaders. Integrating cybersecurity into the organisation's strategic plans and providing sufficient funds</w:t>
      </w:r>
      <w:r w:rsidR="000D69F6">
        <w:t xml:space="preserve"> </w:t>
      </w:r>
      <w:r>
        <w:t>without making it a "discuss priority"</w:t>
      </w:r>
      <w:r w:rsidR="005D6506">
        <w:t xml:space="preserve"> </w:t>
      </w:r>
      <w:r>
        <w:t>is a direct lesson from Equifax, according to Khalil</w:t>
      </w:r>
      <w:r w:rsidR="000D69F6">
        <w:t>.</w:t>
      </w:r>
      <w:r>
        <w:t xml:space="preserve"> </w:t>
      </w:r>
      <w:sdt>
        <w:sdtPr>
          <w:id w:val="1359699058"/>
          <w:citation/>
        </w:sdtPr>
        <w:sdtContent>
          <w:r w:rsidR="000D69F6">
            <w:fldChar w:fldCharType="begin"/>
          </w:r>
          <w:r w:rsidR="000D69F6">
            <w:rPr>
              <w:lang w:val="en-US"/>
            </w:rPr>
            <w:instrText xml:space="preserve"> CITATION Kha26 \l 1033 </w:instrText>
          </w:r>
          <w:r w:rsidR="000D69F6">
            <w:fldChar w:fldCharType="separate"/>
          </w:r>
          <w:r w:rsidR="00C158DD" w:rsidRPr="00C158DD">
            <w:rPr>
              <w:noProof/>
              <w:lang w:val="en-US"/>
            </w:rPr>
            <w:t>[15]</w:t>
          </w:r>
          <w:r w:rsidR="000D69F6">
            <w:fldChar w:fldCharType="end"/>
          </w:r>
        </w:sdtContent>
      </w:sdt>
      <w:r>
        <w:t xml:space="preserve">. Cybersecurity becomes a trust and resilience builder </w:t>
      </w:r>
      <w:r w:rsidR="000D69F6">
        <w:t>if</w:t>
      </w:r>
      <w:r>
        <w:t xml:space="preserve"> it is aligned with the strategic goals and becomes an enabling tool in business, as proposed by </w:t>
      </w:r>
      <w:r w:rsidR="007173AD">
        <w:t>Rillington</w:t>
      </w:r>
      <w:r w:rsidR="000D69F6">
        <w:t>.</w:t>
      </w:r>
      <w:r>
        <w:t xml:space="preserve"> </w:t>
      </w:r>
      <w:sdt>
        <w:sdtPr>
          <w:id w:val="241457167"/>
          <w:citation/>
        </w:sdtPr>
        <w:sdtContent>
          <w:r w:rsidR="000D69F6">
            <w:fldChar w:fldCharType="begin"/>
          </w:r>
          <w:r w:rsidR="000D69F6">
            <w:rPr>
              <w:lang w:val="en-US"/>
            </w:rPr>
            <w:instrText xml:space="preserve"> CITATION Rel26 \l 1033 </w:instrText>
          </w:r>
          <w:r w:rsidR="000D69F6">
            <w:fldChar w:fldCharType="separate"/>
          </w:r>
          <w:r w:rsidR="00C158DD" w:rsidRPr="00C158DD">
            <w:rPr>
              <w:noProof/>
              <w:lang w:val="en-US"/>
            </w:rPr>
            <w:t>[18]</w:t>
          </w:r>
          <w:r w:rsidR="000D69F6">
            <w:fldChar w:fldCharType="end"/>
          </w:r>
        </w:sdtContent>
      </w:sdt>
      <w:r>
        <w:t>.</w:t>
      </w:r>
    </w:p>
    <w:p w14:paraId="6FA27A84" w14:textId="77777777" w:rsidR="0049630A" w:rsidRDefault="0049630A" w:rsidP="00AF323F"/>
    <w:p w14:paraId="2367C026" w14:textId="77777777" w:rsidR="005D6506" w:rsidRDefault="005D6506" w:rsidP="00A64D5D">
      <w:pPr>
        <w:pStyle w:val="Heading2"/>
      </w:pPr>
      <w:bookmarkStart w:id="12" w:name="_Toc236767199"/>
      <w:r>
        <w:lastRenderedPageBreak/>
        <w:t>Risk Management and Assessment</w:t>
      </w:r>
      <w:bookmarkEnd w:id="12"/>
    </w:p>
    <w:p w14:paraId="31165B72" w14:textId="77777777" w:rsidR="0049630A" w:rsidRPr="0049630A" w:rsidRDefault="0049630A" w:rsidP="0049630A">
      <w:pPr>
        <w:rPr>
          <w:lang w:val="en-US"/>
        </w:rPr>
      </w:pPr>
    </w:p>
    <w:p w14:paraId="18AADE46" w14:textId="01FFEACE" w:rsidR="005D6506" w:rsidRPr="005D6506" w:rsidRDefault="005D6506" w:rsidP="005D6506">
      <w:pPr>
        <w:rPr>
          <w:b/>
          <w:bCs/>
        </w:rPr>
      </w:pPr>
      <w:r w:rsidRPr="005D6506">
        <w:rPr>
          <w:b/>
          <w:bCs/>
        </w:rPr>
        <w:t>Risk Management Failures at Equifax</w:t>
      </w:r>
    </w:p>
    <w:p w14:paraId="4E7686FF" w14:textId="567D7D2C" w:rsidR="00AF323F" w:rsidRDefault="00AF323F" w:rsidP="00AF323F">
      <w:r>
        <w:t xml:space="preserve">There is a complex underlying reason for the risk management failures of Equifax. They found that the company didn't know what IT assets they had and therefore couldn't identify vulnerable assets. The vulnerability management team sent out an email to more than 400 </w:t>
      </w:r>
      <w:r w:rsidR="0049630A">
        <w:t>individuals but</w:t>
      </w:r>
      <w:r>
        <w:t xml:space="preserve"> did not check the patch application. The Consumer Dispute Portal, which had been in use since the 1970s, faced the internet, but did not grab the attention of anyone, and as a result was known as being "under the radar". In addition, an unencrypted credential was used to help with the lateral movement into more than 48 databases. </w:t>
      </w:r>
    </w:p>
    <w:p w14:paraId="27EEDE81" w14:textId="77777777" w:rsidR="0049630A" w:rsidRDefault="0049630A" w:rsidP="00AF323F"/>
    <w:p w14:paraId="702A40C7" w14:textId="77777777" w:rsidR="005D6506" w:rsidRPr="005D6506" w:rsidRDefault="005D6506" w:rsidP="00AF323F">
      <w:pPr>
        <w:rPr>
          <w:b/>
          <w:bCs/>
        </w:rPr>
      </w:pPr>
      <w:r w:rsidRPr="005D6506">
        <w:rPr>
          <w:b/>
          <w:bCs/>
        </w:rPr>
        <w:t>High-Level Risk Assessment</w:t>
      </w:r>
    </w:p>
    <w:p w14:paraId="4A0F9C13" w14:textId="6181E959" w:rsidR="005D6506" w:rsidRDefault="00AF323F" w:rsidP="00AF323F">
      <w:r>
        <w:t>The below risk assessment identifies key vulnerabilities and rationale for prioritisation and mitigation. The evaluation is for internet-facing resources or asset compromise opportunities, like patching, supply chain exposure, and segmentation weaknesses</w:t>
      </w:r>
      <w:r w:rsidR="000D69F6">
        <w:t xml:space="preserve"> </w:t>
      </w:r>
      <w:r w:rsidR="005D6506">
        <w:t>like</w:t>
      </w:r>
      <w:r>
        <w:t xml:space="preserve"> those compromised in the Equifax breach.</w:t>
      </w:r>
    </w:p>
    <w:p w14:paraId="0EB521E4" w14:textId="77777777" w:rsidR="0049630A" w:rsidRDefault="0049630A" w:rsidP="00AF323F"/>
    <w:tbl>
      <w:tblPr>
        <w:tblStyle w:val="TableGridLight"/>
        <w:tblW w:w="0" w:type="auto"/>
        <w:tblLayout w:type="fixed"/>
        <w:tblLook w:val="04A0" w:firstRow="1" w:lastRow="0" w:firstColumn="1" w:lastColumn="0" w:noHBand="0" w:noVBand="1"/>
      </w:tblPr>
      <w:tblGrid>
        <w:gridCol w:w="1795"/>
        <w:gridCol w:w="900"/>
        <w:gridCol w:w="990"/>
        <w:gridCol w:w="1080"/>
        <w:gridCol w:w="3870"/>
        <w:gridCol w:w="715"/>
      </w:tblGrid>
      <w:tr w:rsidR="005D6506" w:rsidRPr="005D6506" w14:paraId="0856D07F" w14:textId="77777777" w:rsidTr="000D69F6">
        <w:tc>
          <w:tcPr>
            <w:tcW w:w="1795" w:type="dxa"/>
            <w:hideMark/>
          </w:tcPr>
          <w:p w14:paraId="46F357C7" w14:textId="77777777" w:rsidR="005D6506" w:rsidRPr="005D6506" w:rsidRDefault="005D6506" w:rsidP="005D6506">
            <w:pPr>
              <w:spacing w:after="160"/>
              <w:rPr>
                <w:lang w:val="en-US"/>
              </w:rPr>
            </w:pPr>
            <w:r w:rsidRPr="005D6506">
              <w:rPr>
                <w:b/>
                <w:bCs/>
                <w:lang w:val="en-US"/>
              </w:rPr>
              <w:t>Risk/ Vulnerability</w:t>
            </w:r>
          </w:p>
        </w:tc>
        <w:tc>
          <w:tcPr>
            <w:tcW w:w="900" w:type="dxa"/>
            <w:hideMark/>
          </w:tcPr>
          <w:p w14:paraId="007B5752" w14:textId="77777777" w:rsidR="005D6506" w:rsidRPr="005D6506" w:rsidRDefault="005D6506" w:rsidP="005D6506">
            <w:pPr>
              <w:spacing w:after="160"/>
              <w:rPr>
                <w:lang w:val="en-US"/>
              </w:rPr>
            </w:pPr>
            <w:r w:rsidRPr="005D6506">
              <w:rPr>
                <w:b/>
                <w:bCs/>
                <w:lang w:val="en-US"/>
              </w:rPr>
              <w:t>Likelihood</w:t>
            </w:r>
          </w:p>
        </w:tc>
        <w:tc>
          <w:tcPr>
            <w:tcW w:w="990" w:type="dxa"/>
            <w:hideMark/>
          </w:tcPr>
          <w:p w14:paraId="16D19918" w14:textId="77777777" w:rsidR="005D6506" w:rsidRPr="005D6506" w:rsidRDefault="005D6506" w:rsidP="005D6506">
            <w:pPr>
              <w:spacing w:after="160"/>
              <w:rPr>
                <w:lang w:val="en-US"/>
              </w:rPr>
            </w:pPr>
            <w:r w:rsidRPr="005D6506">
              <w:rPr>
                <w:b/>
                <w:bCs/>
                <w:lang w:val="en-US"/>
              </w:rPr>
              <w:t>Impact</w:t>
            </w:r>
          </w:p>
        </w:tc>
        <w:tc>
          <w:tcPr>
            <w:tcW w:w="1080" w:type="dxa"/>
            <w:hideMark/>
          </w:tcPr>
          <w:p w14:paraId="01EAD8F5" w14:textId="77777777" w:rsidR="005D6506" w:rsidRPr="005D6506" w:rsidRDefault="005D6506" w:rsidP="005D6506">
            <w:pPr>
              <w:spacing w:after="160"/>
              <w:rPr>
                <w:lang w:val="en-US"/>
              </w:rPr>
            </w:pPr>
            <w:r w:rsidRPr="005D6506">
              <w:rPr>
                <w:b/>
                <w:bCs/>
                <w:lang w:val="en-US"/>
              </w:rPr>
              <w:t>Risk Level</w:t>
            </w:r>
          </w:p>
        </w:tc>
        <w:tc>
          <w:tcPr>
            <w:tcW w:w="3870" w:type="dxa"/>
            <w:hideMark/>
          </w:tcPr>
          <w:p w14:paraId="2991E691" w14:textId="77777777" w:rsidR="005D6506" w:rsidRPr="005D6506" w:rsidRDefault="005D6506" w:rsidP="005D6506">
            <w:pPr>
              <w:spacing w:after="160"/>
              <w:rPr>
                <w:lang w:val="en-US"/>
              </w:rPr>
            </w:pPr>
            <w:r w:rsidRPr="005D6506">
              <w:rPr>
                <w:b/>
                <w:bCs/>
                <w:lang w:val="en-US"/>
              </w:rPr>
              <w:t>Mitigation</w:t>
            </w:r>
          </w:p>
        </w:tc>
        <w:tc>
          <w:tcPr>
            <w:tcW w:w="715" w:type="dxa"/>
            <w:hideMark/>
          </w:tcPr>
          <w:p w14:paraId="5D47034F" w14:textId="77777777" w:rsidR="005D6506" w:rsidRPr="005D6506" w:rsidRDefault="005D6506" w:rsidP="005D6506">
            <w:pPr>
              <w:spacing w:after="160"/>
              <w:rPr>
                <w:lang w:val="en-US"/>
              </w:rPr>
            </w:pPr>
            <w:r w:rsidRPr="005D6506">
              <w:rPr>
                <w:b/>
                <w:bCs/>
                <w:lang w:val="en-US"/>
              </w:rPr>
              <w:t>Priority</w:t>
            </w:r>
          </w:p>
        </w:tc>
      </w:tr>
      <w:tr w:rsidR="005D6506" w:rsidRPr="005D6506" w14:paraId="3D965A85" w14:textId="77777777" w:rsidTr="000D69F6">
        <w:tc>
          <w:tcPr>
            <w:tcW w:w="1795" w:type="dxa"/>
            <w:hideMark/>
          </w:tcPr>
          <w:p w14:paraId="05894B64" w14:textId="77777777" w:rsidR="005D6506" w:rsidRPr="005D6506" w:rsidRDefault="005D6506" w:rsidP="005D6506">
            <w:pPr>
              <w:spacing w:after="160"/>
              <w:rPr>
                <w:lang w:val="en-US"/>
              </w:rPr>
            </w:pPr>
            <w:r w:rsidRPr="005D6506">
              <w:rPr>
                <w:b/>
                <w:bCs/>
                <w:lang w:val="en-US"/>
              </w:rPr>
              <w:t>Internet-facing vulnerable applications</w:t>
            </w:r>
          </w:p>
        </w:tc>
        <w:tc>
          <w:tcPr>
            <w:tcW w:w="900" w:type="dxa"/>
            <w:hideMark/>
          </w:tcPr>
          <w:p w14:paraId="7F1DF817" w14:textId="77777777" w:rsidR="005D6506" w:rsidRPr="005D6506" w:rsidRDefault="005D6506" w:rsidP="005D6506">
            <w:pPr>
              <w:spacing w:after="160"/>
              <w:rPr>
                <w:lang w:val="en-US"/>
              </w:rPr>
            </w:pPr>
            <w:r w:rsidRPr="005D6506">
              <w:rPr>
                <w:lang w:val="en-US"/>
              </w:rPr>
              <w:t>High</w:t>
            </w:r>
          </w:p>
        </w:tc>
        <w:tc>
          <w:tcPr>
            <w:tcW w:w="990" w:type="dxa"/>
            <w:hideMark/>
          </w:tcPr>
          <w:p w14:paraId="3BC39679" w14:textId="77777777" w:rsidR="005D6506" w:rsidRPr="005D6506" w:rsidRDefault="005D6506" w:rsidP="005D6506">
            <w:pPr>
              <w:spacing w:after="160"/>
              <w:rPr>
                <w:lang w:val="en-US"/>
              </w:rPr>
            </w:pPr>
            <w:r w:rsidRPr="005D6506">
              <w:rPr>
                <w:lang w:val="en-US"/>
              </w:rPr>
              <w:t>Critical</w:t>
            </w:r>
          </w:p>
        </w:tc>
        <w:tc>
          <w:tcPr>
            <w:tcW w:w="1080" w:type="dxa"/>
            <w:hideMark/>
          </w:tcPr>
          <w:p w14:paraId="59706D35" w14:textId="77777777" w:rsidR="005D6506" w:rsidRPr="005D6506" w:rsidRDefault="005D6506" w:rsidP="005D6506">
            <w:pPr>
              <w:spacing w:after="160"/>
              <w:rPr>
                <w:lang w:val="en-US"/>
              </w:rPr>
            </w:pPr>
            <w:r w:rsidRPr="005D6506">
              <w:rPr>
                <w:b/>
                <w:bCs/>
                <w:lang w:val="en-US"/>
              </w:rPr>
              <w:t>Extreme</w:t>
            </w:r>
          </w:p>
        </w:tc>
        <w:tc>
          <w:tcPr>
            <w:tcW w:w="3870" w:type="dxa"/>
            <w:hideMark/>
          </w:tcPr>
          <w:p w14:paraId="491A6E82" w14:textId="77777777" w:rsidR="005D6506" w:rsidRPr="005D6506" w:rsidRDefault="005D6506" w:rsidP="005D6506">
            <w:pPr>
              <w:spacing w:after="160"/>
              <w:rPr>
                <w:lang w:val="en-US"/>
              </w:rPr>
            </w:pPr>
            <w:r w:rsidRPr="005D6506">
              <w:rPr>
                <w:lang w:val="en-US"/>
              </w:rPr>
              <w:t>Automated vulnerability scanning; 48-hour critical patch SLA; WAF; regular penetration testing</w:t>
            </w:r>
          </w:p>
        </w:tc>
        <w:tc>
          <w:tcPr>
            <w:tcW w:w="715" w:type="dxa"/>
            <w:hideMark/>
          </w:tcPr>
          <w:p w14:paraId="160E4C6B" w14:textId="77777777" w:rsidR="005D6506" w:rsidRPr="005D6506" w:rsidRDefault="005D6506" w:rsidP="005D6506">
            <w:pPr>
              <w:spacing w:after="160"/>
              <w:rPr>
                <w:lang w:val="en-US"/>
              </w:rPr>
            </w:pPr>
            <w:r w:rsidRPr="005D6506">
              <w:rPr>
                <w:lang w:val="en-US"/>
              </w:rPr>
              <w:t>1</w:t>
            </w:r>
          </w:p>
        </w:tc>
      </w:tr>
      <w:tr w:rsidR="005D6506" w:rsidRPr="005D6506" w14:paraId="3ACF7A7A" w14:textId="77777777" w:rsidTr="000D69F6">
        <w:tc>
          <w:tcPr>
            <w:tcW w:w="1795" w:type="dxa"/>
            <w:hideMark/>
          </w:tcPr>
          <w:p w14:paraId="4C1B7C41" w14:textId="77777777" w:rsidR="005D6506" w:rsidRPr="005D6506" w:rsidRDefault="005D6506" w:rsidP="005D6506">
            <w:pPr>
              <w:spacing w:after="160"/>
              <w:rPr>
                <w:lang w:val="en-US"/>
              </w:rPr>
            </w:pPr>
            <w:r w:rsidRPr="005D6506">
              <w:rPr>
                <w:b/>
                <w:bCs/>
                <w:lang w:val="en-US"/>
              </w:rPr>
              <w:t>Patch management gaps</w:t>
            </w:r>
          </w:p>
        </w:tc>
        <w:tc>
          <w:tcPr>
            <w:tcW w:w="900" w:type="dxa"/>
            <w:hideMark/>
          </w:tcPr>
          <w:p w14:paraId="557A9E95" w14:textId="77777777" w:rsidR="005D6506" w:rsidRPr="005D6506" w:rsidRDefault="005D6506" w:rsidP="005D6506">
            <w:pPr>
              <w:spacing w:after="160"/>
              <w:rPr>
                <w:lang w:val="en-US"/>
              </w:rPr>
            </w:pPr>
            <w:r w:rsidRPr="005D6506">
              <w:rPr>
                <w:lang w:val="en-US"/>
              </w:rPr>
              <w:t>High</w:t>
            </w:r>
          </w:p>
        </w:tc>
        <w:tc>
          <w:tcPr>
            <w:tcW w:w="990" w:type="dxa"/>
            <w:hideMark/>
          </w:tcPr>
          <w:p w14:paraId="5C229338" w14:textId="77777777" w:rsidR="005D6506" w:rsidRPr="005D6506" w:rsidRDefault="005D6506" w:rsidP="005D6506">
            <w:pPr>
              <w:spacing w:after="160"/>
              <w:rPr>
                <w:lang w:val="en-US"/>
              </w:rPr>
            </w:pPr>
            <w:r w:rsidRPr="005D6506">
              <w:rPr>
                <w:lang w:val="en-US"/>
              </w:rPr>
              <w:t>Critical</w:t>
            </w:r>
          </w:p>
        </w:tc>
        <w:tc>
          <w:tcPr>
            <w:tcW w:w="1080" w:type="dxa"/>
            <w:hideMark/>
          </w:tcPr>
          <w:p w14:paraId="3576A40F" w14:textId="77777777" w:rsidR="005D6506" w:rsidRPr="005D6506" w:rsidRDefault="005D6506" w:rsidP="005D6506">
            <w:pPr>
              <w:spacing w:after="160"/>
              <w:rPr>
                <w:lang w:val="en-US"/>
              </w:rPr>
            </w:pPr>
            <w:r w:rsidRPr="005D6506">
              <w:rPr>
                <w:b/>
                <w:bCs/>
                <w:lang w:val="en-US"/>
              </w:rPr>
              <w:t>Extreme</w:t>
            </w:r>
          </w:p>
        </w:tc>
        <w:tc>
          <w:tcPr>
            <w:tcW w:w="3870" w:type="dxa"/>
            <w:hideMark/>
          </w:tcPr>
          <w:p w14:paraId="2380AFB0" w14:textId="77777777" w:rsidR="005D6506" w:rsidRPr="005D6506" w:rsidRDefault="005D6506" w:rsidP="005D6506">
            <w:pPr>
              <w:spacing w:after="160"/>
              <w:rPr>
                <w:lang w:val="en-US"/>
              </w:rPr>
            </w:pPr>
            <w:r w:rsidRPr="005D6506">
              <w:rPr>
                <w:lang w:val="en-US"/>
              </w:rPr>
              <w:t>Automated patch deployment; verified system owner accountability; compliance monitoring</w:t>
            </w:r>
          </w:p>
        </w:tc>
        <w:tc>
          <w:tcPr>
            <w:tcW w:w="715" w:type="dxa"/>
            <w:hideMark/>
          </w:tcPr>
          <w:p w14:paraId="1AE0BD6B" w14:textId="77777777" w:rsidR="005D6506" w:rsidRPr="005D6506" w:rsidRDefault="005D6506" w:rsidP="005D6506">
            <w:pPr>
              <w:spacing w:after="160"/>
              <w:rPr>
                <w:lang w:val="en-US"/>
              </w:rPr>
            </w:pPr>
            <w:r w:rsidRPr="005D6506">
              <w:rPr>
                <w:lang w:val="en-US"/>
              </w:rPr>
              <w:t>1</w:t>
            </w:r>
          </w:p>
        </w:tc>
      </w:tr>
      <w:tr w:rsidR="005D6506" w:rsidRPr="005D6506" w14:paraId="5097116D" w14:textId="77777777" w:rsidTr="000D69F6">
        <w:tc>
          <w:tcPr>
            <w:tcW w:w="1795" w:type="dxa"/>
            <w:hideMark/>
          </w:tcPr>
          <w:p w14:paraId="449A7489" w14:textId="77777777" w:rsidR="005D6506" w:rsidRPr="005D6506" w:rsidRDefault="005D6506" w:rsidP="005D6506">
            <w:pPr>
              <w:spacing w:after="160"/>
              <w:rPr>
                <w:lang w:val="en-US"/>
              </w:rPr>
            </w:pPr>
            <w:r w:rsidRPr="005D6506">
              <w:rPr>
                <w:b/>
                <w:bCs/>
                <w:lang w:val="en-US"/>
              </w:rPr>
              <w:lastRenderedPageBreak/>
              <w:t>Incomplete asset inventory</w:t>
            </w:r>
          </w:p>
        </w:tc>
        <w:tc>
          <w:tcPr>
            <w:tcW w:w="900" w:type="dxa"/>
            <w:hideMark/>
          </w:tcPr>
          <w:p w14:paraId="747579EB" w14:textId="77777777" w:rsidR="005D6506" w:rsidRPr="005D6506" w:rsidRDefault="005D6506" w:rsidP="005D6506">
            <w:pPr>
              <w:spacing w:after="160"/>
              <w:rPr>
                <w:lang w:val="en-US"/>
              </w:rPr>
            </w:pPr>
            <w:r w:rsidRPr="005D6506">
              <w:rPr>
                <w:lang w:val="en-US"/>
              </w:rPr>
              <w:t>High</w:t>
            </w:r>
          </w:p>
        </w:tc>
        <w:tc>
          <w:tcPr>
            <w:tcW w:w="990" w:type="dxa"/>
            <w:hideMark/>
          </w:tcPr>
          <w:p w14:paraId="59D31784" w14:textId="77777777" w:rsidR="005D6506" w:rsidRPr="005D6506" w:rsidRDefault="005D6506" w:rsidP="005D6506">
            <w:pPr>
              <w:spacing w:after="160"/>
              <w:rPr>
                <w:lang w:val="en-US"/>
              </w:rPr>
            </w:pPr>
            <w:r w:rsidRPr="005D6506">
              <w:rPr>
                <w:lang w:val="en-US"/>
              </w:rPr>
              <w:t>Critical</w:t>
            </w:r>
          </w:p>
        </w:tc>
        <w:tc>
          <w:tcPr>
            <w:tcW w:w="1080" w:type="dxa"/>
            <w:hideMark/>
          </w:tcPr>
          <w:p w14:paraId="123A1991" w14:textId="77777777" w:rsidR="005D6506" w:rsidRPr="005D6506" w:rsidRDefault="005D6506" w:rsidP="005D6506">
            <w:pPr>
              <w:spacing w:after="160"/>
              <w:rPr>
                <w:lang w:val="en-US"/>
              </w:rPr>
            </w:pPr>
            <w:r w:rsidRPr="005D6506">
              <w:rPr>
                <w:b/>
                <w:bCs/>
                <w:lang w:val="en-US"/>
              </w:rPr>
              <w:t>Extreme</w:t>
            </w:r>
          </w:p>
        </w:tc>
        <w:tc>
          <w:tcPr>
            <w:tcW w:w="3870" w:type="dxa"/>
            <w:hideMark/>
          </w:tcPr>
          <w:p w14:paraId="59F397C1" w14:textId="77777777" w:rsidR="005D6506" w:rsidRPr="005D6506" w:rsidRDefault="005D6506" w:rsidP="005D6506">
            <w:pPr>
              <w:spacing w:after="160"/>
              <w:rPr>
                <w:lang w:val="en-US"/>
              </w:rPr>
            </w:pPr>
            <w:r w:rsidRPr="005D6506">
              <w:rPr>
                <w:lang w:val="en-US"/>
              </w:rPr>
              <w:t>Automated asset discovery; quarterly verification; unowned asset remediation within 7 days</w:t>
            </w:r>
          </w:p>
        </w:tc>
        <w:tc>
          <w:tcPr>
            <w:tcW w:w="715" w:type="dxa"/>
            <w:hideMark/>
          </w:tcPr>
          <w:p w14:paraId="7111BD46" w14:textId="77777777" w:rsidR="005D6506" w:rsidRPr="005D6506" w:rsidRDefault="005D6506" w:rsidP="005D6506">
            <w:pPr>
              <w:spacing w:after="160"/>
              <w:rPr>
                <w:lang w:val="en-US"/>
              </w:rPr>
            </w:pPr>
            <w:r w:rsidRPr="005D6506">
              <w:rPr>
                <w:lang w:val="en-US"/>
              </w:rPr>
              <w:t>1</w:t>
            </w:r>
          </w:p>
        </w:tc>
      </w:tr>
      <w:tr w:rsidR="005D6506" w:rsidRPr="005D6506" w14:paraId="63EE2D74" w14:textId="77777777" w:rsidTr="000D69F6">
        <w:tc>
          <w:tcPr>
            <w:tcW w:w="1795" w:type="dxa"/>
            <w:hideMark/>
          </w:tcPr>
          <w:p w14:paraId="4E846B1F" w14:textId="77777777" w:rsidR="005D6506" w:rsidRPr="005D6506" w:rsidRDefault="005D6506" w:rsidP="005D6506">
            <w:pPr>
              <w:spacing w:after="160"/>
              <w:rPr>
                <w:lang w:val="en-US"/>
              </w:rPr>
            </w:pPr>
            <w:r w:rsidRPr="005D6506">
              <w:rPr>
                <w:b/>
                <w:bCs/>
                <w:lang w:val="en-US"/>
              </w:rPr>
              <w:t>Supply chain/third-party risk</w:t>
            </w:r>
          </w:p>
        </w:tc>
        <w:tc>
          <w:tcPr>
            <w:tcW w:w="900" w:type="dxa"/>
            <w:hideMark/>
          </w:tcPr>
          <w:p w14:paraId="490E6D03" w14:textId="77777777" w:rsidR="005D6506" w:rsidRPr="005D6506" w:rsidRDefault="005D6506" w:rsidP="005D6506">
            <w:pPr>
              <w:spacing w:after="160"/>
              <w:rPr>
                <w:lang w:val="en-US"/>
              </w:rPr>
            </w:pPr>
            <w:r w:rsidRPr="005D6506">
              <w:rPr>
                <w:lang w:val="en-US"/>
              </w:rPr>
              <w:t>Medium</w:t>
            </w:r>
          </w:p>
        </w:tc>
        <w:tc>
          <w:tcPr>
            <w:tcW w:w="990" w:type="dxa"/>
            <w:hideMark/>
          </w:tcPr>
          <w:p w14:paraId="4978E362" w14:textId="77777777" w:rsidR="005D6506" w:rsidRPr="005D6506" w:rsidRDefault="005D6506" w:rsidP="005D6506">
            <w:pPr>
              <w:spacing w:after="160"/>
              <w:rPr>
                <w:lang w:val="en-US"/>
              </w:rPr>
            </w:pPr>
            <w:r w:rsidRPr="005D6506">
              <w:rPr>
                <w:lang w:val="en-US"/>
              </w:rPr>
              <w:t>High</w:t>
            </w:r>
          </w:p>
        </w:tc>
        <w:tc>
          <w:tcPr>
            <w:tcW w:w="1080" w:type="dxa"/>
            <w:hideMark/>
          </w:tcPr>
          <w:p w14:paraId="3DB7F188" w14:textId="77777777" w:rsidR="005D6506" w:rsidRPr="005D6506" w:rsidRDefault="005D6506" w:rsidP="005D6506">
            <w:pPr>
              <w:spacing w:after="160"/>
              <w:rPr>
                <w:lang w:val="en-US"/>
              </w:rPr>
            </w:pPr>
            <w:r w:rsidRPr="005D6506">
              <w:rPr>
                <w:b/>
                <w:bCs/>
                <w:lang w:val="en-US"/>
              </w:rPr>
              <w:t>High</w:t>
            </w:r>
          </w:p>
        </w:tc>
        <w:tc>
          <w:tcPr>
            <w:tcW w:w="3870" w:type="dxa"/>
            <w:hideMark/>
          </w:tcPr>
          <w:p w14:paraId="54B9BA75" w14:textId="77777777" w:rsidR="005D6506" w:rsidRPr="005D6506" w:rsidRDefault="005D6506" w:rsidP="005D6506">
            <w:pPr>
              <w:spacing w:after="160"/>
              <w:rPr>
                <w:lang w:val="en-US"/>
              </w:rPr>
            </w:pPr>
            <w:r w:rsidRPr="005D6506">
              <w:rPr>
                <w:lang w:val="en-US"/>
              </w:rPr>
              <w:t>Vendor security assessments; contractual security requirements; continuous monitoring</w:t>
            </w:r>
          </w:p>
        </w:tc>
        <w:tc>
          <w:tcPr>
            <w:tcW w:w="715" w:type="dxa"/>
            <w:hideMark/>
          </w:tcPr>
          <w:p w14:paraId="7433025A" w14:textId="77777777" w:rsidR="005D6506" w:rsidRPr="005D6506" w:rsidRDefault="005D6506" w:rsidP="005D6506">
            <w:pPr>
              <w:spacing w:after="160"/>
              <w:rPr>
                <w:lang w:val="en-US"/>
              </w:rPr>
            </w:pPr>
            <w:r w:rsidRPr="005D6506">
              <w:rPr>
                <w:lang w:val="en-US"/>
              </w:rPr>
              <w:t>2</w:t>
            </w:r>
          </w:p>
        </w:tc>
      </w:tr>
      <w:tr w:rsidR="005D6506" w:rsidRPr="005D6506" w14:paraId="61C94C1D" w14:textId="77777777" w:rsidTr="000D69F6">
        <w:tc>
          <w:tcPr>
            <w:tcW w:w="1795" w:type="dxa"/>
            <w:hideMark/>
          </w:tcPr>
          <w:p w14:paraId="4352B799" w14:textId="77777777" w:rsidR="005D6506" w:rsidRPr="005D6506" w:rsidRDefault="005D6506" w:rsidP="005D6506">
            <w:pPr>
              <w:spacing w:after="160"/>
              <w:rPr>
                <w:lang w:val="en-US"/>
              </w:rPr>
            </w:pPr>
            <w:r w:rsidRPr="005D6506">
              <w:rPr>
                <w:b/>
                <w:bCs/>
                <w:lang w:val="en-US"/>
              </w:rPr>
              <w:t>Network segmentation weaknesses</w:t>
            </w:r>
          </w:p>
        </w:tc>
        <w:tc>
          <w:tcPr>
            <w:tcW w:w="900" w:type="dxa"/>
            <w:hideMark/>
          </w:tcPr>
          <w:p w14:paraId="575A371B" w14:textId="77777777" w:rsidR="005D6506" w:rsidRPr="005D6506" w:rsidRDefault="005D6506" w:rsidP="005D6506">
            <w:pPr>
              <w:spacing w:after="160"/>
              <w:rPr>
                <w:lang w:val="en-US"/>
              </w:rPr>
            </w:pPr>
            <w:r w:rsidRPr="005D6506">
              <w:rPr>
                <w:lang w:val="en-US"/>
              </w:rPr>
              <w:t>Medium</w:t>
            </w:r>
          </w:p>
        </w:tc>
        <w:tc>
          <w:tcPr>
            <w:tcW w:w="990" w:type="dxa"/>
            <w:hideMark/>
          </w:tcPr>
          <w:p w14:paraId="3B00EE6F" w14:textId="77777777" w:rsidR="005D6506" w:rsidRPr="005D6506" w:rsidRDefault="005D6506" w:rsidP="005D6506">
            <w:pPr>
              <w:spacing w:after="160"/>
              <w:rPr>
                <w:lang w:val="en-US"/>
              </w:rPr>
            </w:pPr>
            <w:r w:rsidRPr="005D6506">
              <w:rPr>
                <w:lang w:val="en-US"/>
              </w:rPr>
              <w:t>High</w:t>
            </w:r>
          </w:p>
        </w:tc>
        <w:tc>
          <w:tcPr>
            <w:tcW w:w="1080" w:type="dxa"/>
            <w:hideMark/>
          </w:tcPr>
          <w:p w14:paraId="2DC7FA2F" w14:textId="77777777" w:rsidR="005D6506" w:rsidRPr="005D6506" w:rsidRDefault="005D6506" w:rsidP="005D6506">
            <w:pPr>
              <w:spacing w:after="160"/>
              <w:rPr>
                <w:lang w:val="en-US"/>
              </w:rPr>
            </w:pPr>
            <w:r w:rsidRPr="005D6506">
              <w:rPr>
                <w:b/>
                <w:bCs/>
                <w:lang w:val="en-US"/>
              </w:rPr>
              <w:t>High</w:t>
            </w:r>
          </w:p>
        </w:tc>
        <w:tc>
          <w:tcPr>
            <w:tcW w:w="3870" w:type="dxa"/>
            <w:hideMark/>
          </w:tcPr>
          <w:p w14:paraId="6BD59917" w14:textId="77777777" w:rsidR="005D6506" w:rsidRPr="005D6506" w:rsidRDefault="005D6506" w:rsidP="005D6506">
            <w:pPr>
              <w:spacing w:after="160"/>
              <w:rPr>
                <w:lang w:val="en-US"/>
              </w:rPr>
            </w:pPr>
            <w:r w:rsidRPr="005D6506">
              <w:rPr>
                <w:lang w:val="en-US"/>
              </w:rPr>
              <w:t>Zero-trust architecture; micro-segmentation; least privilege access</w:t>
            </w:r>
          </w:p>
        </w:tc>
        <w:tc>
          <w:tcPr>
            <w:tcW w:w="715" w:type="dxa"/>
            <w:hideMark/>
          </w:tcPr>
          <w:p w14:paraId="7C5EF426" w14:textId="77777777" w:rsidR="005D6506" w:rsidRPr="005D6506" w:rsidRDefault="005D6506" w:rsidP="005D6506">
            <w:pPr>
              <w:spacing w:after="160"/>
              <w:rPr>
                <w:lang w:val="en-US"/>
              </w:rPr>
            </w:pPr>
            <w:r w:rsidRPr="005D6506">
              <w:rPr>
                <w:lang w:val="en-US"/>
              </w:rPr>
              <w:t>2</w:t>
            </w:r>
          </w:p>
        </w:tc>
      </w:tr>
      <w:tr w:rsidR="005D6506" w:rsidRPr="005D6506" w14:paraId="0F82A9BE" w14:textId="77777777" w:rsidTr="000D69F6">
        <w:tc>
          <w:tcPr>
            <w:tcW w:w="1795" w:type="dxa"/>
            <w:hideMark/>
          </w:tcPr>
          <w:p w14:paraId="0279ED8C" w14:textId="77777777" w:rsidR="005D6506" w:rsidRPr="005D6506" w:rsidRDefault="005D6506" w:rsidP="005D6506">
            <w:pPr>
              <w:spacing w:after="160"/>
              <w:rPr>
                <w:lang w:val="en-US"/>
              </w:rPr>
            </w:pPr>
            <w:r w:rsidRPr="005D6506">
              <w:rPr>
                <w:b/>
                <w:bCs/>
                <w:lang w:val="en-US"/>
              </w:rPr>
              <w:t>Legacy systems</w:t>
            </w:r>
          </w:p>
        </w:tc>
        <w:tc>
          <w:tcPr>
            <w:tcW w:w="900" w:type="dxa"/>
            <w:hideMark/>
          </w:tcPr>
          <w:p w14:paraId="1A9AD4C0" w14:textId="77777777" w:rsidR="005D6506" w:rsidRPr="005D6506" w:rsidRDefault="005D6506" w:rsidP="005D6506">
            <w:pPr>
              <w:spacing w:after="160"/>
              <w:rPr>
                <w:lang w:val="en-US"/>
              </w:rPr>
            </w:pPr>
            <w:r w:rsidRPr="005D6506">
              <w:rPr>
                <w:lang w:val="en-US"/>
              </w:rPr>
              <w:t>High</w:t>
            </w:r>
          </w:p>
        </w:tc>
        <w:tc>
          <w:tcPr>
            <w:tcW w:w="990" w:type="dxa"/>
            <w:hideMark/>
          </w:tcPr>
          <w:p w14:paraId="40E088C4" w14:textId="77777777" w:rsidR="005D6506" w:rsidRPr="005D6506" w:rsidRDefault="005D6506" w:rsidP="005D6506">
            <w:pPr>
              <w:spacing w:after="160"/>
              <w:rPr>
                <w:lang w:val="en-US"/>
              </w:rPr>
            </w:pPr>
            <w:r w:rsidRPr="005D6506">
              <w:rPr>
                <w:lang w:val="en-US"/>
              </w:rPr>
              <w:t>High</w:t>
            </w:r>
          </w:p>
        </w:tc>
        <w:tc>
          <w:tcPr>
            <w:tcW w:w="1080" w:type="dxa"/>
            <w:hideMark/>
          </w:tcPr>
          <w:p w14:paraId="00EBAED5" w14:textId="77777777" w:rsidR="005D6506" w:rsidRPr="005D6506" w:rsidRDefault="005D6506" w:rsidP="005D6506">
            <w:pPr>
              <w:spacing w:after="160"/>
              <w:rPr>
                <w:lang w:val="en-US"/>
              </w:rPr>
            </w:pPr>
            <w:r w:rsidRPr="005D6506">
              <w:rPr>
                <w:b/>
                <w:bCs/>
                <w:lang w:val="en-US"/>
              </w:rPr>
              <w:t>High</w:t>
            </w:r>
          </w:p>
        </w:tc>
        <w:tc>
          <w:tcPr>
            <w:tcW w:w="3870" w:type="dxa"/>
            <w:hideMark/>
          </w:tcPr>
          <w:p w14:paraId="6C9EDCDF" w14:textId="3AC59165" w:rsidR="005D6506" w:rsidRPr="005D6506" w:rsidRDefault="007173AD" w:rsidP="005D6506">
            <w:pPr>
              <w:spacing w:after="160"/>
              <w:rPr>
                <w:lang w:val="en-US"/>
              </w:rPr>
            </w:pPr>
            <w:r w:rsidRPr="005D6506">
              <w:rPr>
                <w:lang w:val="en-US"/>
              </w:rPr>
              <w:t>Modernization</w:t>
            </w:r>
            <w:r w:rsidR="005D6506" w:rsidRPr="005D6506">
              <w:rPr>
                <w:lang w:val="en-US"/>
              </w:rPr>
              <w:t xml:space="preserve"> roadmap; compensating controls; isolation; risk acceptance with executive sign-off</w:t>
            </w:r>
          </w:p>
        </w:tc>
        <w:tc>
          <w:tcPr>
            <w:tcW w:w="715" w:type="dxa"/>
            <w:hideMark/>
          </w:tcPr>
          <w:p w14:paraId="258C3965" w14:textId="77777777" w:rsidR="005D6506" w:rsidRPr="005D6506" w:rsidRDefault="005D6506" w:rsidP="005D6506">
            <w:pPr>
              <w:spacing w:after="160"/>
              <w:rPr>
                <w:lang w:val="en-US"/>
              </w:rPr>
            </w:pPr>
            <w:r w:rsidRPr="005D6506">
              <w:rPr>
                <w:lang w:val="en-US"/>
              </w:rPr>
              <w:t>3</w:t>
            </w:r>
          </w:p>
        </w:tc>
      </w:tr>
      <w:tr w:rsidR="005D6506" w:rsidRPr="005D6506" w14:paraId="021375A3" w14:textId="77777777" w:rsidTr="000D69F6">
        <w:tc>
          <w:tcPr>
            <w:tcW w:w="1795" w:type="dxa"/>
            <w:hideMark/>
          </w:tcPr>
          <w:p w14:paraId="22B68D88" w14:textId="77777777" w:rsidR="005D6506" w:rsidRPr="005D6506" w:rsidRDefault="005D6506" w:rsidP="005D6506">
            <w:pPr>
              <w:spacing w:after="160"/>
              <w:rPr>
                <w:lang w:val="en-US"/>
              </w:rPr>
            </w:pPr>
            <w:r w:rsidRPr="005D6506">
              <w:rPr>
                <w:b/>
                <w:bCs/>
                <w:lang w:val="en-US"/>
              </w:rPr>
              <w:t>Expired certificates/monitoring gaps</w:t>
            </w:r>
          </w:p>
        </w:tc>
        <w:tc>
          <w:tcPr>
            <w:tcW w:w="900" w:type="dxa"/>
            <w:hideMark/>
          </w:tcPr>
          <w:p w14:paraId="50605407" w14:textId="77777777" w:rsidR="005D6506" w:rsidRPr="005D6506" w:rsidRDefault="005D6506" w:rsidP="005D6506">
            <w:pPr>
              <w:spacing w:after="160"/>
              <w:rPr>
                <w:lang w:val="en-US"/>
              </w:rPr>
            </w:pPr>
            <w:r w:rsidRPr="005D6506">
              <w:rPr>
                <w:lang w:val="en-US"/>
              </w:rPr>
              <w:t>Medium</w:t>
            </w:r>
          </w:p>
        </w:tc>
        <w:tc>
          <w:tcPr>
            <w:tcW w:w="990" w:type="dxa"/>
            <w:hideMark/>
          </w:tcPr>
          <w:p w14:paraId="1A845E2C" w14:textId="77777777" w:rsidR="005D6506" w:rsidRPr="005D6506" w:rsidRDefault="005D6506" w:rsidP="005D6506">
            <w:pPr>
              <w:spacing w:after="160"/>
              <w:rPr>
                <w:lang w:val="en-US"/>
              </w:rPr>
            </w:pPr>
            <w:r w:rsidRPr="005D6506">
              <w:rPr>
                <w:lang w:val="en-US"/>
              </w:rPr>
              <w:t>High</w:t>
            </w:r>
          </w:p>
        </w:tc>
        <w:tc>
          <w:tcPr>
            <w:tcW w:w="1080" w:type="dxa"/>
            <w:hideMark/>
          </w:tcPr>
          <w:p w14:paraId="631D785A" w14:textId="77777777" w:rsidR="005D6506" w:rsidRPr="005D6506" w:rsidRDefault="005D6506" w:rsidP="005D6506">
            <w:pPr>
              <w:spacing w:after="160"/>
              <w:rPr>
                <w:lang w:val="en-US"/>
              </w:rPr>
            </w:pPr>
            <w:r w:rsidRPr="005D6506">
              <w:rPr>
                <w:b/>
                <w:bCs/>
                <w:lang w:val="en-US"/>
              </w:rPr>
              <w:t>High</w:t>
            </w:r>
          </w:p>
        </w:tc>
        <w:tc>
          <w:tcPr>
            <w:tcW w:w="3870" w:type="dxa"/>
            <w:hideMark/>
          </w:tcPr>
          <w:p w14:paraId="7C9F01A3" w14:textId="77777777" w:rsidR="005D6506" w:rsidRPr="005D6506" w:rsidRDefault="005D6506" w:rsidP="005D6506">
            <w:pPr>
              <w:spacing w:after="160"/>
              <w:rPr>
                <w:lang w:val="en-US"/>
              </w:rPr>
            </w:pPr>
            <w:r w:rsidRPr="005D6506">
              <w:rPr>
                <w:lang w:val="en-US"/>
              </w:rPr>
              <w:t>Certificate lifecycle management; automated renewal; 24/7 monitoring</w:t>
            </w:r>
          </w:p>
        </w:tc>
        <w:tc>
          <w:tcPr>
            <w:tcW w:w="715" w:type="dxa"/>
            <w:hideMark/>
          </w:tcPr>
          <w:p w14:paraId="7B0ECE76" w14:textId="77777777" w:rsidR="005D6506" w:rsidRPr="005D6506" w:rsidRDefault="005D6506" w:rsidP="005D6506">
            <w:pPr>
              <w:spacing w:after="160"/>
              <w:rPr>
                <w:lang w:val="en-US"/>
              </w:rPr>
            </w:pPr>
            <w:r w:rsidRPr="005D6506">
              <w:rPr>
                <w:lang w:val="en-US"/>
              </w:rPr>
              <w:t>2</w:t>
            </w:r>
          </w:p>
        </w:tc>
      </w:tr>
    </w:tbl>
    <w:p w14:paraId="1AAD143A" w14:textId="77777777" w:rsidR="00AF323F" w:rsidRDefault="00AF323F" w:rsidP="00AF323F"/>
    <w:p w14:paraId="2E189E97" w14:textId="3ABCE5E9" w:rsidR="005D6506" w:rsidRDefault="005D6506" w:rsidP="005D6506">
      <w:pPr>
        <w:pStyle w:val="Caption"/>
        <w:jc w:val="center"/>
        <w:rPr>
          <w:b/>
          <w:bCs/>
          <w:sz w:val="22"/>
          <w:szCs w:val="22"/>
        </w:rPr>
      </w:pPr>
      <w:r w:rsidRPr="005D6506">
        <w:rPr>
          <w:b/>
          <w:bCs/>
          <w:sz w:val="22"/>
          <w:szCs w:val="22"/>
        </w:rPr>
        <w:t xml:space="preserve">Table </w:t>
      </w:r>
      <w:r w:rsidRPr="005D6506">
        <w:rPr>
          <w:b/>
          <w:bCs/>
          <w:sz w:val="22"/>
          <w:szCs w:val="22"/>
        </w:rPr>
        <w:fldChar w:fldCharType="begin"/>
      </w:r>
      <w:r w:rsidRPr="005D6506">
        <w:rPr>
          <w:b/>
          <w:bCs/>
          <w:sz w:val="22"/>
          <w:szCs w:val="22"/>
        </w:rPr>
        <w:instrText xml:space="preserve"> SEQ Table \* ARABIC </w:instrText>
      </w:r>
      <w:r w:rsidRPr="005D6506">
        <w:rPr>
          <w:b/>
          <w:bCs/>
          <w:sz w:val="22"/>
          <w:szCs w:val="22"/>
        </w:rPr>
        <w:fldChar w:fldCharType="separate"/>
      </w:r>
      <w:r>
        <w:rPr>
          <w:b/>
          <w:bCs/>
          <w:noProof/>
          <w:sz w:val="22"/>
          <w:szCs w:val="22"/>
        </w:rPr>
        <w:t>4</w:t>
      </w:r>
      <w:r w:rsidRPr="005D6506">
        <w:rPr>
          <w:b/>
          <w:bCs/>
          <w:sz w:val="22"/>
          <w:szCs w:val="22"/>
        </w:rPr>
        <w:fldChar w:fldCharType="end"/>
      </w:r>
      <w:r w:rsidRPr="005D6506">
        <w:rPr>
          <w:b/>
          <w:bCs/>
          <w:sz w:val="22"/>
          <w:szCs w:val="22"/>
        </w:rPr>
        <w:t>: Risk Assessment and Mitigation Matrix</w:t>
      </w:r>
    </w:p>
    <w:p w14:paraId="55D4E36D" w14:textId="77777777" w:rsidR="0049630A" w:rsidRPr="0049630A" w:rsidRDefault="0049630A" w:rsidP="0049630A"/>
    <w:p w14:paraId="7CEDA9F7" w14:textId="36802827" w:rsidR="00AF323F" w:rsidRDefault="00AF323F" w:rsidP="00AF323F">
      <w:r>
        <w:t xml:space="preserve">Confidence and rationale: The risk assessment has been focused on vulnerabilities that were directly at the centre of the Equifax breach. Internet-facing vulnerabilities, patch gaps and incompleteness of the asset inventory are given the highest priority because of the surrounding extreme risks. Jia et al. highlight the importance of risk prioritisation and having mitigation as proportionate as the risk level, such that both likeliness and impact of the risks are </w:t>
      </w:r>
      <w:r w:rsidR="005D6506">
        <w:t>considered</w:t>
      </w:r>
      <w:r w:rsidR="000D69F6">
        <w:t xml:space="preserve">. </w:t>
      </w:r>
      <w:sdt>
        <w:sdtPr>
          <w:id w:val="1230971304"/>
          <w:citation/>
        </w:sdtPr>
        <w:sdtContent>
          <w:r w:rsidR="000D69F6">
            <w:fldChar w:fldCharType="begin"/>
          </w:r>
          <w:r w:rsidR="000D69F6">
            <w:rPr>
              <w:lang w:val="en-US"/>
            </w:rPr>
            <w:instrText xml:space="preserve"> CITATION Jia21 \l 1033 </w:instrText>
          </w:r>
          <w:r w:rsidR="000D69F6">
            <w:fldChar w:fldCharType="separate"/>
          </w:r>
          <w:r w:rsidR="00C158DD" w:rsidRPr="00C158DD">
            <w:rPr>
              <w:noProof/>
              <w:lang w:val="en-US"/>
            </w:rPr>
            <w:t>[19]</w:t>
          </w:r>
          <w:r w:rsidR="000D69F6">
            <w:fldChar w:fldCharType="end"/>
          </w:r>
        </w:sdtContent>
      </w:sdt>
      <w:r>
        <w:t xml:space="preserve">. </w:t>
      </w:r>
    </w:p>
    <w:p w14:paraId="3A82596A" w14:textId="77777777" w:rsidR="0049630A" w:rsidRDefault="0049630A" w:rsidP="00AF323F"/>
    <w:p w14:paraId="4B76B564" w14:textId="77777777" w:rsidR="0049630A" w:rsidRDefault="0049630A" w:rsidP="00AF323F"/>
    <w:p w14:paraId="326B2E7F" w14:textId="77777777" w:rsidR="005D6506" w:rsidRDefault="005D6506" w:rsidP="00A64D5D">
      <w:pPr>
        <w:pStyle w:val="Heading2"/>
      </w:pPr>
      <w:bookmarkStart w:id="13" w:name="_Toc236767200"/>
      <w:r>
        <w:lastRenderedPageBreak/>
        <w:t>Compliance, Incident Response, and Protection Controls</w:t>
      </w:r>
      <w:bookmarkEnd w:id="13"/>
    </w:p>
    <w:p w14:paraId="37FBAC43" w14:textId="77777777" w:rsidR="0049630A" w:rsidRPr="0049630A" w:rsidRDefault="0049630A" w:rsidP="0049630A">
      <w:pPr>
        <w:rPr>
          <w:lang w:val="en-US"/>
        </w:rPr>
      </w:pPr>
    </w:p>
    <w:p w14:paraId="2897F99E" w14:textId="658174D0" w:rsidR="005D6506" w:rsidRPr="005D6506" w:rsidRDefault="005D6506" w:rsidP="005D6506">
      <w:pPr>
        <w:rPr>
          <w:b/>
          <w:bCs/>
        </w:rPr>
      </w:pPr>
      <w:r w:rsidRPr="005D6506">
        <w:rPr>
          <w:b/>
          <w:bCs/>
        </w:rPr>
        <w:t>Compliance and Breach Notification</w:t>
      </w:r>
    </w:p>
    <w:p w14:paraId="0B33160B" w14:textId="73652753" w:rsidR="00AF323F" w:rsidRDefault="00AF323F" w:rsidP="00AF323F">
      <w:r>
        <w:t>Under the General Data Protection Regulation (GDPR), the controller must inform the supervisory authority of a personal data breach as soon as possible, i.e. as soon as practicable, but at the latest within 72 hours of a breach being detected if it is known</w:t>
      </w:r>
      <w:r w:rsidR="00597FDC">
        <w:t>.</w:t>
      </w:r>
      <w:sdt>
        <w:sdtPr>
          <w:id w:val="-1876071600"/>
          <w:citation/>
        </w:sdtPr>
        <w:sdtContent>
          <w:r w:rsidR="000D69F6">
            <w:fldChar w:fldCharType="begin"/>
          </w:r>
          <w:r w:rsidR="000D69F6">
            <w:rPr>
              <w:lang w:val="en-US"/>
            </w:rPr>
            <w:instrText xml:space="preserve"> CITATION Pub16 \l 1033 </w:instrText>
          </w:r>
          <w:r w:rsidR="000D69F6">
            <w:fldChar w:fldCharType="separate"/>
          </w:r>
          <w:r w:rsidR="00C158DD">
            <w:rPr>
              <w:noProof/>
              <w:lang w:val="en-US"/>
            </w:rPr>
            <w:t xml:space="preserve"> </w:t>
          </w:r>
          <w:r w:rsidR="00C158DD" w:rsidRPr="00C158DD">
            <w:rPr>
              <w:noProof/>
              <w:lang w:val="en-US"/>
            </w:rPr>
            <w:t>[20]</w:t>
          </w:r>
          <w:r w:rsidR="000D69F6">
            <w:fldChar w:fldCharType="end"/>
          </w:r>
        </w:sdtContent>
      </w:sdt>
      <w:r>
        <w:t>. When there is a high risk to the rights and freedoms of affected persons, they need to be informed, under Article 34, without undue delay. GDPR imposes very steep regulatory fines on Equifax between €20 million and 4% of Equifax's global turnover per year based on their 40-day delay after detection of the breach before announcing it publicly.</w:t>
      </w:r>
    </w:p>
    <w:p w14:paraId="7D024D55" w14:textId="7D097804" w:rsidR="00AF323F" w:rsidRDefault="00AF323F" w:rsidP="00AF323F">
      <w:r>
        <w:t>Offer Authorisation Server for Breakage: Get Authorised to Break:</w:t>
      </w:r>
    </w:p>
    <w:p w14:paraId="11A09B12" w14:textId="6F4E1DDF" w:rsidR="00AF323F" w:rsidRDefault="00AF323F" w:rsidP="005D6506">
      <w:pPr>
        <w:pStyle w:val="ListParagraph"/>
        <w:numPr>
          <w:ilvl w:val="0"/>
          <w:numId w:val="27"/>
        </w:numPr>
      </w:pPr>
      <w:r>
        <w:t>Internal escalation – recognised incident within events goes to SOC, and then to the CISO within 1 hour.</w:t>
      </w:r>
    </w:p>
    <w:p w14:paraId="46B9D2FB" w14:textId="22DCF976" w:rsidR="00AF323F" w:rsidRDefault="00AF323F" w:rsidP="005D6506">
      <w:pPr>
        <w:pStyle w:val="ListParagraph"/>
        <w:numPr>
          <w:ilvl w:val="0"/>
          <w:numId w:val="27"/>
        </w:numPr>
      </w:pPr>
      <w:r>
        <w:t>Notify General Counsel within 2 hours. General Counsel notification is legal notification.</w:t>
      </w:r>
    </w:p>
    <w:p w14:paraId="5E2849EE" w14:textId="125AEAAD" w:rsidR="00AF323F" w:rsidRDefault="00AF323F" w:rsidP="005D6506">
      <w:pPr>
        <w:pStyle w:val="ListParagraph"/>
        <w:numPr>
          <w:ilvl w:val="0"/>
          <w:numId w:val="27"/>
        </w:numPr>
      </w:pPr>
      <w:r>
        <w:t>Regulatory notification: Information on the supervisor within 72 hours of GDPR Article 33.</w:t>
      </w:r>
    </w:p>
    <w:p w14:paraId="54B39FAA" w14:textId="44E9BB46" w:rsidR="00AF323F" w:rsidRDefault="00AF323F" w:rsidP="005D6506">
      <w:pPr>
        <w:pStyle w:val="ListParagraph"/>
        <w:numPr>
          <w:ilvl w:val="0"/>
          <w:numId w:val="27"/>
        </w:numPr>
      </w:pPr>
      <w:r>
        <w:t>Consumer notification: High risk – consumers notified without unnecessary delay (GDPR Article 34)</w:t>
      </w:r>
    </w:p>
    <w:p w14:paraId="0A012D74" w14:textId="010210B5" w:rsidR="00AF323F" w:rsidRDefault="00AF323F" w:rsidP="005D6506">
      <w:pPr>
        <w:pStyle w:val="ListParagraph"/>
        <w:numPr>
          <w:ilvl w:val="0"/>
          <w:numId w:val="27"/>
        </w:numPr>
      </w:pPr>
      <w:r>
        <w:t>To ensure timely payment, brands and acquiring payment banks are notified of PCI DSS.</w:t>
      </w:r>
    </w:p>
    <w:p w14:paraId="6F766F02" w14:textId="77777777" w:rsidR="0049630A" w:rsidRDefault="0049630A" w:rsidP="0049630A"/>
    <w:p w14:paraId="0DD4D5F1" w14:textId="77777777" w:rsidR="0049630A" w:rsidRDefault="0049630A" w:rsidP="0049630A"/>
    <w:p w14:paraId="22A20E6D" w14:textId="77777777" w:rsidR="0049630A" w:rsidRDefault="0049630A" w:rsidP="0049630A"/>
    <w:p w14:paraId="0C59A402" w14:textId="77777777" w:rsidR="0049630A" w:rsidRDefault="0049630A" w:rsidP="0049630A"/>
    <w:p w14:paraId="197CDDFB" w14:textId="77777777" w:rsidR="0049630A" w:rsidRDefault="0049630A" w:rsidP="0049630A"/>
    <w:p w14:paraId="089404AD" w14:textId="77777777" w:rsidR="0049630A" w:rsidRDefault="0049630A" w:rsidP="0049630A"/>
    <w:p w14:paraId="31E19346" w14:textId="77777777" w:rsidR="0049630A" w:rsidRDefault="0049630A" w:rsidP="0049630A"/>
    <w:p w14:paraId="3335334B" w14:textId="77777777" w:rsidR="005D6506" w:rsidRPr="005D6506" w:rsidRDefault="005D6506" w:rsidP="00AF323F">
      <w:pPr>
        <w:rPr>
          <w:b/>
          <w:bCs/>
        </w:rPr>
      </w:pPr>
      <w:r w:rsidRPr="005D6506">
        <w:rPr>
          <w:b/>
          <w:bCs/>
        </w:rPr>
        <w:lastRenderedPageBreak/>
        <w:t>Incident Response and Disaster Recovery</w:t>
      </w:r>
    </w:p>
    <w:p w14:paraId="22A36138" w14:textId="5A296EBA" w:rsidR="005D6506" w:rsidRDefault="00AF323F" w:rsidP="00AF323F">
      <w:r>
        <w:t>With a long 76-day dwell time, it's evident that 'quick action' is a need and necessity at Equifax. The following incident response plan has been developed with a focus on minimising the need for 'dwell time' and impact to the organisation.</w:t>
      </w:r>
    </w:p>
    <w:p w14:paraId="4B0AE422" w14:textId="77777777" w:rsidR="0049630A" w:rsidRDefault="0049630A" w:rsidP="00AF323F"/>
    <w:tbl>
      <w:tblPr>
        <w:tblStyle w:val="TableGrid"/>
        <w:tblW w:w="9157" w:type="dxa"/>
        <w:tblInd w:w="85" w:type="dxa"/>
        <w:tblLook w:val="04A0" w:firstRow="1" w:lastRow="0" w:firstColumn="1" w:lastColumn="0" w:noHBand="0" w:noVBand="1"/>
      </w:tblPr>
      <w:tblGrid>
        <w:gridCol w:w="1890"/>
        <w:gridCol w:w="5609"/>
        <w:gridCol w:w="1658"/>
      </w:tblGrid>
      <w:tr w:rsidR="005D6506" w:rsidRPr="005D6506" w14:paraId="4CE9B6FE" w14:textId="77777777" w:rsidTr="005D6506">
        <w:trPr>
          <w:trHeight w:val="598"/>
        </w:trPr>
        <w:tc>
          <w:tcPr>
            <w:tcW w:w="1890" w:type="dxa"/>
            <w:hideMark/>
          </w:tcPr>
          <w:p w14:paraId="186A7483" w14:textId="77777777" w:rsidR="005D6506" w:rsidRPr="005D6506" w:rsidRDefault="005D6506" w:rsidP="005D6506">
            <w:pPr>
              <w:spacing w:after="160"/>
              <w:rPr>
                <w:lang w:val="en-US"/>
              </w:rPr>
            </w:pPr>
            <w:r w:rsidRPr="005D6506">
              <w:rPr>
                <w:b/>
                <w:bCs/>
                <w:lang w:val="en-US"/>
              </w:rPr>
              <w:t>Phase</w:t>
            </w:r>
          </w:p>
        </w:tc>
        <w:tc>
          <w:tcPr>
            <w:tcW w:w="5609" w:type="dxa"/>
            <w:hideMark/>
          </w:tcPr>
          <w:p w14:paraId="470483A2" w14:textId="77777777" w:rsidR="005D6506" w:rsidRPr="005D6506" w:rsidRDefault="005D6506" w:rsidP="005D6506">
            <w:pPr>
              <w:spacing w:after="160"/>
              <w:rPr>
                <w:lang w:val="en-US"/>
              </w:rPr>
            </w:pPr>
            <w:r w:rsidRPr="005D6506">
              <w:rPr>
                <w:b/>
                <w:bCs/>
                <w:lang w:val="en-US"/>
              </w:rPr>
              <w:t>Key Activities</w:t>
            </w:r>
          </w:p>
        </w:tc>
        <w:tc>
          <w:tcPr>
            <w:tcW w:w="0" w:type="auto"/>
            <w:hideMark/>
          </w:tcPr>
          <w:p w14:paraId="133AAC1E" w14:textId="77777777" w:rsidR="005D6506" w:rsidRPr="005D6506" w:rsidRDefault="005D6506" w:rsidP="005D6506">
            <w:pPr>
              <w:spacing w:after="160"/>
              <w:rPr>
                <w:lang w:val="en-US"/>
              </w:rPr>
            </w:pPr>
            <w:r w:rsidRPr="005D6506">
              <w:rPr>
                <w:b/>
                <w:bCs/>
                <w:lang w:val="en-US"/>
              </w:rPr>
              <w:t>Timeframe</w:t>
            </w:r>
          </w:p>
        </w:tc>
      </w:tr>
      <w:tr w:rsidR="005D6506" w:rsidRPr="005D6506" w14:paraId="66850A81" w14:textId="77777777" w:rsidTr="005D6506">
        <w:trPr>
          <w:trHeight w:val="1033"/>
        </w:trPr>
        <w:tc>
          <w:tcPr>
            <w:tcW w:w="1890" w:type="dxa"/>
            <w:hideMark/>
          </w:tcPr>
          <w:p w14:paraId="3D1DFBAD" w14:textId="77777777" w:rsidR="005D6506" w:rsidRPr="005D6506" w:rsidRDefault="005D6506" w:rsidP="005D6506">
            <w:pPr>
              <w:spacing w:after="160"/>
              <w:rPr>
                <w:lang w:val="en-US"/>
              </w:rPr>
            </w:pPr>
            <w:r w:rsidRPr="005D6506">
              <w:rPr>
                <w:b/>
                <w:bCs/>
                <w:lang w:val="en-US"/>
              </w:rPr>
              <w:t>Preparation</w:t>
            </w:r>
          </w:p>
        </w:tc>
        <w:tc>
          <w:tcPr>
            <w:tcW w:w="5609" w:type="dxa"/>
            <w:hideMark/>
          </w:tcPr>
          <w:p w14:paraId="424CE7AD" w14:textId="77777777" w:rsidR="005D6506" w:rsidRPr="005D6506" w:rsidRDefault="005D6506" w:rsidP="005D6506">
            <w:pPr>
              <w:spacing w:after="160"/>
              <w:rPr>
                <w:lang w:val="en-US"/>
              </w:rPr>
            </w:pPr>
            <w:r w:rsidRPr="005D6506">
              <w:rPr>
                <w:lang w:val="en-US"/>
              </w:rPr>
              <w:t>IR plan maintenance; tabletop exercises; team training; playbook development</w:t>
            </w:r>
          </w:p>
        </w:tc>
        <w:tc>
          <w:tcPr>
            <w:tcW w:w="0" w:type="auto"/>
            <w:hideMark/>
          </w:tcPr>
          <w:p w14:paraId="1B60AACC" w14:textId="77777777" w:rsidR="005D6506" w:rsidRPr="005D6506" w:rsidRDefault="005D6506" w:rsidP="005D6506">
            <w:pPr>
              <w:spacing w:after="160"/>
              <w:rPr>
                <w:lang w:val="en-US"/>
              </w:rPr>
            </w:pPr>
            <w:r w:rsidRPr="005D6506">
              <w:rPr>
                <w:lang w:val="en-US"/>
              </w:rPr>
              <w:t>Continuous</w:t>
            </w:r>
          </w:p>
        </w:tc>
      </w:tr>
      <w:tr w:rsidR="005D6506" w:rsidRPr="005D6506" w14:paraId="293DA9A0" w14:textId="77777777" w:rsidTr="005D6506">
        <w:trPr>
          <w:trHeight w:val="1033"/>
        </w:trPr>
        <w:tc>
          <w:tcPr>
            <w:tcW w:w="1890" w:type="dxa"/>
            <w:hideMark/>
          </w:tcPr>
          <w:p w14:paraId="18F0F21F" w14:textId="77777777" w:rsidR="005D6506" w:rsidRPr="005D6506" w:rsidRDefault="005D6506" w:rsidP="005D6506">
            <w:pPr>
              <w:spacing w:after="160"/>
              <w:rPr>
                <w:lang w:val="en-US"/>
              </w:rPr>
            </w:pPr>
            <w:r w:rsidRPr="005D6506">
              <w:rPr>
                <w:b/>
                <w:bCs/>
                <w:lang w:val="en-US"/>
              </w:rPr>
              <w:t>Detection and Analysis</w:t>
            </w:r>
          </w:p>
        </w:tc>
        <w:tc>
          <w:tcPr>
            <w:tcW w:w="5609" w:type="dxa"/>
            <w:hideMark/>
          </w:tcPr>
          <w:p w14:paraId="6E856161" w14:textId="77777777" w:rsidR="005D6506" w:rsidRPr="005D6506" w:rsidRDefault="005D6506" w:rsidP="005D6506">
            <w:pPr>
              <w:spacing w:after="160"/>
              <w:rPr>
                <w:lang w:val="en-US"/>
              </w:rPr>
            </w:pPr>
            <w:r w:rsidRPr="005D6506">
              <w:rPr>
                <w:lang w:val="en-US"/>
              </w:rPr>
              <w:t>Alert triage; investigation; containment strategy; threat intelligence integration</w:t>
            </w:r>
          </w:p>
        </w:tc>
        <w:tc>
          <w:tcPr>
            <w:tcW w:w="0" w:type="auto"/>
            <w:hideMark/>
          </w:tcPr>
          <w:p w14:paraId="0DF5C971" w14:textId="77777777" w:rsidR="005D6506" w:rsidRPr="005D6506" w:rsidRDefault="005D6506" w:rsidP="005D6506">
            <w:pPr>
              <w:spacing w:after="160"/>
              <w:rPr>
                <w:lang w:val="en-US"/>
              </w:rPr>
            </w:pPr>
            <w:r w:rsidRPr="005D6506">
              <w:rPr>
                <w:lang w:val="en-US"/>
              </w:rPr>
              <w:t>&lt; 24 hours</w:t>
            </w:r>
          </w:p>
        </w:tc>
      </w:tr>
      <w:tr w:rsidR="005D6506" w:rsidRPr="005D6506" w14:paraId="3008F33F" w14:textId="77777777" w:rsidTr="005D6506">
        <w:trPr>
          <w:trHeight w:val="1033"/>
        </w:trPr>
        <w:tc>
          <w:tcPr>
            <w:tcW w:w="1890" w:type="dxa"/>
            <w:hideMark/>
          </w:tcPr>
          <w:p w14:paraId="3DA13418" w14:textId="77777777" w:rsidR="005D6506" w:rsidRPr="005D6506" w:rsidRDefault="005D6506" w:rsidP="005D6506">
            <w:pPr>
              <w:spacing w:after="160"/>
              <w:rPr>
                <w:lang w:val="en-US"/>
              </w:rPr>
            </w:pPr>
            <w:r w:rsidRPr="005D6506">
              <w:rPr>
                <w:b/>
                <w:bCs/>
                <w:lang w:val="en-US"/>
              </w:rPr>
              <w:t>Containment</w:t>
            </w:r>
          </w:p>
        </w:tc>
        <w:tc>
          <w:tcPr>
            <w:tcW w:w="5609" w:type="dxa"/>
            <w:hideMark/>
          </w:tcPr>
          <w:p w14:paraId="6C5855CE" w14:textId="77777777" w:rsidR="005D6506" w:rsidRPr="005D6506" w:rsidRDefault="005D6506" w:rsidP="005D6506">
            <w:pPr>
              <w:spacing w:after="160"/>
              <w:rPr>
                <w:lang w:val="en-US"/>
              </w:rPr>
            </w:pPr>
            <w:r w:rsidRPr="005D6506">
              <w:rPr>
                <w:lang w:val="en-US"/>
              </w:rPr>
              <w:t>Isolate affected systems; preserve evidence; implement temporary fixes; engage forensics</w:t>
            </w:r>
          </w:p>
        </w:tc>
        <w:tc>
          <w:tcPr>
            <w:tcW w:w="0" w:type="auto"/>
            <w:hideMark/>
          </w:tcPr>
          <w:p w14:paraId="13E0BEEB" w14:textId="77777777" w:rsidR="005D6506" w:rsidRPr="005D6506" w:rsidRDefault="005D6506" w:rsidP="005D6506">
            <w:pPr>
              <w:spacing w:after="160"/>
              <w:rPr>
                <w:lang w:val="en-US"/>
              </w:rPr>
            </w:pPr>
            <w:r w:rsidRPr="005D6506">
              <w:rPr>
                <w:lang w:val="en-US"/>
              </w:rPr>
              <w:t>&lt; 4 hours</w:t>
            </w:r>
          </w:p>
        </w:tc>
      </w:tr>
      <w:tr w:rsidR="005D6506" w:rsidRPr="005D6506" w14:paraId="24432AAB" w14:textId="77777777" w:rsidTr="005D6506">
        <w:trPr>
          <w:trHeight w:val="1033"/>
        </w:trPr>
        <w:tc>
          <w:tcPr>
            <w:tcW w:w="1890" w:type="dxa"/>
            <w:hideMark/>
          </w:tcPr>
          <w:p w14:paraId="6268825D" w14:textId="77777777" w:rsidR="005D6506" w:rsidRPr="005D6506" w:rsidRDefault="005D6506" w:rsidP="005D6506">
            <w:pPr>
              <w:spacing w:after="160"/>
              <w:rPr>
                <w:lang w:val="en-US"/>
              </w:rPr>
            </w:pPr>
            <w:r w:rsidRPr="005D6506">
              <w:rPr>
                <w:b/>
                <w:bCs/>
                <w:lang w:val="en-US"/>
              </w:rPr>
              <w:t>Eradication</w:t>
            </w:r>
          </w:p>
        </w:tc>
        <w:tc>
          <w:tcPr>
            <w:tcW w:w="5609" w:type="dxa"/>
            <w:hideMark/>
          </w:tcPr>
          <w:p w14:paraId="5E5E18C1" w14:textId="77777777" w:rsidR="005D6506" w:rsidRPr="005D6506" w:rsidRDefault="005D6506" w:rsidP="005D6506">
            <w:pPr>
              <w:spacing w:after="160"/>
              <w:rPr>
                <w:lang w:val="en-US"/>
              </w:rPr>
            </w:pPr>
            <w:r w:rsidRPr="005D6506">
              <w:rPr>
                <w:lang w:val="en-US"/>
              </w:rPr>
              <w:t>Remove threat; patch vulnerabilities; system rebuild; credential rotation</w:t>
            </w:r>
          </w:p>
        </w:tc>
        <w:tc>
          <w:tcPr>
            <w:tcW w:w="0" w:type="auto"/>
            <w:hideMark/>
          </w:tcPr>
          <w:p w14:paraId="5AE87E53" w14:textId="77777777" w:rsidR="005D6506" w:rsidRPr="005D6506" w:rsidRDefault="005D6506" w:rsidP="005D6506">
            <w:pPr>
              <w:spacing w:after="160"/>
              <w:rPr>
                <w:lang w:val="en-US"/>
              </w:rPr>
            </w:pPr>
            <w:r w:rsidRPr="005D6506">
              <w:rPr>
                <w:lang w:val="en-US"/>
              </w:rPr>
              <w:t>&lt; 48 hours</w:t>
            </w:r>
          </w:p>
        </w:tc>
      </w:tr>
      <w:tr w:rsidR="005D6506" w:rsidRPr="005D6506" w14:paraId="3CEF0E6E" w14:textId="77777777" w:rsidTr="005D6506">
        <w:trPr>
          <w:trHeight w:val="1033"/>
        </w:trPr>
        <w:tc>
          <w:tcPr>
            <w:tcW w:w="1890" w:type="dxa"/>
            <w:hideMark/>
          </w:tcPr>
          <w:p w14:paraId="3FC8A6E8" w14:textId="77777777" w:rsidR="005D6506" w:rsidRPr="005D6506" w:rsidRDefault="005D6506" w:rsidP="005D6506">
            <w:pPr>
              <w:spacing w:after="160"/>
              <w:rPr>
                <w:lang w:val="en-US"/>
              </w:rPr>
            </w:pPr>
            <w:r w:rsidRPr="005D6506">
              <w:rPr>
                <w:b/>
                <w:bCs/>
                <w:lang w:val="en-US"/>
              </w:rPr>
              <w:t>Recovery</w:t>
            </w:r>
          </w:p>
        </w:tc>
        <w:tc>
          <w:tcPr>
            <w:tcW w:w="5609" w:type="dxa"/>
            <w:hideMark/>
          </w:tcPr>
          <w:p w14:paraId="0FB7E262" w14:textId="328E01C3" w:rsidR="005D6506" w:rsidRPr="005D6506" w:rsidRDefault="005D6506" w:rsidP="005D6506">
            <w:pPr>
              <w:spacing w:after="160"/>
              <w:rPr>
                <w:lang w:val="en-US"/>
              </w:rPr>
            </w:pPr>
            <w:r w:rsidRPr="005D6506">
              <w:rPr>
                <w:lang w:val="en-US"/>
              </w:rPr>
              <w:t>Restore systems; validate integrity; monitor for recurrence; resume operations</w:t>
            </w:r>
            <w:r>
              <w:rPr>
                <w:lang w:val="en-US"/>
              </w:rPr>
              <w:t>.</w:t>
            </w:r>
          </w:p>
        </w:tc>
        <w:tc>
          <w:tcPr>
            <w:tcW w:w="0" w:type="auto"/>
            <w:hideMark/>
          </w:tcPr>
          <w:p w14:paraId="1C7483C0" w14:textId="77777777" w:rsidR="005D6506" w:rsidRPr="005D6506" w:rsidRDefault="005D6506" w:rsidP="005D6506">
            <w:pPr>
              <w:spacing w:after="160"/>
              <w:rPr>
                <w:lang w:val="en-US"/>
              </w:rPr>
            </w:pPr>
            <w:r w:rsidRPr="005D6506">
              <w:rPr>
                <w:lang w:val="en-US"/>
              </w:rPr>
              <w:t>Per BCP/RTO</w:t>
            </w:r>
          </w:p>
        </w:tc>
      </w:tr>
      <w:tr w:rsidR="005D6506" w:rsidRPr="005D6506" w14:paraId="0433B333" w14:textId="77777777" w:rsidTr="005D6506">
        <w:trPr>
          <w:trHeight w:val="1033"/>
        </w:trPr>
        <w:tc>
          <w:tcPr>
            <w:tcW w:w="1890" w:type="dxa"/>
            <w:hideMark/>
          </w:tcPr>
          <w:p w14:paraId="3A0955D9" w14:textId="77777777" w:rsidR="005D6506" w:rsidRPr="005D6506" w:rsidRDefault="005D6506" w:rsidP="005D6506">
            <w:pPr>
              <w:spacing w:after="160"/>
              <w:rPr>
                <w:lang w:val="en-US"/>
              </w:rPr>
            </w:pPr>
            <w:r w:rsidRPr="005D6506">
              <w:rPr>
                <w:b/>
                <w:bCs/>
                <w:lang w:val="en-US"/>
              </w:rPr>
              <w:t>Post-Incident</w:t>
            </w:r>
          </w:p>
        </w:tc>
        <w:tc>
          <w:tcPr>
            <w:tcW w:w="5609" w:type="dxa"/>
            <w:hideMark/>
          </w:tcPr>
          <w:p w14:paraId="132F2F0A" w14:textId="77777777" w:rsidR="005D6506" w:rsidRPr="005D6506" w:rsidRDefault="005D6506" w:rsidP="005D6506">
            <w:pPr>
              <w:spacing w:after="160"/>
              <w:rPr>
                <w:lang w:val="en-US"/>
              </w:rPr>
            </w:pPr>
            <w:r w:rsidRPr="005D6506">
              <w:rPr>
                <w:lang w:val="en-US"/>
              </w:rPr>
              <w:t>Lessons learned; report; policy updates; regulatory notification; consumer communication</w:t>
            </w:r>
          </w:p>
        </w:tc>
        <w:tc>
          <w:tcPr>
            <w:tcW w:w="0" w:type="auto"/>
            <w:hideMark/>
          </w:tcPr>
          <w:p w14:paraId="142C57DF" w14:textId="77777777" w:rsidR="005D6506" w:rsidRPr="005D6506" w:rsidRDefault="005D6506" w:rsidP="005D6506">
            <w:pPr>
              <w:spacing w:after="160"/>
              <w:rPr>
                <w:lang w:val="en-US"/>
              </w:rPr>
            </w:pPr>
            <w:r w:rsidRPr="005D6506">
              <w:rPr>
                <w:lang w:val="en-US"/>
              </w:rPr>
              <w:t>Within 72 hours</w:t>
            </w:r>
          </w:p>
        </w:tc>
      </w:tr>
    </w:tbl>
    <w:p w14:paraId="55807C4C" w14:textId="77777777" w:rsidR="00AF323F" w:rsidRDefault="00AF323F" w:rsidP="00AF323F"/>
    <w:p w14:paraId="3D2D4481" w14:textId="182BF9DC" w:rsidR="00AF323F" w:rsidRDefault="005D6506" w:rsidP="005D6506">
      <w:pPr>
        <w:pStyle w:val="Caption"/>
        <w:jc w:val="center"/>
        <w:rPr>
          <w:b/>
          <w:bCs/>
          <w:sz w:val="22"/>
          <w:szCs w:val="22"/>
        </w:rPr>
      </w:pPr>
      <w:r w:rsidRPr="005D6506">
        <w:rPr>
          <w:b/>
          <w:bCs/>
          <w:sz w:val="22"/>
          <w:szCs w:val="22"/>
        </w:rPr>
        <w:t xml:space="preserve">Table </w:t>
      </w:r>
      <w:r w:rsidRPr="005D6506">
        <w:rPr>
          <w:b/>
          <w:bCs/>
          <w:sz w:val="22"/>
          <w:szCs w:val="22"/>
        </w:rPr>
        <w:fldChar w:fldCharType="begin"/>
      </w:r>
      <w:r w:rsidRPr="005D6506">
        <w:rPr>
          <w:b/>
          <w:bCs/>
          <w:sz w:val="22"/>
          <w:szCs w:val="22"/>
        </w:rPr>
        <w:instrText xml:space="preserve"> SEQ Table \* ARABIC </w:instrText>
      </w:r>
      <w:r w:rsidRPr="005D6506">
        <w:rPr>
          <w:b/>
          <w:bCs/>
          <w:sz w:val="22"/>
          <w:szCs w:val="22"/>
        </w:rPr>
        <w:fldChar w:fldCharType="separate"/>
      </w:r>
      <w:r w:rsidRPr="005D6506">
        <w:rPr>
          <w:b/>
          <w:bCs/>
          <w:noProof/>
          <w:sz w:val="22"/>
          <w:szCs w:val="22"/>
        </w:rPr>
        <w:t>5</w:t>
      </w:r>
      <w:r w:rsidRPr="005D6506">
        <w:rPr>
          <w:b/>
          <w:bCs/>
          <w:sz w:val="22"/>
          <w:szCs w:val="22"/>
        </w:rPr>
        <w:fldChar w:fldCharType="end"/>
      </w:r>
      <w:r w:rsidRPr="005D6506">
        <w:rPr>
          <w:b/>
          <w:bCs/>
          <w:sz w:val="22"/>
          <w:szCs w:val="22"/>
        </w:rPr>
        <w:t>: Incident Response Plan Structure</w:t>
      </w:r>
      <w:r w:rsidR="005400B8">
        <w:rPr>
          <w:b/>
          <w:bCs/>
          <w:sz w:val="22"/>
          <w:szCs w:val="22"/>
        </w:rPr>
        <w:t xml:space="preserve"> </w:t>
      </w:r>
    </w:p>
    <w:p w14:paraId="2D6E8B93" w14:textId="77777777" w:rsidR="0049630A" w:rsidRPr="0049630A" w:rsidRDefault="0049630A" w:rsidP="0049630A"/>
    <w:p w14:paraId="0CA9DAFD" w14:textId="2C58F74B" w:rsidR="00AF323F" w:rsidRDefault="00AF323F" w:rsidP="00AF323F">
      <w:r>
        <w:t>This is achieved by targeting detection within 24 hours and containment within 4 hours, therefore directly reducing dwell time; the IR plan would do that. DiGrazia [4] makes an important point that, for organisations, it is always assumed that you are already hacked</w:t>
      </w:r>
      <w:r w:rsidR="005D6506">
        <w:t>,</w:t>
      </w:r>
      <w:r>
        <w:t xml:space="preserve"> and that is exactly how to build your operations. The post-incident phase will ensure that regulatory notification is made within 72 hours and effect a solution to Equifax's 40-day delay. Regular tabletop exercises are needed, argues </w:t>
      </w:r>
      <w:r w:rsidR="00C158DD">
        <w:t>Rillington</w:t>
      </w:r>
      <w:r>
        <w:t>, to make sure that the IR plan is effective and that people can respond effectively</w:t>
      </w:r>
      <w:r w:rsidR="000D69F6">
        <w:t>.</w:t>
      </w:r>
      <w:sdt>
        <w:sdtPr>
          <w:id w:val="1015656313"/>
          <w:citation/>
        </w:sdtPr>
        <w:sdtContent>
          <w:r w:rsidR="000D69F6">
            <w:fldChar w:fldCharType="begin"/>
          </w:r>
          <w:r w:rsidR="000D69F6">
            <w:rPr>
              <w:lang w:val="en-US"/>
            </w:rPr>
            <w:instrText xml:space="preserve"> CITATION Rel26 \l 1033 </w:instrText>
          </w:r>
          <w:r w:rsidR="000D69F6">
            <w:fldChar w:fldCharType="separate"/>
          </w:r>
          <w:r w:rsidR="00C158DD">
            <w:rPr>
              <w:noProof/>
              <w:lang w:val="en-US"/>
            </w:rPr>
            <w:t xml:space="preserve"> </w:t>
          </w:r>
          <w:r w:rsidR="00C158DD" w:rsidRPr="00C158DD">
            <w:rPr>
              <w:noProof/>
              <w:lang w:val="en-US"/>
            </w:rPr>
            <w:t>[18]</w:t>
          </w:r>
          <w:r w:rsidR="000D69F6">
            <w:fldChar w:fldCharType="end"/>
          </w:r>
        </w:sdtContent>
      </w:sdt>
      <w:r>
        <w:t>.</w:t>
      </w:r>
    </w:p>
    <w:p w14:paraId="53DE3E29" w14:textId="77777777" w:rsidR="005D6506" w:rsidRPr="005D6506" w:rsidRDefault="005D6506" w:rsidP="00AF323F">
      <w:pPr>
        <w:rPr>
          <w:b/>
          <w:bCs/>
        </w:rPr>
      </w:pPr>
      <w:r w:rsidRPr="005D6506">
        <w:rPr>
          <w:b/>
          <w:bCs/>
        </w:rPr>
        <w:lastRenderedPageBreak/>
        <w:t>Technical Safeguards</w:t>
      </w:r>
    </w:p>
    <w:p w14:paraId="45430461" w14:textId="0E61AAB3" w:rsidR="00AF323F" w:rsidRDefault="00AF323F" w:rsidP="00AF323F">
      <w:r>
        <w:t>Below is a list of technical safeguards proposed to give full protection, with detail on why each control reduces dwell time and the impact this has on the organisation.</w:t>
      </w:r>
    </w:p>
    <w:p w14:paraId="2232F4F5" w14:textId="77777777" w:rsidR="0049630A" w:rsidRDefault="0049630A" w:rsidP="00AF323F"/>
    <w:tbl>
      <w:tblPr>
        <w:tblStyle w:val="TableGrid"/>
        <w:tblW w:w="9806" w:type="dxa"/>
        <w:tblLook w:val="04A0" w:firstRow="1" w:lastRow="0" w:firstColumn="1" w:lastColumn="0" w:noHBand="0" w:noVBand="1"/>
      </w:tblPr>
      <w:tblGrid>
        <w:gridCol w:w="1896"/>
        <w:gridCol w:w="3229"/>
        <w:gridCol w:w="4681"/>
      </w:tblGrid>
      <w:tr w:rsidR="005D6506" w:rsidRPr="005D6506" w14:paraId="7CE9BA99" w14:textId="77777777" w:rsidTr="005D6506">
        <w:trPr>
          <w:trHeight w:val="152"/>
        </w:trPr>
        <w:tc>
          <w:tcPr>
            <w:tcW w:w="1896" w:type="dxa"/>
            <w:hideMark/>
          </w:tcPr>
          <w:p w14:paraId="2DB01F38" w14:textId="77777777" w:rsidR="005D6506" w:rsidRPr="005D6506" w:rsidRDefault="005D6506" w:rsidP="005D6506">
            <w:pPr>
              <w:spacing w:after="160"/>
              <w:rPr>
                <w:lang w:val="en-US"/>
              </w:rPr>
            </w:pPr>
            <w:r w:rsidRPr="005D6506">
              <w:rPr>
                <w:b/>
                <w:bCs/>
                <w:lang w:val="en-US"/>
              </w:rPr>
              <w:t>Control</w:t>
            </w:r>
          </w:p>
        </w:tc>
        <w:tc>
          <w:tcPr>
            <w:tcW w:w="3229" w:type="dxa"/>
            <w:hideMark/>
          </w:tcPr>
          <w:p w14:paraId="58AA79C4" w14:textId="77777777" w:rsidR="005D6506" w:rsidRPr="005D6506" w:rsidRDefault="005D6506" w:rsidP="005D6506">
            <w:pPr>
              <w:spacing w:after="160"/>
              <w:rPr>
                <w:lang w:val="en-US"/>
              </w:rPr>
            </w:pPr>
            <w:r w:rsidRPr="005D6506">
              <w:rPr>
                <w:b/>
                <w:bCs/>
                <w:lang w:val="en-US"/>
              </w:rPr>
              <w:t>Implementation</w:t>
            </w:r>
          </w:p>
        </w:tc>
        <w:tc>
          <w:tcPr>
            <w:tcW w:w="4681" w:type="dxa"/>
            <w:hideMark/>
          </w:tcPr>
          <w:p w14:paraId="1F0E268D" w14:textId="77777777" w:rsidR="005D6506" w:rsidRPr="005D6506" w:rsidRDefault="005D6506" w:rsidP="005D6506">
            <w:pPr>
              <w:spacing w:after="160"/>
              <w:rPr>
                <w:lang w:val="en-US"/>
              </w:rPr>
            </w:pPr>
            <w:r w:rsidRPr="005D6506">
              <w:rPr>
                <w:b/>
                <w:bCs/>
                <w:lang w:val="en-US"/>
              </w:rPr>
              <w:t>Justification</w:t>
            </w:r>
          </w:p>
        </w:tc>
      </w:tr>
      <w:tr w:rsidR="005D6506" w:rsidRPr="005D6506" w14:paraId="441AF06F" w14:textId="77777777" w:rsidTr="005D6506">
        <w:trPr>
          <w:trHeight w:val="372"/>
        </w:trPr>
        <w:tc>
          <w:tcPr>
            <w:tcW w:w="1896" w:type="dxa"/>
            <w:hideMark/>
          </w:tcPr>
          <w:p w14:paraId="2DA87572" w14:textId="77777777" w:rsidR="005D6506" w:rsidRPr="005D6506" w:rsidRDefault="005D6506" w:rsidP="005D6506">
            <w:pPr>
              <w:spacing w:after="160"/>
              <w:rPr>
                <w:lang w:val="en-US"/>
              </w:rPr>
            </w:pPr>
            <w:r w:rsidRPr="005D6506">
              <w:rPr>
                <w:b/>
                <w:bCs/>
                <w:lang w:val="en-US"/>
              </w:rPr>
              <w:t>Continuous Monitoring</w:t>
            </w:r>
          </w:p>
        </w:tc>
        <w:tc>
          <w:tcPr>
            <w:tcW w:w="3229" w:type="dxa"/>
            <w:hideMark/>
          </w:tcPr>
          <w:p w14:paraId="32AE659D" w14:textId="795A2795" w:rsidR="005D6506" w:rsidRPr="005D6506" w:rsidRDefault="005D6506" w:rsidP="005D6506">
            <w:pPr>
              <w:spacing w:after="160"/>
              <w:rPr>
                <w:lang w:val="en-US"/>
              </w:rPr>
            </w:pPr>
            <w:r w:rsidRPr="005D6506">
              <w:rPr>
                <w:lang w:val="en-US"/>
              </w:rPr>
              <w:t xml:space="preserve">24/7 SOC; SIEM; network traffic analysis; user </w:t>
            </w:r>
            <w:r w:rsidR="00C158DD" w:rsidRPr="005D6506">
              <w:rPr>
                <w:lang w:val="en-US"/>
              </w:rPr>
              <w:t>behavior</w:t>
            </w:r>
            <w:r w:rsidRPr="005D6506">
              <w:rPr>
                <w:lang w:val="en-US"/>
              </w:rPr>
              <w:t xml:space="preserve"> analytics</w:t>
            </w:r>
          </w:p>
        </w:tc>
        <w:tc>
          <w:tcPr>
            <w:tcW w:w="4681" w:type="dxa"/>
            <w:hideMark/>
          </w:tcPr>
          <w:p w14:paraId="677D11A6" w14:textId="77777777" w:rsidR="005D6506" w:rsidRPr="005D6506" w:rsidRDefault="005D6506" w:rsidP="005D6506">
            <w:pPr>
              <w:spacing w:after="160"/>
              <w:rPr>
                <w:lang w:val="en-US"/>
              </w:rPr>
            </w:pPr>
            <w:r w:rsidRPr="005D6506">
              <w:rPr>
                <w:lang w:val="en-US"/>
              </w:rPr>
              <w:t>Detects anomalies and exfiltration; reduces dwell time; addresses Equifax's monitoring failure</w:t>
            </w:r>
          </w:p>
        </w:tc>
      </w:tr>
      <w:tr w:rsidR="005D6506" w:rsidRPr="005D6506" w14:paraId="325338A9" w14:textId="77777777" w:rsidTr="005D6506">
        <w:trPr>
          <w:trHeight w:val="262"/>
        </w:trPr>
        <w:tc>
          <w:tcPr>
            <w:tcW w:w="1896" w:type="dxa"/>
            <w:hideMark/>
          </w:tcPr>
          <w:p w14:paraId="5886B813" w14:textId="77777777" w:rsidR="005D6506" w:rsidRPr="005D6506" w:rsidRDefault="005D6506" w:rsidP="005D6506">
            <w:pPr>
              <w:spacing w:after="160"/>
              <w:rPr>
                <w:lang w:val="en-US"/>
              </w:rPr>
            </w:pPr>
            <w:r w:rsidRPr="005D6506">
              <w:rPr>
                <w:b/>
                <w:bCs/>
                <w:lang w:val="en-US"/>
              </w:rPr>
              <w:t>Automated Vulnerability Scanning</w:t>
            </w:r>
          </w:p>
        </w:tc>
        <w:tc>
          <w:tcPr>
            <w:tcW w:w="3229" w:type="dxa"/>
            <w:hideMark/>
          </w:tcPr>
          <w:p w14:paraId="4350A45E" w14:textId="77777777" w:rsidR="005D6506" w:rsidRPr="005D6506" w:rsidRDefault="005D6506" w:rsidP="005D6506">
            <w:pPr>
              <w:spacing w:after="160"/>
              <w:rPr>
                <w:lang w:val="en-US"/>
              </w:rPr>
            </w:pPr>
            <w:r w:rsidRPr="005D6506">
              <w:rPr>
                <w:lang w:val="en-US"/>
              </w:rPr>
              <w:t>Weekly scans; critical patch SLA; integration with patch management</w:t>
            </w:r>
          </w:p>
        </w:tc>
        <w:tc>
          <w:tcPr>
            <w:tcW w:w="4681" w:type="dxa"/>
            <w:hideMark/>
          </w:tcPr>
          <w:p w14:paraId="07BE8078" w14:textId="77777777" w:rsidR="005D6506" w:rsidRPr="005D6506" w:rsidRDefault="005D6506" w:rsidP="005D6506">
            <w:pPr>
              <w:spacing w:after="160"/>
              <w:rPr>
                <w:lang w:val="en-US"/>
              </w:rPr>
            </w:pPr>
            <w:r w:rsidRPr="005D6506">
              <w:rPr>
                <w:lang w:val="en-US"/>
              </w:rPr>
              <w:t>Prevents unpatched vulnerabilities; addresses Equifax's scanning failure</w:t>
            </w:r>
          </w:p>
        </w:tc>
      </w:tr>
      <w:tr w:rsidR="005D6506" w:rsidRPr="005D6506" w14:paraId="19D9A9A1" w14:textId="77777777" w:rsidTr="005D6506">
        <w:trPr>
          <w:trHeight w:val="262"/>
        </w:trPr>
        <w:tc>
          <w:tcPr>
            <w:tcW w:w="1896" w:type="dxa"/>
            <w:hideMark/>
          </w:tcPr>
          <w:p w14:paraId="3DB186A8" w14:textId="77777777" w:rsidR="005D6506" w:rsidRPr="005D6506" w:rsidRDefault="005D6506" w:rsidP="005D6506">
            <w:pPr>
              <w:spacing w:after="160"/>
              <w:rPr>
                <w:lang w:val="en-US"/>
              </w:rPr>
            </w:pPr>
            <w:r w:rsidRPr="005D6506">
              <w:rPr>
                <w:b/>
                <w:bCs/>
                <w:lang w:val="en-US"/>
              </w:rPr>
              <w:t>Endpoint Detection and Response (EDR)</w:t>
            </w:r>
          </w:p>
        </w:tc>
        <w:tc>
          <w:tcPr>
            <w:tcW w:w="3229" w:type="dxa"/>
            <w:hideMark/>
          </w:tcPr>
          <w:p w14:paraId="5E87BE03" w14:textId="221512FE" w:rsidR="005D6506" w:rsidRPr="005D6506" w:rsidRDefault="005D6506" w:rsidP="005D6506">
            <w:pPr>
              <w:spacing w:after="160"/>
              <w:rPr>
                <w:lang w:val="en-US"/>
              </w:rPr>
            </w:pPr>
            <w:r w:rsidRPr="005D6506">
              <w:rPr>
                <w:lang w:val="en-US"/>
              </w:rPr>
              <w:t xml:space="preserve">All endpoints; </w:t>
            </w:r>
            <w:r w:rsidR="00C158DD" w:rsidRPr="005D6506">
              <w:rPr>
                <w:lang w:val="en-US"/>
              </w:rPr>
              <w:t>behavioral</w:t>
            </w:r>
            <w:r w:rsidRPr="005D6506">
              <w:rPr>
                <w:lang w:val="en-US"/>
              </w:rPr>
              <w:t xml:space="preserve"> analytics; threat hunting</w:t>
            </w:r>
          </w:p>
        </w:tc>
        <w:tc>
          <w:tcPr>
            <w:tcW w:w="4681" w:type="dxa"/>
            <w:hideMark/>
          </w:tcPr>
          <w:p w14:paraId="189150E9" w14:textId="77777777" w:rsidR="005D6506" w:rsidRPr="005D6506" w:rsidRDefault="005D6506" w:rsidP="005D6506">
            <w:pPr>
              <w:spacing w:after="160"/>
              <w:rPr>
                <w:lang w:val="en-US"/>
              </w:rPr>
            </w:pPr>
            <w:r w:rsidRPr="005D6506">
              <w:rPr>
                <w:lang w:val="en-US"/>
              </w:rPr>
              <w:t>Detects lateral movement; provides visibility; reduces dwell time</w:t>
            </w:r>
          </w:p>
        </w:tc>
      </w:tr>
      <w:tr w:rsidR="005D6506" w:rsidRPr="005D6506" w14:paraId="7DC774DE" w14:textId="77777777" w:rsidTr="005D6506">
        <w:trPr>
          <w:trHeight w:val="372"/>
        </w:trPr>
        <w:tc>
          <w:tcPr>
            <w:tcW w:w="1896" w:type="dxa"/>
            <w:hideMark/>
          </w:tcPr>
          <w:p w14:paraId="4E4D34B1" w14:textId="77777777" w:rsidR="005D6506" w:rsidRPr="005D6506" w:rsidRDefault="005D6506" w:rsidP="005D6506">
            <w:pPr>
              <w:spacing w:after="160"/>
              <w:rPr>
                <w:lang w:val="en-US"/>
              </w:rPr>
            </w:pPr>
            <w:r w:rsidRPr="005D6506">
              <w:rPr>
                <w:b/>
                <w:bCs/>
                <w:lang w:val="en-US"/>
              </w:rPr>
              <w:t>Encryption</w:t>
            </w:r>
          </w:p>
        </w:tc>
        <w:tc>
          <w:tcPr>
            <w:tcW w:w="3229" w:type="dxa"/>
            <w:hideMark/>
          </w:tcPr>
          <w:p w14:paraId="02EB54C7" w14:textId="77777777" w:rsidR="005D6506" w:rsidRPr="005D6506" w:rsidRDefault="005D6506" w:rsidP="005D6506">
            <w:pPr>
              <w:spacing w:after="160"/>
              <w:rPr>
                <w:lang w:val="en-US"/>
              </w:rPr>
            </w:pPr>
            <w:r w:rsidRPr="005D6506">
              <w:rPr>
                <w:lang w:val="en-US"/>
              </w:rPr>
              <w:t>Data at rest and in transit; robust key management; hardware security modules</w:t>
            </w:r>
          </w:p>
        </w:tc>
        <w:tc>
          <w:tcPr>
            <w:tcW w:w="4681" w:type="dxa"/>
            <w:hideMark/>
          </w:tcPr>
          <w:p w14:paraId="19200E0B" w14:textId="468BC331" w:rsidR="005D6506" w:rsidRPr="005D6506" w:rsidRDefault="005D6506" w:rsidP="005D6506">
            <w:pPr>
              <w:spacing w:after="160"/>
              <w:rPr>
                <w:lang w:val="en-US"/>
              </w:rPr>
            </w:pPr>
            <w:r w:rsidRPr="005D6506">
              <w:rPr>
                <w:lang w:val="en-US"/>
              </w:rPr>
              <w:t>Protects data even if exfiltrated; limits impact of breach</w:t>
            </w:r>
            <w:r>
              <w:rPr>
                <w:lang w:val="en-US"/>
              </w:rPr>
              <w:t>.</w:t>
            </w:r>
          </w:p>
        </w:tc>
      </w:tr>
      <w:tr w:rsidR="005D6506" w:rsidRPr="005D6506" w14:paraId="51A72A31" w14:textId="77777777" w:rsidTr="005D6506">
        <w:trPr>
          <w:trHeight w:val="262"/>
        </w:trPr>
        <w:tc>
          <w:tcPr>
            <w:tcW w:w="1896" w:type="dxa"/>
            <w:hideMark/>
          </w:tcPr>
          <w:p w14:paraId="67DB5451" w14:textId="77777777" w:rsidR="005D6506" w:rsidRPr="005D6506" w:rsidRDefault="005D6506" w:rsidP="005D6506">
            <w:pPr>
              <w:spacing w:after="160"/>
              <w:rPr>
                <w:lang w:val="en-US"/>
              </w:rPr>
            </w:pPr>
            <w:r w:rsidRPr="005D6506">
              <w:rPr>
                <w:b/>
                <w:bCs/>
                <w:lang w:val="en-US"/>
              </w:rPr>
              <w:t>Multi-Factor Authentication</w:t>
            </w:r>
          </w:p>
        </w:tc>
        <w:tc>
          <w:tcPr>
            <w:tcW w:w="3229" w:type="dxa"/>
            <w:hideMark/>
          </w:tcPr>
          <w:p w14:paraId="643EA860" w14:textId="77777777" w:rsidR="005D6506" w:rsidRPr="005D6506" w:rsidRDefault="005D6506" w:rsidP="005D6506">
            <w:pPr>
              <w:spacing w:after="160"/>
              <w:rPr>
                <w:lang w:val="en-US"/>
              </w:rPr>
            </w:pPr>
            <w:r w:rsidRPr="005D6506">
              <w:rPr>
                <w:lang w:val="en-US"/>
              </w:rPr>
              <w:t>All administrative access; privileged accounts; remote access</w:t>
            </w:r>
          </w:p>
        </w:tc>
        <w:tc>
          <w:tcPr>
            <w:tcW w:w="4681" w:type="dxa"/>
            <w:hideMark/>
          </w:tcPr>
          <w:p w14:paraId="52CE5BDE" w14:textId="77777777" w:rsidR="005D6506" w:rsidRPr="005D6506" w:rsidRDefault="005D6506" w:rsidP="005D6506">
            <w:pPr>
              <w:spacing w:after="160"/>
              <w:rPr>
                <w:lang w:val="en-US"/>
              </w:rPr>
            </w:pPr>
            <w:r w:rsidRPr="005D6506">
              <w:rPr>
                <w:lang w:val="en-US"/>
              </w:rPr>
              <w:t>Prevents credential-based lateral movement; limits attacker access</w:t>
            </w:r>
          </w:p>
        </w:tc>
      </w:tr>
      <w:tr w:rsidR="005D6506" w:rsidRPr="005D6506" w14:paraId="0F98B884" w14:textId="77777777" w:rsidTr="005D6506">
        <w:trPr>
          <w:trHeight w:val="372"/>
        </w:trPr>
        <w:tc>
          <w:tcPr>
            <w:tcW w:w="1896" w:type="dxa"/>
            <w:hideMark/>
          </w:tcPr>
          <w:p w14:paraId="150A6BC6" w14:textId="77777777" w:rsidR="005D6506" w:rsidRPr="005D6506" w:rsidRDefault="005D6506" w:rsidP="005D6506">
            <w:pPr>
              <w:spacing w:after="160"/>
              <w:rPr>
                <w:lang w:val="en-US"/>
              </w:rPr>
            </w:pPr>
            <w:r w:rsidRPr="005D6506">
              <w:rPr>
                <w:b/>
                <w:bCs/>
                <w:lang w:val="en-US"/>
              </w:rPr>
              <w:t>Network Segmentation</w:t>
            </w:r>
          </w:p>
        </w:tc>
        <w:tc>
          <w:tcPr>
            <w:tcW w:w="3229" w:type="dxa"/>
            <w:hideMark/>
          </w:tcPr>
          <w:p w14:paraId="4BD559D4" w14:textId="77777777" w:rsidR="005D6506" w:rsidRPr="005D6506" w:rsidRDefault="005D6506" w:rsidP="005D6506">
            <w:pPr>
              <w:spacing w:after="160"/>
              <w:rPr>
                <w:lang w:val="en-US"/>
              </w:rPr>
            </w:pPr>
            <w:r w:rsidRPr="005D6506">
              <w:rPr>
                <w:lang w:val="en-US"/>
              </w:rPr>
              <w:t>Micro-segmentation; zero-trust architecture; network access control</w:t>
            </w:r>
          </w:p>
        </w:tc>
        <w:tc>
          <w:tcPr>
            <w:tcW w:w="4681" w:type="dxa"/>
            <w:hideMark/>
          </w:tcPr>
          <w:p w14:paraId="52E3FE1E" w14:textId="77777777" w:rsidR="005D6506" w:rsidRPr="005D6506" w:rsidRDefault="005D6506" w:rsidP="005D6506">
            <w:pPr>
              <w:spacing w:after="160"/>
              <w:rPr>
                <w:lang w:val="en-US"/>
              </w:rPr>
            </w:pPr>
            <w:r w:rsidRPr="005D6506">
              <w:rPr>
                <w:lang w:val="en-US"/>
              </w:rPr>
              <w:t>Limits lateral movement; contains breaches; prevents access to 48 databases</w:t>
            </w:r>
          </w:p>
        </w:tc>
      </w:tr>
      <w:tr w:rsidR="005D6506" w:rsidRPr="005D6506" w14:paraId="1A1038CE" w14:textId="77777777" w:rsidTr="005D6506">
        <w:trPr>
          <w:trHeight w:val="372"/>
        </w:trPr>
        <w:tc>
          <w:tcPr>
            <w:tcW w:w="1896" w:type="dxa"/>
            <w:hideMark/>
          </w:tcPr>
          <w:p w14:paraId="70EB5DD7" w14:textId="77777777" w:rsidR="005D6506" w:rsidRPr="005D6506" w:rsidRDefault="005D6506" w:rsidP="005D6506">
            <w:pPr>
              <w:spacing w:after="160"/>
              <w:rPr>
                <w:lang w:val="en-US"/>
              </w:rPr>
            </w:pPr>
            <w:r w:rsidRPr="005D6506">
              <w:rPr>
                <w:b/>
                <w:bCs/>
                <w:lang w:val="en-US"/>
              </w:rPr>
              <w:t>Asset Discovery</w:t>
            </w:r>
          </w:p>
        </w:tc>
        <w:tc>
          <w:tcPr>
            <w:tcW w:w="3229" w:type="dxa"/>
            <w:hideMark/>
          </w:tcPr>
          <w:p w14:paraId="107C02A9" w14:textId="77777777" w:rsidR="005D6506" w:rsidRPr="005D6506" w:rsidRDefault="005D6506" w:rsidP="005D6506">
            <w:pPr>
              <w:spacing w:after="160"/>
              <w:rPr>
                <w:lang w:val="en-US"/>
              </w:rPr>
            </w:pPr>
            <w:r w:rsidRPr="005D6506">
              <w:rPr>
                <w:lang w:val="en-US"/>
              </w:rPr>
              <w:t>Automated discovery; quarterly verification; CMDB integration</w:t>
            </w:r>
          </w:p>
        </w:tc>
        <w:tc>
          <w:tcPr>
            <w:tcW w:w="4681" w:type="dxa"/>
            <w:hideMark/>
          </w:tcPr>
          <w:p w14:paraId="007EC31F" w14:textId="1087B919" w:rsidR="005D6506" w:rsidRPr="005D6506" w:rsidRDefault="005D6506" w:rsidP="005D6506">
            <w:pPr>
              <w:spacing w:after="160"/>
              <w:rPr>
                <w:lang w:val="en-US"/>
              </w:rPr>
            </w:pPr>
            <w:r w:rsidRPr="005D6506">
              <w:rPr>
                <w:lang w:val="en-US"/>
              </w:rPr>
              <w:t>Ensures complete inventory; prevents "</w:t>
            </w:r>
            <w:r w:rsidR="00C158DD" w:rsidRPr="005D6506">
              <w:rPr>
                <w:lang w:val="en-US"/>
              </w:rPr>
              <w:t>slipping</w:t>
            </w:r>
            <w:r w:rsidRPr="005D6506">
              <w:rPr>
                <w:lang w:val="en-US"/>
              </w:rPr>
              <w:t xml:space="preserve"> under radar"; enables effective patching</w:t>
            </w:r>
          </w:p>
        </w:tc>
      </w:tr>
    </w:tbl>
    <w:p w14:paraId="370BE876" w14:textId="77777777" w:rsidR="00AF323F" w:rsidRDefault="00AF323F" w:rsidP="00AF323F"/>
    <w:p w14:paraId="17A62637" w14:textId="6462FB80" w:rsidR="00AF323F" w:rsidRDefault="00AF323F" w:rsidP="00AF323F">
      <w:r>
        <w:lastRenderedPageBreak/>
        <w:t xml:space="preserve">Justification: These controls directly relate to the technical issues that Equifax has faced. An automated vulnerability scan is to overcome the "Failure to detect Struts vulnerabilities". If data is stolen, encryption will make it more unusable, thereby reducing the damage of the theft. Network segmentation restricts the ability to move laterally across the network to more than one database. Extended monitoring solves the problem of expired certificates for which there was no visibility to Equifax. The principle </w:t>
      </w:r>
      <w:r w:rsidR="000D69F6">
        <w:t>is</w:t>
      </w:r>
      <w:r>
        <w:t xml:space="preserve"> "visibility is the key to detection and prevention", which is evident in the monitoring and the asset discovery controls.</w:t>
      </w:r>
    </w:p>
    <w:p w14:paraId="5C14BE08" w14:textId="39B6B865" w:rsidR="00AF323F" w:rsidRDefault="00AF323F" w:rsidP="00AF323F">
      <w:r>
        <w:t>Alagic et al. believe that to maintain security, cryptographic controls need to be correctly managed, which includes certificate lifecycle management, but just as importantly, using certificates that have not expired</w:t>
      </w:r>
      <w:r w:rsidR="00597FDC">
        <w:t>.</w:t>
      </w:r>
      <w:sdt>
        <w:sdtPr>
          <w:id w:val="-1470659169"/>
          <w:citation/>
        </w:sdtPr>
        <w:sdtContent>
          <w:r w:rsidR="000D69F6">
            <w:fldChar w:fldCharType="begin"/>
          </w:r>
          <w:r w:rsidR="000D69F6">
            <w:rPr>
              <w:lang w:val="en-US"/>
            </w:rPr>
            <w:instrText xml:space="preserve"> CITATION Ala22 \l 1033 </w:instrText>
          </w:r>
          <w:r w:rsidR="000D69F6">
            <w:fldChar w:fldCharType="separate"/>
          </w:r>
          <w:r w:rsidR="00C158DD">
            <w:rPr>
              <w:noProof/>
              <w:lang w:val="en-US"/>
            </w:rPr>
            <w:t xml:space="preserve"> </w:t>
          </w:r>
          <w:r w:rsidR="00C158DD" w:rsidRPr="00C158DD">
            <w:rPr>
              <w:noProof/>
              <w:lang w:val="en-US"/>
            </w:rPr>
            <w:t>[21]</w:t>
          </w:r>
          <w:r w:rsidR="000D69F6">
            <w:fldChar w:fldCharType="end"/>
          </w:r>
        </w:sdtContent>
      </w:sdt>
      <w:r>
        <w:t xml:space="preserve">. </w:t>
      </w:r>
      <w:r w:rsidR="0049630A">
        <w:t>Guywire</w:t>
      </w:r>
      <w:r>
        <w:t>-Ms states that endpoint detection and response is key for detecting advanced threats and minimising dwell time. Both SailPoint</w:t>
      </w:r>
      <w:sdt>
        <w:sdtPr>
          <w:id w:val="1203822573"/>
          <w:citation/>
        </w:sdtPr>
        <w:sdtContent>
          <w:r w:rsidR="000D69F6">
            <w:fldChar w:fldCharType="begin"/>
          </w:r>
          <w:r w:rsidR="000D69F6">
            <w:rPr>
              <w:lang w:val="en-US"/>
            </w:rPr>
            <w:instrText xml:space="preserve"> CITATION Boo25 \l 1033 </w:instrText>
          </w:r>
          <w:r w:rsidR="000D69F6">
            <w:fldChar w:fldCharType="separate"/>
          </w:r>
          <w:r w:rsidR="00C158DD">
            <w:rPr>
              <w:noProof/>
              <w:lang w:val="en-US"/>
            </w:rPr>
            <w:t xml:space="preserve"> </w:t>
          </w:r>
          <w:r w:rsidR="00C158DD" w:rsidRPr="00C158DD">
            <w:rPr>
              <w:noProof/>
              <w:lang w:val="en-US"/>
            </w:rPr>
            <w:t>[1]</w:t>
          </w:r>
          <w:r w:rsidR="000D69F6">
            <w:fldChar w:fldCharType="end"/>
          </w:r>
        </w:sdtContent>
      </w:sdt>
      <w:r>
        <w:t xml:space="preserve"> and </w:t>
      </w:r>
      <w:r w:rsidR="0049630A">
        <w:t>Deep Wiki</w:t>
      </w:r>
      <w:r w:rsidR="000D69F6">
        <w:t xml:space="preserve"> </w:t>
      </w:r>
      <w:sdt>
        <w:sdtPr>
          <w:id w:val="638079568"/>
          <w:citation/>
        </w:sdtPr>
        <w:sdtContent>
          <w:r w:rsidR="000D69F6">
            <w:fldChar w:fldCharType="begin"/>
          </w:r>
          <w:r w:rsidR="000D69F6">
            <w:rPr>
              <w:lang w:val="en-US"/>
            </w:rPr>
            <w:instrText xml:space="preserve"> CITATION Dee25 \l 1033 </w:instrText>
          </w:r>
          <w:r w:rsidR="000D69F6">
            <w:fldChar w:fldCharType="separate"/>
          </w:r>
          <w:r w:rsidR="00C158DD" w:rsidRPr="00C158DD">
            <w:rPr>
              <w:noProof/>
              <w:lang w:val="en-US"/>
            </w:rPr>
            <w:t>[22]</w:t>
          </w:r>
          <w:r w:rsidR="000D69F6">
            <w:fldChar w:fldCharType="end"/>
          </w:r>
        </w:sdtContent>
      </w:sdt>
      <w:r>
        <w:t xml:space="preserve"> draw attention to the need for identity and access management (IAM) as part of mitigating against lateral movement, which includes implementing MFA and least privilege access. To defend against complex attacks, defence-in-depth (DID) that uses many controls is key, as pointed out by Jia et al. </w:t>
      </w:r>
      <w:sdt>
        <w:sdtPr>
          <w:id w:val="-173649935"/>
          <w:citation/>
        </w:sdtPr>
        <w:sdtContent>
          <w:r w:rsidR="000D69F6">
            <w:fldChar w:fldCharType="begin"/>
          </w:r>
          <w:r w:rsidR="000D69F6">
            <w:rPr>
              <w:lang w:val="en-US"/>
            </w:rPr>
            <w:instrText xml:space="preserve"> CITATION Jia21 \l 1033 </w:instrText>
          </w:r>
          <w:r w:rsidR="000D69F6">
            <w:fldChar w:fldCharType="separate"/>
          </w:r>
          <w:r w:rsidR="00C158DD" w:rsidRPr="00C158DD">
            <w:rPr>
              <w:noProof/>
              <w:lang w:val="en-US"/>
            </w:rPr>
            <w:t>[19]</w:t>
          </w:r>
          <w:r w:rsidR="000D69F6">
            <w:fldChar w:fldCharType="end"/>
          </w:r>
        </w:sdtContent>
      </w:sdt>
      <w:r>
        <w:t>.</w:t>
      </w:r>
    </w:p>
    <w:p w14:paraId="4F1179BF" w14:textId="77777777" w:rsidR="00F7383F" w:rsidRDefault="00F7383F" w:rsidP="00AC2769"/>
    <w:p w14:paraId="741C90A6" w14:textId="0D71BBC5" w:rsidR="00445D3B" w:rsidRDefault="00F7383F" w:rsidP="000D69F6">
      <w:pPr>
        <w:spacing w:line="259" w:lineRule="auto"/>
        <w:jc w:val="left"/>
      </w:pPr>
      <w:r>
        <w:br w:type="page"/>
      </w:r>
    </w:p>
    <w:bookmarkStart w:id="14" w:name="_Toc236767201" w:displacedByCustomXml="next"/>
    <w:sdt>
      <w:sdtPr>
        <w:rPr>
          <w:b w:val="0"/>
          <w:sz w:val="24"/>
          <w:szCs w:val="22"/>
        </w:rPr>
        <w:id w:val="-370613563"/>
        <w:docPartObj>
          <w:docPartGallery w:val="Bibliographies"/>
          <w:docPartUnique/>
        </w:docPartObj>
      </w:sdtPr>
      <w:sdtContent>
        <w:p w14:paraId="6C6A4226" w14:textId="22B0D555" w:rsidR="000D69F6" w:rsidRDefault="000D69F6" w:rsidP="0049630A">
          <w:pPr>
            <w:pStyle w:val="Heading1"/>
          </w:pPr>
          <w:r>
            <w:t>References</w:t>
          </w:r>
          <w:bookmarkEnd w:id="14"/>
        </w:p>
        <w:sdt>
          <w:sdtPr>
            <w:id w:val="-573587230"/>
            <w:bibliography/>
          </w:sdtPr>
          <w:sdtContent>
            <w:p w14:paraId="7534DD7B" w14:textId="77777777" w:rsidR="00C158DD" w:rsidRDefault="000D69F6">
              <w:pPr>
                <w:rPr>
                  <w:rFonts w:asciiTheme="minorHAnsi" w:hAnsiTheme="minorHAnsi"/>
                  <w:noProof/>
                  <w:kern w:val="2"/>
                  <w:sz w:val="22"/>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C158DD" w14:paraId="1F92B6F8" w14:textId="77777777">
                <w:trPr>
                  <w:divId w:val="1076249370"/>
                  <w:tblCellSpacing w:w="15" w:type="dxa"/>
                </w:trPr>
                <w:tc>
                  <w:tcPr>
                    <w:tcW w:w="50" w:type="pct"/>
                    <w:hideMark/>
                  </w:tcPr>
                  <w:p w14:paraId="6B04B66E" w14:textId="064737D0" w:rsidR="00C158DD" w:rsidRDefault="00C158DD">
                    <w:pPr>
                      <w:pStyle w:val="Bibliography"/>
                      <w:rPr>
                        <w:noProof/>
                        <w:szCs w:val="24"/>
                        <w14:ligatures w14:val="none"/>
                      </w:rPr>
                    </w:pPr>
                    <w:r>
                      <w:rPr>
                        <w:noProof/>
                      </w:rPr>
                      <w:t xml:space="preserve">[1] </w:t>
                    </w:r>
                  </w:p>
                </w:tc>
                <w:tc>
                  <w:tcPr>
                    <w:tcW w:w="0" w:type="auto"/>
                    <w:hideMark/>
                  </w:tcPr>
                  <w:p w14:paraId="2ED79598" w14:textId="77777777" w:rsidR="00C158DD" w:rsidRDefault="00C158DD">
                    <w:pPr>
                      <w:pStyle w:val="Bibliography"/>
                      <w:rPr>
                        <w:noProof/>
                      </w:rPr>
                    </w:pPr>
                    <w:r>
                      <w:rPr>
                        <w:noProof/>
                      </w:rPr>
                      <w:t xml:space="preserve">H. Booth, Secure Software Development Framework (SSDF) Version 1.2., Available at: https://doi.org/10.6028/nist.sp.800-218r1.ipd., 2025. </w:t>
                    </w:r>
                  </w:p>
                </w:tc>
              </w:tr>
              <w:tr w:rsidR="00C158DD" w14:paraId="59E55FE2" w14:textId="77777777">
                <w:trPr>
                  <w:divId w:val="1076249370"/>
                  <w:tblCellSpacing w:w="15" w:type="dxa"/>
                </w:trPr>
                <w:tc>
                  <w:tcPr>
                    <w:tcW w:w="50" w:type="pct"/>
                    <w:hideMark/>
                  </w:tcPr>
                  <w:p w14:paraId="5A821E43" w14:textId="77777777" w:rsidR="00C158DD" w:rsidRDefault="00C158DD">
                    <w:pPr>
                      <w:pStyle w:val="Bibliography"/>
                      <w:rPr>
                        <w:noProof/>
                      </w:rPr>
                    </w:pPr>
                    <w:r>
                      <w:rPr>
                        <w:noProof/>
                      </w:rPr>
                      <w:t xml:space="preserve">[2] </w:t>
                    </w:r>
                  </w:p>
                </w:tc>
                <w:tc>
                  <w:tcPr>
                    <w:tcW w:w="0" w:type="auto"/>
                    <w:hideMark/>
                  </w:tcPr>
                  <w:p w14:paraId="4CCFC5D5" w14:textId="77777777" w:rsidR="00C158DD" w:rsidRDefault="00C158DD">
                    <w:pPr>
                      <w:pStyle w:val="Bibliography"/>
                      <w:rPr>
                        <w:noProof/>
                      </w:rPr>
                    </w:pPr>
                    <w:r>
                      <w:rPr>
                        <w:noProof/>
                      </w:rPr>
                      <w:t xml:space="preserve">D. a. C. D. Solove, “Risk and Anxiety: A Theory of Data Breach Harms,” </w:t>
                    </w:r>
                    <w:r>
                      <w:rPr>
                        <w:i/>
                        <w:iCs/>
                        <w:noProof/>
                      </w:rPr>
                      <w:t xml:space="preserve">eYLS (Yale Law School), </w:t>
                    </w:r>
                    <w:r>
                      <w:rPr>
                        <w:noProof/>
                      </w:rPr>
                      <w:t xml:space="preserve">no. Available at: https://scholarship.law.bu.edu/faculty_scholarship/616., p. 737–786. , 2018. </w:t>
                    </w:r>
                  </w:p>
                </w:tc>
              </w:tr>
              <w:tr w:rsidR="00C158DD" w14:paraId="1CA014DA" w14:textId="77777777">
                <w:trPr>
                  <w:divId w:val="1076249370"/>
                  <w:tblCellSpacing w:w="15" w:type="dxa"/>
                </w:trPr>
                <w:tc>
                  <w:tcPr>
                    <w:tcW w:w="50" w:type="pct"/>
                    <w:hideMark/>
                  </w:tcPr>
                  <w:p w14:paraId="4F9C4355" w14:textId="77777777" w:rsidR="00C158DD" w:rsidRDefault="00C158DD">
                    <w:pPr>
                      <w:pStyle w:val="Bibliography"/>
                      <w:rPr>
                        <w:noProof/>
                      </w:rPr>
                    </w:pPr>
                    <w:r>
                      <w:rPr>
                        <w:noProof/>
                      </w:rPr>
                      <w:t xml:space="preserve">[3] </w:t>
                    </w:r>
                  </w:p>
                </w:tc>
                <w:tc>
                  <w:tcPr>
                    <w:tcW w:w="0" w:type="auto"/>
                    <w:hideMark/>
                  </w:tcPr>
                  <w:p w14:paraId="38CFF2BD" w14:textId="77777777" w:rsidR="00C158DD" w:rsidRDefault="00C158DD">
                    <w:pPr>
                      <w:pStyle w:val="Bibliography"/>
                      <w:rPr>
                        <w:noProof/>
                      </w:rPr>
                    </w:pPr>
                    <w:r>
                      <w:rPr>
                        <w:noProof/>
                      </w:rPr>
                      <w:t xml:space="preserve">S. V. V. a. K. K. Verma, Cybersecurity issues, challenges, and solutions in the business world., IGI Global., 2022. </w:t>
                    </w:r>
                  </w:p>
                </w:tc>
              </w:tr>
              <w:tr w:rsidR="00C158DD" w14:paraId="39D2C7A4" w14:textId="77777777">
                <w:trPr>
                  <w:divId w:val="1076249370"/>
                  <w:tblCellSpacing w:w="15" w:type="dxa"/>
                </w:trPr>
                <w:tc>
                  <w:tcPr>
                    <w:tcW w:w="50" w:type="pct"/>
                    <w:hideMark/>
                  </w:tcPr>
                  <w:p w14:paraId="444CC104" w14:textId="77777777" w:rsidR="00C158DD" w:rsidRDefault="00C158DD">
                    <w:pPr>
                      <w:pStyle w:val="Bibliography"/>
                      <w:rPr>
                        <w:noProof/>
                      </w:rPr>
                    </w:pPr>
                    <w:r>
                      <w:rPr>
                        <w:noProof/>
                      </w:rPr>
                      <w:t xml:space="preserve">[4] </w:t>
                    </w:r>
                  </w:p>
                </w:tc>
                <w:tc>
                  <w:tcPr>
                    <w:tcW w:w="0" w:type="auto"/>
                    <w:hideMark/>
                  </w:tcPr>
                  <w:p w14:paraId="4F959DC7" w14:textId="77777777" w:rsidR="00C158DD" w:rsidRDefault="00C158DD">
                    <w:pPr>
                      <w:pStyle w:val="Bibliography"/>
                      <w:rPr>
                        <w:noProof/>
                      </w:rPr>
                    </w:pPr>
                    <w:r>
                      <w:rPr>
                        <w:noProof/>
                      </w:rPr>
                      <w:t xml:space="preserve">V. a. R. K. Zimmermann, “Moving from a ‘human-as-problem” to a ‘human-as-solution” cybersecurity mindset,,” </w:t>
                    </w:r>
                    <w:r>
                      <w:rPr>
                        <w:i/>
                        <w:iCs/>
                        <w:noProof/>
                      </w:rPr>
                      <w:t xml:space="preserve">International Journal of Human-Computer Studies, </w:t>
                    </w:r>
                    <w:r>
                      <w:rPr>
                        <w:noProof/>
                      </w:rPr>
                      <w:t xml:space="preserve">vol. 169–187, no. Available at: https://doi.org/10.1016/j.ijhcs.2019.05.005., p. 131, 2019. </w:t>
                    </w:r>
                  </w:p>
                </w:tc>
              </w:tr>
              <w:tr w:rsidR="00C158DD" w14:paraId="2674B759" w14:textId="77777777">
                <w:trPr>
                  <w:divId w:val="1076249370"/>
                  <w:tblCellSpacing w:w="15" w:type="dxa"/>
                </w:trPr>
                <w:tc>
                  <w:tcPr>
                    <w:tcW w:w="50" w:type="pct"/>
                    <w:hideMark/>
                  </w:tcPr>
                  <w:p w14:paraId="6641AB14" w14:textId="77777777" w:rsidR="00C158DD" w:rsidRDefault="00C158DD">
                    <w:pPr>
                      <w:pStyle w:val="Bibliography"/>
                      <w:rPr>
                        <w:noProof/>
                      </w:rPr>
                    </w:pPr>
                    <w:r>
                      <w:rPr>
                        <w:noProof/>
                      </w:rPr>
                      <w:t xml:space="preserve">[5] </w:t>
                    </w:r>
                  </w:p>
                </w:tc>
                <w:tc>
                  <w:tcPr>
                    <w:tcW w:w="0" w:type="auto"/>
                    <w:hideMark/>
                  </w:tcPr>
                  <w:p w14:paraId="004D0991" w14:textId="77777777" w:rsidR="00C158DD" w:rsidRDefault="00C158DD">
                    <w:pPr>
                      <w:pStyle w:val="Bibliography"/>
                      <w:rPr>
                        <w:noProof/>
                      </w:rPr>
                    </w:pPr>
                    <w:r>
                      <w:rPr>
                        <w:noProof/>
                      </w:rPr>
                      <w:t xml:space="preserve">J. a. E. N. Price, Information Asset Management: Why You Must Manage Your Data, Information and Knowledge the Way You Manage Your Money., CRC Press., 2024. </w:t>
                    </w:r>
                  </w:p>
                </w:tc>
              </w:tr>
              <w:tr w:rsidR="00C158DD" w14:paraId="7A69A5E2" w14:textId="77777777">
                <w:trPr>
                  <w:divId w:val="1076249370"/>
                  <w:tblCellSpacing w:w="15" w:type="dxa"/>
                </w:trPr>
                <w:tc>
                  <w:tcPr>
                    <w:tcW w:w="50" w:type="pct"/>
                    <w:hideMark/>
                  </w:tcPr>
                  <w:p w14:paraId="66AAA999" w14:textId="77777777" w:rsidR="00C158DD" w:rsidRDefault="00C158DD">
                    <w:pPr>
                      <w:pStyle w:val="Bibliography"/>
                      <w:rPr>
                        <w:noProof/>
                      </w:rPr>
                    </w:pPr>
                    <w:r>
                      <w:rPr>
                        <w:noProof/>
                      </w:rPr>
                      <w:t xml:space="preserve">[6] </w:t>
                    </w:r>
                  </w:p>
                </w:tc>
                <w:tc>
                  <w:tcPr>
                    <w:tcW w:w="0" w:type="auto"/>
                    <w:hideMark/>
                  </w:tcPr>
                  <w:p w14:paraId="3C3939C2" w14:textId="77777777" w:rsidR="00C158DD" w:rsidRDefault="00C158DD">
                    <w:pPr>
                      <w:pStyle w:val="Bibliography"/>
                      <w:rPr>
                        <w:noProof/>
                      </w:rPr>
                    </w:pPr>
                    <w:r>
                      <w:rPr>
                        <w:noProof/>
                      </w:rPr>
                      <w:t xml:space="preserve">DNV, “From firefighting to foresight: Why governance is the key to strong cybersecurity, .,” </w:t>
                    </w:r>
                    <w:r>
                      <w:rPr>
                        <w:i/>
                        <w:iCs/>
                        <w:noProof/>
                      </w:rPr>
                      <w:t xml:space="preserve">DNV, </w:t>
                    </w:r>
                    <w:r>
                      <w:rPr>
                        <w:noProof/>
                      </w:rPr>
                      <w:t xml:space="preserve">no. Available at: https://www.dnv.com/cyber/insights/articles/why-governance-is-the-key-to-strong-cybersecurity/., 2025. </w:t>
                    </w:r>
                  </w:p>
                </w:tc>
              </w:tr>
              <w:tr w:rsidR="00C158DD" w14:paraId="4B39A66C" w14:textId="77777777">
                <w:trPr>
                  <w:divId w:val="1076249370"/>
                  <w:tblCellSpacing w:w="15" w:type="dxa"/>
                </w:trPr>
                <w:tc>
                  <w:tcPr>
                    <w:tcW w:w="50" w:type="pct"/>
                    <w:hideMark/>
                  </w:tcPr>
                  <w:p w14:paraId="420DCA35" w14:textId="77777777" w:rsidR="00C158DD" w:rsidRDefault="00C158DD">
                    <w:pPr>
                      <w:pStyle w:val="Bibliography"/>
                      <w:rPr>
                        <w:noProof/>
                      </w:rPr>
                    </w:pPr>
                    <w:r>
                      <w:rPr>
                        <w:noProof/>
                      </w:rPr>
                      <w:t xml:space="preserve">[7] </w:t>
                    </w:r>
                  </w:p>
                </w:tc>
                <w:tc>
                  <w:tcPr>
                    <w:tcW w:w="0" w:type="auto"/>
                    <w:hideMark/>
                  </w:tcPr>
                  <w:p w14:paraId="26133DE1" w14:textId="77777777" w:rsidR="00C158DD" w:rsidRDefault="00C158DD">
                    <w:pPr>
                      <w:pStyle w:val="Bibliography"/>
                      <w:rPr>
                        <w:noProof/>
                      </w:rPr>
                    </w:pPr>
                    <w:r>
                      <w:rPr>
                        <w:noProof/>
                      </w:rPr>
                      <w:t xml:space="preserve">K. Chaganti, “AI-Powered Patch Management: reducing vulnerabilities in operating systems,,” </w:t>
                    </w:r>
                    <w:r>
                      <w:rPr>
                        <w:i/>
                        <w:iCs/>
                        <w:noProof/>
                      </w:rPr>
                      <w:t xml:space="preserve">EPH - International Journal of Science and Engineering. , </w:t>
                    </w:r>
                    <w:r>
                      <w:rPr>
                        <w:noProof/>
                      </w:rPr>
                      <w:t xml:space="preserve">no. Available at: https://doi.org/10.53555/ephijse.v10i3.287., 2024. </w:t>
                    </w:r>
                  </w:p>
                </w:tc>
              </w:tr>
              <w:tr w:rsidR="00C158DD" w14:paraId="28DD39F3" w14:textId="77777777">
                <w:trPr>
                  <w:divId w:val="1076249370"/>
                  <w:tblCellSpacing w:w="15" w:type="dxa"/>
                </w:trPr>
                <w:tc>
                  <w:tcPr>
                    <w:tcW w:w="50" w:type="pct"/>
                    <w:hideMark/>
                  </w:tcPr>
                  <w:p w14:paraId="7DB25439" w14:textId="77777777" w:rsidR="00C158DD" w:rsidRDefault="00C158DD">
                    <w:pPr>
                      <w:pStyle w:val="Bibliography"/>
                      <w:rPr>
                        <w:noProof/>
                      </w:rPr>
                    </w:pPr>
                    <w:r>
                      <w:rPr>
                        <w:noProof/>
                      </w:rPr>
                      <w:t xml:space="preserve">[8] </w:t>
                    </w:r>
                  </w:p>
                </w:tc>
                <w:tc>
                  <w:tcPr>
                    <w:tcW w:w="0" w:type="auto"/>
                    <w:hideMark/>
                  </w:tcPr>
                  <w:p w14:paraId="3D560A7D" w14:textId="77777777" w:rsidR="00C158DD" w:rsidRDefault="00C158DD">
                    <w:pPr>
                      <w:pStyle w:val="Bibliography"/>
                      <w:rPr>
                        <w:noProof/>
                      </w:rPr>
                    </w:pPr>
                    <w:r>
                      <w:rPr>
                        <w:noProof/>
                      </w:rPr>
                      <w:t xml:space="preserve">H. S.-F. S. a. P. E. Cavka, “Developing owner information requirements for BIM-enabled project delivery and asset management,” </w:t>
                    </w:r>
                    <w:r>
                      <w:rPr>
                        <w:i/>
                        <w:iCs/>
                        <w:noProof/>
                      </w:rPr>
                      <w:t xml:space="preserve">Automation in Construction, </w:t>
                    </w:r>
                    <w:r>
                      <w:rPr>
                        <w:noProof/>
                      </w:rPr>
                      <w:t xml:space="preserve">vol. 169–183, no. Available at: https://doi.org/10.1016/j.autcon.2017.08.0, p. 83, 2017. </w:t>
                    </w:r>
                  </w:p>
                </w:tc>
              </w:tr>
              <w:tr w:rsidR="00C158DD" w14:paraId="76249726" w14:textId="77777777">
                <w:trPr>
                  <w:divId w:val="1076249370"/>
                  <w:tblCellSpacing w:w="15" w:type="dxa"/>
                </w:trPr>
                <w:tc>
                  <w:tcPr>
                    <w:tcW w:w="50" w:type="pct"/>
                    <w:hideMark/>
                  </w:tcPr>
                  <w:p w14:paraId="4A04DF44" w14:textId="77777777" w:rsidR="00C158DD" w:rsidRDefault="00C158DD">
                    <w:pPr>
                      <w:pStyle w:val="Bibliography"/>
                      <w:rPr>
                        <w:noProof/>
                      </w:rPr>
                    </w:pPr>
                    <w:r>
                      <w:rPr>
                        <w:noProof/>
                      </w:rPr>
                      <w:lastRenderedPageBreak/>
                      <w:t xml:space="preserve">[9] </w:t>
                    </w:r>
                  </w:p>
                </w:tc>
                <w:tc>
                  <w:tcPr>
                    <w:tcW w:w="0" w:type="auto"/>
                    <w:hideMark/>
                  </w:tcPr>
                  <w:p w14:paraId="37F61230" w14:textId="77777777" w:rsidR="00C158DD" w:rsidRDefault="00C158DD">
                    <w:pPr>
                      <w:pStyle w:val="Bibliography"/>
                      <w:rPr>
                        <w:noProof/>
                      </w:rPr>
                    </w:pPr>
                    <w:r>
                      <w:rPr>
                        <w:noProof/>
                      </w:rPr>
                      <w:t xml:space="preserve">C. Boutin, “NIST releases version 2.0 of landmark Cybersecurity Framework,” </w:t>
                    </w:r>
                    <w:r>
                      <w:rPr>
                        <w:i/>
                        <w:iCs/>
                        <w:noProof/>
                      </w:rPr>
                      <w:t xml:space="preserve">NIST, </w:t>
                    </w:r>
                    <w:r>
                      <w:rPr>
                        <w:noProof/>
                      </w:rPr>
                      <w:t xml:space="preserve">no. Available at: https://www.nist.gov/news-events/news/2024/02/nist-releases-version-20-landmark-cybersecurity-framework., 2025. </w:t>
                    </w:r>
                  </w:p>
                </w:tc>
              </w:tr>
              <w:tr w:rsidR="00C158DD" w14:paraId="697F5300" w14:textId="77777777">
                <w:trPr>
                  <w:divId w:val="1076249370"/>
                  <w:tblCellSpacing w:w="15" w:type="dxa"/>
                </w:trPr>
                <w:tc>
                  <w:tcPr>
                    <w:tcW w:w="50" w:type="pct"/>
                    <w:hideMark/>
                  </w:tcPr>
                  <w:p w14:paraId="74C7733B" w14:textId="77777777" w:rsidR="00C158DD" w:rsidRDefault="00C158DD">
                    <w:pPr>
                      <w:pStyle w:val="Bibliography"/>
                      <w:rPr>
                        <w:noProof/>
                      </w:rPr>
                    </w:pPr>
                    <w:r>
                      <w:rPr>
                        <w:noProof/>
                      </w:rPr>
                      <w:t xml:space="preserve">[10] </w:t>
                    </w:r>
                  </w:p>
                </w:tc>
                <w:tc>
                  <w:tcPr>
                    <w:tcW w:w="0" w:type="auto"/>
                    <w:hideMark/>
                  </w:tcPr>
                  <w:p w14:paraId="229C83F7" w14:textId="77777777" w:rsidR="00C158DD" w:rsidRDefault="00C158DD">
                    <w:pPr>
                      <w:pStyle w:val="Bibliography"/>
                      <w:rPr>
                        <w:noProof/>
                      </w:rPr>
                    </w:pPr>
                    <w:r>
                      <w:rPr>
                        <w:noProof/>
                      </w:rPr>
                      <w:t xml:space="preserve">J. Øberg, IT Asset Management Foundation (ITAMF) – Workbook - Second edition., Van Haren., 2020. </w:t>
                    </w:r>
                  </w:p>
                </w:tc>
              </w:tr>
              <w:tr w:rsidR="00C158DD" w14:paraId="1F86379D" w14:textId="77777777">
                <w:trPr>
                  <w:divId w:val="1076249370"/>
                  <w:tblCellSpacing w:w="15" w:type="dxa"/>
                </w:trPr>
                <w:tc>
                  <w:tcPr>
                    <w:tcW w:w="50" w:type="pct"/>
                    <w:hideMark/>
                  </w:tcPr>
                  <w:p w14:paraId="54A010A6" w14:textId="77777777" w:rsidR="00C158DD" w:rsidRDefault="00C158DD">
                    <w:pPr>
                      <w:pStyle w:val="Bibliography"/>
                      <w:rPr>
                        <w:noProof/>
                      </w:rPr>
                    </w:pPr>
                    <w:r>
                      <w:rPr>
                        <w:noProof/>
                      </w:rPr>
                      <w:t xml:space="preserve">[11] </w:t>
                    </w:r>
                  </w:p>
                </w:tc>
                <w:tc>
                  <w:tcPr>
                    <w:tcW w:w="0" w:type="auto"/>
                    <w:hideMark/>
                  </w:tcPr>
                  <w:p w14:paraId="1BAB8E7E" w14:textId="77777777" w:rsidR="00C158DD" w:rsidRDefault="00C158DD">
                    <w:pPr>
                      <w:pStyle w:val="Bibliography"/>
                      <w:rPr>
                        <w:noProof/>
                      </w:rPr>
                    </w:pPr>
                    <w:r>
                      <w:rPr>
                        <w:noProof/>
                      </w:rPr>
                      <w:t xml:space="preserve">Jason L., “AI governance and Cyber risk: Board imperatives.,” no. Available at: https://frazerblase.com/insights/ai-governance-and-cyber-risk-board-imperatives., 2026. </w:t>
                    </w:r>
                  </w:p>
                </w:tc>
              </w:tr>
              <w:tr w:rsidR="00C158DD" w14:paraId="0B85C576" w14:textId="77777777">
                <w:trPr>
                  <w:divId w:val="1076249370"/>
                  <w:tblCellSpacing w:w="15" w:type="dxa"/>
                </w:trPr>
                <w:tc>
                  <w:tcPr>
                    <w:tcW w:w="50" w:type="pct"/>
                    <w:hideMark/>
                  </w:tcPr>
                  <w:p w14:paraId="7B105294" w14:textId="77777777" w:rsidR="00C158DD" w:rsidRDefault="00C158DD">
                    <w:pPr>
                      <w:pStyle w:val="Bibliography"/>
                      <w:rPr>
                        <w:noProof/>
                      </w:rPr>
                    </w:pPr>
                    <w:r>
                      <w:rPr>
                        <w:noProof/>
                      </w:rPr>
                      <w:t xml:space="preserve">[12] </w:t>
                    </w:r>
                  </w:p>
                </w:tc>
                <w:tc>
                  <w:tcPr>
                    <w:tcW w:w="0" w:type="auto"/>
                    <w:hideMark/>
                  </w:tcPr>
                  <w:p w14:paraId="3C3D0215" w14:textId="77777777" w:rsidR="00C158DD" w:rsidRDefault="00C158DD">
                    <w:pPr>
                      <w:pStyle w:val="Bibliography"/>
                      <w:rPr>
                        <w:noProof/>
                      </w:rPr>
                    </w:pPr>
                    <w:r>
                      <w:rPr>
                        <w:noProof/>
                      </w:rPr>
                      <w:t xml:space="preserve">M. Hayward, Cyber Security Information Security Management System (ISMS), Independently Published., 2025. </w:t>
                    </w:r>
                  </w:p>
                </w:tc>
              </w:tr>
              <w:tr w:rsidR="00C158DD" w14:paraId="1649BB64" w14:textId="77777777">
                <w:trPr>
                  <w:divId w:val="1076249370"/>
                  <w:tblCellSpacing w:w="15" w:type="dxa"/>
                </w:trPr>
                <w:tc>
                  <w:tcPr>
                    <w:tcW w:w="50" w:type="pct"/>
                    <w:hideMark/>
                  </w:tcPr>
                  <w:p w14:paraId="25F4ED93" w14:textId="77777777" w:rsidR="00C158DD" w:rsidRDefault="00C158DD">
                    <w:pPr>
                      <w:pStyle w:val="Bibliography"/>
                      <w:rPr>
                        <w:noProof/>
                      </w:rPr>
                    </w:pPr>
                    <w:r>
                      <w:rPr>
                        <w:noProof/>
                      </w:rPr>
                      <w:t xml:space="preserve">[13] </w:t>
                    </w:r>
                  </w:p>
                </w:tc>
                <w:tc>
                  <w:tcPr>
                    <w:tcW w:w="0" w:type="auto"/>
                    <w:hideMark/>
                  </w:tcPr>
                  <w:p w14:paraId="404AF299" w14:textId="77777777" w:rsidR="00C158DD" w:rsidRDefault="00C158DD">
                    <w:pPr>
                      <w:pStyle w:val="Bibliography"/>
                      <w:rPr>
                        <w:noProof/>
                      </w:rPr>
                    </w:pPr>
                    <w:r>
                      <w:rPr>
                        <w:noProof/>
                      </w:rPr>
                      <w:t xml:space="preserve">H. Committee, “Equifax provides new info on Breach,” </w:t>
                    </w:r>
                    <w:r>
                      <w:rPr>
                        <w:i/>
                        <w:iCs/>
                        <w:noProof/>
                      </w:rPr>
                      <w:t xml:space="preserve">The U.S. House Committee on Oversight, </w:t>
                    </w:r>
                    <w:r>
                      <w:rPr>
                        <w:noProof/>
                      </w:rPr>
                      <w:t xml:space="preserve">no. Available at: https://oversightdemocrats.house.gov/news/press-releases/equifax-provides-new-info-on-breach., 2017. </w:t>
                    </w:r>
                  </w:p>
                </w:tc>
              </w:tr>
              <w:tr w:rsidR="00C158DD" w14:paraId="5AE3BDAD" w14:textId="77777777">
                <w:trPr>
                  <w:divId w:val="1076249370"/>
                  <w:tblCellSpacing w:w="15" w:type="dxa"/>
                </w:trPr>
                <w:tc>
                  <w:tcPr>
                    <w:tcW w:w="50" w:type="pct"/>
                    <w:hideMark/>
                  </w:tcPr>
                  <w:p w14:paraId="25A69CB5" w14:textId="77777777" w:rsidR="00C158DD" w:rsidRDefault="00C158DD">
                    <w:pPr>
                      <w:pStyle w:val="Bibliography"/>
                      <w:rPr>
                        <w:noProof/>
                      </w:rPr>
                    </w:pPr>
                    <w:r>
                      <w:rPr>
                        <w:noProof/>
                      </w:rPr>
                      <w:t xml:space="preserve">[14] </w:t>
                    </w:r>
                  </w:p>
                </w:tc>
                <w:tc>
                  <w:tcPr>
                    <w:tcW w:w="0" w:type="auto"/>
                    <w:hideMark/>
                  </w:tcPr>
                  <w:p w14:paraId="03D69A22" w14:textId="77777777" w:rsidR="00C158DD" w:rsidRDefault="00C158DD">
                    <w:pPr>
                      <w:pStyle w:val="Bibliography"/>
                      <w:rPr>
                        <w:noProof/>
                      </w:rPr>
                    </w:pPr>
                    <w:r>
                      <w:rPr>
                        <w:noProof/>
                      </w:rPr>
                      <w:t xml:space="preserve">J. W. E. G. K. a. M. K. Poston, “Lessons from the House report on the Equifax breach, Lexology.,” no. Available at: https://www.lexology.com/library/detail.aspx?g=9ee1cc16-11d0-44d8-9fd5-8b8a1ab44f3a., 2018. </w:t>
                    </w:r>
                  </w:p>
                </w:tc>
              </w:tr>
              <w:tr w:rsidR="00C158DD" w14:paraId="6810F068" w14:textId="77777777">
                <w:trPr>
                  <w:divId w:val="1076249370"/>
                  <w:tblCellSpacing w:w="15" w:type="dxa"/>
                </w:trPr>
                <w:tc>
                  <w:tcPr>
                    <w:tcW w:w="50" w:type="pct"/>
                    <w:hideMark/>
                  </w:tcPr>
                  <w:p w14:paraId="6DF07FF2" w14:textId="77777777" w:rsidR="00C158DD" w:rsidRDefault="00C158DD">
                    <w:pPr>
                      <w:pStyle w:val="Bibliography"/>
                      <w:rPr>
                        <w:noProof/>
                      </w:rPr>
                    </w:pPr>
                    <w:r>
                      <w:rPr>
                        <w:noProof/>
                      </w:rPr>
                      <w:t xml:space="preserve">[15] </w:t>
                    </w:r>
                  </w:p>
                </w:tc>
                <w:tc>
                  <w:tcPr>
                    <w:tcW w:w="0" w:type="auto"/>
                    <w:hideMark/>
                  </w:tcPr>
                  <w:p w14:paraId="3E69488C" w14:textId="77777777" w:rsidR="00C158DD" w:rsidRDefault="00C158DD">
                    <w:pPr>
                      <w:pStyle w:val="Bibliography"/>
                      <w:rPr>
                        <w:noProof/>
                      </w:rPr>
                    </w:pPr>
                    <w:r>
                      <w:rPr>
                        <w:noProof/>
                      </w:rPr>
                      <w:t xml:space="preserve">M. Khalil, “Supply Chain Attack Statistics 2025: Costs, cases, defences,” in </w:t>
                    </w:r>
                    <w:r>
                      <w:rPr>
                        <w:i/>
                        <w:iCs/>
                        <w:noProof/>
                      </w:rPr>
                      <w:t>DeepStrike</w:t>
                    </w:r>
                    <w:r>
                      <w:rPr>
                        <w:noProof/>
                      </w:rPr>
                      <w:t xml:space="preserve">, Available at: https://deepstrike.io/blog/supply-chain-attack-statistics-2025., 2026. </w:t>
                    </w:r>
                  </w:p>
                </w:tc>
              </w:tr>
              <w:tr w:rsidR="00C158DD" w14:paraId="3293A1EB" w14:textId="77777777">
                <w:trPr>
                  <w:divId w:val="1076249370"/>
                  <w:tblCellSpacing w:w="15" w:type="dxa"/>
                </w:trPr>
                <w:tc>
                  <w:tcPr>
                    <w:tcW w:w="50" w:type="pct"/>
                    <w:hideMark/>
                  </w:tcPr>
                  <w:p w14:paraId="6CE3C5E8" w14:textId="77777777" w:rsidR="00C158DD" w:rsidRDefault="00C158DD">
                    <w:pPr>
                      <w:pStyle w:val="Bibliography"/>
                      <w:rPr>
                        <w:noProof/>
                      </w:rPr>
                    </w:pPr>
                    <w:r>
                      <w:rPr>
                        <w:noProof/>
                      </w:rPr>
                      <w:t xml:space="preserve">[16] </w:t>
                    </w:r>
                  </w:p>
                </w:tc>
                <w:tc>
                  <w:tcPr>
                    <w:tcW w:w="0" w:type="auto"/>
                    <w:hideMark/>
                  </w:tcPr>
                  <w:p w14:paraId="792C4658" w14:textId="77777777" w:rsidR="00C158DD" w:rsidRDefault="00C158DD">
                    <w:pPr>
                      <w:pStyle w:val="Bibliography"/>
                      <w:rPr>
                        <w:noProof/>
                      </w:rPr>
                    </w:pPr>
                    <w:r>
                      <w:rPr>
                        <w:noProof/>
                      </w:rPr>
                      <w:t xml:space="preserve">A. Tantleff, “Equifax Breach affects 143M: If GDPR were in effect, what would be the impact?,” </w:t>
                    </w:r>
                    <w:r>
                      <w:rPr>
                        <w:i/>
                        <w:iCs/>
                        <w:noProof/>
                      </w:rPr>
                      <w:t xml:space="preserve">Data Protection - Worldwide, </w:t>
                    </w:r>
                    <w:r>
                      <w:rPr>
                        <w:noProof/>
                      </w:rPr>
                      <w:t xml:space="preserve">no. Available at: https://www.mondaq.com/unitedstates/data-protection/628616/equifax-breach-affects-143m-if-gdpr-w, 2018. </w:t>
                    </w:r>
                  </w:p>
                </w:tc>
              </w:tr>
              <w:tr w:rsidR="00C158DD" w14:paraId="2813C67E" w14:textId="77777777">
                <w:trPr>
                  <w:divId w:val="1076249370"/>
                  <w:tblCellSpacing w:w="15" w:type="dxa"/>
                </w:trPr>
                <w:tc>
                  <w:tcPr>
                    <w:tcW w:w="50" w:type="pct"/>
                    <w:hideMark/>
                  </w:tcPr>
                  <w:p w14:paraId="64B78943" w14:textId="77777777" w:rsidR="00C158DD" w:rsidRDefault="00C158DD">
                    <w:pPr>
                      <w:pStyle w:val="Bibliography"/>
                      <w:rPr>
                        <w:noProof/>
                      </w:rPr>
                    </w:pPr>
                    <w:r>
                      <w:rPr>
                        <w:noProof/>
                      </w:rPr>
                      <w:t xml:space="preserve">[17] </w:t>
                    </w:r>
                  </w:p>
                </w:tc>
                <w:tc>
                  <w:tcPr>
                    <w:tcW w:w="0" w:type="auto"/>
                    <w:hideMark/>
                  </w:tcPr>
                  <w:p w14:paraId="7019C7D2" w14:textId="77777777" w:rsidR="00C158DD" w:rsidRDefault="00C158DD">
                    <w:pPr>
                      <w:pStyle w:val="Bibliography"/>
                      <w:rPr>
                        <w:noProof/>
                      </w:rPr>
                    </w:pPr>
                    <w:r>
                      <w:rPr>
                        <w:noProof/>
                      </w:rPr>
                      <w:t xml:space="preserve">E. Tabassi, Artificial Intelligence Risk Management Framework (AI RMF 1.0)., 2023. </w:t>
                    </w:r>
                  </w:p>
                </w:tc>
              </w:tr>
              <w:tr w:rsidR="00C158DD" w14:paraId="0A576F11" w14:textId="77777777">
                <w:trPr>
                  <w:divId w:val="1076249370"/>
                  <w:tblCellSpacing w:w="15" w:type="dxa"/>
                </w:trPr>
                <w:tc>
                  <w:tcPr>
                    <w:tcW w:w="50" w:type="pct"/>
                    <w:hideMark/>
                  </w:tcPr>
                  <w:p w14:paraId="19B2855A" w14:textId="77777777" w:rsidR="00C158DD" w:rsidRDefault="00C158DD">
                    <w:pPr>
                      <w:pStyle w:val="Bibliography"/>
                      <w:rPr>
                        <w:noProof/>
                      </w:rPr>
                    </w:pPr>
                    <w:r>
                      <w:rPr>
                        <w:noProof/>
                      </w:rPr>
                      <w:t xml:space="preserve">[18] </w:t>
                    </w:r>
                  </w:p>
                </w:tc>
                <w:tc>
                  <w:tcPr>
                    <w:tcW w:w="0" w:type="auto"/>
                    <w:hideMark/>
                  </w:tcPr>
                  <w:p w14:paraId="70B27C4C" w14:textId="77777777" w:rsidR="00C158DD" w:rsidRDefault="00C158DD">
                    <w:pPr>
                      <w:pStyle w:val="Bibliography"/>
                      <w:rPr>
                        <w:noProof/>
                      </w:rPr>
                    </w:pPr>
                    <w:r>
                      <w:rPr>
                        <w:noProof/>
                      </w:rPr>
                      <w:t xml:space="preserve">J. Relington, Vulnerability management in practice., James Relington, 2026. </w:t>
                    </w:r>
                  </w:p>
                </w:tc>
              </w:tr>
              <w:tr w:rsidR="00C158DD" w14:paraId="0EF83287" w14:textId="77777777">
                <w:trPr>
                  <w:divId w:val="1076249370"/>
                  <w:tblCellSpacing w:w="15" w:type="dxa"/>
                </w:trPr>
                <w:tc>
                  <w:tcPr>
                    <w:tcW w:w="50" w:type="pct"/>
                    <w:hideMark/>
                  </w:tcPr>
                  <w:p w14:paraId="574C919A" w14:textId="77777777" w:rsidR="00C158DD" w:rsidRDefault="00C158DD">
                    <w:pPr>
                      <w:pStyle w:val="Bibliography"/>
                      <w:rPr>
                        <w:noProof/>
                      </w:rPr>
                    </w:pPr>
                    <w:r>
                      <w:rPr>
                        <w:noProof/>
                      </w:rPr>
                      <w:lastRenderedPageBreak/>
                      <w:t xml:space="preserve">[19] </w:t>
                    </w:r>
                  </w:p>
                </w:tc>
                <w:tc>
                  <w:tcPr>
                    <w:tcW w:w="0" w:type="auto"/>
                    <w:hideMark/>
                  </w:tcPr>
                  <w:p w14:paraId="2F7AA427" w14:textId="77777777" w:rsidR="00C158DD" w:rsidRDefault="00C158DD">
                    <w:pPr>
                      <w:pStyle w:val="Bibliography"/>
                      <w:rPr>
                        <w:noProof/>
                      </w:rPr>
                    </w:pPr>
                    <w:r>
                      <w:rPr>
                        <w:noProof/>
                      </w:rPr>
                      <w:t xml:space="preserve">B. Z. X. L. J. Z. Y. H. K. a. L. Y. Jia, “Blockchain-Enabled Federated Learning Data Protection Aggregation Scheme with differential privacy and homomorphic encryption in IIOT,” </w:t>
                    </w:r>
                    <w:r>
                      <w:rPr>
                        <w:i/>
                        <w:iCs/>
                        <w:noProof/>
                      </w:rPr>
                      <w:t xml:space="preserve">IEEE Transactions on Industrial Informatics, </w:t>
                    </w:r>
                    <w:r>
                      <w:rPr>
                        <w:noProof/>
                      </w:rPr>
                      <w:t xml:space="preserve">p. 18, 2021. </w:t>
                    </w:r>
                  </w:p>
                </w:tc>
              </w:tr>
              <w:tr w:rsidR="00C158DD" w14:paraId="09DCB4EC" w14:textId="77777777">
                <w:trPr>
                  <w:divId w:val="1076249370"/>
                  <w:tblCellSpacing w:w="15" w:type="dxa"/>
                </w:trPr>
                <w:tc>
                  <w:tcPr>
                    <w:tcW w:w="50" w:type="pct"/>
                    <w:hideMark/>
                  </w:tcPr>
                  <w:p w14:paraId="62B72E05" w14:textId="77777777" w:rsidR="00C158DD" w:rsidRDefault="00C158DD">
                    <w:pPr>
                      <w:pStyle w:val="Bibliography"/>
                      <w:rPr>
                        <w:noProof/>
                      </w:rPr>
                    </w:pPr>
                    <w:r>
                      <w:rPr>
                        <w:noProof/>
                      </w:rPr>
                      <w:t xml:space="preserve">[20] </w:t>
                    </w:r>
                  </w:p>
                </w:tc>
                <w:tc>
                  <w:tcPr>
                    <w:tcW w:w="0" w:type="auto"/>
                    <w:hideMark/>
                  </w:tcPr>
                  <w:p w14:paraId="286D72E0" w14:textId="77777777" w:rsidR="00C158DD" w:rsidRDefault="00C158DD">
                    <w:pPr>
                      <w:pStyle w:val="Bibliography"/>
                      <w:rPr>
                        <w:noProof/>
                      </w:rPr>
                    </w:pPr>
                    <w:r>
                      <w:rPr>
                        <w:noProof/>
                      </w:rPr>
                      <w:t xml:space="preserve">P. O. o. t. E. Union, “Regulation (EU) 2016/679 of the European Parliament and of the Council of 27 April 2016 on the protection of natural persons about the processing of personal data and on the free movement of such data, and,” 2016. </w:t>
                    </w:r>
                  </w:p>
                </w:tc>
              </w:tr>
              <w:tr w:rsidR="00C158DD" w14:paraId="50EA566E" w14:textId="77777777">
                <w:trPr>
                  <w:divId w:val="1076249370"/>
                  <w:tblCellSpacing w:w="15" w:type="dxa"/>
                </w:trPr>
                <w:tc>
                  <w:tcPr>
                    <w:tcW w:w="50" w:type="pct"/>
                    <w:hideMark/>
                  </w:tcPr>
                  <w:p w14:paraId="73158864" w14:textId="77777777" w:rsidR="00C158DD" w:rsidRDefault="00C158DD">
                    <w:pPr>
                      <w:pStyle w:val="Bibliography"/>
                      <w:rPr>
                        <w:noProof/>
                      </w:rPr>
                    </w:pPr>
                    <w:r>
                      <w:rPr>
                        <w:noProof/>
                      </w:rPr>
                      <w:t xml:space="preserve">[21] </w:t>
                    </w:r>
                  </w:p>
                </w:tc>
                <w:tc>
                  <w:tcPr>
                    <w:tcW w:w="0" w:type="auto"/>
                    <w:hideMark/>
                  </w:tcPr>
                  <w:p w14:paraId="1C1E492F" w14:textId="77777777" w:rsidR="00C158DD" w:rsidRDefault="00C158DD">
                    <w:pPr>
                      <w:pStyle w:val="Bibliography"/>
                      <w:rPr>
                        <w:noProof/>
                      </w:rPr>
                    </w:pPr>
                    <w:r>
                      <w:rPr>
                        <w:noProof/>
                      </w:rPr>
                      <w:t xml:space="preserve">G. A. D. C. D. D. Q. D. T. K. J. L. J. L. Y.-K. M. C. M. D. P. R. P. R. R. A. a. S.-T. D. Alagic, “Status report on the third round of the NIST Post-Quantum Cryptography St,” 2022. </w:t>
                    </w:r>
                  </w:p>
                </w:tc>
              </w:tr>
              <w:tr w:rsidR="00C158DD" w14:paraId="77DCA873" w14:textId="77777777">
                <w:trPr>
                  <w:divId w:val="1076249370"/>
                  <w:tblCellSpacing w:w="15" w:type="dxa"/>
                </w:trPr>
                <w:tc>
                  <w:tcPr>
                    <w:tcW w:w="50" w:type="pct"/>
                    <w:hideMark/>
                  </w:tcPr>
                  <w:p w14:paraId="4902A94E" w14:textId="77777777" w:rsidR="00C158DD" w:rsidRDefault="00C158DD">
                    <w:pPr>
                      <w:pStyle w:val="Bibliography"/>
                      <w:rPr>
                        <w:noProof/>
                      </w:rPr>
                    </w:pPr>
                    <w:r>
                      <w:rPr>
                        <w:noProof/>
                      </w:rPr>
                      <w:t xml:space="preserve">[22] </w:t>
                    </w:r>
                  </w:p>
                </w:tc>
                <w:tc>
                  <w:tcPr>
                    <w:tcW w:w="0" w:type="auto"/>
                    <w:hideMark/>
                  </w:tcPr>
                  <w:p w14:paraId="0625EC08" w14:textId="77777777" w:rsidR="00C158DD" w:rsidRDefault="00C158DD">
                    <w:pPr>
                      <w:pStyle w:val="Bibliography"/>
                      <w:rPr>
                        <w:noProof/>
                      </w:rPr>
                    </w:pPr>
                    <w:r>
                      <w:rPr>
                        <w:noProof/>
                      </w:rPr>
                      <w:t xml:space="preserve">DeepWiki, “OWASP Top 10 - 2021, .,” </w:t>
                    </w:r>
                    <w:r>
                      <w:rPr>
                        <w:i/>
                        <w:iCs/>
                        <w:noProof/>
                      </w:rPr>
                      <w:t xml:space="preserve">DeepWiki, </w:t>
                    </w:r>
                    <w:r>
                      <w:rPr>
                        <w:noProof/>
                      </w:rPr>
                      <w:t xml:space="preserve">no. Available at: https://deepwiki.com/OWASP/Top10/3-owasp-top-10-2021., 2025. </w:t>
                    </w:r>
                  </w:p>
                </w:tc>
              </w:tr>
            </w:tbl>
            <w:p w14:paraId="673730CC" w14:textId="77777777" w:rsidR="00C158DD" w:rsidRDefault="00C158DD">
              <w:pPr>
                <w:divId w:val="1076249370"/>
                <w:rPr>
                  <w:rFonts w:eastAsia="Times New Roman"/>
                  <w:noProof/>
                </w:rPr>
              </w:pPr>
            </w:p>
            <w:p w14:paraId="437892D5" w14:textId="57ACFE9E" w:rsidR="000D69F6" w:rsidRDefault="000D69F6">
              <w:r>
                <w:rPr>
                  <w:b/>
                  <w:bCs/>
                  <w:noProof/>
                </w:rPr>
                <w:fldChar w:fldCharType="end"/>
              </w:r>
            </w:p>
          </w:sdtContent>
        </w:sdt>
      </w:sdtContent>
    </w:sdt>
    <w:p w14:paraId="4A10AA1C" w14:textId="77777777" w:rsidR="000D69F6" w:rsidRDefault="000D69F6" w:rsidP="00416EE3"/>
    <w:sectPr w:rsidR="000D69F6" w:rsidSect="00AF16DB">
      <w:footerReference w:type="default" r:id="rId10"/>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B9C219" w14:textId="77777777" w:rsidR="0050537E" w:rsidRDefault="0050537E" w:rsidP="00445D3B">
      <w:pPr>
        <w:spacing w:after="0" w:line="240" w:lineRule="auto"/>
      </w:pPr>
      <w:r>
        <w:separator/>
      </w:r>
    </w:p>
  </w:endnote>
  <w:endnote w:type="continuationSeparator" w:id="0">
    <w:p w14:paraId="43961388" w14:textId="77777777" w:rsidR="0050537E" w:rsidRDefault="0050537E" w:rsidP="00445D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7717229"/>
      <w:docPartObj>
        <w:docPartGallery w:val="Page Numbers (Bottom of Page)"/>
        <w:docPartUnique/>
      </w:docPartObj>
    </w:sdtPr>
    <w:sdtEndPr>
      <w:rPr>
        <w:noProof/>
      </w:rPr>
    </w:sdtEndPr>
    <w:sdtContent>
      <w:p w14:paraId="0530DEFC" w14:textId="41F8505F" w:rsidR="00445D3B" w:rsidRDefault="00445D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F7C542" w14:textId="77777777" w:rsidR="00445D3B" w:rsidRDefault="00445D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3681E1" w14:textId="77777777" w:rsidR="0050537E" w:rsidRDefault="0050537E" w:rsidP="00445D3B">
      <w:pPr>
        <w:spacing w:after="0" w:line="240" w:lineRule="auto"/>
      </w:pPr>
      <w:r>
        <w:separator/>
      </w:r>
    </w:p>
  </w:footnote>
  <w:footnote w:type="continuationSeparator" w:id="0">
    <w:p w14:paraId="003FA28F" w14:textId="77777777" w:rsidR="0050537E" w:rsidRDefault="0050537E" w:rsidP="00445D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45F8C"/>
    <w:multiLevelType w:val="hybridMultilevel"/>
    <w:tmpl w:val="A9440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CF1B13"/>
    <w:multiLevelType w:val="hybridMultilevel"/>
    <w:tmpl w:val="9DB26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D9301B"/>
    <w:multiLevelType w:val="hybridMultilevel"/>
    <w:tmpl w:val="71BCD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115D4F"/>
    <w:multiLevelType w:val="hybridMultilevel"/>
    <w:tmpl w:val="CFE2C2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3C3EAF"/>
    <w:multiLevelType w:val="hybridMultilevel"/>
    <w:tmpl w:val="E3A6F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2406BF"/>
    <w:multiLevelType w:val="hybridMultilevel"/>
    <w:tmpl w:val="12629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7B068CD"/>
    <w:multiLevelType w:val="hybridMultilevel"/>
    <w:tmpl w:val="84145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F703059"/>
    <w:multiLevelType w:val="hybridMultilevel"/>
    <w:tmpl w:val="08AAC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BDA0E4C"/>
    <w:multiLevelType w:val="multilevel"/>
    <w:tmpl w:val="66B476D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F0174CF"/>
    <w:multiLevelType w:val="hybridMultilevel"/>
    <w:tmpl w:val="CF4070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23C61EB"/>
    <w:multiLevelType w:val="hybridMultilevel"/>
    <w:tmpl w:val="6FFC9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5E54479"/>
    <w:multiLevelType w:val="hybridMultilevel"/>
    <w:tmpl w:val="1E564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695284D"/>
    <w:multiLevelType w:val="hybridMultilevel"/>
    <w:tmpl w:val="B3B827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7D22A68"/>
    <w:multiLevelType w:val="hybridMultilevel"/>
    <w:tmpl w:val="43F0B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AED5FE9"/>
    <w:multiLevelType w:val="hybridMultilevel"/>
    <w:tmpl w:val="55842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32762A3"/>
    <w:multiLevelType w:val="hybridMultilevel"/>
    <w:tmpl w:val="AF1AFC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B83B68"/>
    <w:multiLevelType w:val="hybridMultilevel"/>
    <w:tmpl w:val="7E6ED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F884BBE"/>
    <w:multiLevelType w:val="hybridMultilevel"/>
    <w:tmpl w:val="17DC92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E570C1D"/>
    <w:multiLevelType w:val="hybridMultilevel"/>
    <w:tmpl w:val="CD20C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F239F7"/>
    <w:multiLevelType w:val="hybridMultilevel"/>
    <w:tmpl w:val="E4681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C7D49E5"/>
    <w:multiLevelType w:val="hybridMultilevel"/>
    <w:tmpl w:val="3B8CD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5796BD5"/>
    <w:multiLevelType w:val="hybridMultilevel"/>
    <w:tmpl w:val="157488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71067D5"/>
    <w:multiLevelType w:val="hybridMultilevel"/>
    <w:tmpl w:val="3D122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A1A08F1"/>
    <w:multiLevelType w:val="hybridMultilevel"/>
    <w:tmpl w:val="7E644A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BE4256D"/>
    <w:multiLevelType w:val="hybridMultilevel"/>
    <w:tmpl w:val="F8AEC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D4050EF"/>
    <w:multiLevelType w:val="hybridMultilevel"/>
    <w:tmpl w:val="5718A7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E6F49C6"/>
    <w:multiLevelType w:val="hybridMultilevel"/>
    <w:tmpl w:val="F5FC4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1596628">
    <w:abstractNumId w:val="18"/>
  </w:num>
  <w:num w:numId="2" w16cid:durableId="1493401419">
    <w:abstractNumId w:val="19"/>
  </w:num>
  <w:num w:numId="3" w16cid:durableId="1484925388">
    <w:abstractNumId w:val="20"/>
  </w:num>
  <w:num w:numId="4" w16cid:durableId="883062915">
    <w:abstractNumId w:val="7"/>
  </w:num>
  <w:num w:numId="5" w16cid:durableId="1877037134">
    <w:abstractNumId w:val="4"/>
  </w:num>
  <w:num w:numId="6" w16cid:durableId="1000307817">
    <w:abstractNumId w:val="26"/>
  </w:num>
  <w:num w:numId="7" w16cid:durableId="1170634094">
    <w:abstractNumId w:val="5"/>
  </w:num>
  <w:num w:numId="8" w16cid:durableId="601649336">
    <w:abstractNumId w:val="21"/>
  </w:num>
  <w:num w:numId="9" w16cid:durableId="427043354">
    <w:abstractNumId w:val="13"/>
  </w:num>
  <w:num w:numId="10" w16cid:durableId="606273703">
    <w:abstractNumId w:val="2"/>
  </w:num>
  <w:num w:numId="11" w16cid:durableId="541867582">
    <w:abstractNumId w:val="10"/>
  </w:num>
  <w:num w:numId="12" w16cid:durableId="294218410">
    <w:abstractNumId w:val="12"/>
  </w:num>
  <w:num w:numId="13" w16cid:durableId="566457202">
    <w:abstractNumId w:val="6"/>
  </w:num>
  <w:num w:numId="14" w16cid:durableId="1502696570">
    <w:abstractNumId w:val="0"/>
  </w:num>
  <w:num w:numId="15" w16cid:durableId="1750423438">
    <w:abstractNumId w:val="17"/>
  </w:num>
  <w:num w:numId="16" w16cid:durableId="1817646192">
    <w:abstractNumId w:val="14"/>
  </w:num>
  <w:num w:numId="17" w16cid:durableId="1420904131">
    <w:abstractNumId w:val="11"/>
  </w:num>
  <w:num w:numId="18" w16cid:durableId="1973830688">
    <w:abstractNumId w:val="15"/>
  </w:num>
  <w:num w:numId="19" w16cid:durableId="1029334660">
    <w:abstractNumId w:val="1"/>
  </w:num>
  <w:num w:numId="20" w16cid:durableId="1799644749">
    <w:abstractNumId w:val="16"/>
  </w:num>
  <w:num w:numId="21" w16cid:durableId="1092822698">
    <w:abstractNumId w:val="23"/>
  </w:num>
  <w:num w:numId="22" w16cid:durableId="1519808932">
    <w:abstractNumId w:val="22"/>
  </w:num>
  <w:num w:numId="23" w16cid:durableId="1228108014">
    <w:abstractNumId w:val="3"/>
  </w:num>
  <w:num w:numId="24" w16cid:durableId="1062488208">
    <w:abstractNumId w:val="9"/>
  </w:num>
  <w:num w:numId="25" w16cid:durableId="921453012">
    <w:abstractNumId w:val="25"/>
  </w:num>
  <w:num w:numId="26" w16cid:durableId="1575892907">
    <w:abstractNumId w:val="8"/>
  </w:num>
  <w:num w:numId="27" w16cid:durableId="6449467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769"/>
    <w:rsid w:val="00002F3B"/>
    <w:rsid w:val="000275EF"/>
    <w:rsid w:val="000324D2"/>
    <w:rsid w:val="00093B73"/>
    <w:rsid w:val="000A41FD"/>
    <w:rsid w:val="000D69F6"/>
    <w:rsid w:val="00101AE7"/>
    <w:rsid w:val="00133C5B"/>
    <w:rsid w:val="001937E7"/>
    <w:rsid w:val="001C425D"/>
    <w:rsid w:val="001D3843"/>
    <w:rsid w:val="00213362"/>
    <w:rsid w:val="00226EEE"/>
    <w:rsid w:val="002A581D"/>
    <w:rsid w:val="002E6DC6"/>
    <w:rsid w:val="002E7789"/>
    <w:rsid w:val="002F7EDF"/>
    <w:rsid w:val="0033550B"/>
    <w:rsid w:val="00340945"/>
    <w:rsid w:val="003818F4"/>
    <w:rsid w:val="00385161"/>
    <w:rsid w:val="003903EA"/>
    <w:rsid w:val="00393A3B"/>
    <w:rsid w:val="003C129B"/>
    <w:rsid w:val="003C3217"/>
    <w:rsid w:val="003C6CBE"/>
    <w:rsid w:val="003F3A87"/>
    <w:rsid w:val="003F5378"/>
    <w:rsid w:val="0040275D"/>
    <w:rsid w:val="00410749"/>
    <w:rsid w:val="00416EE3"/>
    <w:rsid w:val="0042113C"/>
    <w:rsid w:val="00445D3B"/>
    <w:rsid w:val="0045766B"/>
    <w:rsid w:val="0048338E"/>
    <w:rsid w:val="0049630A"/>
    <w:rsid w:val="004A244A"/>
    <w:rsid w:val="004A7414"/>
    <w:rsid w:val="004C5DFD"/>
    <w:rsid w:val="004D61CE"/>
    <w:rsid w:val="0050537E"/>
    <w:rsid w:val="00524693"/>
    <w:rsid w:val="005400B8"/>
    <w:rsid w:val="0056027E"/>
    <w:rsid w:val="00562F5E"/>
    <w:rsid w:val="00580D77"/>
    <w:rsid w:val="005901BA"/>
    <w:rsid w:val="00596630"/>
    <w:rsid w:val="00596788"/>
    <w:rsid w:val="00597FDC"/>
    <w:rsid w:val="005A0C5F"/>
    <w:rsid w:val="005D6506"/>
    <w:rsid w:val="005E11CF"/>
    <w:rsid w:val="00600136"/>
    <w:rsid w:val="00602344"/>
    <w:rsid w:val="00613643"/>
    <w:rsid w:val="00646640"/>
    <w:rsid w:val="00650733"/>
    <w:rsid w:val="00680C8F"/>
    <w:rsid w:val="006A4CB1"/>
    <w:rsid w:val="006F3D3A"/>
    <w:rsid w:val="007124F7"/>
    <w:rsid w:val="007173AD"/>
    <w:rsid w:val="00740838"/>
    <w:rsid w:val="00781DD4"/>
    <w:rsid w:val="00787846"/>
    <w:rsid w:val="007B6645"/>
    <w:rsid w:val="007C2BDE"/>
    <w:rsid w:val="007E1C12"/>
    <w:rsid w:val="007E2E66"/>
    <w:rsid w:val="007F4129"/>
    <w:rsid w:val="008003A4"/>
    <w:rsid w:val="00800C89"/>
    <w:rsid w:val="00816FE2"/>
    <w:rsid w:val="00876ED7"/>
    <w:rsid w:val="008A6992"/>
    <w:rsid w:val="008C0F8D"/>
    <w:rsid w:val="008D17E9"/>
    <w:rsid w:val="00911471"/>
    <w:rsid w:val="0092582D"/>
    <w:rsid w:val="0094205C"/>
    <w:rsid w:val="00975A1C"/>
    <w:rsid w:val="0098728D"/>
    <w:rsid w:val="009B4F0E"/>
    <w:rsid w:val="00A3127B"/>
    <w:rsid w:val="00A343EA"/>
    <w:rsid w:val="00A56AC1"/>
    <w:rsid w:val="00A63639"/>
    <w:rsid w:val="00A64D5D"/>
    <w:rsid w:val="00A71E9A"/>
    <w:rsid w:val="00A94EE0"/>
    <w:rsid w:val="00AC2769"/>
    <w:rsid w:val="00AD18D2"/>
    <w:rsid w:val="00AF16DB"/>
    <w:rsid w:val="00AF211E"/>
    <w:rsid w:val="00AF323F"/>
    <w:rsid w:val="00B17622"/>
    <w:rsid w:val="00B20162"/>
    <w:rsid w:val="00B502DE"/>
    <w:rsid w:val="00B55D99"/>
    <w:rsid w:val="00B61A96"/>
    <w:rsid w:val="00B64306"/>
    <w:rsid w:val="00B81885"/>
    <w:rsid w:val="00C03E0F"/>
    <w:rsid w:val="00C14787"/>
    <w:rsid w:val="00C158DD"/>
    <w:rsid w:val="00C50987"/>
    <w:rsid w:val="00C55D07"/>
    <w:rsid w:val="00C60839"/>
    <w:rsid w:val="00C87518"/>
    <w:rsid w:val="00CC2DC7"/>
    <w:rsid w:val="00CC5415"/>
    <w:rsid w:val="00CE479B"/>
    <w:rsid w:val="00D115A0"/>
    <w:rsid w:val="00D601E0"/>
    <w:rsid w:val="00D73AB7"/>
    <w:rsid w:val="00DE10F4"/>
    <w:rsid w:val="00DF5A4E"/>
    <w:rsid w:val="00E15081"/>
    <w:rsid w:val="00E22A14"/>
    <w:rsid w:val="00E500B0"/>
    <w:rsid w:val="00E63F6D"/>
    <w:rsid w:val="00E70F01"/>
    <w:rsid w:val="00E8504C"/>
    <w:rsid w:val="00E956B4"/>
    <w:rsid w:val="00E96A2B"/>
    <w:rsid w:val="00F33999"/>
    <w:rsid w:val="00F40C5E"/>
    <w:rsid w:val="00F438CE"/>
    <w:rsid w:val="00F70245"/>
    <w:rsid w:val="00F71A8C"/>
    <w:rsid w:val="00F7383F"/>
    <w:rsid w:val="00F74DCA"/>
    <w:rsid w:val="00FA5E43"/>
    <w:rsid w:val="00FA6259"/>
    <w:rsid w:val="00FF06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8B502"/>
  <w15:chartTrackingRefBased/>
  <w15:docId w15:val="{8DFC6766-E02A-42BC-A79C-A827EB956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44A"/>
    <w:pPr>
      <w:spacing w:line="360" w:lineRule="auto"/>
      <w:jc w:val="both"/>
    </w:pPr>
    <w:rPr>
      <w:rFonts w:ascii="Arial" w:hAnsi="Arial"/>
      <w:kern w:val="0"/>
      <w:sz w:val="24"/>
      <w:lang w:val="en-AU"/>
    </w:rPr>
  </w:style>
  <w:style w:type="paragraph" w:styleId="Heading1">
    <w:name w:val="heading 1"/>
    <w:basedOn w:val="Normal"/>
    <w:next w:val="Normal"/>
    <w:link w:val="Heading1Char"/>
    <w:autoRedefine/>
    <w:uiPriority w:val="9"/>
    <w:qFormat/>
    <w:rsid w:val="0049630A"/>
    <w:pPr>
      <w:keepNext/>
      <w:keepLines/>
      <w:spacing w:before="240" w:after="0"/>
      <w:jc w:val="center"/>
      <w:outlineLvl w:val="0"/>
    </w:pPr>
    <w:rPr>
      <w:b/>
      <w:sz w:val="40"/>
      <w:szCs w:val="40"/>
    </w:rPr>
  </w:style>
  <w:style w:type="paragraph" w:styleId="Heading2">
    <w:name w:val="heading 2"/>
    <w:basedOn w:val="Normal"/>
    <w:next w:val="Normal"/>
    <w:link w:val="Heading2Char"/>
    <w:autoRedefine/>
    <w:uiPriority w:val="9"/>
    <w:unhideWhenUsed/>
    <w:qFormat/>
    <w:rsid w:val="00A64D5D"/>
    <w:pPr>
      <w:keepNext/>
      <w:keepLines/>
      <w:spacing w:before="40" w:after="0"/>
      <w:jc w:val="center"/>
      <w:outlineLvl w:val="1"/>
    </w:pPr>
    <w:rPr>
      <w:rFonts w:eastAsiaTheme="majorEastAsia" w:cstheme="majorBidi"/>
      <w:b/>
      <w:sz w:val="28"/>
      <w:szCs w:val="26"/>
      <w:lang w:val="en-US"/>
    </w:rPr>
  </w:style>
  <w:style w:type="paragraph" w:styleId="Heading3">
    <w:name w:val="heading 3"/>
    <w:basedOn w:val="Normal"/>
    <w:next w:val="Normal"/>
    <w:link w:val="Heading3Char"/>
    <w:autoRedefine/>
    <w:uiPriority w:val="9"/>
    <w:unhideWhenUsed/>
    <w:qFormat/>
    <w:rsid w:val="008A6992"/>
    <w:pPr>
      <w:keepNext/>
      <w:keepLines/>
      <w:spacing w:before="40" w:after="0"/>
      <w:outlineLvl w:val="2"/>
    </w:pPr>
    <w:rPr>
      <w:rFonts w:eastAsiaTheme="majorEastAsia" w:cstheme="majorBidi"/>
      <w:b/>
      <w:color w:val="538135" w:themeColor="accent6" w:themeShade="BF"/>
      <w:szCs w:val="24"/>
      <w:lang w:val="en-US"/>
    </w:rPr>
  </w:style>
  <w:style w:type="paragraph" w:styleId="Heading4">
    <w:name w:val="heading 4"/>
    <w:basedOn w:val="Normal"/>
    <w:next w:val="Normal"/>
    <w:link w:val="Heading4Char"/>
    <w:uiPriority w:val="9"/>
    <w:semiHidden/>
    <w:unhideWhenUsed/>
    <w:qFormat/>
    <w:rsid w:val="00AC276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C276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C276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C276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C276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C276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30A"/>
    <w:rPr>
      <w:rFonts w:ascii="Arial" w:hAnsi="Arial"/>
      <w:b/>
      <w:kern w:val="0"/>
      <w:sz w:val="40"/>
      <w:szCs w:val="40"/>
      <w:lang w:val="en-AU"/>
    </w:rPr>
  </w:style>
  <w:style w:type="paragraph" w:styleId="Title">
    <w:name w:val="Title"/>
    <w:basedOn w:val="Normal"/>
    <w:next w:val="Normal"/>
    <w:link w:val="TitleChar"/>
    <w:autoRedefine/>
    <w:uiPriority w:val="10"/>
    <w:qFormat/>
    <w:rsid w:val="00AC2769"/>
    <w:pPr>
      <w:spacing w:after="0"/>
      <w:contextualSpacing/>
      <w:jc w:val="center"/>
    </w:pPr>
    <w:rPr>
      <w:rFonts w:eastAsiaTheme="majorEastAsia" w:cstheme="majorBidi"/>
      <w:b/>
      <w:bCs/>
      <w:spacing w:val="-10"/>
      <w:kern w:val="28"/>
      <w:sz w:val="56"/>
      <w:szCs w:val="56"/>
    </w:rPr>
  </w:style>
  <w:style w:type="character" w:customStyle="1" w:styleId="TitleChar">
    <w:name w:val="Title Char"/>
    <w:basedOn w:val="DefaultParagraphFont"/>
    <w:link w:val="Title"/>
    <w:uiPriority w:val="10"/>
    <w:rsid w:val="00AC2769"/>
    <w:rPr>
      <w:rFonts w:ascii="Arial" w:eastAsiaTheme="majorEastAsia" w:hAnsi="Arial" w:cstheme="majorBidi"/>
      <w:b/>
      <w:bCs/>
      <w:spacing w:val="-10"/>
      <w:kern w:val="28"/>
      <w:sz w:val="56"/>
      <w:szCs w:val="56"/>
      <w:lang w:val="en-AU"/>
    </w:rPr>
  </w:style>
  <w:style w:type="character" w:customStyle="1" w:styleId="Heading2Char">
    <w:name w:val="Heading 2 Char"/>
    <w:basedOn w:val="DefaultParagraphFont"/>
    <w:link w:val="Heading2"/>
    <w:uiPriority w:val="9"/>
    <w:rsid w:val="00A64D5D"/>
    <w:rPr>
      <w:rFonts w:ascii="Arial" w:eastAsiaTheme="majorEastAsia" w:hAnsi="Arial" w:cstheme="majorBidi"/>
      <w:b/>
      <w:kern w:val="0"/>
      <w:sz w:val="28"/>
      <w:szCs w:val="26"/>
    </w:rPr>
  </w:style>
  <w:style w:type="character" w:customStyle="1" w:styleId="Heading3Char">
    <w:name w:val="Heading 3 Char"/>
    <w:basedOn w:val="DefaultParagraphFont"/>
    <w:link w:val="Heading3"/>
    <w:uiPriority w:val="9"/>
    <w:rsid w:val="008A6992"/>
    <w:rPr>
      <w:rFonts w:ascii="Arial" w:eastAsiaTheme="majorEastAsia" w:hAnsi="Arial" w:cstheme="majorBidi"/>
      <w:b/>
      <w:color w:val="538135" w:themeColor="accent6" w:themeShade="BF"/>
      <w:sz w:val="24"/>
      <w:szCs w:val="24"/>
    </w:rPr>
  </w:style>
  <w:style w:type="character" w:customStyle="1" w:styleId="Heading4Char">
    <w:name w:val="Heading 4 Char"/>
    <w:basedOn w:val="DefaultParagraphFont"/>
    <w:link w:val="Heading4"/>
    <w:uiPriority w:val="9"/>
    <w:semiHidden/>
    <w:rsid w:val="00AC2769"/>
    <w:rPr>
      <w:rFonts w:eastAsiaTheme="majorEastAsia" w:cstheme="majorBidi"/>
      <w:i/>
      <w:iCs/>
      <w:color w:val="2F5496" w:themeColor="accent1" w:themeShade="BF"/>
      <w:kern w:val="0"/>
      <w:sz w:val="24"/>
      <w:lang w:val="en-AU"/>
    </w:rPr>
  </w:style>
  <w:style w:type="character" w:customStyle="1" w:styleId="Heading5Char">
    <w:name w:val="Heading 5 Char"/>
    <w:basedOn w:val="DefaultParagraphFont"/>
    <w:link w:val="Heading5"/>
    <w:uiPriority w:val="9"/>
    <w:semiHidden/>
    <w:rsid w:val="00AC2769"/>
    <w:rPr>
      <w:rFonts w:eastAsiaTheme="majorEastAsia" w:cstheme="majorBidi"/>
      <w:color w:val="2F5496" w:themeColor="accent1" w:themeShade="BF"/>
      <w:kern w:val="0"/>
      <w:sz w:val="24"/>
      <w:lang w:val="en-AU"/>
    </w:rPr>
  </w:style>
  <w:style w:type="character" w:customStyle="1" w:styleId="Heading6Char">
    <w:name w:val="Heading 6 Char"/>
    <w:basedOn w:val="DefaultParagraphFont"/>
    <w:link w:val="Heading6"/>
    <w:uiPriority w:val="9"/>
    <w:semiHidden/>
    <w:rsid w:val="00AC2769"/>
    <w:rPr>
      <w:rFonts w:eastAsiaTheme="majorEastAsia" w:cstheme="majorBidi"/>
      <w:i/>
      <w:iCs/>
      <w:color w:val="595959" w:themeColor="text1" w:themeTint="A6"/>
      <w:kern w:val="0"/>
      <w:sz w:val="24"/>
      <w:lang w:val="en-AU"/>
    </w:rPr>
  </w:style>
  <w:style w:type="character" w:customStyle="1" w:styleId="Heading7Char">
    <w:name w:val="Heading 7 Char"/>
    <w:basedOn w:val="DefaultParagraphFont"/>
    <w:link w:val="Heading7"/>
    <w:uiPriority w:val="9"/>
    <w:semiHidden/>
    <w:rsid w:val="00AC2769"/>
    <w:rPr>
      <w:rFonts w:eastAsiaTheme="majorEastAsia" w:cstheme="majorBidi"/>
      <w:color w:val="595959" w:themeColor="text1" w:themeTint="A6"/>
      <w:kern w:val="0"/>
      <w:sz w:val="24"/>
      <w:lang w:val="en-AU"/>
    </w:rPr>
  </w:style>
  <w:style w:type="character" w:customStyle="1" w:styleId="Heading8Char">
    <w:name w:val="Heading 8 Char"/>
    <w:basedOn w:val="DefaultParagraphFont"/>
    <w:link w:val="Heading8"/>
    <w:uiPriority w:val="9"/>
    <w:semiHidden/>
    <w:rsid w:val="00AC2769"/>
    <w:rPr>
      <w:rFonts w:eastAsiaTheme="majorEastAsia" w:cstheme="majorBidi"/>
      <w:i/>
      <w:iCs/>
      <w:color w:val="272727" w:themeColor="text1" w:themeTint="D8"/>
      <w:kern w:val="0"/>
      <w:sz w:val="24"/>
      <w:lang w:val="en-AU"/>
    </w:rPr>
  </w:style>
  <w:style w:type="character" w:customStyle="1" w:styleId="Heading9Char">
    <w:name w:val="Heading 9 Char"/>
    <w:basedOn w:val="DefaultParagraphFont"/>
    <w:link w:val="Heading9"/>
    <w:uiPriority w:val="9"/>
    <w:semiHidden/>
    <w:rsid w:val="00AC2769"/>
    <w:rPr>
      <w:rFonts w:eastAsiaTheme="majorEastAsia" w:cstheme="majorBidi"/>
      <w:color w:val="272727" w:themeColor="text1" w:themeTint="D8"/>
      <w:kern w:val="0"/>
      <w:sz w:val="24"/>
      <w:lang w:val="en-AU"/>
    </w:rPr>
  </w:style>
  <w:style w:type="paragraph" w:styleId="Subtitle">
    <w:name w:val="Subtitle"/>
    <w:basedOn w:val="Normal"/>
    <w:next w:val="Normal"/>
    <w:link w:val="SubtitleChar"/>
    <w:uiPriority w:val="11"/>
    <w:qFormat/>
    <w:rsid w:val="00AC276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2769"/>
    <w:rPr>
      <w:rFonts w:eastAsiaTheme="majorEastAsia" w:cstheme="majorBidi"/>
      <w:color w:val="595959" w:themeColor="text1" w:themeTint="A6"/>
      <w:spacing w:val="15"/>
      <w:kern w:val="0"/>
      <w:sz w:val="28"/>
      <w:szCs w:val="28"/>
      <w:lang w:val="en-AU"/>
    </w:rPr>
  </w:style>
  <w:style w:type="paragraph" w:styleId="Quote">
    <w:name w:val="Quote"/>
    <w:basedOn w:val="Normal"/>
    <w:next w:val="Normal"/>
    <w:link w:val="QuoteChar"/>
    <w:uiPriority w:val="29"/>
    <w:qFormat/>
    <w:rsid w:val="00AC2769"/>
    <w:pPr>
      <w:spacing w:before="160"/>
      <w:jc w:val="center"/>
    </w:pPr>
    <w:rPr>
      <w:i/>
      <w:iCs/>
      <w:color w:val="404040" w:themeColor="text1" w:themeTint="BF"/>
    </w:rPr>
  </w:style>
  <w:style w:type="character" w:customStyle="1" w:styleId="QuoteChar">
    <w:name w:val="Quote Char"/>
    <w:basedOn w:val="DefaultParagraphFont"/>
    <w:link w:val="Quote"/>
    <w:uiPriority w:val="29"/>
    <w:rsid w:val="00AC2769"/>
    <w:rPr>
      <w:rFonts w:ascii="Arial" w:hAnsi="Arial"/>
      <w:i/>
      <w:iCs/>
      <w:color w:val="404040" w:themeColor="text1" w:themeTint="BF"/>
      <w:kern w:val="0"/>
      <w:sz w:val="24"/>
      <w:lang w:val="en-AU"/>
    </w:rPr>
  </w:style>
  <w:style w:type="paragraph" w:styleId="ListParagraph">
    <w:name w:val="List Paragraph"/>
    <w:basedOn w:val="Normal"/>
    <w:uiPriority w:val="34"/>
    <w:qFormat/>
    <w:rsid w:val="00AC2769"/>
    <w:pPr>
      <w:ind w:left="720"/>
      <w:contextualSpacing/>
    </w:pPr>
  </w:style>
  <w:style w:type="character" w:styleId="IntenseEmphasis">
    <w:name w:val="Intense Emphasis"/>
    <w:basedOn w:val="DefaultParagraphFont"/>
    <w:uiPriority w:val="21"/>
    <w:qFormat/>
    <w:rsid w:val="00AC2769"/>
    <w:rPr>
      <w:i/>
      <w:iCs/>
      <w:color w:val="2F5496" w:themeColor="accent1" w:themeShade="BF"/>
    </w:rPr>
  </w:style>
  <w:style w:type="paragraph" w:styleId="IntenseQuote">
    <w:name w:val="Intense Quote"/>
    <w:basedOn w:val="Normal"/>
    <w:next w:val="Normal"/>
    <w:link w:val="IntenseQuoteChar"/>
    <w:uiPriority w:val="30"/>
    <w:qFormat/>
    <w:rsid w:val="00AC27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2769"/>
    <w:rPr>
      <w:rFonts w:ascii="Arial" w:hAnsi="Arial"/>
      <w:i/>
      <w:iCs/>
      <w:color w:val="2F5496" w:themeColor="accent1" w:themeShade="BF"/>
      <w:kern w:val="0"/>
      <w:sz w:val="24"/>
      <w:lang w:val="en-AU"/>
    </w:rPr>
  </w:style>
  <w:style w:type="character" w:styleId="IntenseReference">
    <w:name w:val="Intense Reference"/>
    <w:basedOn w:val="DefaultParagraphFont"/>
    <w:uiPriority w:val="32"/>
    <w:qFormat/>
    <w:rsid w:val="00AC2769"/>
    <w:rPr>
      <w:b/>
      <w:bCs/>
      <w:smallCaps/>
      <w:color w:val="2F5496" w:themeColor="accent1" w:themeShade="BF"/>
      <w:spacing w:val="5"/>
    </w:rPr>
  </w:style>
  <w:style w:type="table" w:styleId="TableGrid">
    <w:name w:val="Table Grid"/>
    <w:basedOn w:val="TableNormal"/>
    <w:uiPriority w:val="39"/>
    <w:rsid w:val="004211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7383F"/>
    <w:pPr>
      <w:spacing w:line="259" w:lineRule="auto"/>
      <w:jc w:val="left"/>
      <w:outlineLvl w:val="9"/>
    </w:pPr>
    <w:rPr>
      <w:rFonts w:asciiTheme="majorHAnsi" w:hAnsiTheme="majorHAnsi"/>
      <w:b w:val="0"/>
      <w14:ligatures w14:val="none"/>
    </w:rPr>
  </w:style>
  <w:style w:type="paragraph" w:styleId="TOC1">
    <w:name w:val="toc 1"/>
    <w:basedOn w:val="Normal"/>
    <w:next w:val="Normal"/>
    <w:autoRedefine/>
    <w:uiPriority w:val="39"/>
    <w:unhideWhenUsed/>
    <w:rsid w:val="00F7383F"/>
    <w:pPr>
      <w:spacing w:after="100"/>
    </w:pPr>
  </w:style>
  <w:style w:type="paragraph" w:styleId="TOC2">
    <w:name w:val="toc 2"/>
    <w:basedOn w:val="Normal"/>
    <w:next w:val="Normal"/>
    <w:autoRedefine/>
    <w:uiPriority w:val="39"/>
    <w:unhideWhenUsed/>
    <w:rsid w:val="00F7383F"/>
    <w:pPr>
      <w:spacing w:after="100"/>
      <w:ind w:left="240"/>
    </w:pPr>
  </w:style>
  <w:style w:type="character" w:styleId="Hyperlink">
    <w:name w:val="Hyperlink"/>
    <w:basedOn w:val="DefaultParagraphFont"/>
    <w:uiPriority w:val="99"/>
    <w:unhideWhenUsed/>
    <w:rsid w:val="00F7383F"/>
    <w:rPr>
      <w:color w:val="0563C1" w:themeColor="hyperlink"/>
      <w:u w:val="single"/>
    </w:rPr>
  </w:style>
  <w:style w:type="character" w:styleId="UnresolvedMention">
    <w:name w:val="Unresolved Mention"/>
    <w:basedOn w:val="DefaultParagraphFont"/>
    <w:uiPriority w:val="99"/>
    <w:semiHidden/>
    <w:unhideWhenUsed/>
    <w:rsid w:val="00911471"/>
    <w:rPr>
      <w:color w:val="605E5C"/>
      <w:shd w:val="clear" w:color="auto" w:fill="E1DFDD"/>
    </w:rPr>
  </w:style>
  <w:style w:type="paragraph" w:styleId="Header">
    <w:name w:val="header"/>
    <w:basedOn w:val="Normal"/>
    <w:link w:val="HeaderChar"/>
    <w:uiPriority w:val="99"/>
    <w:unhideWhenUsed/>
    <w:rsid w:val="00445D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5D3B"/>
    <w:rPr>
      <w:rFonts w:ascii="Arial" w:hAnsi="Arial"/>
      <w:kern w:val="0"/>
      <w:sz w:val="24"/>
      <w:lang w:val="en-AU"/>
    </w:rPr>
  </w:style>
  <w:style w:type="paragraph" w:styleId="Footer">
    <w:name w:val="footer"/>
    <w:basedOn w:val="Normal"/>
    <w:link w:val="FooterChar"/>
    <w:uiPriority w:val="99"/>
    <w:unhideWhenUsed/>
    <w:rsid w:val="00445D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5D3B"/>
    <w:rPr>
      <w:rFonts w:ascii="Arial" w:hAnsi="Arial"/>
      <w:kern w:val="0"/>
      <w:sz w:val="24"/>
      <w:lang w:val="en-AU"/>
    </w:rPr>
  </w:style>
  <w:style w:type="paragraph" w:styleId="FootnoteText">
    <w:name w:val="footnote text"/>
    <w:basedOn w:val="Normal"/>
    <w:link w:val="FootnoteTextChar"/>
    <w:uiPriority w:val="99"/>
    <w:semiHidden/>
    <w:unhideWhenUsed/>
    <w:rsid w:val="00F702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0245"/>
    <w:rPr>
      <w:rFonts w:ascii="Arial" w:hAnsi="Arial"/>
      <w:kern w:val="0"/>
      <w:sz w:val="20"/>
      <w:szCs w:val="20"/>
      <w:lang w:val="en-AU"/>
    </w:rPr>
  </w:style>
  <w:style w:type="character" w:styleId="FootnoteReference">
    <w:name w:val="footnote reference"/>
    <w:basedOn w:val="DefaultParagraphFont"/>
    <w:uiPriority w:val="99"/>
    <w:semiHidden/>
    <w:unhideWhenUsed/>
    <w:rsid w:val="00F70245"/>
    <w:rPr>
      <w:vertAlign w:val="superscript"/>
    </w:rPr>
  </w:style>
  <w:style w:type="paragraph" w:styleId="Caption">
    <w:name w:val="caption"/>
    <w:basedOn w:val="Normal"/>
    <w:next w:val="Normal"/>
    <w:uiPriority w:val="35"/>
    <w:unhideWhenUsed/>
    <w:qFormat/>
    <w:rsid w:val="007E1C12"/>
    <w:pPr>
      <w:spacing w:after="200" w:line="240" w:lineRule="auto"/>
    </w:pPr>
    <w:rPr>
      <w:i/>
      <w:iCs/>
      <w:color w:val="44546A" w:themeColor="text2"/>
      <w:sz w:val="18"/>
      <w:szCs w:val="18"/>
    </w:rPr>
  </w:style>
  <w:style w:type="table" w:styleId="PlainTable1">
    <w:name w:val="Plain Table 1"/>
    <w:basedOn w:val="TableNormal"/>
    <w:uiPriority w:val="41"/>
    <w:rsid w:val="005D650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5D650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0D69F6"/>
  </w:style>
  <w:style w:type="paragraph" w:styleId="NoSpacing">
    <w:name w:val="No Spacing"/>
    <w:link w:val="NoSpacingChar"/>
    <w:uiPriority w:val="1"/>
    <w:qFormat/>
    <w:rsid w:val="00AF16DB"/>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AF16DB"/>
    <w:rPr>
      <w:rFonts w:eastAsiaTheme="minorEastAsia"/>
      <w:kern w:val="0"/>
      <w14:ligatures w14:val="none"/>
    </w:rPr>
  </w:style>
  <w:style w:type="character" w:styleId="Strong">
    <w:name w:val="Strong"/>
    <w:basedOn w:val="DefaultParagraphFont"/>
    <w:uiPriority w:val="22"/>
    <w:qFormat/>
    <w:rsid w:val="005901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753111">
      <w:bodyDiv w:val="1"/>
      <w:marLeft w:val="0"/>
      <w:marRight w:val="0"/>
      <w:marTop w:val="0"/>
      <w:marBottom w:val="0"/>
      <w:divBdr>
        <w:top w:val="none" w:sz="0" w:space="0" w:color="auto"/>
        <w:left w:val="none" w:sz="0" w:space="0" w:color="auto"/>
        <w:bottom w:val="none" w:sz="0" w:space="0" w:color="auto"/>
        <w:right w:val="none" w:sz="0" w:space="0" w:color="auto"/>
      </w:divBdr>
    </w:div>
    <w:div w:id="43406013">
      <w:bodyDiv w:val="1"/>
      <w:marLeft w:val="0"/>
      <w:marRight w:val="0"/>
      <w:marTop w:val="0"/>
      <w:marBottom w:val="0"/>
      <w:divBdr>
        <w:top w:val="none" w:sz="0" w:space="0" w:color="auto"/>
        <w:left w:val="none" w:sz="0" w:space="0" w:color="auto"/>
        <w:bottom w:val="none" w:sz="0" w:space="0" w:color="auto"/>
        <w:right w:val="none" w:sz="0" w:space="0" w:color="auto"/>
      </w:divBdr>
    </w:div>
    <w:div w:id="48461924">
      <w:bodyDiv w:val="1"/>
      <w:marLeft w:val="0"/>
      <w:marRight w:val="0"/>
      <w:marTop w:val="0"/>
      <w:marBottom w:val="0"/>
      <w:divBdr>
        <w:top w:val="none" w:sz="0" w:space="0" w:color="auto"/>
        <w:left w:val="none" w:sz="0" w:space="0" w:color="auto"/>
        <w:bottom w:val="none" w:sz="0" w:space="0" w:color="auto"/>
        <w:right w:val="none" w:sz="0" w:space="0" w:color="auto"/>
      </w:divBdr>
    </w:div>
    <w:div w:id="94058949">
      <w:bodyDiv w:val="1"/>
      <w:marLeft w:val="0"/>
      <w:marRight w:val="0"/>
      <w:marTop w:val="0"/>
      <w:marBottom w:val="0"/>
      <w:divBdr>
        <w:top w:val="none" w:sz="0" w:space="0" w:color="auto"/>
        <w:left w:val="none" w:sz="0" w:space="0" w:color="auto"/>
        <w:bottom w:val="none" w:sz="0" w:space="0" w:color="auto"/>
        <w:right w:val="none" w:sz="0" w:space="0" w:color="auto"/>
      </w:divBdr>
    </w:div>
    <w:div w:id="107044540">
      <w:bodyDiv w:val="1"/>
      <w:marLeft w:val="0"/>
      <w:marRight w:val="0"/>
      <w:marTop w:val="0"/>
      <w:marBottom w:val="0"/>
      <w:divBdr>
        <w:top w:val="none" w:sz="0" w:space="0" w:color="auto"/>
        <w:left w:val="none" w:sz="0" w:space="0" w:color="auto"/>
        <w:bottom w:val="none" w:sz="0" w:space="0" w:color="auto"/>
        <w:right w:val="none" w:sz="0" w:space="0" w:color="auto"/>
      </w:divBdr>
    </w:div>
    <w:div w:id="138765555">
      <w:bodyDiv w:val="1"/>
      <w:marLeft w:val="0"/>
      <w:marRight w:val="0"/>
      <w:marTop w:val="0"/>
      <w:marBottom w:val="0"/>
      <w:divBdr>
        <w:top w:val="none" w:sz="0" w:space="0" w:color="auto"/>
        <w:left w:val="none" w:sz="0" w:space="0" w:color="auto"/>
        <w:bottom w:val="none" w:sz="0" w:space="0" w:color="auto"/>
        <w:right w:val="none" w:sz="0" w:space="0" w:color="auto"/>
      </w:divBdr>
    </w:div>
    <w:div w:id="169952708">
      <w:bodyDiv w:val="1"/>
      <w:marLeft w:val="0"/>
      <w:marRight w:val="0"/>
      <w:marTop w:val="0"/>
      <w:marBottom w:val="0"/>
      <w:divBdr>
        <w:top w:val="none" w:sz="0" w:space="0" w:color="auto"/>
        <w:left w:val="none" w:sz="0" w:space="0" w:color="auto"/>
        <w:bottom w:val="none" w:sz="0" w:space="0" w:color="auto"/>
        <w:right w:val="none" w:sz="0" w:space="0" w:color="auto"/>
      </w:divBdr>
    </w:div>
    <w:div w:id="228348440">
      <w:bodyDiv w:val="1"/>
      <w:marLeft w:val="0"/>
      <w:marRight w:val="0"/>
      <w:marTop w:val="0"/>
      <w:marBottom w:val="0"/>
      <w:divBdr>
        <w:top w:val="none" w:sz="0" w:space="0" w:color="auto"/>
        <w:left w:val="none" w:sz="0" w:space="0" w:color="auto"/>
        <w:bottom w:val="none" w:sz="0" w:space="0" w:color="auto"/>
        <w:right w:val="none" w:sz="0" w:space="0" w:color="auto"/>
      </w:divBdr>
    </w:div>
    <w:div w:id="279847759">
      <w:bodyDiv w:val="1"/>
      <w:marLeft w:val="0"/>
      <w:marRight w:val="0"/>
      <w:marTop w:val="0"/>
      <w:marBottom w:val="0"/>
      <w:divBdr>
        <w:top w:val="none" w:sz="0" w:space="0" w:color="auto"/>
        <w:left w:val="none" w:sz="0" w:space="0" w:color="auto"/>
        <w:bottom w:val="none" w:sz="0" w:space="0" w:color="auto"/>
        <w:right w:val="none" w:sz="0" w:space="0" w:color="auto"/>
      </w:divBdr>
    </w:div>
    <w:div w:id="310910688">
      <w:bodyDiv w:val="1"/>
      <w:marLeft w:val="0"/>
      <w:marRight w:val="0"/>
      <w:marTop w:val="0"/>
      <w:marBottom w:val="0"/>
      <w:divBdr>
        <w:top w:val="none" w:sz="0" w:space="0" w:color="auto"/>
        <w:left w:val="none" w:sz="0" w:space="0" w:color="auto"/>
        <w:bottom w:val="none" w:sz="0" w:space="0" w:color="auto"/>
        <w:right w:val="none" w:sz="0" w:space="0" w:color="auto"/>
      </w:divBdr>
    </w:div>
    <w:div w:id="326596523">
      <w:bodyDiv w:val="1"/>
      <w:marLeft w:val="0"/>
      <w:marRight w:val="0"/>
      <w:marTop w:val="0"/>
      <w:marBottom w:val="0"/>
      <w:divBdr>
        <w:top w:val="none" w:sz="0" w:space="0" w:color="auto"/>
        <w:left w:val="none" w:sz="0" w:space="0" w:color="auto"/>
        <w:bottom w:val="none" w:sz="0" w:space="0" w:color="auto"/>
        <w:right w:val="none" w:sz="0" w:space="0" w:color="auto"/>
      </w:divBdr>
    </w:div>
    <w:div w:id="352196491">
      <w:bodyDiv w:val="1"/>
      <w:marLeft w:val="0"/>
      <w:marRight w:val="0"/>
      <w:marTop w:val="0"/>
      <w:marBottom w:val="0"/>
      <w:divBdr>
        <w:top w:val="none" w:sz="0" w:space="0" w:color="auto"/>
        <w:left w:val="none" w:sz="0" w:space="0" w:color="auto"/>
        <w:bottom w:val="none" w:sz="0" w:space="0" w:color="auto"/>
        <w:right w:val="none" w:sz="0" w:space="0" w:color="auto"/>
      </w:divBdr>
    </w:div>
    <w:div w:id="357969048">
      <w:bodyDiv w:val="1"/>
      <w:marLeft w:val="0"/>
      <w:marRight w:val="0"/>
      <w:marTop w:val="0"/>
      <w:marBottom w:val="0"/>
      <w:divBdr>
        <w:top w:val="none" w:sz="0" w:space="0" w:color="auto"/>
        <w:left w:val="none" w:sz="0" w:space="0" w:color="auto"/>
        <w:bottom w:val="none" w:sz="0" w:space="0" w:color="auto"/>
        <w:right w:val="none" w:sz="0" w:space="0" w:color="auto"/>
      </w:divBdr>
    </w:div>
    <w:div w:id="403183860">
      <w:bodyDiv w:val="1"/>
      <w:marLeft w:val="0"/>
      <w:marRight w:val="0"/>
      <w:marTop w:val="0"/>
      <w:marBottom w:val="0"/>
      <w:divBdr>
        <w:top w:val="none" w:sz="0" w:space="0" w:color="auto"/>
        <w:left w:val="none" w:sz="0" w:space="0" w:color="auto"/>
        <w:bottom w:val="none" w:sz="0" w:space="0" w:color="auto"/>
        <w:right w:val="none" w:sz="0" w:space="0" w:color="auto"/>
      </w:divBdr>
    </w:div>
    <w:div w:id="469178162">
      <w:bodyDiv w:val="1"/>
      <w:marLeft w:val="0"/>
      <w:marRight w:val="0"/>
      <w:marTop w:val="0"/>
      <w:marBottom w:val="0"/>
      <w:divBdr>
        <w:top w:val="none" w:sz="0" w:space="0" w:color="auto"/>
        <w:left w:val="none" w:sz="0" w:space="0" w:color="auto"/>
        <w:bottom w:val="none" w:sz="0" w:space="0" w:color="auto"/>
        <w:right w:val="none" w:sz="0" w:space="0" w:color="auto"/>
      </w:divBdr>
    </w:div>
    <w:div w:id="479932052">
      <w:bodyDiv w:val="1"/>
      <w:marLeft w:val="0"/>
      <w:marRight w:val="0"/>
      <w:marTop w:val="0"/>
      <w:marBottom w:val="0"/>
      <w:divBdr>
        <w:top w:val="none" w:sz="0" w:space="0" w:color="auto"/>
        <w:left w:val="none" w:sz="0" w:space="0" w:color="auto"/>
        <w:bottom w:val="none" w:sz="0" w:space="0" w:color="auto"/>
        <w:right w:val="none" w:sz="0" w:space="0" w:color="auto"/>
      </w:divBdr>
    </w:div>
    <w:div w:id="521014432">
      <w:bodyDiv w:val="1"/>
      <w:marLeft w:val="0"/>
      <w:marRight w:val="0"/>
      <w:marTop w:val="0"/>
      <w:marBottom w:val="0"/>
      <w:divBdr>
        <w:top w:val="none" w:sz="0" w:space="0" w:color="auto"/>
        <w:left w:val="none" w:sz="0" w:space="0" w:color="auto"/>
        <w:bottom w:val="none" w:sz="0" w:space="0" w:color="auto"/>
        <w:right w:val="none" w:sz="0" w:space="0" w:color="auto"/>
      </w:divBdr>
    </w:div>
    <w:div w:id="575171496">
      <w:bodyDiv w:val="1"/>
      <w:marLeft w:val="0"/>
      <w:marRight w:val="0"/>
      <w:marTop w:val="0"/>
      <w:marBottom w:val="0"/>
      <w:divBdr>
        <w:top w:val="none" w:sz="0" w:space="0" w:color="auto"/>
        <w:left w:val="none" w:sz="0" w:space="0" w:color="auto"/>
        <w:bottom w:val="none" w:sz="0" w:space="0" w:color="auto"/>
        <w:right w:val="none" w:sz="0" w:space="0" w:color="auto"/>
      </w:divBdr>
    </w:div>
    <w:div w:id="584191111">
      <w:bodyDiv w:val="1"/>
      <w:marLeft w:val="0"/>
      <w:marRight w:val="0"/>
      <w:marTop w:val="0"/>
      <w:marBottom w:val="0"/>
      <w:divBdr>
        <w:top w:val="none" w:sz="0" w:space="0" w:color="auto"/>
        <w:left w:val="none" w:sz="0" w:space="0" w:color="auto"/>
        <w:bottom w:val="none" w:sz="0" w:space="0" w:color="auto"/>
        <w:right w:val="none" w:sz="0" w:space="0" w:color="auto"/>
      </w:divBdr>
    </w:div>
    <w:div w:id="635452189">
      <w:bodyDiv w:val="1"/>
      <w:marLeft w:val="0"/>
      <w:marRight w:val="0"/>
      <w:marTop w:val="0"/>
      <w:marBottom w:val="0"/>
      <w:divBdr>
        <w:top w:val="none" w:sz="0" w:space="0" w:color="auto"/>
        <w:left w:val="none" w:sz="0" w:space="0" w:color="auto"/>
        <w:bottom w:val="none" w:sz="0" w:space="0" w:color="auto"/>
        <w:right w:val="none" w:sz="0" w:space="0" w:color="auto"/>
      </w:divBdr>
    </w:div>
    <w:div w:id="646276576">
      <w:bodyDiv w:val="1"/>
      <w:marLeft w:val="0"/>
      <w:marRight w:val="0"/>
      <w:marTop w:val="0"/>
      <w:marBottom w:val="0"/>
      <w:divBdr>
        <w:top w:val="none" w:sz="0" w:space="0" w:color="auto"/>
        <w:left w:val="none" w:sz="0" w:space="0" w:color="auto"/>
        <w:bottom w:val="none" w:sz="0" w:space="0" w:color="auto"/>
        <w:right w:val="none" w:sz="0" w:space="0" w:color="auto"/>
      </w:divBdr>
    </w:div>
    <w:div w:id="670253493">
      <w:bodyDiv w:val="1"/>
      <w:marLeft w:val="0"/>
      <w:marRight w:val="0"/>
      <w:marTop w:val="0"/>
      <w:marBottom w:val="0"/>
      <w:divBdr>
        <w:top w:val="none" w:sz="0" w:space="0" w:color="auto"/>
        <w:left w:val="none" w:sz="0" w:space="0" w:color="auto"/>
        <w:bottom w:val="none" w:sz="0" w:space="0" w:color="auto"/>
        <w:right w:val="none" w:sz="0" w:space="0" w:color="auto"/>
      </w:divBdr>
    </w:div>
    <w:div w:id="689531182">
      <w:bodyDiv w:val="1"/>
      <w:marLeft w:val="0"/>
      <w:marRight w:val="0"/>
      <w:marTop w:val="0"/>
      <w:marBottom w:val="0"/>
      <w:divBdr>
        <w:top w:val="none" w:sz="0" w:space="0" w:color="auto"/>
        <w:left w:val="none" w:sz="0" w:space="0" w:color="auto"/>
        <w:bottom w:val="none" w:sz="0" w:space="0" w:color="auto"/>
        <w:right w:val="none" w:sz="0" w:space="0" w:color="auto"/>
      </w:divBdr>
    </w:div>
    <w:div w:id="704789864">
      <w:bodyDiv w:val="1"/>
      <w:marLeft w:val="0"/>
      <w:marRight w:val="0"/>
      <w:marTop w:val="0"/>
      <w:marBottom w:val="0"/>
      <w:divBdr>
        <w:top w:val="none" w:sz="0" w:space="0" w:color="auto"/>
        <w:left w:val="none" w:sz="0" w:space="0" w:color="auto"/>
        <w:bottom w:val="none" w:sz="0" w:space="0" w:color="auto"/>
        <w:right w:val="none" w:sz="0" w:space="0" w:color="auto"/>
      </w:divBdr>
    </w:div>
    <w:div w:id="722023687">
      <w:bodyDiv w:val="1"/>
      <w:marLeft w:val="0"/>
      <w:marRight w:val="0"/>
      <w:marTop w:val="0"/>
      <w:marBottom w:val="0"/>
      <w:divBdr>
        <w:top w:val="none" w:sz="0" w:space="0" w:color="auto"/>
        <w:left w:val="none" w:sz="0" w:space="0" w:color="auto"/>
        <w:bottom w:val="none" w:sz="0" w:space="0" w:color="auto"/>
        <w:right w:val="none" w:sz="0" w:space="0" w:color="auto"/>
      </w:divBdr>
    </w:div>
    <w:div w:id="739593703">
      <w:bodyDiv w:val="1"/>
      <w:marLeft w:val="0"/>
      <w:marRight w:val="0"/>
      <w:marTop w:val="0"/>
      <w:marBottom w:val="0"/>
      <w:divBdr>
        <w:top w:val="none" w:sz="0" w:space="0" w:color="auto"/>
        <w:left w:val="none" w:sz="0" w:space="0" w:color="auto"/>
        <w:bottom w:val="none" w:sz="0" w:space="0" w:color="auto"/>
        <w:right w:val="none" w:sz="0" w:space="0" w:color="auto"/>
      </w:divBdr>
    </w:div>
    <w:div w:id="749889880">
      <w:bodyDiv w:val="1"/>
      <w:marLeft w:val="0"/>
      <w:marRight w:val="0"/>
      <w:marTop w:val="0"/>
      <w:marBottom w:val="0"/>
      <w:divBdr>
        <w:top w:val="none" w:sz="0" w:space="0" w:color="auto"/>
        <w:left w:val="none" w:sz="0" w:space="0" w:color="auto"/>
        <w:bottom w:val="none" w:sz="0" w:space="0" w:color="auto"/>
        <w:right w:val="none" w:sz="0" w:space="0" w:color="auto"/>
      </w:divBdr>
    </w:div>
    <w:div w:id="810750916">
      <w:bodyDiv w:val="1"/>
      <w:marLeft w:val="0"/>
      <w:marRight w:val="0"/>
      <w:marTop w:val="0"/>
      <w:marBottom w:val="0"/>
      <w:divBdr>
        <w:top w:val="none" w:sz="0" w:space="0" w:color="auto"/>
        <w:left w:val="none" w:sz="0" w:space="0" w:color="auto"/>
        <w:bottom w:val="none" w:sz="0" w:space="0" w:color="auto"/>
        <w:right w:val="none" w:sz="0" w:space="0" w:color="auto"/>
      </w:divBdr>
    </w:div>
    <w:div w:id="821234122">
      <w:bodyDiv w:val="1"/>
      <w:marLeft w:val="0"/>
      <w:marRight w:val="0"/>
      <w:marTop w:val="0"/>
      <w:marBottom w:val="0"/>
      <w:divBdr>
        <w:top w:val="none" w:sz="0" w:space="0" w:color="auto"/>
        <w:left w:val="none" w:sz="0" w:space="0" w:color="auto"/>
        <w:bottom w:val="none" w:sz="0" w:space="0" w:color="auto"/>
        <w:right w:val="none" w:sz="0" w:space="0" w:color="auto"/>
      </w:divBdr>
    </w:div>
    <w:div w:id="827743240">
      <w:bodyDiv w:val="1"/>
      <w:marLeft w:val="0"/>
      <w:marRight w:val="0"/>
      <w:marTop w:val="0"/>
      <w:marBottom w:val="0"/>
      <w:divBdr>
        <w:top w:val="none" w:sz="0" w:space="0" w:color="auto"/>
        <w:left w:val="none" w:sz="0" w:space="0" w:color="auto"/>
        <w:bottom w:val="none" w:sz="0" w:space="0" w:color="auto"/>
        <w:right w:val="none" w:sz="0" w:space="0" w:color="auto"/>
      </w:divBdr>
    </w:div>
    <w:div w:id="841817189">
      <w:bodyDiv w:val="1"/>
      <w:marLeft w:val="0"/>
      <w:marRight w:val="0"/>
      <w:marTop w:val="0"/>
      <w:marBottom w:val="0"/>
      <w:divBdr>
        <w:top w:val="none" w:sz="0" w:space="0" w:color="auto"/>
        <w:left w:val="none" w:sz="0" w:space="0" w:color="auto"/>
        <w:bottom w:val="none" w:sz="0" w:space="0" w:color="auto"/>
        <w:right w:val="none" w:sz="0" w:space="0" w:color="auto"/>
      </w:divBdr>
    </w:div>
    <w:div w:id="942111756">
      <w:bodyDiv w:val="1"/>
      <w:marLeft w:val="0"/>
      <w:marRight w:val="0"/>
      <w:marTop w:val="0"/>
      <w:marBottom w:val="0"/>
      <w:divBdr>
        <w:top w:val="none" w:sz="0" w:space="0" w:color="auto"/>
        <w:left w:val="none" w:sz="0" w:space="0" w:color="auto"/>
        <w:bottom w:val="none" w:sz="0" w:space="0" w:color="auto"/>
        <w:right w:val="none" w:sz="0" w:space="0" w:color="auto"/>
      </w:divBdr>
    </w:div>
    <w:div w:id="944314568">
      <w:bodyDiv w:val="1"/>
      <w:marLeft w:val="0"/>
      <w:marRight w:val="0"/>
      <w:marTop w:val="0"/>
      <w:marBottom w:val="0"/>
      <w:divBdr>
        <w:top w:val="none" w:sz="0" w:space="0" w:color="auto"/>
        <w:left w:val="none" w:sz="0" w:space="0" w:color="auto"/>
        <w:bottom w:val="none" w:sz="0" w:space="0" w:color="auto"/>
        <w:right w:val="none" w:sz="0" w:space="0" w:color="auto"/>
      </w:divBdr>
    </w:div>
    <w:div w:id="1013412996">
      <w:bodyDiv w:val="1"/>
      <w:marLeft w:val="0"/>
      <w:marRight w:val="0"/>
      <w:marTop w:val="0"/>
      <w:marBottom w:val="0"/>
      <w:divBdr>
        <w:top w:val="none" w:sz="0" w:space="0" w:color="auto"/>
        <w:left w:val="none" w:sz="0" w:space="0" w:color="auto"/>
        <w:bottom w:val="none" w:sz="0" w:space="0" w:color="auto"/>
        <w:right w:val="none" w:sz="0" w:space="0" w:color="auto"/>
      </w:divBdr>
    </w:div>
    <w:div w:id="1029838508">
      <w:bodyDiv w:val="1"/>
      <w:marLeft w:val="0"/>
      <w:marRight w:val="0"/>
      <w:marTop w:val="0"/>
      <w:marBottom w:val="0"/>
      <w:divBdr>
        <w:top w:val="none" w:sz="0" w:space="0" w:color="auto"/>
        <w:left w:val="none" w:sz="0" w:space="0" w:color="auto"/>
        <w:bottom w:val="none" w:sz="0" w:space="0" w:color="auto"/>
        <w:right w:val="none" w:sz="0" w:space="0" w:color="auto"/>
      </w:divBdr>
    </w:div>
    <w:div w:id="1049568580">
      <w:bodyDiv w:val="1"/>
      <w:marLeft w:val="0"/>
      <w:marRight w:val="0"/>
      <w:marTop w:val="0"/>
      <w:marBottom w:val="0"/>
      <w:divBdr>
        <w:top w:val="none" w:sz="0" w:space="0" w:color="auto"/>
        <w:left w:val="none" w:sz="0" w:space="0" w:color="auto"/>
        <w:bottom w:val="none" w:sz="0" w:space="0" w:color="auto"/>
        <w:right w:val="none" w:sz="0" w:space="0" w:color="auto"/>
      </w:divBdr>
    </w:div>
    <w:div w:id="1056591953">
      <w:bodyDiv w:val="1"/>
      <w:marLeft w:val="0"/>
      <w:marRight w:val="0"/>
      <w:marTop w:val="0"/>
      <w:marBottom w:val="0"/>
      <w:divBdr>
        <w:top w:val="none" w:sz="0" w:space="0" w:color="auto"/>
        <w:left w:val="none" w:sz="0" w:space="0" w:color="auto"/>
        <w:bottom w:val="none" w:sz="0" w:space="0" w:color="auto"/>
        <w:right w:val="none" w:sz="0" w:space="0" w:color="auto"/>
      </w:divBdr>
    </w:div>
    <w:div w:id="1060011072">
      <w:bodyDiv w:val="1"/>
      <w:marLeft w:val="0"/>
      <w:marRight w:val="0"/>
      <w:marTop w:val="0"/>
      <w:marBottom w:val="0"/>
      <w:divBdr>
        <w:top w:val="none" w:sz="0" w:space="0" w:color="auto"/>
        <w:left w:val="none" w:sz="0" w:space="0" w:color="auto"/>
        <w:bottom w:val="none" w:sz="0" w:space="0" w:color="auto"/>
        <w:right w:val="none" w:sz="0" w:space="0" w:color="auto"/>
      </w:divBdr>
    </w:div>
    <w:div w:id="1076249370">
      <w:bodyDiv w:val="1"/>
      <w:marLeft w:val="0"/>
      <w:marRight w:val="0"/>
      <w:marTop w:val="0"/>
      <w:marBottom w:val="0"/>
      <w:divBdr>
        <w:top w:val="none" w:sz="0" w:space="0" w:color="auto"/>
        <w:left w:val="none" w:sz="0" w:space="0" w:color="auto"/>
        <w:bottom w:val="none" w:sz="0" w:space="0" w:color="auto"/>
        <w:right w:val="none" w:sz="0" w:space="0" w:color="auto"/>
      </w:divBdr>
    </w:div>
    <w:div w:id="1126656414">
      <w:bodyDiv w:val="1"/>
      <w:marLeft w:val="0"/>
      <w:marRight w:val="0"/>
      <w:marTop w:val="0"/>
      <w:marBottom w:val="0"/>
      <w:divBdr>
        <w:top w:val="none" w:sz="0" w:space="0" w:color="auto"/>
        <w:left w:val="none" w:sz="0" w:space="0" w:color="auto"/>
        <w:bottom w:val="none" w:sz="0" w:space="0" w:color="auto"/>
        <w:right w:val="none" w:sz="0" w:space="0" w:color="auto"/>
      </w:divBdr>
    </w:div>
    <w:div w:id="1134367646">
      <w:bodyDiv w:val="1"/>
      <w:marLeft w:val="0"/>
      <w:marRight w:val="0"/>
      <w:marTop w:val="0"/>
      <w:marBottom w:val="0"/>
      <w:divBdr>
        <w:top w:val="none" w:sz="0" w:space="0" w:color="auto"/>
        <w:left w:val="none" w:sz="0" w:space="0" w:color="auto"/>
        <w:bottom w:val="none" w:sz="0" w:space="0" w:color="auto"/>
        <w:right w:val="none" w:sz="0" w:space="0" w:color="auto"/>
      </w:divBdr>
    </w:div>
    <w:div w:id="1167554456">
      <w:bodyDiv w:val="1"/>
      <w:marLeft w:val="0"/>
      <w:marRight w:val="0"/>
      <w:marTop w:val="0"/>
      <w:marBottom w:val="0"/>
      <w:divBdr>
        <w:top w:val="none" w:sz="0" w:space="0" w:color="auto"/>
        <w:left w:val="none" w:sz="0" w:space="0" w:color="auto"/>
        <w:bottom w:val="none" w:sz="0" w:space="0" w:color="auto"/>
        <w:right w:val="none" w:sz="0" w:space="0" w:color="auto"/>
      </w:divBdr>
    </w:div>
    <w:div w:id="1171682307">
      <w:bodyDiv w:val="1"/>
      <w:marLeft w:val="0"/>
      <w:marRight w:val="0"/>
      <w:marTop w:val="0"/>
      <w:marBottom w:val="0"/>
      <w:divBdr>
        <w:top w:val="none" w:sz="0" w:space="0" w:color="auto"/>
        <w:left w:val="none" w:sz="0" w:space="0" w:color="auto"/>
        <w:bottom w:val="none" w:sz="0" w:space="0" w:color="auto"/>
        <w:right w:val="none" w:sz="0" w:space="0" w:color="auto"/>
      </w:divBdr>
    </w:div>
    <w:div w:id="1204102998">
      <w:bodyDiv w:val="1"/>
      <w:marLeft w:val="0"/>
      <w:marRight w:val="0"/>
      <w:marTop w:val="0"/>
      <w:marBottom w:val="0"/>
      <w:divBdr>
        <w:top w:val="none" w:sz="0" w:space="0" w:color="auto"/>
        <w:left w:val="none" w:sz="0" w:space="0" w:color="auto"/>
        <w:bottom w:val="none" w:sz="0" w:space="0" w:color="auto"/>
        <w:right w:val="none" w:sz="0" w:space="0" w:color="auto"/>
      </w:divBdr>
    </w:div>
    <w:div w:id="1245190888">
      <w:bodyDiv w:val="1"/>
      <w:marLeft w:val="0"/>
      <w:marRight w:val="0"/>
      <w:marTop w:val="0"/>
      <w:marBottom w:val="0"/>
      <w:divBdr>
        <w:top w:val="none" w:sz="0" w:space="0" w:color="auto"/>
        <w:left w:val="none" w:sz="0" w:space="0" w:color="auto"/>
        <w:bottom w:val="none" w:sz="0" w:space="0" w:color="auto"/>
        <w:right w:val="none" w:sz="0" w:space="0" w:color="auto"/>
      </w:divBdr>
    </w:div>
    <w:div w:id="1270817694">
      <w:bodyDiv w:val="1"/>
      <w:marLeft w:val="0"/>
      <w:marRight w:val="0"/>
      <w:marTop w:val="0"/>
      <w:marBottom w:val="0"/>
      <w:divBdr>
        <w:top w:val="none" w:sz="0" w:space="0" w:color="auto"/>
        <w:left w:val="none" w:sz="0" w:space="0" w:color="auto"/>
        <w:bottom w:val="none" w:sz="0" w:space="0" w:color="auto"/>
        <w:right w:val="none" w:sz="0" w:space="0" w:color="auto"/>
      </w:divBdr>
    </w:div>
    <w:div w:id="1281884998">
      <w:bodyDiv w:val="1"/>
      <w:marLeft w:val="0"/>
      <w:marRight w:val="0"/>
      <w:marTop w:val="0"/>
      <w:marBottom w:val="0"/>
      <w:divBdr>
        <w:top w:val="none" w:sz="0" w:space="0" w:color="auto"/>
        <w:left w:val="none" w:sz="0" w:space="0" w:color="auto"/>
        <w:bottom w:val="none" w:sz="0" w:space="0" w:color="auto"/>
        <w:right w:val="none" w:sz="0" w:space="0" w:color="auto"/>
      </w:divBdr>
    </w:div>
    <w:div w:id="1292243300">
      <w:bodyDiv w:val="1"/>
      <w:marLeft w:val="0"/>
      <w:marRight w:val="0"/>
      <w:marTop w:val="0"/>
      <w:marBottom w:val="0"/>
      <w:divBdr>
        <w:top w:val="none" w:sz="0" w:space="0" w:color="auto"/>
        <w:left w:val="none" w:sz="0" w:space="0" w:color="auto"/>
        <w:bottom w:val="none" w:sz="0" w:space="0" w:color="auto"/>
        <w:right w:val="none" w:sz="0" w:space="0" w:color="auto"/>
      </w:divBdr>
    </w:div>
    <w:div w:id="1360660343">
      <w:bodyDiv w:val="1"/>
      <w:marLeft w:val="0"/>
      <w:marRight w:val="0"/>
      <w:marTop w:val="0"/>
      <w:marBottom w:val="0"/>
      <w:divBdr>
        <w:top w:val="none" w:sz="0" w:space="0" w:color="auto"/>
        <w:left w:val="none" w:sz="0" w:space="0" w:color="auto"/>
        <w:bottom w:val="none" w:sz="0" w:space="0" w:color="auto"/>
        <w:right w:val="none" w:sz="0" w:space="0" w:color="auto"/>
      </w:divBdr>
    </w:div>
    <w:div w:id="1371952679">
      <w:bodyDiv w:val="1"/>
      <w:marLeft w:val="0"/>
      <w:marRight w:val="0"/>
      <w:marTop w:val="0"/>
      <w:marBottom w:val="0"/>
      <w:divBdr>
        <w:top w:val="none" w:sz="0" w:space="0" w:color="auto"/>
        <w:left w:val="none" w:sz="0" w:space="0" w:color="auto"/>
        <w:bottom w:val="none" w:sz="0" w:space="0" w:color="auto"/>
        <w:right w:val="none" w:sz="0" w:space="0" w:color="auto"/>
      </w:divBdr>
    </w:div>
    <w:div w:id="1387218212">
      <w:bodyDiv w:val="1"/>
      <w:marLeft w:val="0"/>
      <w:marRight w:val="0"/>
      <w:marTop w:val="0"/>
      <w:marBottom w:val="0"/>
      <w:divBdr>
        <w:top w:val="none" w:sz="0" w:space="0" w:color="auto"/>
        <w:left w:val="none" w:sz="0" w:space="0" w:color="auto"/>
        <w:bottom w:val="none" w:sz="0" w:space="0" w:color="auto"/>
        <w:right w:val="none" w:sz="0" w:space="0" w:color="auto"/>
      </w:divBdr>
    </w:div>
    <w:div w:id="1408572970">
      <w:bodyDiv w:val="1"/>
      <w:marLeft w:val="0"/>
      <w:marRight w:val="0"/>
      <w:marTop w:val="0"/>
      <w:marBottom w:val="0"/>
      <w:divBdr>
        <w:top w:val="none" w:sz="0" w:space="0" w:color="auto"/>
        <w:left w:val="none" w:sz="0" w:space="0" w:color="auto"/>
        <w:bottom w:val="none" w:sz="0" w:space="0" w:color="auto"/>
        <w:right w:val="none" w:sz="0" w:space="0" w:color="auto"/>
      </w:divBdr>
    </w:div>
    <w:div w:id="1471706860">
      <w:bodyDiv w:val="1"/>
      <w:marLeft w:val="0"/>
      <w:marRight w:val="0"/>
      <w:marTop w:val="0"/>
      <w:marBottom w:val="0"/>
      <w:divBdr>
        <w:top w:val="none" w:sz="0" w:space="0" w:color="auto"/>
        <w:left w:val="none" w:sz="0" w:space="0" w:color="auto"/>
        <w:bottom w:val="none" w:sz="0" w:space="0" w:color="auto"/>
        <w:right w:val="none" w:sz="0" w:space="0" w:color="auto"/>
      </w:divBdr>
    </w:div>
    <w:div w:id="1483080561">
      <w:bodyDiv w:val="1"/>
      <w:marLeft w:val="0"/>
      <w:marRight w:val="0"/>
      <w:marTop w:val="0"/>
      <w:marBottom w:val="0"/>
      <w:divBdr>
        <w:top w:val="none" w:sz="0" w:space="0" w:color="auto"/>
        <w:left w:val="none" w:sz="0" w:space="0" w:color="auto"/>
        <w:bottom w:val="none" w:sz="0" w:space="0" w:color="auto"/>
        <w:right w:val="none" w:sz="0" w:space="0" w:color="auto"/>
      </w:divBdr>
    </w:div>
    <w:div w:id="1519655518">
      <w:bodyDiv w:val="1"/>
      <w:marLeft w:val="0"/>
      <w:marRight w:val="0"/>
      <w:marTop w:val="0"/>
      <w:marBottom w:val="0"/>
      <w:divBdr>
        <w:top w:val="none" w:sz="0" w:space="0" w:color="auto"/>
        <w:left w:val="none" w:sz="0" w:space="0" w:color="auto"/>
        <w:bottom w:val="none" w:sz="0" w:space="0" w:color="auto"/>
        <w:right w:val="none" w:sz="0" w:space="0" w:color="auto"/>
      </w:divBdr>
    </w:div>
    <w:div w:id="1541747386">
      <w:bodyDiv w:val="1"/>
      <w:marLeft w:val="0"/>
      <w:marRight w:val="0"/>
      <w:marTop w:val="0"/>
      <w:marBottom w:val="0"/>
      <w:divBdr>
        <w:top w:val="none" w:sz="0" w:space="0" w:color="auto"/>
        <w:left w:val="none" w:sz="0" w:space="0" w:color="auto"/>
        <w:bottom w:val="none" w:sz="0" w:space="0" w:color="auto"/>
        <w:right w:val="none" w:sz="0" w:space="0" w:color="auto"/>
      </w:divBdr>
    </w:div>
    <w:div w:id="1633515083">
      <w:bodyDiv w:val="1"/>
      <w:marLeft w:val="0"/>
      <w:marRight w:val="0"/>
      <w:marTop w:val="0"/>
      <w:marBottom w:val="0"/>
      <w:divBdr>
        <w:top w:val="none" w:sz="0" w:space="0" w:color="auto"/>
        <w:left w:val="none" w:sz="0" w:space="0" w:color="auto"/>
        <w:bottom w:val="none" w:sz="0" w:space="0" w:color="auto"/>
        <w:right w:val="none" w:sz="0" w:space="0" w:color="auto"/>
      </w:divBdr>
    </w:div>
    <w:div w:id="1725711843">
      <w:bodyDiv w:val="1"/>
      <w:marLeft w:val="0"/>
      <w:marRight w:val="0"/>
      <w:marTop w:val="0"/>
      <w:marBottom w:val="0"/>
      <w:divBdr>
        <w:top w:val="none" w:sz="0" w:space="0" w:color="auto"/>
        <w:left w:val="none" w:sz="0" w:space="0" w:color="auto"/>
        <w:bottom w:val="none" w:sz="0" w:space="0" w:color="auto"/>
        <w:right w:val="none" w:sz="0" w:space="0" w:color="auto"/>
      </w:divBdr>
    </w:div>
    <w:div w:id="1795707417">
      <w:bodyDiv w:val="1"/>
      <w:marLeft w:val="0"/>
      <w:marRight w:val="0"/>
      <w:marTop w:val="0"/>
      <w:marBottom w:val="0"/>
      <w:divBdr>
        <w:top w:val="none" w:sz="0" w:space="0" w:color="auto"/>
        <w:left w:val="none" w:sz="0" w:space="0" w:color="auto"/>
        <w:bottom w:val="none" w:sz="0" w:space="0" w:color="auto"/>
        <w:right w:val="none" w:sz="0" w:space="0" w:color="auto"/>
      </w:divBdr>
    </w:div>
    <w:div w:id="1825971397">
      <w:bodyDiv w:val="1"/>
      <w:marLeft w:val="0"/>
      <w:marRight w:val="0"/>
      <w:marTop w:val="0"/>
      <w:marBottom w:val="0"/>
      <w:divBdr>
        <w:top w:val="none" w:sz="0" w:space="0" w:color="auto"/>
        <w:left w:val="none" w:sz="0" w:space="0" w:color="auto"/>
        <w:bottom w:val="none" w:sz="0" w:space="0" w:color="auto"/>
        <w:right w:val="none" w:sz="0" w:space="0" w:color="auto"/>
      </w:divBdr>
    </w:div>
    <w:div w:id="1845777732">
      <w:bodyDiv w:val="1"/>
      <w:marLeft w:val="0"/>
      <w:marRight w:val="0"/>
      <w:marTop w:val="0"/>
      <w:marBottom w:val="0"/>
      <w:divBdr>
        <w:top w:val="none" w:sz="0" w:space="0" w:color="auto"/>
        <w:left w:val="none" w:sz="0" w:space="0" w:color="auto"/>
        <w:bottom w:val="none" w:sz="0" w:space="0" w:color="auto"/>
        <w:right w:val="none" w:sz="0" w:space="0" w:color="auto"/>
      </w:divBdr>
    </w:div>
    <w:div w:id="1849715012">
      <w:bodyDiv w:val="1"/>
      <w:marLeft w:val="0"/>
      <w:marRight w:val="0"/>
      <w:marTop w:val="0"/>
      <w:marBottom w:val="0"/>
      <w:divBdr>
        <w:top w:val="none" w:sz="0" w:space="0" w:color="auto"/>
        <w:left w:val="none" w:sz="0" w:space="0" w:color="auto"/>
        <w:bottom w:val="none" w:sz="0" w:space="0" w:color="auto"/>
        <w:right w:val="none" w:sz="0" w:space="0" w:color="auto"/>
      </w:divBdr>
    </w:div>
    <w:div w:id="1859658879">
      <w:bodyDiv w:val="1"/>
      <w:marLeft w:val="0"/>
      <w:marRight w:val="0"/>
      <w:marTop w:val="0"/>
      <w:marBottom w:val="0"/>
      <w:divBdr>
        <w:top w:val="none" w:sz="0" w:space="0" w:color="auto"/>
        <w:left w:val="none" w:sz="0" w:space="0" w:color="auto"/>
        <w:bottom w:val="none" w:sz="0" w:space="0" w:color="auto"/>
        <w:right w:val="none" w:sz="0" w:space="0" w:color="auto"/>
      </w:divBdr>
    </w:div>
    <w:div w:id="1863400667">
      <w:bodyDiv w:val="1"/>
      <w:marLeft w:val="0"/>
      <w:marRight w:val="0"/>
      <w:marTop w:val="0"/>
      <w:marBottom w:val="0"/>
      <w:divBdr>
        <w:top w:val="none" w:sz="0" w:space="0" w:color="auto"/>
        <w:left w:val="none" w:sz="0" w:space="0" w:color="auto"/>
        <w:bottom w:val="none" w:sz="0" w:space="0" w:color="auto"/>
        <w:right w:val="none" w:sz="0" w:space="0" w:color="auto"/>
      </w:divBdr>
    </w:div>
    <w:div w:id="1925145087">
      <w:bodyDiv w:val="1"/>
      <w:marLeft w:val="0"/>
      <w:marRight w:val="0"/>
      <w:marTop w:val="0"/>
      <w:marBottom w:val="0"/>
      <w:divBdr>
        <w:top w:val="none" w:sz="0" w:space="0" w:color="auto"/>
        <w:left w:val="none" w:sz="0" w:space="0" w:color="auto"/>
        <w:bottom w:val="none" w:sz="0" w:space="0" w:color="auto"/>
        <w:right w:val="none" w:sz="0" w:space="0" w:color="auto"/>
      </w:divBdr>
    </w:div>
    <w:div w:id="1931238347">
      <w:bodyDiv w:val="1"/>
      <w:marLeft w:val="0"/>
      <w:marRight w:val="0"/>
      <w:marTop w:val="0"/>
      <w:marBottom w:val="0"/>
      <w:divBdr>
        <w:top w:val="none" w:sz="0" w:space="0" w:color="auto"/>
        <w:left w:val="none" w:sz="0" w:space="0" w:color="auto"/>
        <w:bottom w:val="none" w:sz="0" w:space="0" w:color="auto"/>
        <w:right w:val="none" w:sz="0" w:space="0" w:color="auto"/>
      </w:divBdr>
    </w:div>
    <w:div w:id="1967811583">
      <w:bodyDiv w:val="1"/>
      <w:marLeft w:val="0"/>
      <w:marRight w:val="0"/>
      <w:marTop w:val="0"/>
      <w:marBottom w:val="0"/>
      <w:divBdr>
        <w:top w:val="none" w:sz="0" w:space="0" w:color="auto"/>
        <w:left w:val="none" w:sz="0" w:space="0" w:color="auto"/>
        <w:bottom w:val="none" w:sz="0" w:space="0" w:color="auto"/>
        <w:right w:val="none" w:sz="0" w:space="0" w:color="auto"/>
      </w:divBdr>
    </w:div>
    <w:div w:id="1968000057">
      <w:bodyDiv w:val="1"/>
      <w:marLeft w:val="0"/>
      <w:marRight w:val="0"/>
      <w:marTop w:val="0"/>
      <w:marBottom w:val="0"/>
      <w:divBdr>
        <w:top w:val="none" w:sz="0" w:space="0" w:color="auto"/>
        <w:left w:val="none" w:sz="0" w:space="0" w:color="auto"/>
        <w:bottom w:val="none" w:sz="0" w:space="0" w:color="auto"/>
        <w:right w:val="none" w:sz="0" w:space="0" w:color="auto"/>
      </w:divBdr>
    </w:div>
    <w:div w:id="1971401092">
      <w:bodyDiv w:val="1"/>
      <w:marLeft w:val="0"/>
      <w:marRight w:val="0"/>
      <w:marTop w:val="0"/>
      <w:marBottom w:val="0"/>
      <w:divBdr>
        <w:top w:val="none" w:sz="0" w:space="0" w:color="auto"/>
        <w:left w:val="none" w:sz="0" w:space="0" w:color="auto"/>
        <w:bottom w:val="none" w:sz="0" w:space="0" w:color="auto"/>
        <w:right w:val="none" w:sz="0" w:space="0" w:color="auto"/>
      </w:divBdr>
    </w:div>
    <w:div w:id="1990208858">
      <w:bodyDiv w:val="1"/>
      <w:marLeft w:val="0"/>
      <w:marRight w:val="0"/>
      <w:marTop w:val="0"/>
      <w:marBottom w:val="0"/>
      <w:divBdr>
        <w:top w:val="none" w:sz="0" w:space="0" w:color="auto"/>
        <w:left w:val="none" w:sz="0" w:space="0" w:color="auto"/>
        <w:bottom w:val="none" w:sz="0" w:space="0" w:color="auto"/>
        <w:right w:val="none" w:sz="0" w:space="0" w:color="auto"/>
      </w:divBdr>
    </w:div>
    <w:div w:id="1994023711">
      <w:bodyDiv w:val="1"/>
      <w:marLeft w:val="0"/>
      <w:marRight w:val="0"/>
      <w:marTop w:val="0"/>
      <w:marBottom w:val="0"/>
      <w:divBdr>
        <w:top w:val="none" w:sz="0" w:space="0" w:color="auto"/>
        <w:left w:val="none" w:sz="0" w:space="0" w:color="auto"/>
        <w:bottom w:val="none" w:sz="0" w:space="0" w:color="auto"/>
        <w:right w:val="none" w:sz="0" w:space="0" w:color="auto"/>
      </w:divBdr>
    </w:div>
    <w:div w:id="2010329134">
      <w:bodyDiv w:val="1"/>
      <w:marLeft w:val="0"/>
      <w:marRight w:val="0"/>
      <w:marTop w:val="0"/>
      <w:marBottom w:val="0"/>
      <w:divBdr>
        <w:top w:val="none" w:sz="0" w:space="0" w:color="auto"/>
        <w:left w:val="none" w:sz="0" w:space="0" w:color="auto"/>
        <w:bottom w:val="none" w:sz="0" w:space="0" w:color="auto"/>
        <w:right w:val="none" w:sz="0" w:space="0" w:color="auto"/>
      </w:divBdr>
    </w:div>
    <w:div w:id="2053799564">
      <w:bodyDiv w:val="1"/>
      <w:marLeft w:val="0"/>
      <w:marRight w:val="0"/>
      <w:marTop w:val="0"/>
      <w:marBottom w:val="0"/>
      <w:divBdr>
        <w:top w:val="none" w:sz="0" w:space="0" w:color="auto"/>
        <w:left w:val="none" w:sz="0" w:space="0" w:color="auto"/>
        <w:bottom w:val="none" w:sz="0" w:space="0" w:color="auto"/>
        <w:right w:val="none" w:sz="0" w:space="0" w:color="auto"/>
      </w:divBdr>
    </w:div>
    <w:div w:id="2086217437">
      <w:bodyDiv w:val="1"/>
      <w:marLeft w:val="0"/>
      <w:marRight w:val="0"/>
      <w:marTop w:val="0"/>
      <w:marBottom w:val="0"/>
      <w:divBdr>
        <w:top w:val="none" w:sz="0" w:space="0" w:color="auto"/>
        <w:left w:val="none" w:sz="0" w:space="0" w:color="auto"/>
        <w:bottom w:val="none" w:sz="0" w:space="0" w:color="auto"/>
        <w:right w:val="none" w:sz="0" w:space="0" w:color="auto"/>
      </w:divBdr>
    </w:div>
    <w:div w:id="2145804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gv.s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Sol18</b:Tag>
    <b:SourceType>JournalArticle</b:SourceType>
    <b:Guid>{D16D3A8D-1F8B-413D-989D-6C4F3997CC7F}</b:Guid>
    <b:Title>Risk and Anxiety: A Theory of Data Breach Harms</b:Title>
    <b:JournalName>eYLS (Yale Law School)</b:JournalName>
    <b:Year>2018</b:Year>
    <b:Pages>737–786. </b:Pages>
    <b:Issue>Available at: https://scholarship.law.bu.edu/faculty_scholarship/616.</b:Issue>
    <b:Author>
      <b:Author>
        <b:NameList>
          <b:Person>
            <b:Last>Solove</b:Last>
            <b:First>D.J.</b:First>
            <b:Middle>and Citron, D.K.</b:Middle>
          </b:Person>
        </b:NameList>
      </b:Author>
    </b:Author>
    <b:RefOrder>2</b:RefOrder>
  </b:Source>
  <b:Source>
    <b:Tag>Boo25</b:Tag>
    <b:SourceType>Book</b:SourceType>
    <b:Guid>{CC2E6618-14CD-43F6-8BAA-D5A7DADFE04F}</b:Guid>
    <b:Author>
      <b:Author>
        <b:NameList>
          <b:Person>
            <b:Last>Booth</b:Last>
            <b:First>H.</b:First>
          </b:Person>
        </b:NameList>
      </b:Author>
    </b:Author>
    <b:Title>Secure Software Development Framework (SSDF) Version 1.2.</b:Title>
    <b:Year>2025</b:Year>
    <b:Issue>Available at: https://doi.org/10.6028/nist.sp.800-218r1.ipd.</b:Issue>
    <b:Publisher>Available at: https://doi.org/10.6028/nist.sp.800-218r1.ipd.</b:Publisher>
    <b:RefOrder>1</b:RefOrder>
  </b:Source>
  <b:Source>
    <b:Tag>Ver22</b:Tag>
    <b:SourceType>Book</b:SourceType>
    <b:Guid>{9260F74F-FDC0-40BD-BBDF-D80E6C2F8227}</b:Guid>
    <b:Author>
      <b:Author>
        <b:NameList>
          <b:Person>
            <b:Last>Verma</b:Last>
            <b:First>S.,</b:First>
            <b:Middle>Vyas, V. and Kaushik, K.</b:Middle>
          </b:Person>
        </b:NameList>
      </b:Author>
    </b:Author>
    <b:Title>Cybersecurity issues, challenges, and solutions in the business world. </b:Title>
    <b:Year>2022</b:Year>
    <b:Publisher>IGI Global.</b:Publisher>
    <b:RefOrder>3</b:RefOrder>
  </b:Source>
  <b:Source>
    <b:Tag>Zim19</b:Tag>
    <b:SourceType>JournalArticle</b:SourceType>
    <b:Guid>{23802389-8DF5-41A1-BC8C-78235EBE0D20}</b:Guid>
    <b:Title>Moving from a ‘human-as-problem” to a ‘human-as-solution” cybersecurity mindset,</b:Title>
    <b:Year>2019</b:Year>
    <b:Author>
      <b:Author>
        <b:NameList>
          <b:Person>
            <b:Last>Zimmermann</b:Last>
            <b:First>V.</b:First>
            <b:Middle>and Renaud, K.</b:Middle>
          </b:Person>
        </b:NameList>
      </b:Author>
    </b:Author>
    <b:JournalName>International Journal of Human-Computer Studies</b:JournalName>
    <b:Pages>131</b:Pages>
    <b:Volume>169–187</b:Volume>
    <b:Issue>Available at: https://doi.org/10.1016/j.ijhcs.2019.05.005.</b:Issue>
    <b:RefOrder>4</b:RefOrder>
  </b:Source>
  <b:Source>
    <b:Tag>Pri24</b:Tag>
    <b:SourceType>Book</b:SourceType>
    <b:Guid>{56DA57AB-7B0E-408A-80AF-434365A904A7}</b:Guid>
    <b:Title>Information Asset Management: Why You Must Manage Your Data, Information and Knowledge the Way You Manage Your Money.</b:Title>
    <b:Year>2024</b:Year>
    <b:Author>
      <b:Author>
        <b:NameList>
          <b:Person>
            <b:Last>Price</b:Last>
            <b:First>J.</b:First>
            <b:Middle>and Evans, N.</b:Middle>
          </b:Person>
        </b:NameList>
      </b:Author>
    </b:Author>
    <b:Publisher>CRC Press.</b:Publisher>
    <b:RefOrder>5</b:RefOrder>
  </b:Source>
  <b:Source>
    <b:Tag>DNV251</b:Tag>
    <b:SourceType>JournalArticle</b:SourceType>
    <b:Guid>{3D833CFA-575E-4FBE-B8D9-0B3D64E2EFA9}</b:Guid>
    <b:Title>From firefighting to foresight: Why governance is the key to strong cybersecurity, .</b:Title>
    <b:Year>2025</b:Year>
    <b:Author>
      <b:Author>
        <b:NameList>
          <b:Person>
            <b:Last>DNV</b:Last>
          </b:Person>
        </b:NameList>
      </b:Author>
    </b:Author>
    <b:JournalName>DNV</b:JournalName>
    <b:Issue>Available at: https://www.dnv.com/cyber/insights/articles/why-governance-is-the-key-to-strong-cybersecurity/.</b:Issue>
    <b:RefOrder>6</b:RefOrder>
  </b:Source>
  <b:Source>
    <b:Tag>Cha24</b:Tag>
    <b:SourceType>JournalArticle</b:SourceType>
    <b:Guid>{C07CA9B7-B5A3-487B-BC7B-C0B958B86225}</b:Guid>
    <b:Author>
      <b:Author>
        <b:NameList>
          <b:Person>
            <b:Last>Chaganti</b:Last>
            <b:First>K.C.</b:First>
          </b:Person>
        </b:NameList>
      </b:Author>
    </b:Author>
    <b:Title>AI-Powered Patch Management: reducing vulnerabilities in operating systems,</b:Title>
    <b:JournalName>EPH - International Journal of Science and Engineering. </b:JournalName>
    <b:Year>2024</b:Year>
    <b:Issue>Available at: https://doi.org/10.53555/ephijse.v10i3.287.</b:Issue>
    <b:RefOrder>7</b:RefOrder>
  </b:Source>
  <b:Source>
    <b:Tag>Cav17</b:Tag>
    <b:SourceType>JournalArticle</b:SourceType>
    <b:Guid>{1A9B2F3D-5693-4721-8DF5-4914CDB2FEA2}</b:Guid>
    <b:Author>
      <b:Author>
        <b:NameList>
          <b:Person>
            <b:Last>Cavka</b:Last>
            <b:First>H.B.,</b:First>
            <b:Middle>Staub-French, S. and Poirier, E.A.</b:Middle>
          </b:Person>
        </b:NameList>
      </b:Author>
    </b:Author>
    <b:Title>Developing owner information requirements for BIM-enabled project delivery and asset management</b:Title>
    <b:JournalName>Automation in Construction</b:JournalName>
    <b:Year>2017</b:Year>
    <b:Pages>83</b:Pages>
    <b:Volume>169–183</b:Volume>
    <b:Issue>Available at: https://doi.org/10.1016/j.autcon.2017.08.0</b:Issue>
    <b:RefOrder>8</b:RefOrder>
  </b:Source>
  <b:Source>
    <b:Tag>Bou25</b:Tag>
    <b:SourceType>JournalArticle</b:SourceType>
    <b:Guid>{BF7DD583-AF83-4A1D-BE6C-0EA7B06CFE1A}</b:Guid>
    <b:Author>
      <b:Author>
        <b:NameList>
          <b:Person>
            <b:Last>Boutin</b:Last>
            <b:First>C.</b:First>
          </b:Person>
        </b:NameList>
      </b:Author>
    </b:Author>
    <b:Title>NIST releases version 2.0 of landmark Cybersecurity Framework</b:Title>
    <b:JournalName>NIST</b:JournalName>
    <b:Year>2025</b:Year>
    <b:Issue>Available at: https://www.nist.gov/news-events/news/2024/02/nist-releases-version-20-landmark-cybersecurity-framework.</b:Issue>
    <b:RefOrder>9</b:RefOrder>
  </b:Source>
  <b:Source>
    <b:Tag>Øbe20</b:Tag>
    <b:SourceType>Book</b:SourceType>
    <b:Guid>{51077282-DD4C-4854-BC61-F9131A4A322E}</b:Guid>
    <b:Title>IT Asset Management Foundation (ITAMF) – Workbook - Second edition. </b:Title>
    <b:Year>2020</b:Year>
    <b:Author>
      <b:Author>
        <b:NameList>
          <b:Person>
            <b:Last>Øberg</b:Last>
            <b:First>J.</b:First>
          </b:Person>
        </b:NameList>
      </b:Author>
    </b:Author>
    <b:Publisher>Van Haren.</b:Publisher>
    <b:RefOrder>10</b:RefOrder>
  </b:Source>
  <b:Source>
    <b:Tag>Jas26</b:Tag>
    <b:SourceType>JournalArticle</b:SourceType>
    <b:Guid>{F6B96EA0-044E-4D17-8BB6-71F853128E68}</b:Guid>
    <b:Title>AI governance and Cyber risk: Board imperatives.</b:Title>
    <b:Year>2026</b:Year>
    <b:Author>
      <b:Author>
        <b:NameList>
          <b:Person>
            <b:Last>Jason L.</b:Last>
          </b:Person>
        </b:NameList>
      </b:Author>
    </b:Author>
    <b:Issue> Available at: https://frazerblase.com/insights/ai-governance-and-cyber-risk-board-imperatives.</b:Issue>
    <b:RefOrder>11</b:RefOrder>
  </b:Source>
  <b:Source>
    <b:Tag>Hay25</b:Tag>
    <b:SourceType>Book</b:SourceType>
    <b:Guid>{C868EB3B-AE52-45C1-842D-19D70C445279}</b:Guid>
    <b:Title>Cyber Security Information Security Management System (ISMS)</b:Title>
    <b:Year>2025</b:Year>
    <b:Author>
      <b:Author>
        <b:NameList>
          <b:Person>
            <b:Last>Hayward</b:Last>
            <b:First>M.</b:First>
          </b:Person>
        </b:NameList>
      </b:Author>
    </b:Author>
    <b:Publisher>Independently Published.</b:Publisher>
    <b:RefOrder>12</b:RefOrder>
  </b:Source>
  <b:Source>
    <b:Tag>Com17</b:Tag>
    <b:SourceType>JournalArticle</b:SourceType>
    <b:Guid>{3DF68A87-657D-4866-9E90-48EE7FFA85DA}</b:Guid>
    <b:Title>Equifax provides new info on Breach</b:Title>
    <b:Year>2017</b:Year>
    <b:Author>
      <b:Author>
        <b:NameList>
          <b:Person>
            <b:Last>Committee</b:Last>
            <b:First>H.O.</b:First>
          </b:Person>
        </b:NameList>
      </b:Author>
    </b:Author>
    <b:JournalName>The U.S. House Committee on Oversight</b:JournalName>
    <b:Issue>Available at: https://oversightdemocrats.house.gov/news/press-releases/equifax-provides-new-info-on-breach.</b:Issue>
    <b:RefOrder>13</b:RefOrder>
  </b:Source>
  <b:Source>
    <b:Tag>Pos18</b:Tag>
    <b:SourceType>JournalArticle</b:SourceType>
    <b:Guid>{D1BD82CE-BF7D-4A43-82CE-889F70E1A4E7}</b:Guid>
    <b:Author>
      <b:Author>
        <b:NameList>
          <b:Person>
            <b:Last>Poston</b:Last>
            <b:First>J.L.,</b:First>
            <b:Middle>Wolff, E.D., Growley, K.M. and Madigan, K.J.</b:Middle>
          </b:Person>
        </b:NameList>
      </b:Author>
    </b:Author>
    <b:Title>Lessons from the House report on the Equifax breach, Lexology.</b:Title>
    <b:Year>2018</b:Year>
    <b:Issue> Available at: https://www.lexology.com/library/detail.aspx?g=9ee1cc16-11d0-44d8-9fd5-8b8a1ab44f3a.</b:Issue>
    <b:RefOrder>14</b:RefOrder>
  </b:Source>
  <b:Source>
    <b:Tag>Kha26</b:Tag>
    <b:SourceType>BookSection</b:SourceType>
    <b:Guid>{A8AC6E08-762C-415E-A721-2CAFB20AA418}</b:Guid>
    <b:Title>Supply Chain Attack Statistics 2025: Costs, cases, defences</b:Title>
    <b:Year>2026</b:Year>
    <b:Issue> Available at: https://deepstrike.io/blog/supply-chain-attack-statistics-2025.</b:Issue>
    <b:Author>
      <b:Author>
        <b:NameList>
          <b:Person>
            <b:Last>Khalil</b:Last>
            <b:First>M.</b:First>
          </b:Person>
        </b:NameList>
      </b:Author>
    </b:Author>
    <b:BookTitle>DeepStrike</b:BookTitle>
    <b:Publisher> Available at: https://deepstrike.io/blog/supply-chain-attack-statistics-2025.</b:Publisher>
    <b:RefOrder>15</b:RefOrder>
  </b:Source>
  <b:Source>
    <b:Tag>Tan18</b:Tag>
    <b:SourceType>JournalArticle</b:SourceType>
    <b:Guid>{1D179A02-783F-4503-A5BC-DD525543C58C}</b:Guid>
    <b:Title>Equifax Breach affects 143M: If GDPR were in effect, what would be the impact?</b:Title>
    <b:Year>2018</b:Year>
    <b:Author>
      <b:Author>
        <b:NameList>
          <b:Person>
            <b:Last>Tantleff</b:Last>
            <b:First>A.</b:First>
          </b:Person>
        </b:NameList>
      </b:Author>
    </b:Author>
    <b:JournalName>Data Protection - Worldwide</b:JournalName>
    <b:Issue>Available at: https://www.mondaq.com/unitedstates/data-protection/628616/equifax-breach-affects-143m-if-gdpr-w</b:Issue>
    <b:RefOrder>16</b:RefOrder>
  </b:Source>
  <b:Source>
    <b:Tag>Tab23</b:Tag>
    <b:SourceType>Book</b:SourceType>
    <b:Guid>{4F2118D4-ED85-45E3-98B7-8B21D59A0DB7}</b:Guid>
    <b:Title>Artificial Intelligence Risk Management Framework (AI RMF 1.0).</b:Title>
    <b:Year>2023</b:Year>
    <b:Author>
      <b:Author>
        <b:NameList>
          <b:Person>
            <b:Last>Tabassi</b:Last>
            <b:First>E.</b:First>
          </b:Person>
        </b:NameList>
      </b:Author>
    </b:Author>
    <b:RefOrder>17</b:RefOrder>
  </b:Source>
  <b:Source>
    <b:Tag>Rel26</b:Tag>
    <b:SourceType>Book</b:SourceType>
    <b:Guid>{E51F615F-0BB6-4E7C-8C4B-9A0C62CADA94}</b:Guid>
    <b:Author>
      <b:Author>
        <b:NameList>
          <b:Person>
            <b:Last>Relington</b:Last>
            <b:First>J.</b:First>
          </b:Person>
        </b:NameList>
      </b:Author>
    </b:Author>
    <b:Title>Vulnerability management in practice. </b:Title>
    <b:Year>2026</b:Year>
    <b:Publisher>James Relington</b:Publisher>
    <b:RefOrder>18</b:RefOrder>
  </b:Source>
  <b:Source>
    <b:Tag>Jia21</b:Tag>
    <b:SourceType>JournalArticle</b:SourceType>
    <b:Guid>{5C623ABD-5E90-4A90-9FCC-11A251E2F4F5}</b:Guid>
    <b:Title>Blockchain-Enabled Federated Learning Data Protection Aggregation Scheme with differential privacy and homomorphic encryption in IIOT</b:Title>
    <b:Year>2021</b:Year>
    <b:Author>
      <b:Author>
        <b:NameList>
          <b:Person>
            <b:Last>Jia</b:Last>
            <b:First>B.,</b:First>
            <b:Middle>Zhang, X., Liu, J., Zhang, Y., Huang, K. and Liang, Y.</b:Middle>
          </b:Person>
        </b:NameList>
      </b:Author>
    </b:Author>
    <b:JournalName>IEEE Transactions on Industrial Informatics</b:JournalName>
    <b:Pages>18</b:Pages>
    <b:RefOrder>19</b:RefOrder>
  </b:Source>
  <b:Source>
    <b:Tag>Pub16</b:Tag>
    <b:SourceType>JournalArticle</b:SourceType>
    <b:Guid>{9749A9FB-23CB-486B-8610-ECB09C3840FD}</b:Guid>
    <b:Author>
      <b:Author>
        <b:NameList>
          <b:Person>
            <b:Last>Union</b:Last>
            <b:First>Publications</b:First>
            <b:Middle>Office of the European</b:Middle>
          </b:Person>
        </b:NameList>
      </b:Author>
    </b:Author>
    <b:Title>Regulation (EU) 2016/679 of the European Parliament and of the Council of 27 April 2016 on the protection of natural persons about the processing of personal data and on the free movement of such data, and </b:Title>
    <b:Year>2016</b:Year>
    <b:RefOrder>20</b:RefOrder>
  </b:Source>
  <b:Source>
    <b:Tag>Ala22</b:Tag>
    <b:SourceType>JournalArticle</b:SourceType>
    <b:Guid>{20011F49-BDD5-499F-A55F-D777ADDF8D25}</b:Guid>
    <b:Author>
      <b:Author>
        <b:NameList>
          <b:Person>
            <b:Last>Alagic</b:Last>
            <b:First>G.,</b:First>
            <b:Middle>Apon, D., Cooper, D., Dang, Q., Dang, T., Kelsey, J., Lichtinger, J., Liu, Y.-K., Miller, C., Moody, D., Peralta, R., Perlner, R., Robinson, A. and Smith-Tone, D.</b:Middle>
          </b:Person>
        </b:NameList>
      </b:Author>
    </b:Author>
    <b:Title>Status report on the third round of the NIST Post-Quantum Cryptography St</b:Title>
    <b:Year>2022</b:Year>
    <b:RefOrder>21</b:RefOrder>
  </b:Source>
  <b:Source>
    <b:Tag>Dee25</b:Tag>
    <b:SourceType>JournalArticle</b:SourceType>
    <b:Guid>{F2C075F8-3B84-44AA-ABD1-0EB597C9A0C5}</b:Guid>
    <b:Author>
      <b:Author>
        <b:NameList>
          <b:Person>
            <b:Last>DeepWiki</b:Last>
          </b:Person>
        </b:NameList>
      </b:Author>
    </b:Author>
    <b:Title>OWASP Top 10 - 2021, . </b:Title>
    <b:JournalName>DeepWiki</b:JournalName>
    <b:Year>2025</b:Year>
    <b:Issue>Available at: https://deepwiki.com/OWASP/Top10/3-owasp-top-10-2021.</b:Issue>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BA941D-856D-4E32-A338-C4E9EDAE3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26</Pages>
  <Words>6378</Words>
  <Characters>36360</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42653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CYBERSECURITY RESEARCH AND PROGRAMME DESIGN</dc:subject>
  <dc:creator>University of Wales Trinity Saint David</dc:creator>
  <cp:keywords/>
  <dc:description/>
  <cp:lastModifiedBy>Adriano Antonio Donda (2428051)</cp:lastModifiedBy>
  <cp:revision>31</cp:revision>
  <dcterms:created xsi:type="dcterms:W3CDTF">2026-08-01T17:54:00Z</dcterms:created>
  <dcterms:modified xsi:type="dcterms:W3CDTF">2026-08-04T19:21:00Z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da82e7ad-4225-4df1-97a7-87915c36d6ba</vt:lpwstr>
  </property>
</Properties>
</file>