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590002224"/>
        <w:docPartObj>
          <w:docPartGallery w:val="Cover Pages"/>
          <w:docPartUnique/>
        </w:docPartObj>
      </w:sdtPr>
      <w:sdtEndPr>
        <w:rPr>
          <w:color w:val="auto"/>
        </w:rPr>
      </w:sdtEndPr>
      <w:sdtContent>
        <w:p w14:paraId="5A447D9A" w14:textId="424C4582" w:rsidR="00CB142C" w:rsidRDefault="00CB142C">
          <w:pPr>
            <w:pStyle w:val="NoSpacing"/>
            <w:spacing w:before="1540" w:after="240"/>
            <w:jc w:val="center"/>
            <w:rPr>
              <w:color w:val="4472C4" w:themeColor="accent1"/>
            </w:rPr>
          </w:pPr>
        </w:p>
        <w:sdt>
          <w:sdtPr>
            <w:rPr>
              <w:rFonts w:asciiTheme="majorHAnsi" w:eastAsiaTheme="majorEastAsia" w:hAnsiTheme="majorHAnsi" w:cstheme="majorBidi"/>
              <w:caps/>
              <w:color w:val="4472C4" w:themeColor="accent1"/>
              <w:sz w:val="72"/>
              <w:szCs w:val="72"/>
            </w:rPr>
            <w:alias w:val="Title"/>
            <w:tag w:val=""/>
            <w:id w:val="1735040861"/>
            <w:placeholder>
              <w:docPart w:val="6C50617AA2564AAD83A014871149F81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1217B6D" w14:textId="47CEE7C6" w:rsidR="00CB142C" w:rsidRPr="00CB142C" w:rsidRDefault="00147285" w:rsidP="00CB142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vEHICLE TO gRID</w:t>
              </w:r>
              <w:r w:rsidR="001F7253">
                <w:rPr>
                  <w:rFonts w:asciiTheme="majorHAnsi" w:eastAsiaTheme="majorEastAsia" w:hAnsiTheme="majorHAnsi" w:cstheme="majorBidi"/>
                  <w:caps/>
                  <w:color w:val="4472C4" w:themeColor="accent1"/>
                  <w:sz w:val="72"/>
                  <w:szCs w:val="72"/>
                </w:rPr>
                <w:t xml:space="preserve"> (V2G)</w:t>
              </w:r>
              <w:r>
                <w:rPr>
                  <w:rFonts w:asciiTheme="majorHAnsi" w:eastAsiaTheme="majorEastAsia" w:hAnsiTheme="majorHAnsi" w:cstheme="majorBidi"/>
                  <w:caps/>
                  <w:color w:val="4472C4" w:themeColor="accent1"/>
                  <w:sz w:val="72"/>
                  <w:szCs w:val="72"/>
                </w:rPr>
                <w:t xml:space="preserve"> tECHNOLOGY</w:t>
              </w:r>
            </w:p>
          </w:sdtContent>
        </w:sdt>
        <w:p w14:paraId="7C88B765" w14:textId="475C7DA0" w:rsidR="00CB142C" w:rsidRDefault="00CB142C">
          <w:pPr>
            <w:pStyle w:val="NoSpacing"/>
            <w:spacing w:before="480"/>
            <w:jc w:val="center"/>
            <w:rPr>
              <w:color w:val="4472C4" w:themeColor="accent1"/>
            </w:rPr>
          </w:pPr>
        </w:p>
        <w:p w14:paraId="7EE24713" w14:textId="1C1FCE17" w:rsidR="00CB142C" w:rsidRDefault="00147285">
          <w:r>
            <w:rPr>
              <w:noProof/>
              <w:color w:val="4472C4" w:themeColor="accent1"/>
            </w:rPr>
            <mc:AlternateContent>
              <mc:Choice Requires="wps">
                <w:drawing>
                  <wp:anchor distT="0" distB="0" distL="114300" distR="114300" simplePos="0" relativeHeight="251659264" behindDoc="0" locked="0" layoutInCell="1" allowOverlap="1" wp14:anchorId="145F661B" wp14:editId="08F373D2">
                    <wp:simplePos x="0" y="0"/>
                    <wp:positionH relativeFrom="margin">
                      <wp:align>right</wp:align>
                    </wp:positionH>
                    <wp:positionV relativeFrom="page">
                      <wp:posOffset>4584700</wp:posOffset>
                    </wp:positionV>
                    <wp:extent cx="6553200" cy="2575560"/>
                    <wp:effectExtent l="0" t="0" r="2540" b="15240"/>
                    <wp:wrapNone/>
                    <wp:docPr id="142" name="Text Box 142"/>
                    <wp:cNvGraphicFramePr/>
                    <a:graphic xmlns:a="http://schemas.openxmlformats.org/drawingml/2006/main">
                      <a:graphicData uri="http://schemas.microsoft.com/office/word/2010/wordprocessingShape">
                        <wps:wsp>
                          <wps:cNvSpPr txBox="1"/>
                          <wps:spPr>
                            <a:xfrm>
                              <a:off x="0" y="0"/>
                              <a:ext cx="6553200" cy="2575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A3A0D4" w14:textId="77777777" w:rsidR="00CB142C" w:rsidRPr="00147285" w:rsidRDefault="00CB142C" w:rsidP="00CB142C">
                                <w:pPr>
                                  <w:pStyle w:val="NoSpacing"/>
                                  <w:jc w:val="center"/>
                                  <w:rPr>
                                    <w:color w:val="4472C4" w:themeColor="accent1"/>
                                    <w:sz w:val="40"/>
                                    <w:szCs w:val="40"/>
                                  </w:rPr>
                                </w:pPr>
                                <w:r w:rsidRPr="00147285">
                                  <w:rPr>
                                    <w:color w:val="4472C4" w:themeColor="accent1"/>
                                    <w:sz w:val="40"/>
                                    <w:szCs w:val="40"/>
                                  </w:rPr>
                                  <w:t>University of Wales Trinity Saint David</w:t>
                                </w:r>
                              </w:p>
                              <w:p w14:paraId="505DE7EA" w14:textId="77777777" w:rsidR="00CB142C" w:rsidRPr="00147285" w:rsidRDefault="00CB142C" w:rsidP="00CB142C">
                                <w:pPr>
                                  <w:pStyle w:val="NoSpacing"/>
                                  <w:jc w:val="center"/>
                                  <w:rPr>
                                    <w:color w:val="4472C4" w:themeColor="accent1"/>
                                    <w:sz w:val="40"/>
                                    <w:szCs w:val="40"/>
                                  </w:rPr>
                                </w:pPr>
                                <w:r w:rsidRPr="00147285">
                                  <w:rPr>
                                    <w:color w:val="4472C4" w:themeColor="accent1"/>
                                    <w:sz w:val="40"/>
                                    <w:szCs w:val="40"/>
                                  </w:rPr>
                                  <w:t xml:space="preserve">School of Engineering </w:t>
                                </w:r>
                              </w:p>
                              <w:p w14:paraId="3D96E26F" w14:textId="564F1612" w:rsidR="00CB142C" w:rsidRPr="00147285" w:rsidRDefault="00147285" w:rsidP="00CB142C">
                                <w:pPr>
                                  <w:pStyle w:val="NoSpacing"/>
                                  <w:jc w:val="center"/>
                                  <w:rPr>
                                    <w:color w:val="4472C4" w:themeColor="accent1"/>
                                    <w:sz w:val="40"/>
                                    <w:szCs w:val="40"/>
                                  </w:rPr>
                                </w:pPr>
                                <w:r w:rsidRPr="00147285">
                                  <w:rPr>
                                    <w:color w:val="4472C4" w:themeColor="accent1"/>
                                    <w:sz w:val="40"/>
                                    <w:szCs w:val="40"/>
                                  </w:rPr>
                                  <w:t>Aiden Scriven</w:t>
                                </w:r>
                              </w:p>
                              <w:p w14:paraId="6079A1C7" w14:textId="1613F0A3" w:rsidR="00CB142C" w:rsidRPr="00147285" w:rsidRDefault="00147285" w:rsidP="00CB142C">
                                <w:pPr>
                                  <w:pStyle w:val="NoSpacing"/>
                                  <w:jc w:val="center"/>
                                  <w:rPr>
                                    <w:color w:val="4472C4" w:themeColor="accent1"/>
                                    <w:sz w:val="40"/>
                                    <w:szCs w:val="40"/>
                                  </w:rPr>
                                </w:pPr>
                                <w:r w:rsidRPr="00147285">
                                  <w:rPr>
                                    <w:color w:val="4472C4" w:themeColor="accent1"/>
                                    <w:sz w:val="40"/>
                                    <w:szCs w:val="40"/>
                                  </w:rPr>
                                  <w:t>1803502</w:t>
                                </w:r>
                              </w:p>
                              <w:p w14:paraId="354026E3" w14:textId="711ED23A" w:rsidR="00CB142C" w:rsidRPr="00147285" w:rsidRDefault="00CB142C" w:rsidP="00CB142C">
                                <w:pPr>
                                  <w:pStyle w:val="NoSpacing"/>
                                  <w:jc w:val="center"/>
                                  <w:rPr>
                                    <w:color w:val="4472C4" w:themeColor="accent1"/>
                                    <w:sz w:val="40"/>
                                    <w:szCs w:val="40"/>
                                  </w:rPr>
                                </w:pPr>
                                <w:r w:rsidRPr="00147285">
                                  <w:rPr>
                                    <w:color w:val="4472C4" w:themeColor="accent1"/>
                                    <w:sz w:val="40"/>
                                    <w:szCs w:val="40"/>
                                  </w:rPr>
                                  <w:t>BEng Motorsport Engineering</w:t>
                                </w:r>
                              </w:p>
                              <w:p w14:paraId="4673E65E" w14:textId="58872929" w:rsidR="00C65F26" w:rsidRPr="00147285" w:rsidRDefault="00147285" w:rsidP="00CB142C">
                                <w:pPr>
                                  <w:pStyle w:val="NoSpacing"/>
                                  <w:jc w:val="center"/>
                                  <w:rPr>
                                    <w:color w:val="4472C4" w:themeColor="accent1"/>
                                    <w:sz w:val="40"/>
                                    <w:szCs w:val="40"/>
                                  </w:rPr>
                                </w:pPr>
                                <w:r w:rsidRPr="00147285">
                                  <w:rPr>
                                    <w:color w:val="4472C4" w:themeColor="accent1"/>
                                    <w:sz w:val="40"/>
                                    <w:szCs w:val="40"/>
                                  </w:rPr>
                                  <w:t>18</w:t>
                                </w:r>
                                <w:r w:rsidRPr="00147285">
                                  <w:rPr>
                                    <w:color w:val="4472C4" w:themeColor="accent1"/>
                                    <w:sz w:val="40"/>
                                    <w:szCs w:val="40"/>
                                    <w:vertAlign w:val="superscript"/>
                                  </w:rPr>
                                  <w:t>th</w:t>
                                </w:r>
                                <w:r w:rsidRPr="00147285">
                                  <w:rPr>
                                    <w:color w:val="4472C4" w:themeColor="accent1"/>
                                    <w:sz w:val="40"/>
                                    <w:szCs w:val="40"/>
                                  </w:rPr>
                                  <w:t xml:space="preserve"> November 2021</w:t>
                                </w:r>
                              </w:p>
                              <w:p w14:paraId="49F03C52" w14:textId="60697580" w:rsidR="00CB142C" w:rsidRPr="00147285" w:rsidRDefault="00147285" w:rsidP="00CB142C">
                                <w:pPr>
                                  <w:pStyle w:val="NoSpacing"/>
                                  <w:jc w:val="center"/>
                                  <w:rPr>
                                    <w:color w:val="4472C4" w:themeColor="accent1"/>
                                    <w:sz w:val="40"/>
                                    <w:szCs w:val="40"/>
                                    <w:highlight w:val="yellow"/>
                                  </w:rPr>
                                </w:pPr>
                                <w:r w:rsidRPr="00147285">
                                  <w:rPr>
                                    <w:color w:val="4472C4" w:themeColor="accent1"/>
                                    <w:sz w:val="40"/>
                                    <w:szCs w:val="40"/>
                                  </w:rPr>
                                  <w:t>Automotive Materials &amp; Sustainability</w:t>
                                </w:r>
                              </w:p>
                              <w:p w14:paraId="0D4C6431" w14:textId="7F334AFE" w:rsidR="00C65F26" w:rsidRPr="00147285" w:rsidRDefault="00147285" w:rsidP="00CB142C">
                                <w:pPr>
                                  <w:pStyle w:val="NoSpacing"/>
                                  <w:jc w:val="center"/>
                                  <w:rPr>
                                    <w:color w:val="4472C4" w:themeColor="accent1"/>
                                    <w:sz w:val="40"/>
                                    <w:szCs w:val="40"/>
                                  </w:rPr>
                                </w:pPr>
                                <w:r w:rsidRPr="00147285">
                                  <w:rPr>
                                    <w:color w:val="4472C4" w:themeColor="accent1"/>
                                    <w:sz w:val="40"/>
                                    <w:szCs w:val="40"/>
                                  </w:rPr>
                                  <w:t>ACHA6012</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45F661B" id="_x0000_t202" coordsize="21600,21600" o:spt="202" path="m,l,21600r21600,l21600,xe">
                    <v:stroke joinstyle="miter"/>
                    <v:path gradientshapeok="t" o:connecttype="rect"/>
                  </v:shapetype>
                  <v:shape id="Text Box 142" o:spid="_x0000_s1026" type="#_x0000_t202" style="position:absolute;margin-left:464.8pt;margin-top:361pt;width:516pt;height:202.8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" filled="f" stroked="f" strokeweight=".5pt">
                    <v:textbox inset="0,0,0,0">
                      <w:txbxContent>
                        <w:p w14:paraId="70A3A0D4" w14:textId="77777777" w:rsidR="00CB142C" w:rsidRPr="00147285" w:rsidRDefault="00CB142C" w:rsidP="00CB142C">
                          <w:pPr>
                            <w:pStyle w:val="NoSpacing"/>
                            <w:jc w:val="center"/>
                            <w:rPr>
                              <w:color w:val="4472C4" w:themeColor="accent1"/>
                              <w:sz w:val="40"/>
                              <w:szCs w:val="40"/>
                            </w:rPr>
                          </w:pPr>
                          <w:r w:rsidRPr="00147285">
                            <w:rPr>
                              <w:color w:val="4472C4" w:themeColor="accent1"/>
                              <w:sz w:val="40"/>
                              <w:szCs w:val="40"/>
                            </w:rPr>
                            <w:t>University of Wales Trinity Saint David</w:t>
                          </w:r>
                        </w:p>
                        <w:p w14:paraId="505DE7EA" w14:textId="77777777" w:rsidR="00CB142C" w:rsidRPr="00147285" w:rsidRDefault="00CB142C" w:rsidP="00CB142C">
                          <w:pPr>
                            <w:pStyle w:val="NoSpacing"/>
                            <w:jc w:val="center"/>
                            <w:rPr>
                              <w:color w:val="4472C4" w:themeColor="accent1"/>
                              <w:sz w:val="40"/>
                              <w:szCs w:val="40"/>
                            </w:rPr>
                          </w:pPr>
                          <w:r w:rsidRPr="00147285">
                            <w:rPr>
                              <w:color w:val="4472C4" w:themeColor="accent1"/>
                              <w:sz w:val="40"/>
                              <w:szCs w:val="40"/>
                            </w:rPr>
                            <w:t xml:space="preserve">School of Engineering </w:t>
                          </w:r>
                        </w:p>
                        <w:p w14:paraId="3D96E26F" w14:textId="564F1612" w:rsidR="00CB142C" w:rsidRPr="00147285" w:rsidRDefault="00147285" w:rsidP="00CB142C">
                          <w:pPr>
                            <w:pStyle w:val="NoSpacing"/>
                            <w:jc w:val="center"/>
                            <w:rPr>
                              <w:color w:val="4472C4" w:themeColor="accent1"/>
                              <w:sz w:val="40"/>
                              <w:szCs w:val="40"/>
                            </w:rPr>
                          </w:pPr>
                          <w:r w:rsidRPr="00147285">
                            <w:rPr>
                              <w:color w:val="4472C4" w:themeColor="accent1"/>
                              <w:sz w:val="40"/>
                              <w:szCs w:val="40"/>
                            </w:rPr>
                            <w:t>Aiden Scriven</w:t>
                          </w:r>
                        </w:p>
                        <w:p w14:paraId="6079A1C7" w14:textId="1613F0A3" w:rsidR="00CB142C" w:rsidRPr="00147285" w:rsidRDefault="00147285" w:rsidP="00CB142C">
                          <w:pPr>
                            <w:pStyle w:val="NoSpacing"/>
                            <w:jc w:val="center"/>
                            <w:rPr>
                              <w:color w:val="4472C4" w:themeColor="accent1"/>
                              <w:sz w:val="40"/>
                              <w:szCs w:val="40"/>
                            </w:rPr>
                          </w:pPr>
                          <w:r w:rsidRPr="00147285">
                            <w:rPr>
                              <w:color w:val="4472C4" w:themeColor="accent1"/>
                              <w:sz w:val="40"/>
                              <w:szCs w:val="40"/>
                            </w:rPr>
                            <w:t>1803502</w:t>
                          </w:r>
                        </w:p>
                        <w:p w14:paraId="354026E3" w14:textId="711ED23A" w:rsidR="00CB142C" w:rsidRPr="00147285" w:rsidRDefault="00CB142C" w:rsidP="00CB142C">
                          <w:pPr>
                            <w:pStyle w:val="NoSpacing"/>
                            <w:jc w:val="center"/>
                            <w:rPr>
                              <w:color w:val="4472C4" w:themeColor="accent1"/>
                              <w:sz w:val="40"/>
                              <w:szCs w:val="40"/>
                            </w:rPr>
                          </w:pPr>
                          <w:r w:rsidRPr="00147285">
                            <w:rPr>
                              <w:color w:val="4472C4" w:themeColor="accent1"/>
                              <w:sz w:val="40"/>
                              <w:szCs w:val="40"/>
                            </w:rPr>
                            <w:t>BEng Motorsport Engineering</w:t>
                          </w:r>
                        </w:p>
                        <w:p w14:paraId="4673E65E" w14:textId="58872929" w:rsidR="00C65F26" w:rsidRPr="00147285" w:rsidRDefault="00147285" w:rsidP="00CB142C">
                          <w:pPr>
                            <w:pStyle w:val="NoSpacing"/>
                            <w:jc w:val="center"/>
                            <w:rPr>
                              <w:color w:val="4472C4" w:themeColor="accent1"/>
                              <w:sz w:val="40"/>
                              <w:szCs w:val="40"/>
                            </w:rPr>
                          </w:pPr>
                          <w:r w:rsidRPr="00147285">
                            <w:rPr>
                              <w:color w:val="4472C4" w:themeColor="accent1"/>
                              <w:sz w:val="40"/>
                              <w:szCs w:val="40"/>
                            </w:rPr>
                            <w:t>18</w:t>
                          </w:r>
                          <w:r w:rsidRPr="00147285">
                            <w:rPr>
                              <w:color w:val="4472C4" w:themeColor="accent1"/>
                              <w:sz w:val="40"/>
                              <w:szCs w:val="40"/>
                              <w:vertAlign w:val="superscript"/>
                            </w:rPr>
                            <w:t>th</w:t>
                          </w:r>
                          <w:r w:rsidRPr="00147285">
                            <w:rPr>
                              <w:color w:val="4472C4" w:themeColor="accent1"/>
                              <w:sz w:val="40"/>
                              <w:szCs w:val="40"/>
                            </w:rPr>
                            <w:t xml:space="preserve"> November 2021</w:t>
                          </w:r>
                        </w:p>
                        <w:p w14:paraId="49F03C52" w14:textId="60697580" w:rsidR="00CB142C" w:rsidRPr="00147285" w:rsidRDefault="00147285" w:rsidP="00CB142C">
                          <w:pPr>
                            <w:pStyle w:val="NoSpacing"/>
                            <w:jc w:val="center"/>
                            <w:rPr>
                              <w:color w:val="4472C4" w:themeColor="accent1"/>
                              <w:sz w:val="40"/>
                              <w:szCs w:val="40"/>
                              <w:highlight w:val="yellow"/>
                            </w:rPr>
                          </w:pPr>
                          <w:r w:rsidRPr="00147285">
                            <w:rPr>
                              <w:color w:val="4472C4" w:themeColor="accent1"/>
                              <w:sz w:val="40"/>
                              <w:szCs w:val="40"/>
                            </w:rPr>
                            <w:t>Automotive Materials &amp; Sustainability</w:t>
                          </w:r>
                        </w:p>
                        <w:p w14:paraId="0D4C6431" w14:textId="7F334AFE" w:rsidR="00C65F26" w:rsidRPr="00147285" w:rsidRDefault="00147285" w:rsidP="00CB142C">
                          <w:pPr>
                            <w:pStyle w:val="NoSpacing"/>
                            <w:jc w:val="center"/>
                            <w:rPr>
                              <w:color w:val="4472C4" w:themeColor="accent1"/>
                              <w:sz w:val="40"/>
                              <w:szCs w:val="40"/>
                            </w:rPr>
                          </w:pPr>
                          <w:r w:rsidRPr="00147285">
                            <w:rPr>
                              <w:color w:val="4472C4" w:themeColor="accent1"/>
                              <w:sz w:val="40"/>
                              <w:szCs w:val="40"/>
                            </w:rPr>
                            <w:t>ACHA6012</w:t>
                          </w:r>
                        </w:p>
                      </w:txbxContent>
                    </v:textbox>
                    <w10:wrap anchorx="margin" anchory="page"/>
                  </v:shape>
                </w:pict>
              </mc:Fallback>
            </mc:AlternateContent>
          </w:r>
          <w:r w:rsidR="00CB142C">
            <w:br w:type="page"/>
          </w:r>
        </w:p>
      </w:sdtContent>
    </w:sdt>
    <w:sdt>
      <w:sdtPr>
        <w:rPr>
          <w:rFonts w:asciiTheme="minorHAnsi" w:eastAsiaTheme="minorHAnsi" w:hAnsiTheme="minorHAnsi" w:cstheme="minorBidi"/>
          <w:color w:val="auto"/>
          <w:sz w:val="22"/>
          <w:szCs w:val="22"/>
          <w:lang w:val="en-GB"/>
        </w:rPr>
        <w:id w:val="-607112222"/>
        <w:docPartObj>
          <w:docPartGallery w:val="Table of Contents"/>
          <w:docPartUnique/>
        </w:docPartObj>
      </w:sdtPr>
      <w:sdtEndPr>
        <w:rPr>
          <w:b/>
          <w:bCs/>
          <w:noProof/>
        </w:rPr>
      </w:sdtEndPr>
      <w:sdtContent>
        <w:p w14:paraId="5C9A7C3D" w14:textId="472EEA8C" w:rsidR="00C65F26" w:rsidRPr="00534245" w:rsidRDefault="00C65F26" w:rsidP="00534245">
          <w:pPr>
            <w:pStyle w:val="TOCHeading"/>
            <w:numPr>
              <w:ilvl w:val="0"/>
              <w:numId w:val="0"/>
            </w:numPr>
            <w:ind w:left="720"/>
            <w:rPr>
              <w:b/>
              <w:bCs/>
              <w:sz w:val="36"/>
              <w:szCs w:val="36"/>
            </w:rPr>
          </w:pPr>
          <w:r w:rsidRPr="00534245">
            <w:rPr>
              <w:b/>
              <w:bCs/>
              <w:sz w:val="36"/>
              <w:szCs w:val="36"/>
            </w:rPr>
            <w:t>Table of Contents</w:t>
          </w:r>
        </w:p>
        <w:p w14:paraId="430B34A3" w14:textId="2D8F5FAE" w:rsidR="009E300B" w:rsidRDefault="00C65F26">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hyperlink w:anchor="_Toc88515522" w:history="1">
            <w:r w:rsidR="009E300B" w:rsidRPr="00475580">
              <w:rPr>
                <w:rStyle w:val="Hyperlink"/>
                <w:noProof/>
              </w:rPr>
              <w:t>1.</w:t>
            </w:r>
            <w:r w:rsidR="009E300B">
              <w:rPr>
                <w:rFonts w:cstheme="minorBidi"/>
                <w:noProof/>
                <w:lang w:val="en-GB" w:eastAsia="en-GB"/>
              </w:rPr>
              <w:tab/>
            </w:r>
            <w:r w:rsidR="009E300B" w:rsidRPr="00475580">
              <w:rPr>
                <w:rStyle w:val="Hyperlink"/>
                <w:noProof/>
              </w:rPr>
              <w:t>Introduction</w:t>
            </w:r>
            <w:r w:rsidR="009E300B">
              <w:rPr>
                <w:noProof/>
                <w:webHidden/>
              </w:rPr>
              <w:tab/>
            </w:r>
            <w:r w:rsidR="009E300B">
              <w:rPr>
                <w:noProof/>
                <w:webHidden/>
              </w:rPr>
              <w:fldChar w:fldCharType="begin"/>
            </w:r>
            <w:r w:rsidR="009E300B">
              <w:rPr>
                <w:noProof/>
                <w:webHidden/>
              </w:rPr>
              <w:instrText xml:space="preserve"> PAGEREF _Toc88515522 \h </w:instrText>
            </w:r>
            <w:r w:rsidR="009E300B">
              <w:rPr>
                <w:noProof/>
                <w:webHidden/>
              </w:rPr>
            </w:r>
            <w:r w:rsidR="009E300B">
              <w:rPr>
                <w:noProof/>
                <w:webHidden/>
              </w:rPr>
              <w:fldChar w:fldCharType="separate"/>
            </w:r>
            <w:r w:rsidR="009E300B">
              <w:rPr>
                <w:noProof/>
                <w:webHidden/>
              </w:rPr>
              <w:t>2</w:t>
            </w:r>
            <w:r w:rsidR="009E300B">
              <w:rPr>
                <w:noProof/>
                <w:webHidden/>
              </w:rPr>
              <w:fldChar w:fldCharType="end"/>
            </w:r>
          </w:hyperlink>
        </w:p>
        <w:p w14:paraId="1FEF31CD" w14:textId="2B32307F" w:rsidR="009E300B" w:rsidRDefault="009E300B">
          <w:pPr>
            <w:pStyle w:val="TOC1"/>
            <w:tabs>
              <w:tab w:val="left" w:pos="440"/>
              <w:tab w:val="right" w:leader="dot" w:pos="9016"/>
            </w:tabs>
            <w:rPr>
              <w:rFonts w:cstheme="minorBidi"/>
              <w:noProof/>
              <w:lang w:val="en-GB" w:eastAsia="en-GB"/>
            </w:rPr>
          </w:pPr>
          <w:hyperlink w:anchor="_Toc88515523" w:history="1">
            <w:r w:rsidRPr="00475580">
              <w:rPr>
                <w:rStyle w:val="Hyperlink"/>
                <w:noProof/>
              </w:rPr>
              <w:t>2.</w:t>
            </w:r>
            <w:r>
              <w:rPr>
                <w:rFonts w:cstheme="minorBidi"/>
                <w:noProof/>
                <w:lang w:val="en-GB" w:eastAsia="en-GB"/>
              </w:rPr>
              <w:tab/>
            </w:r>
            <w:r w:rsidRPr="00475580">
              <w:rPr>
                <w:rStyle w:val="Hyperlink"/>
                <w:noProof/>
              </w:rPr>
              <w:t>Implementing V2G into business</w:t>
            </w:r>
            <w:r>
              <w:rPr>
                <w:noProof/>
                <w:webHidden/>
              </w:rPr>
              <w:tab/>
            </w:r>
            <w:r>
              <w:rPr>
                <w:noProof/>
                <w:webHidden/>
              </w:rPr>
              <w:fldChar w:fldCharType="begin"/>
            </w:r>
            <w:r>
              <w:rPr>
                <w:noProof/>
                <w:webHidden/>
              </w:rPr>
              <w:instrText xml:space="preserve"> PAGEREF _Toc88515523 \h </w:instrText>
            </w:r>
            <w:r>
              <w:rPr>
                <w:noProof/>
                <w:webHidden/>
              </w:rPr>
            </w:r>
            <w:r>
              <w:rPr>
                <w:noProof/>
                <w:webHidden/>
              </w:rPr>
              <w:fldChar w:fldCharType="separate"/>
            </w:r>
            <w:r>
              <w:rPr>
                <w:noProof/>
                <w:webHidden/>
              </w:rPr>
              <w:t>3</w:t>
            </w:r>
            <w:r>
              <w:rPr>
                <w:noProof/>
                <w:webHidden/>
              </w:rPr>
              <w:fldChar w:fldCharType="end"/>
            </w:r>
          </w:hyperlink>
        </w:p>
        <w:p w14:paraId="36563E1F" w14:textId="5A6067DD" w:rsidR="009E300B" w:rsidRDefault="009E300B">
          <w:pPr>
            <w:pStyle w:val="TOC2"/>
            <w:tabs>
              <w:tab w:val="right" w:leader="dot" w:pos="9016"/>
            </w:tabs>
            <w:rPr>
              <w:rFonts w:cstheme="minorBidi"/>
              <w:noProof/>
              <w:lang w:val="en-GB" w:eastAsia="en-GB"/>
            </w:rPr>
          </w:pPr>
          <w:hyperlink w:anchor="_Toc88515524" w:history="1">
            <w:r w:rsidRPr="00475580">
              <w:rPr>
                <w:rStyle w:val="Hyperlink"/>
                <w:noProof/>
              </w:rPr>
              <w:t>Vehicle to Grid Infrastructure</w:t>
            </w:r>
            <w:r>
              <w:rPr>
                <w:noProof/>
                <w:webHidden/>
              </w:rPr>
              <w:tab/>
            </w:r>
            <w:r>
              <w:rPr>
                <w:noProof/>
                <w:webHidden/>
              </w:rPr>
              <w:fldChar w:fldCharType="begin"/>
            </w:r>
            <w:r>
              <w:rPr>
                <w:noProof/>
                <w:webHidden/>
              </w:rPr>
              <w:instrText xml:space="preserve"> PAGEREF _Toc88515524 \h </w:instrText>
            </w:r>
            <w:r>
              <w:rPr>
                <w:noProof/>
                <w:webHidden/>
              </w:rPr>
            </w:r>
            <w:r>
              <w:rPr>
                <w:noProof/>
                <w:webHidden/>
              </w:rPr>
              <w:fldChar w:fldCharType="separate"/>
            </w:r>
            <w:r>
              <w:rPr>
                <w:noProof/>
                <w:webHidden/>
              </w:rPr>
              <w:t>3</w:t>
            </w:r>
            <w:r>
              <w:rPr>
                <w:noProof/>
                <w:webHidden/>
              </w:rPr>
              <w:fldChar w:fldCharType="end"/>
            </w:r>
          </w:hyperlink>
        </w:p>
        <w:p w14:paraId="2599EB07" w14:textId="57927D0A" w:rsidR="009E300B" w:rsidRDefault="009E300B">
          <w:pPr>
            <w:pStyle w:val="TOC2"/>
            <w:tabs>
              <w:tab w:val="right" w:leader="dot" w:pos="9016"/>
            </w:tabs>
            <w:rPr>
              <w:rFonts w:cstheme="minorBidi"/>
              <w:noProof/>
              <w:lang w:val="en-GB" w:eastAsia="en-GB"/>
            </w:rPr>
          </w:pPr>
          <w:hyperlink w:anchor="_Toc88515525" w:history="1">
            <w:r w:rsidRPr="00475580">
              <w:rPr>
                <w:rStyle w:val="Hyperlink"/>
                <w:noProof/>
                <w:shd w:val="clear" w:color="auto" w:fill="FFFFFF"/>
              </w:rPr>
              <w:t>Creating the necessary foundations</w:t>
            </w:r>
            <w:r>
              <w:rPr>
                <w:noProof/>
                <w:webHidden/>
              </w:rPr>
              <w:tab/>
            </w:r>
            <w:r>
              <w:rPr>
                <w:noProof/>
                <w:webHidden/>
              </w:rPr>
              <w:fldChar w:fldCharType="begin"/>
            </w:r>
            <w:r>
              <w:rPr>
                <w:noProof/>
                <w:webHidden/>
              </w:rPr>
              <w:instrText xml:space="preserve"> PAGEREF _Toc88515525 \h </w:instrText>
            </w:r>
            <w:r>
              <w:rPr>
                <w:noProof/>
                <w:webHidden/>
              </w:rPr>
            </w:r>
            <w:r>
              <w:rPr>
                <w:noProof/>
                <w:webHidden/>
              </w:rPr>
              <w:fldChar w:fldCharType="separate"/>
            </w:r>
            <w:r>
              <w:rPr>
                <w:noProof/>
                <w:webHidden/>
              </w:rPr>
              <w:t>4</w:t>
            </w:r>
            <w:r>
              <w:rPr>
                <w:noProof/>
                <w:webHidden/>
              </w:rPr>
              <w:fldChar w:fldCharType="end"/>
            </w:r>
          </w:hyperlink>
        </w:p>
        <w:p w14:paraId="1CDA3520" w14:textId="6E9A6E37" w:rsidR="009E300B" w:rsidRDefault="009E300B">
          <w:pPr>
            <w:pStyle w:val="TOC2"/>
            <w:tabs>
              <w:tab w:val="right" w:leader="dot" w:pos="9016"/>
            </w:tabs>
            <w:rPr>
              <w:rFonts w:cstheme="minorBidi"/>
              <w:noProof/>
              <w:lang w:val="en-GB" w:eastAsia="en-GB"/>
            </w:rPr>
          </w:pPr>
          <w:hyperlink w:anchor="_Toc88515526" w:history="1">
            <w:r w:rsidRPr="00475580">
              <w:rPr>
                <w:rStyle w:val="Hyperlink"/>
                <w:noProof/>
              </w:rPr>
              <w:t>Nissan V2G trials</w:t>
            </w:r>
            <w:r>
              <w:rPr>
                <w:noProof/>
                <w:webHidden/>
              </w:rPr>
              <w:tab/>
            </w:r>
            <w:r>
              <w:rPr>
                <w:noProof/>
                <w:webHidden/>
              </w:rPr>
              <w:fldChar w:fldCharType="begin"/>
            </w:r>
            <w:r>
              <w:rPr>
                <w:noProof/>
                <w:webHidden/>
              </w:rPr>
              <w:instrText xml:space="preserve"> PAGEREF _Toc88515526 \h </w:instrText>
            </w:r>
            <w:r>
              <w:rPr>
                <w:noProof/>
                <w:webHidden/>
              </w:rPr>
            </w:r>
            <w:r>
              <w:rPr>
                <w:noProof/>
                <w:webHidden/>
              </w:rPr>
              <w:fldChar w:fldCharType="separate"/>
            </w:r>
            <w:r>
              <w:rPr>
                <w:noProof/>
                <w:webHidden/>
              </w:rPr>
              <w:t>5</w:t>
            </w:r>
            <w:r>
              <w:rPr>
                <w:noProof/>
                <w:webHidden/>
              </w:rPr>
              <w:fldChar w:fldCharType="end"/>
            </w:r>
          </w:hyperlink>
        </w:p>
        <w:p w14:paraId="7A34CE55" w14:textId="3DA07FC0" w:rsidR="009E300B" w:rsidRDefault="009E300B">
          <w:pPr>
            <w:pStyle w:val="TOC1"/>
            <w:tabs>
              <w:tab w:val="left" w:pos="440"/>
              <w:tab w:val="right" w:leader="dot" w:pos="9016"/>
            </w:tabs>
            <w:rPr>
              <w:rFonts w:cstheme="minorBidi"/>
              <w:noProof/>
              <w:lang w:val="en-GB" w:eastAsia="en-GB"/>
            </w:rPr>
          </w:pPr>
          <w:hyperlink w:anchor="_Toc88515527" w:history="1">
            <w:r w:rsidRPr="00475580">
              <w:rPr>
                <w:rStyle w:val="Hyperlink"/>
                <w:noProof/>
              </w:rPr>
              <w:t>3.</w:t>
            </w:r>
            <w:r>
              <w:rPr>
                <w:rFonts w:cstheme="minorBidi"/>
                <w:noProof/>
                <w:lang w:val="en-GB" w:eastAsia="en-GB"/>
              </w:rPr>
              <w:tab/>
            </w:r>
            <w:r w:rsidRPr="00475580">
              <w:rPr>
                <w:rStyle w:val="Hyperlink"/>
                <w:noProof/>
              </w:rPr>
              <w:t>Current Feasibility of V2G</w:t>
            </w:r>
            <w:r>
              <w:rPr>
                <w:noProof/>
                <w:webHidden/>
              </w:rPr>
              <w:tab/>
            </w:r>
            <w:r>
              <w:rPr>
                <w:noProof/>
                <w:webHidden/>
              </w:rPr>
              <w:fldChar w:fldCharType="begin"/>
            </w:r>
            <w:r>
              <w:rPr>
                <w:noProof/>
                <w:webHidden/>
              </w:rPr>
              <w:instrText xml:space="preserve"> PAGEREF _Toc88515527 \h </w:instrText>
            </w:r>
            <w:r>
              <w:rPr>
                <w:noProof/>
                <w:webHidden/>
              </w:rPr>
            </w:r>
            <w:r>
              <w:rPr>
                <w:noProof/>
                <w:webHidden/>
              </w:rPr>
              <w:fldChar w:fldCharType="separate"/>
            </w:r>
            <w:r>
              <w:rPr>
                <w:noProof/>
                <w:webHidden/>
              </w:rPr>
              <w:t>6</w:t>
            </w:r>
            <w:r>
              <w:rPr>
                <w:noProof/>
                <w:webHidden/>
              </w:rPr>
              <w:fldChar w:fldCharType="end"/>
            </w:r>
          </w:hyperlink>
        </w:p>
        <w:p w14:paraId="56DC9E8B" w14:textId="363BCF54" w:rsidR="009E300B" w:rsidRDefault="009E300B">
          <w:pPr>
            <w:pStyle w:val="TOC2"/>
            <w:tabs>
              <w:tab w:val="right" w:leader="dot" w:pos="9016"/>
            </w:tabs>
            <w:rPr>
              <w:rFonts w:cstheme="minorBidi"/>
              <w:noProof/>
              <w:lang w:val="en-GB" w:eastAsia="en-GB"/>
            </w:rPr>
          </w:pPr>
          <w:hyperlink w:anchor="_Toc88515528" w:history="1">
            <w:r w:rsidRPr="00475580">
              <w:rPr>
                <w:rStyle w:val="Hyperlink"/>
                <w:noProof/>
              </w:rPr>
              <w:t>Vehicle compatibility</w:t>
            </w:r>
            <w:r>
              <w:rPr>
                <w:noProof/>
                <w:webHidden/>
              </w:rPr>
              <w:tab/>
            </w:r>
            <w:r>
              <w:rPr>
                <w:noProof/>
                <w:webHidden/>
              </w:rPr>
              <w:fldChar w:fldCharType="begin"/>
            </w:r>
            <w:r>
              <w:rPr>
                <w:noProof/>
                <w:webHidden/>
              </w:rPr>
              <w:instrText xml:space="preserve"> PAGEREF _Toc88515528 \h </w:instrText>
            </w:r>
            <w:r>
              <w:rPr>
                <w:noProof/>
                <w:webHidden/>
              </w:rPr>
            </w:r>
            <w:r>
              <w:rPr>
                <w:noProof/>
                <w:webHidden/>
              </w:rPr>
              <w:fldChar w:fldCharType="separate"/>
            </w:r>
            <w:r>
              <w:rPr>
                <w:noProof/>
                <w:webHidden/>
              </w:rPr>
              <w:t>6</w:t>
            </w:r>
            <w:r>
              <w:rPr>
                <w:noProof/>
                <w:webHidden/>
              </w:rPr>
              <w:fldChar w:fldCharType="end"/>
            </w:r>
          </w:hyperlink>
        </w:p>
        <w:p w14:paraId="68BB2A83" w14:textId="2CFFB570" w:rsidR="009E300B" w:rsidRDefault="009E300B">
          <w:pPr>
            <w:pStyle w:val="TOC2"/>
            <w:tabs>
              <w:tab w:val="right" w:leader="dot" w:pos="9016"/>
            </w:tabs>
            <w:rPr>
              <w:rFonts w:cstheme="minorBidi"/>
              <w:noProof/>
              <w:lang w:val="en-GB" w:eastAsia="en-GB"/>
            </w:rPr>
          </w:pPr>
          <w:hyperlink w:anchor="_Toc88515529" w:history="1">
            <w:r w:rsidRPr="00475580">
              <w:rPr>
                <w:rStyle w:val="Hyperlink"/>
                <w:noProof/>
              </w:rPr>
              <w:t>Vehicle-to-Grid Chargers and applications</w:t>
            </w:r>
            <w:r>
              <w:rPr>
                <w:noProof/>
                <w:webHidden/>
              </w:rPr>
              <w:tab/>
            </w:r>
            <w:r>
              <w:rPr>
                <w:noProof/>
                <w:webHidden/>
              </w:rPr>
              <w:fldChar w:fldCharType="begin"/>
            </w:r>
            <w:r>
              <w:rPr>
                <w:noProof/>
                <w:webHidden/>
              </w:rPr>
              <w:instrText xml:space="preserve"> PAGEREF _Toc88515529 \h </w:instrText>
            </w:r>
            <w:r>
              <w:rPr>
                <w:noProof/>
                <w:webHidden/>
              </w:rPr>
            </w:r>
            <w:r>
              <w:rPr>
                <w:noProof/>
                <w:webHidden/>
              </w:rPr>
              <w:fldChar w:fldCharType="separate"/>
            </w:r>
            <w:r>
              <w:rPr>
                <w:noProof/>
                <w:webHidden/>
              </w:rPr>
              <w:t>6</w:t>
            </w:r>
            <w:r>
              <w:rPr>
                <w:noProof/>
                <w:webHidden/>
              </w:rPr>
              <w:fldChar w:fldCharType="end"/>
            </w:r>
          </w:hyperlink>
        </w:p>
        <w:p w14:paraId="6F5AD2A2" w14:textId="693F618A" w:rsidR="009E300B" w:rsidRDefault="009E300B">
          <w:pPr>
            <w:pStyle w:val="TOC1"/>
            <w:tabs>
              <w:tab w:val="left" w:pos="440"/>
              <w:tab w:val="right" w:leader="dot" w:pos="9016"/>
            </w:tabs>
            <w:rPr>
              <w:rFonts w:cstheme="minorBidi"/>
              <w:noProof/>
              <w:lang w:val="en-GB" w:eastAsia="en-GB"/>
            </w:rPr>
          </w:pPr>
          <w:hyperlink w:anchor="_Toc88515530" w:history="1">
            <w:r w:rsidRPr="00475580">
              <w:rPr>
                <w:rStyle w:val="Hyperlink"/>
                <w:noProof/>
              </w:rPr>
              <w:t>4.</w:t>
            </w:r>
            <w:r>
              <w:rPr>
                <w:rFonts w:cstheme="minorBidi"/>
                <w:noProof/>
                <w:lang w:val="en-GB" w:eastAsia="en-GB"/>
              </w:rPr>
              <w:tab/>
            </w:r>
            <w:r w:rsidRPr="00475580">
              <w:rPr>
                <w:rStyle w:val="Hyperlink"/>
                <w:noProof/>
              </w:rPr>
              <w:t>Future implementation of Vehicle-to-Grid</w:t>
            </w:r>
            <w:r>
              <w:rPr>
                <w:noProof/>
                <w:webHidden/>
              </w:rPr>
              <w:tab/>
            </w:r>
            <w:r>
              <w:rPr>
                <w:noProof/>
                <w:webHidden/>
              </w:rPr>
              <w:fldChar w:fldCharType="begin"/>
            </w:r>
            <w:r>
              <w:rPr>
                <w:noProof/>
                <w:webHidden/>
              </w:rPr>
              <w:instrText xml:space="preserve"> PAGEREF _Toc88515530 \h </w:instrText>
            </w:r>
            <w:r>
              <w:rPr>
                <w:noProof/>
                <w:webHidden/>
              </w:rPr>
            </w:r>
            <w:r>
              <w:rPr>
                <w:noProof/>
                <w:webHidden/>
              </w:rPr>
              <w:fldChar w:fldCharType="separate"/>
            </w:r>
            <w:r>
              <w:rPr>
                <w:noProof/>
                <w:webHidden/>
              </w:rPr>
              <w:t>7</w:t>
            </w:r>
            <w:r>
              <w:rPr>
                <w:noProof/>
                <w:webHidden/>
              </w:rPr>
              <w:fldChar w:fldCharType="end"/>
            </w:r>
          </w:hyperlink>
        </w:p>
        <w:p w14:paraId="0A4F720A" w14:textId="2368E409" w:rsidR="009E300B" w:rsidRDefault="009E300B">
          <w:pPr>
            <w:pStyle w:val="TOC2"/>
            <w:tabs>
              <w:tab w:val="right" w:leader="dot" w:pos="9016"/>
            </w:tabs>
            <w:rPr>
              <w:rFonts w:cstheme="minorBidi"/>
              <w:noProof/>
              <w:lang w:val="en-GB" w:eastAsia="en-GB"/>
            </w:rPr>
          </w:pPr>
          <w:hyperlink w:anchor="_Toc88515531" w:history="1">
            <w:r w:rsidRPr="00475580">
              <w:rPr>
                <w:rStyle w:val="Hyperlink"/>
                <w:noProof/>
              </w:rPr>
              <w:t>Projected Electric Vehicle sales</w:t>
            </w:r>
            <w:r>
              <w:rPr>
                <w:noProof/>
                <w:webHidden/>
              </w:rPr>
              <w:tab/>
            </w:r>
            <w:r>
              <w:rPr>
                <w:noProof/>
                <w:webHidden/>
              </w:rPr>
              <w:fldChar w:fldCharType="begin"/>
            </w:r>
            <w:r>
              <w:rPr>
                <w:noProof/>
                <w:webHidden/>
              </w:rPr>
              <w:instrText xml:space="preserve"> PAGEREF _Toc88515531 \h </w:instrText>
            </w:r>
            <w:r>
              <w:rPr>
                <w:noProof/>
                <w:webHidden/>
              </w:rPr>
            </w:r>
            <w:r>
              <w:rPr>
                <w:noProof/>
                <w:webHidden/>
              </w:rPr>
              <w:fldChar w:fldCharType="separate"/>
            </w:r>
            <w:r>
              <w:rPr>
                <w:noProof/>
                <w:webHidden/>
              </w:rPr>
              <w:t>7</w:t>
            </w:r>
            <w:r>
              <w:rPr>
                <w:noProof/>
                <w:webHidden/>
              </w:rPr>
              <w:fldChar w:fldCharType="end"/>
            </w:r>
          </w:hyperlink>
        </w:p>
        <w:p w14:paraId="24D68D60" w14:textId="186E535C" w:rsidR="009E300B" w:rsidRDefault="009E300B">
          <w:pPr>
            <w:pStyle w:val="TOC1"/>
            <w:tabs>
              <w:tab w:val="left" w:pos="440"/>
              <w:tab w:val="right" w:leader="dot" w:pos="9016"/>
            </w:tabs>
            <w:rPr>
              <w:rFonts w:cstheme="minorBidi"/>
              <w:noProof/>
              <w:lang w:val="en-GB" w:eastAsia="en-GB"/>
            </w:rPr>
          </w:pPr>
          <w:hyperlink w:anchor="_Toc88515532" w:history="1">
            <w:r w:rsidRPr="00475580">
              <w:rPr>
                <w:rStyle w:val="Hyperlink"/>
                <w:noProof/>
              </w:rPr>
              <w:t>5.</w:t>
            </w:r>
            <w:r>
              <w:rPr>
                <w:rFonts w:cstheme="minorBidi"/>
                <w:noProof/>
                <w:lang w:val="en-GB" w:eastAsia="en-GB"/>
              </w:rPr>
              <w:tab/>
            </w:r>
            <w:r w:rsidRPr="00475580">
              <w:rPr>
                <w:rStyle w:val="Hyperlink"/>
                <w:noProof/>
              </w:rPr>
              <w:t>Advantages and pitfalls of Vehicle-to-Grid</w:t>
            </w:r>
            <w:r>
              <w:rPr>
                <w:noProof/>
                <w:webHidden/>
              </w:rPr>
              <w:tab/>
            </w:r>
            <w:r>
              <w:rPr>
                <w:noProof/>
                <w:webHidden/>
              </w:rPr>
              <w:fldChar w:fldCharType="begin"/>
            </w:r>
            <w:r>
              <w:rPr>
                <w:noProof/>
                <w:webHidden/>
              </w:rPr>
              <w:instrText xml:space="preserve"> PAGEREF _Toc88515532 \h </w:instrText>
            </w:r>
            <w:r>
              <w:rPr>
                <w:noProof/>
                <w:webHidden/>
              </w:rPr>
            </w:r>
            <w:r>
              <w:rPr>
                <w:noProof/>
                <w:webHidden/>
              </w:rPr>
              <w:fldChar w:fldCharType="separate"/>
            </w:r>
            <w:r>
              <w:rPr>
                <w:noProof/>
                <w:webHidden/>
              </w:rPr>
              <w:t>8</w:t>
            </w:r>
            <w:r>
              <w:rPr>
                <w:noProof/>
                <w:webHidden/>
              </w:rPr>
              <w:fldChar w:fldCharType="end"/>
            </w:r>
          </w:hyperlink>
        </w:p>
        <w:p w14:paraId="55FA6800" w14:textId="688D1A6E" w:rsidR="009E300B" w:rsidRDefault="009E300B">
          <w:pPr>
            <w:pStyle w:val="TOC2"/>
            <w:tabs>
              <w:tab w:val="right" w:leader="dot" w:pos="9016"/>
            </w:tabs>
            <w:rPr>
              <w:rFonts w:cstheme="minorBidi"/>
              <w:noProof/>
              <w:lang w:val="en-GB" w:eastAsia="en-GB"/>
            </w:rPr>
          </w:pPr>
          <w:hyperlink w:anchor="_Toc88515533" w:history="1">
            <w:r w:rsidRPr="00475580">
              <w:rPr>
                <w:rStyle w:val="Hyperlink"/>
                <w:noProof/>
              </w:rPr>
              <w:t>Short-term advantages of V2G</w:t>
            </w:r>
            <w:r>
              <w:rPr>
                <w:noProof/>
                <w:webHidden/>
              </w:rPr>
              <w:tab/>
            </w:r>
            <w:r>
              <w:rPr>
                <w:noProof/>
                <w:webHidden/>
              </w:rPr>
              <w:fldChar w:fldCharType="begin"/>
            </w:r>
            <w:r>
              <w:rPr>
                <w:noProof/>
                <w:webHidden/>
              </w:rPr>
              <w:instrText xml:space="preserve"> PAGEREF _Toc88515533 \h </w:instrText>
            </w:r>
            <w:r>
              <w:rPr>
                <w:noProof/>
                <w:webHidden/>
              </w:rPr>
            </w:r>
            <w:r>
              <w:rPr>
                <w:noProof/>
                <w:webHidden/>
              </w:rPr>
              <w:fldChar w:fldCharType="separate"/>
            </w:r>
            <w:r>
              <w:rPr>
                <w:noProof/>
                <w:webHidden/>
              </w:rPr>
              <w:t>8</w:t>
            </w:r>
            <w:r>
              <w:rPr>
                <w:noProof/>
                <w:webHidden/>
              </w:rPr>
              <w:fldChar w:fldCharType="end"/>
            </w:r>
          </w:hyperlink>
        </w:p>
        <w:p w14:paraId="0274B6D3" w14:textId="25635BFB" w:rsidR="009E300B" w:rsidRDefault="009E300B">
          <w:pPr>
            <w:pStyle w:val="TOC2"/>
            <w:tabs>
              <w:tab w:val="right" w:leader="dot" w:pos="9016"/>
            </w:tabs>
            <w:rPr>
              <w:rFonts w:cstheme="minorBidi"/>
              <w:noProof/>
              <w:lang w:val="en-GB" w:eastAsia="en-GB"/>
            </w:rPr>
          </w:pPr>
          <w:hyperlink w:anchor="_Toc88515534" w:history="1">
            <w:r w:rsidRPr="00475580">
              <w:rPr>
                <w:rStyle w:val="Hyperlink"/>
                <w:noProof/>
              </w:rPr>
              <w:t>Long-term effects of Vehicle-to-Grid</w:t>
            </w:r>
            <w:r>
              <w:rPr>
                <w:noProof/>
                <w:webHidden/>
              </w:rPr>
              <w:tab/>
            </w:r>
            <w:r>
              <w:rPr>
                <w:noProof/>
                <w:webHidden/>
              </w:rPr>
              <w:fldChar w:fldCharType="begin"/>
            </w:r>
            <w:r>
              <w:rPr>
                <w:noProof/>
                <w:webHidden/>
              </w:rPr>
              <w:instrText xml:space="preserve"> PAGEREF _Toc88515534 \h </w:instrText>
            </w:r>
            <w:r>
              <w:rPr>
                <w:noProof/>
                <w:webHidden/>
              </w:rPr>
            </w:r>
            <w:r>
              <w:rPr>
                <w:noProof/>
                <w:webHidden/>
              </w:rPr>
              <w:fldChar w:fldCharType="separate"/>
            </w:r>
            <w:r>
              <w:rPr>
                <w:noProof/>
                <w:webHidden/>
              </w:rPr>
              <w:t>9</w:t>
            </w:r>
            <w:r>
              <w:rPr>
                <w:noProof/>
                <w:webHidden/>
              </w:rPr>
              <w:fldChar w:fldCharType="end"/>
            </w:r>
          </w:hyperlink>
        </w:p>
        <w:p w14:paraId="52966291" w14:textId="49F1C9DD" w:rsidR="009E300B" w:rsidRDefault="009E300B">
          <w:pPr>
            <w:pStyle w:val="TOC1"/>
            <w:tabs>
              <w:tab w:val="left" w:pos="440"/>
              <w:tab w:val="right" w:leader="dot" w:pos="9016"/>
            </w:tabs>
            <w:rPr>
              <w:rFonts w:cstheme="minorBidi"/>
              <w:noProof/>
              <w:lang w:val="en-GB" w:eastAsia="en-GB"/>
            </w:rPr>
          </w:pPr>
          <w:hyperlink w:anchor="_Toc88515535" w:history="1">
            <w:r w:rsidRPr="00475580">
              <w:rPr>
                <w:rStyle w:val="Hyperlink"/>
                <w:noProof/>
              </w:rPr>
              <w:t>6.</w:t>
            </w:r>
            <w:r>
              <w:rPr>
                <w:rFonts w:cstheme="minorBidi"/>
                <w:noProof/>
                <w:lang w:val="en-GB" w:eastAsia="en-GB"/>
              </w:rPr>
              <w:tab/>
            </w:r>
            <w:r w:rsidRPr="00475580">
              <w:rPr>
                <w:rStyle w:val="Hyperlink"/>
                <w:noProof/>
              </w:rPr>
              <w:t>Conclusion</w:t>
            </w:r>
            <w:r>
              <w:rPr>
                <w:noProof/>
                <w:webHidden/>
              </w:rPr>
              <w:tab/>
            </w:r>
            <w:r>
              <w:rPr>
                <w:noProof/>
                <w:webHidden/>
              </w:rPr>
              <w:fldChar w:fldCharType="begin"/>
            </w:r>
            <w:r>
              <w:rPr>
                <w:noProof/>
                <w:webHidden/>
              </w:rPr>
              <w:instrText xml:space="preserve"> PAGEREF _Toc88515535 \h </w:instrText>
            </w:r>
            <w:r>
              <w:rPr>
                <w:noProof/>
                <w:webHidden/>
              </w:rPr>
            </w:r>
            <w:r>
              <w:rPr>
                <w:noProof/>
                <w:webHidden/>
              </w:rPr>
              <w:fldChar w:fldCharType="separate"/>
            </w:r>
            <w:r>
              <w:rPr>
                <w:noProof/>
                <w:webHidden/>
              </w:rPr>
              <w:t>10</w:t>
            </w:r>
            <w:r>
              <w:rPr>
                <w:noProof/>
                <w:webHidden/>
              </w:rPr>
              <w:fldChar w:fldCharType="end"/>
            </w:r>
          </w:hyperlink>
        </w:p>
        <w:p w14:paraId="6E502B11" w14:textId="4C1B7C17" w:rsidR="009E300B" w:rsidRDefault="009E300B">
          <w:pPr>
            <w:pStyle w:val="TOC1"/>
            <w:tabs>
              <w:tab w:val="left" w:pos="440"/>
              <w:tab w:val="right" w:leader="dot" w:pos="9016"/>
            </w:tabs>
            <w:rPr>
              <w:rFonts w:cstheme="minorBidi"/>
              <w:noProof/>
              <w:lang w:val="en-GB" w:eastAsia="en-GB"/>
            </w:rPr>
          </w:pPr>
          <w:hyperlink w:anchor="_Toc88515536" w:history="1">
            <w:r w:rsidRPr="00475580">
              <w:rPr>
                <w:rStyle w:val="Hyperlink"/>
                <w:noProof/>
              </w:rPr>
              <w:t>7.</w:t>
            </w:r>
            <w:r>
              <w:rPr>
                <w:rFonts w:cstheme="minorBidi"/>
                <w:noProof/>
                <w:lang w:val="en-GB" w:eastAsia="en-GB"/>
              </w:rPr>
              <w:tab/>
            </w:r>
            <w:r w:rsidRPr="00475580">
              <w:rPr>
                <w:rStyle w:val="Hyperlink"/>
                <w:noProof/>
              </w:rPr>
              <w:t>References</w:t>
            </w:r>
            <w:r>
              <w:rPr>
                <w:noProof/>
                <w:webHidden/>
              </w:rPr>
              <w:tab/>
            </w:r>
            <w:r>
              <w:rPr>
                <w:noProof/>
                <w:webHidden/>
              </w:rPr>
              <w:fldChar w:fldCharType="begin"/>
            </w:r>
            <w:r>
              <w:rPr>
                <w:noProof/>
                <w:webHidden/>
              </w:rPr>
              <w:instrText xml:space="preserve"> PAGEREF _Toc88515536 \h </w:instrText>
            </w:r>
            <w:r>
              <w:rPr>
                <w:noProof/>
                <w:webHidden/>
              </w:rPr>
            </w:r>
            <w:r>
              <w:rPr>
                <w:noProof/>
                <w:webHidden/>
              </w:rPr>
              <w:fldChar w:fldCharType="separate"/>
            </w:r>
            <w:r>
              <w:rPr>
                <w:noProof/>
                <w:webHidden/>
              </w:rPr>
              <w:t>11</w:t>
            </w:r>
            <w:r>
              <w:rPr>
                <w:noProof/>
                <w:webHidden/>
              </w:rPr>
              <w:fldChar w:fldCharType="end"/>
            </w:r>
          </w:hyperlink>
        </w:p>
        <w:p w14:paraId="2D9D298C" w14:textId="14912C94" w:rsidR="00C65F26" w:rsidRDefault="00C65F26">
          <w:r>
            <w:rPr>
              <w:b/>
              <w:bCs/>
              <w:noProof/>
            </w:rPr>
            <w:fldChar w:fldCharType="end"/>
          </w:r>
        </w:p>
      </w:sdtContent>
    </w:sdt>
    <w:p w14:paraId="04F4A2EB" w14:textId="77777777" w:rsidR="00C65F26" w:rsidRDefault="00C65F26">
      <w:r>
        <w:br w:type="page"/>
      </w:r>
    </w:p>
    <w:p w14:paraId="7D2922F6" w14:textId="1CF2ACBA" w:rsidR="002618CC" w:rsidRDefault="00C65F26" w:rsidP="00C65F26">
      <w:pPr>
        <w:pStyle w:val="Heading1"/>
      </w:pPr>
      <w:r>
        <w:lastRenderedPageBreak/>
        <w:t xml:space="preserve"> </w:t>
      </w:r>
      <w:bookmarkStart w:id="0" w:name="_Toc88515522"/>
      <w:r>
        <w:t>Introduction</w:t>
      </w:r>
      <w:bookmarkEnd w:id="0"/>
    </w:p>
    <w:p w14:paraId="48DF78BA" w14:textId="77777777" w:rsidR="00E65BEF" w:rsidRDefault="00E65BEF"/>
    <w:p w14:paraId="43BFAF68" w14:textId="76D26725" w:rsidR="0000190E" w:rsidRDefault="00E65BEF" w:rsidP="00B06C70">
      <w:pPr>
        <w:rPr>
          <w:rFonts w:ascii="Open Sans" w:hAnsi="Open Sans" w:cs="Open Sans"/>
          <w:color w:val="000000"/>
          <w:sz w:val="20"/>
          <w:szCs w:val="20"/>
          <w:shd w:val="clear" w:color="auto" w:fill="FFFFFF"/>
        </w:rPr>
      </w:pPr>
      <w:r>
        <w:t xml:space="preserve">Vehicle to Grid (V2G) technology revolves around the theory of using electric vehicles, which have recently become much more popular, in order to </w:t>
      </w:r>
      <w:r w:rsidR="00016D35">
        <w:t>return power to the national grid when the vehicles are no longer running</w:t>
      </w:r>
      <w:r>
        <w:t xml:space="preserve">. This would allow </w:t>
      </w:r>
      <w:r w:rsidR="00016D35">
        <w:t>EV owners to sell power stored in their vehicles to the power grid at times of peak demand, therefore, saving money and assisting in the reduction of carbon emissions</w:t>
      </w:r>
      <w:r w:rsidR="00B06C70">
        <w:t>. T</w:t>
      </w:r>
      <w:r w:rsidR="00016D35">
        <w:t xml:space="preserve">his would allow the National Grid </w:t>
      </w:r>
      <w:r w:rsidR="000E19F9">
        <w:t>to be topped up without burning excess fuels in order to meet demand</w:t>
      </w:r>
      <w:r w:rsidR="00B06C70">
        <w:t xml:space="preserve">. </w:t>
      </w:r>
      <w:r w:rsidR="00B06C70">
        <w:rPr>
          <w:rFonts w:ascii="Open Sans" w:hAnsi="Open Sans" w:cs="Open Sans"/>
          <w:color w:val="000000"/>
          <w:sz w:val="20"/>
          <w:szCs w:val="20"/>
          <w:shd w:val="clear" w:color="auto" w:fill="FFFFFF"/>
        </w:rPr>
        <w:t>(Vehicle to Grid (V2G) Technology - IEEE Innovation at Work, 2021)</w:t>
      </w:r>
    </w:p>
    <w:p w14:paraId="4E7ED22D" w14:textId="77777777" w:rsidR="005921CF" w:rsidRDefault="0000190E" w:rsidP="007A391B">
      <w:pPr>
        <w:rPr>
          <w:shd w:val="clear" w:color="auto" w:fill="FFFFFF"/>
        </w:rPr>
      </w:pPr>
      <w:r>
        <w:rPr>
          <w:shd w:val="clear" w:color="auto" w:fill="FFFFFF"/>
        </w:rPr>
        <w:t xml:space="preserve">This technology has a lot of potential with the increasing popularity of electric vehicles (EVs). </w:t>
      </w:r>
      <w:r w:rsidR="005921CF">
        <w:rPr>
          <w:shd w:val="clear" w:color="auto" w:fill="FFFFFF"/>
        </w:rPr>
        <w:t xml:space="preserve">With the implementation of the V2G technology and the volume of electric vehicles entering the market recently; the vehicles could be used as batteries to top up the grid in times of peak demand. This technology could be extremely useful with the current lack of renewable energy sources. </w:t>
      </w:r>
    </w:p>
    <w:p w14:paraId="16DA7C39" w14:textId="7F462D53" w:rsidR="00C65F26" w:rsidRPr="0000190E" w:rsidRDefault="00FB0CCF" w:rsidP="007A391B">
      <w:pPr>
        <w:rPr>
          <w:shd w:val="clear" w:color="auto" w:fill="FFFFFF"/>
        </w:rPr>
      </w:pPr>
      <w:r>
        <w:rPr>
          <w:shd w:val="clear" w:color="auto" w:fill="FFFFFF"/>
        </w:rPr>
        <w:t xml:space="preserve">The implementation of the V2G technology has the potential reduce strain </w:t>
      </w:r>
      <w:r w:rsidR="00CA00B2">
        <w:rPr>
          <w:shd w:val="clear" w:color="auto" w:fill="FFFFFF"/>
        </w:rPr>
        <w:t>on</w:t>
      </w:r>
      <w:r>
        <w:rPr>
          <w:shd w:val="clear" w:color="auto" w:fill="FFFFFF"/>
        </w:rPr>
        <w:t xml:space="preserve"> the electrical grid in </w:t>
      </w:r>
      <w:r w:rsidR="00CA00B2">
        <w:rPr>
          <w:shd w:val="clear" w:color="auto" w:fill="FFFFFF"/>
        </w:rPr>
        <w:t>business situations</w:t>
      </w:r>
      <w:r>
        <w:rPr>
          <w:shd w:val="clear" w:color="auto" w:fill="FFFFFF"/>
        </w:rPr>
        <w:t xml:space="preserve"> where</w:t>
      </w:r>
      <w:r w:rsidR="00CA00B2">
        <w:rPr>
          <w:shd w:val="clear" w:color="auto" w:fill="FFFFFF"/>
        </w:rPr>
        <w:t xml:space="preserve"> there is currently a large push for</w:t>
      </w:r>
      <w:r>
        <w:rPr>
          <w:shd w:val="clear" w:color="auto" w:fill="FFFFFF"/>
        </w:rPr>
        <w:t xml:space="preserve"> zero emissions </w:t>
      </w:r>
      <w:r w:rsidR="00CA00B2">
        <w:rPr>
          <w:shd w:val="clear" w:color="auto" w:fill="FFFFFF"/>
        </w:rPr>
        <w:t>and will continue to be in years to come</w:t>
      </w:r>
      <w:r>
        <w:rPr>
          <w:shd w:val="clear" w:color="auto" w:fill="FFFFFF"/>
        </w:rPr>
        <w:t>. The technology could potentially u</w:t>
      </w:r>
      <w:r w:rsidR="00CA00B2">
        <w:rPr>
          <w:shd w:val="clear" w:color="auto" w:fill="FFFFFF"/>
        </w:rPr>
        <w:t>tilise a fleet of fully electric vehicles which, at the end of the business day, can be plugged in and the electricity sold back to the grid.</w:t>
      </w:r>
      <w:r w:rsidR="00C65F26">
        <w:br w:type="page"/>
      </w:r>
    </w:p>
    <w:p w14:paraId="64A10CED" w14:textId="40A65313" w:rsidR="00427E18" w:rsidRDefault="00C65F26" w:rsidP="00427E18">
      <w:pPr>
        <w:pStyle w:val="Heading1"/>
      </w:pPr>
      <w:r>
        <w:lastRenderedPageBreak/>
        <w:t xml:space="preserve"> </w:t>
      </w:r>
      <w:bookmarkStart w:id="1" w:name="_Toc88515523"/>
      <w:r w:rsidR="00D96ADC">
        <w:t>Implementing V2G into busine</w:t>
      </w:r>
      <w:r w:rsidR="00534245">
        <w:t>ss</w:t>
      </w:r>
      <w:bookmarkEnd w:id="1"/>
    </w:p>
    <w:p w14:paraId="7ED27018" w14:textId="40B74A9A" w:rsidR="00427E18" w:rsidRDefault="00CD0AF8" w:rsidP="00427E18">
      <w:pPr>
        <w:pStyle w:val="Heading2"/>
      </w:pPr>
      <w:bookmarkStart w:id="2" w:name="_Toc88515524"/>
      <w:r>
        <w:t xml:space="preserve">Vehicle to Grid </w:t>
      </w:r>
      <w:r w:rsidR="009D2A08">
        <w:t>Infrastructure</w:t>
      </w:r>
      <w:bookmarkEnd w:id="2"/>
    </w:p>
    <w:p w14:paraId="02391AB3" w14:textId="0BF2F95E" w:rsidR="00D038A3" w:rsidRPr="00D038A3" w:rsidRDefault="00D038A3" w:rsidP="00D038A3"/>
    <w:p w14:paraId="70CE14DF" w14:textId="4ED04B4F" w:rsidR="00427E18" w:rsidRDefault="00D038A3" w:rsidP="00E15E52">
      <w:pPr>
        <w:rPr>
          <w:rFonts w:ascii="Open Sans" w:hAnsi="Open Sans" w:cs="Open Sans"/>
          <w:color w:val="000000"/>
          <w:sz w:val="20"/>
          <w:szCs w:val="20"/>
          <w:shd w:val="clear" w:color="auto" w:fill="FFFFFF"/>
        </w:rPr>
      </w:pPr>
      <w:r>
        <w:t xml:space="preserve">In recent years, there has been a significant increase in the </w:t>
      </w:r>
      <w:r w:rsidR="00555213">
        <w:t xml:space="preserve">amount of focus on sustainability and emissions </w:t>
      </w:r>
      <w:r w:rsidR="002F7FEC">
        <w:t>of both the business and domestic sectors</w:t>
      </w:r>
      <w:r w:rsidR="00555213">
        <w:t xml:space="preserve">. </w:t>
      </w:r>
      <w:r w:rsidR="007A66EB">
        <w:t>From analysing the emissions output from different sectors in 2019</w:t>
      </w:r>
      <w:r w:rsidR="00A66B1B">
        <w:t xml:space="preserve">, the two largest contributors to the greenhouse effect are the transport and energy supply sectors. </w:t>
      </w:r>
      <w:r w:rsidR="00400F26">
        <w:rPr>
          <w:rFonts w:ascii="Open Sans" w:hAnsi="Open Sans" w:cs="Open Sans"/>
          <w:color w:val="000000"/>
          <w:sz w:val="20"/>
          <w:szCs w:val="20"/>
          <w:shd w:val="clear" w:color="auto" w:fill="FFFFFF"/>
        </w:rPr>
        <w:t>These statistics can be seen below in Figure 1.</w:t>
      </w:r>
      <w:r w:rsidR="00B622C1">
        <w:rPr>
          <w:rFonts w:ascii="Open Sans" w:hAnsi="Open Sans" w:cs="Open Sans"/>
          <w:color w:val="000000"/>
          <w:sz w:val="20"/>
          <w:szCs w:val="20"/>
          <w:shd w:val="clear" w:color="auto" w:fill="FFFFFF"/>
        </w:rPr>
        <w:t xml:space="preserve"> (2019 UK Greenhouse Gas Emissions, Final Figures, 2021)</w:t>
      </w:r>
    </w:p>
    <w:p w14:paraId="56C72DD7" w14:textId="3166C640" w:rsidR="00400F26" w:rsidRPr="00427E18" w:rsidRDefault="00D941A4" w:rsidP="00427E18">
      <w:r>
        <w:rPr>
          <w:noProof/>
        </w:rPr>
        <w:drawing>
          <wp:anchor distT="0" distB="0" distL="114300" distR="114300" simplePos="0" relativeHeight="251660288" behindDoc="1" locked="0" layoutInCell="1" allowOverlap="1" wp14:anchorId="4901CB11" wp14:editId="3A2EFDCC">
            <wp:simplePos x="0" y="0"/>
            <wp:positionH relativeFrom="margin">
              <wp:align>center</wp:align>
            </wp:positionH>
            <wp:positionV relativeFrom="paragraph">
              <wp:posOffset>11430</wp:posOffset>
            </wp:positionV>
            <wp:extent cx="4625340" cy="2319020"/>
            <wp:effectExtent l="0" t="0" r="3810" b="5080"/>
            <wp:wrapTight wrapText="bothSides">
              <wp:wrapPolygon edited="0">
                <wp:start x="0" y="0"/>
                <wp:lineTo x="0" y="21470"/>
                <wp:lineTo x="21529" y="21470"/>
                <wp:lineTo x="21529"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9">
                      <a:extLst>
                        <a:ext uri="{28A0092B-C50C-407E-A947-70E740481C1C}">
                          <a14:useLocalDpi xmlns:a14="http://schemas.microsoft.com/office/drawing/2010/main" val="0"/>
                        </a:ext>
                      </a:extLst>
                    </a:blip>
                    <a:srcRect l="37145" t="34175" r="16883" b="24843"/>
                    <a:stretch/>
                  </pic:blipFill>
                  <pic:spPr bwMode="auto">
                    <a:xfrm>
                      <a:off x="0" y="0"/>
                      <a:ext cx="4625340" cy="2319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979CBD" w14:textId="31D85123" w:rsidR="00534245" w:rsidRPr="00534245" w:rsidRDefault="00534245" w:rsidP="00427E18">
      <w:pPr>
        <w:pStyle w:val="Heading2"/>
        <w:ind w:left="720"/>
      </w:pPr>
    </w:p>
    <w:p w14:paraId="574ECD37" w14:textId="4E0A3141" w:rsidR="00172369" w:rsidRDefault="00172369"/>
    <w:p w14:paraId="43A2357E" w14:textId="0F18BDC9" w:rsidR="00172369" w:rsidRDefault="00172369"/>
    <w:p w14:paraId="102978E3" w14:textId="77777777" w:rsidR="00172369" w:rsidRDefault="00172369"/>
    <w:p w14:paraId="3F04F309" w14:textId="77777777" w:rsidR="00172369" w:rsidRDefault="00172369"/>
    <w:p w14:paraId="79D058F2" w14:textId="0CACF931" w:rsidR="00172369" w:rsidRDefault="00172369">
      <w:r>
        <w:rPr>
          <w:noProof/>
        </w:rPr>
        <mc:AlternateContent>
          <mc:Choice Requires="wps">
            <w:drawing>
              <wp:anchor distT="0" distB="0" distL="114300" distR="114300" simplePos="0" relativeHeight="251662336" behindDoc="1" locked="0" layoutInCell="1" allowOverlap="1" wp14:anchorId="5FA68235" wp14:editId="62E07483">
                <wp:simplePos x="0" y="0"/>
                <wp:positionH relativeFrom="margin">
                  <wp:align>center</wp:align>
                </wp:positionH>
                <wp:positionV relativeFrom="paragraph">
                  <wp:posOffset>248285</wp:posOffset>
                </wp:positionV>
                <wp:extent cx="4625340" cy="635"/>
                <wp:effectExtent l="0" t="0" r="3810" b="0"/>
                <wp:wrapTight wrapText="bothSides">
                  <wp:wrapPolygon edited="0">
                    <wp:start x="0" y="0"/>
                    <wp:lineTo x="0" y="20057"/>
                    <wp:lineTo x="21529" y="20057"/>
                    <wp:lineTo x="21529"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4625340" cy="635"/>
                        </a:xfrm>
                        <a:prstGeom prst="rect">
                          <a:avLst/>
                        </a:prstGeom>
                        <a:solidFill>
                          <a:prstClr val="white"/>
                        </a:solidFill>
                        <a:ln>
                          <a:noFill/>
                        </a:ln>
                      </wps:spPr>
                      <wps:txbx>
                        <w:txbxContent>
                          <w:p w14:paraId="75BC6E36" w14:textId="02187B45" w:rsidR="00400F26" w:rsidRPr="00E26E1C" w:rsidRDefault="00400F26" w:rsidP="00400F26">
                            <w:pPr>
                              <w:pStyle w:val="Caption"/>
                              <w:rPr>
                                <w:noProof/>
                                <w:color w:val="4472C4" w:themeColor="accent1"/>
                              </w:rPr>
                            </w:pPr>
                            <w:r>
                              <w:t xml:space="preserve">Figure </w:t>
                            </w:r>
                            <w:fldSimple w:instr=" SEQ Figure \* ARABIC ">
                              <w:r>
                                <w:rPr>
                                  <w:noProof/>
                                </w:rPr>
                                <w:t>1</w:t>
                              </w:r>
                            </w:fldSimple>
                            <w:r>
                              <w:t>: Territorial UK Greenhouse Gas Emissions by NC Sector,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A68235" id="Text Box 2" o:spid="_x0000_s1027" type="#_x0000_t202" style="position:absolute;margin-left:0;margin-top:19.55pt;width:364.2pt;height:.05pt;z-index:-2516541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" stroked="f">
                <v:textbox style="mso-fit-shape-to-text:t" inset="0,0,0,0">
                  <w:txbxContent>
                    <w:p w14:paraId="75BC6E36" w14:textId="02187B45" w:rsidR="00400F26" w:rsidRPr="00E26E1C" w:rsidRDefault="00400F26" w:rsidP="00400F26">
                      <w:pPr>
                        <w:pStyle w:val="Caption"/>
                        <w:rPr>
                          <w:noProof/>
                          <w:color w:val="4472C4" w:themeColor="accent1"/>
                        </w:rPr>
                      </w:pPr>
                      <w:r>
                        <w:t xml:space="preserve">Figure </w:t>
                      </w:r>
                      <w:fldSimple w:instr=" SEQ Figure \* ARABIC ">
                        <w:r>
                          <w:rPr>
                            <w:noProof/>
                          </w:rPr>
                          <w:t>1</w:t>
                        </w:r>
                      </w:fldSimple>
                      <w:r>
                        <w:t>: Territorial UK Greenhouse Gas Emissions by NC Sector, 2019(%)</w:t>
                      </w:r>
                    </w:p>
                  </w:txbxContent>
                </v:textbox>
                <w10:wrap type="tight" anchorx="margin"/>
              </v:shape>
            </w:pict>
          </mc:Fallback>
        </mc:AlternateContent>
      </w:r>
    </w:p>
    <w:p w14:paraId="671DF95A" w14:textId="6086A90B" w:rsidR="00172369" w:rsidRDefault="00172369"/>
    <w:p w14:paraId="51F06E3A" w14:textId="77777777" w:rsidR="00CD0AF8" w:rsidRDefault="00BF0112" w:rsidP="00E15E52">
      <w:pPr>
        <w:rPr>
          <w:rFonts w:ascii="Open Sans" w:hAnsi="Open Sans" w:cs="Open Sans"/>
          <w:color w:val="000000"/>
          <w:sz w:val="20"/>
          <w:szCs w:val="20"/>
          <w:shd w:val="clear" w:color="auto" w:fill="FFFFFF"/>
        </w:rPr>
      </w:pPr>
      <w:r>
        <w:t xml:space="preserve">As can be seen above, the transport industry contributed to around 27% of Greenhouse Emissions in 2019 with the energy supply sector close behind at 22%. As the focus on environmentally friendly motoring continues to grow in the minds of consumers, so does the annual sale figures of electric vehicles. In 2020, </w:t>
      </w:r>
      <w:r w:rsidR="004B4159">
        <w:t xml:space="preserve">over 175,000 electric vehicles were registered, this is an increase of 66% upon the number of EV registrations in 2019. </w:t>
      </w:r>
      <w:r w:rsidR="004B4159">
        <w:rPr>
          <w:rFonts w:ascii="Open Sans" w:hAnsi="Open Sans" w:cs="Open Sans"/>
          <w:color w:val="000000"/>
          <w:sz w:val="20"/>
          <w:szCs w:val="20"/>
          <w:shd w:val="clear" w:color="auto" w:fill="FFFFFF"/>
        </w:rPr>
        <w:t>(Lilly, 2021)</w:t>
      </w:r>
    </w:p>
    <w:p w14:paraId="3DD02036" w14:textId="138AE142" w:rsidR="00CD0AF8" w:rsidRPr="00CD0AF8" w:rsidRDefault="00CD0AF8" w:rsidP="00E15E52">
      <w:pPr>
        <w:rPr>
          <w:rFonts w:ascii="Open Sans" w:hAnsi="Open Sans" w:cs="Open Sans"/>
          <w:color w:val="000000"/>
          <w:sz w:val="20"/>
          <w:szCs w:val="20"/>
          <w:shd w:val="clear" w:color="auto" w:fill="FFFFFF"/>
        </w:rPr>
      </w:pPr>
      <w:r>
        <w:rPr>
          <w:shd w:val="clear" w:color="auto" w:fill="FFFFFF"/>
        </w:rPr>
        <w:t>With the continued increase in Electric Vehicle registrations and sales, the prospects of implementing the vehicle-to-grid technology in the United Kingdom is looking promising. However, it may be a while until these chargers are commonly seen across the country.</w:t>
      </w:r>
    </w:p>
    <w:p w14:paraId="30D50834" w14:textId="629A8BD4" w:rsidR="00CD0AF8" w:rsidRDefault="00CD0AF8">
      <w:pPr>
        <w:rPr>
          <w:rFonts w:ascii="Open Sans" w:hAnsi="Open Sans" w:cs="Open Sans"/>
          <w:color w:val="000000"/>
          <w:sz w:val="20"/>
          <w:szCs w:val="20"/>
          <w:shd w:val="clear" w:color="auto" w:fill="FFFFFF"/>
        </w:rPr>
      </w:pPr>
    </w:p>
    <w:p w14:paraId="489511C6" w14:textId="19D7A92E" w:rsidR="000F67C6" w:rsidRDefault="000F67C6">
      <w:pPr>
        <w:rPr>
          <w:rFonts w:ascii="Open Sans" w:hAnsi="Open Sans" w:cs="Open Sans"/>
          <w:color w:val="000000"/>
          <w:sz w:val="20"/>
          <w:szCs w:val="20"/>
          <w:shd w:val="clear" w:color="auto" w:fill="FFFFFF"/>
        </w:rPr>
      </w:pPr>
    </w:p>
    <w:p w14:paraId="018211CC" w14:textId="77777777" w:rsidR="000F67C6" w:rsidRDefault="000F67C6">
      <w:pPr>
        <w:rPr>
          <w:rFonts w:ascii="Open Sans" w:hAnsi="Open Sans" w:cs="Open Sans"/>
          <w:color w:val="000000"/>
          <w:sz w:val="20"/>
          <w:szCs w:val="20"/>
          <w:shd w:val="clear" w:color="auto" w:fill="FFFFFF"/>
        </w:rPr>
      </w:pPr>
    </w:p>
    <w:p w14:paraId="158B11DF" w14:textId="32CB4B05" w:rsidR="00CD0AF8" w:rsidRDefault="00CD0AF8" w:rsidP="00CD0AF8">
      <w:pPr>
        <w:pStyle w:val="Heading2"/>
        <w:rPr>
          <w:shd w:val="clear" w:color="auto" w:fill="FFFFFF"/>
        </w:rPr>
      </w:pPr>
      <w:bookmarkStart w:id="3" w:name="_Toc88515525"/>
      <w:r>
        <w:rPr>
          <w:shd w:val="clear" w:color="auto" w:fill="FFFFFF"/>
        </w:rPr>
        <w:lastRenderedPageBreak/>
        <w:t>Creating the necessary foundations</w:t>
      </w:r>
      <w:bookmarkEnd w:id="3"/>
    </w:p>
    <w:p w14:paraId="5261A890" w14:textId="078C904E" w:rsidR="004B4159" w:rsidRDefault="004B4159">
      <w:pPr>
        <w:rPr>
          <w:rFonts w:ascii="Open Sans" w:hAnsi="Open Sans" w:cs="Open Sans"/>
          <w:color w:val="000000"/>
          <w:sz w:val="20"/>
          <w:szCs w:val="20"/>
          <w:shd w:val="clear" w:color="auto" w:fill="FFFFFF"/>
        </w:rPr>
      </w:pPr>
    </w:p>
    <w:p w14:paraId="3688BAB5" w14:textId="5F00D556" w:rsidR="004B4159" w:rsidRDefault="004B4159" w:rsidP="00E15E52">
      <w:pPr>
        <w:rPr>
          <w:shd w:val="clear" w:color="auto" w:fill="FFFFFF"/>
        </w:rPr>
      </w:pPr>
      <w:r>
        <w:rPr>
          <w:shd w:val="clear" w:color="auto" w:fill="FFFFFF"/>
        </w:rPr>
        <w:t xml:space="preserve">Alongside the sharp </w:t>
      </w:r>
      <w:r w:rsidR="0071078F">
        <w:rPr>
          <w:shd w:val="clear" w:color="auto" w:fill="FFFFFF"/>
        </w:rPr>
        <w:t>increase</w:t>
      </w:r>
      <w:r>
        <w:rPr>
          <w:shd w:val="clear" w:color="auto" w:fill="FFFFFF"/>
        </w:rPr>
        <w:t xml:space="preserve"> in domestic sales of electric vehicles, many companies are opting for EVs to keep their businesses running. </w:t>
      </w:r>
      <w:r w:rsidR="0071078F">
        <w:rPr>
          <w:shd w:val="clear" w:color="auto" w:fill="FFFFFF"/>
        </w:rPr>
        <w:t>For example, one of the nation’s largest courier services, DPD, are currently operating their ‘Vision 25’ pledge. The Visions 25 pledge is DPD’s commitment to provide an all-electric vehicle delivery solution to 25 major towns and cities in the UK by 2025. The pledge is supported by a large investment in the EV market of well over £100 million</w:t>
      </w:r>
      <w:r w:rsidR="005D7D53">
        <w:rPr>
          <w:shd w:val="clear" w:color="auto" w:fill="FFFFFF"/>
        </w:rPr>
        <w:t xml:space="preserve"> and is estimated to save the UK 42,000 tonnes of CO</w:t>
      </w:r>
      <w:r w:rsidR="005D7D53">
        <w:rPr>
          <w:shd w:val="clear" w:color="auto" w:fill="FFFFFF"/>
          <w:vertAlign w:val="subscript"/>
        </w:rPr>
        <w:t>2</w:t>
      </w:r>
      <w:r w:rsidR="00F70786">
        <w:rPr>
          <w:shd w:val="clear" w:color="auto" w:fill="FFFFFF"/>
        </w:rPr>
        <w:t xml:space="preserve"> (the equivalent of planting 170,000 trees) by the end of 2025</w:t>
      </w:r>
      <w:r w:rsidR="0071078F">
        <w:rPr>
          <w:shd w:val="clear" w:color="auto" w:fill="FFFFFF"/>
        </w:rPr>
        <w:t xml:space="preserve">. </w:t>
      </w:r>
      <w:r w:rsidR="0071078F">
        <w:rPr>
          <w:shd w:val="clear" w:color="auto" w:fill="FFFFFF"/>
        </w:rPr>
        <w:t>(DPD – transportandenergy, 2021)</w:t>
      </w:r>
    </w:p>
    <w:p w14:paraId="42B51C5E" w14:textId="763C5184" w:rsidR="005D7D53" w:rsidRDefault="005D7D53" w:rsidP="00E15E52">
      <w:r>
        <w:rPr>
          <w:shd w:val="clear" w:color="auto" w:fill="FFFFFF"/>
        </w:rPr>
        <w:t xml:space="preserve">DPD have already achieved their goal of creating a green delivery service </w:t>
      </w:r>
      <w:r w:rsidR="006C6DC5">
        <w:rPr>
          <w:shd w:val="clear" w:color="auto" w:fill="FFFFFF"/>
        </w:rPr>
        <w:t>in Oxford, operating out of a brand new eco depot in Bicester. This depot consists of a 40-vehicle fleet and not one Internal Combustion Engine (ICE) vehicle is a part of it.</w:t>
      </w:r>
      <w:r w:rsidR="006C6DC5" w:rsidRPr="006C6DC5">
        <w:rPr>
          <w:rFonts w:ascii="Open Sans" w:hAnsi="Open Sans" w:cs="Open Sans"/>
          <w:color w:val="000000"/>
          <w:sz w:val="20"/>
          <w:szCs w:val="20"/>
          <w:shd w:val="clear" w:color="auto" w:fill="FFFFFF"/>
        </w:rPr>
        <w:t xml:space="preserve"> </w:t>
      </w:r>
      <w:r w:rsidR="006C6DC5">
        <w:rPr>
          <w:rFonts w:ascii="Open Sans" w:hAnsi="Open Sans" w:cs="Open Sans"/>
          <w:color w:val="000000"/>
          <w:sz w:val="20"/>
          <w:szCs w:val="20"/>
          <w:shd w:val="clear" w:color="auto" w:fill="FFFFFF"/>
        </w:rPr>
        <w:t>(DPD – transportandenergy, 2021)</w:t>
      </w:r>
    </w:p>
    <w:p w14:paraId="040CEAA9" w14:textId="53F14E0F" w:rsidR="005D7D53" w:rsidRDefault="00F64544" w:rsidP="00E15E52">
      <w:r>
        <w:t>The development of this new technology opens the door to not only reducing the emissions produced by the transport sector but to potentially reduce the environmental impact of both the transport and energy supply sectors. The use of the Vehicle</w:t>
      </w:r>
      <w:r w:rsidR="005D7D53">
        <w:t>-</w:t>
      </w:r>
      <w:r>
        <w:t>to</w:t>
      </w:r>
      <w:r w:rsidR="005D7D53">
        <w:t>-</w:t>
      </w:r>
      <w:r>
        <w:t xml:space="preserve">Grid technology has the potential to allow transport companies to reduce their carbon footprint by not only </w:t>
      </w:r>
      <w:r w:rsidR="005D7D53">
        <w:t>running</w:t>
      </w:r>
      <w:r>
        <w:t xml:space="preserve"> a fully electric fleet but also us</w:t>
      </w:r>
      <w:r w:rsidR="005D7D53">
        <w:t>ing</w:t>
      </w:r>
      <w:r>
        <w:t xml:space="preserve"> </w:t>
      </w:r>
      <w:r w:rsidR="005D7D53">
        <w:t>V2G</w:t>
      </w:r>
      <w:r w:rsidR="00D907F3">
        <w:t xml:space="preserve"> technology to sell unused electricity from the EV batteries back into the grid when energy demand is much higher</w:t>
      </w:r>
      <w:r w:rsidR="005D7D53">
        <w:t>, such as</w:t>
      </w:r>
      <w:r w:rsidR="00D907F3">
        <w:t xml:space="preserve"> when many domestic premises are fully occupied</w:t>
      </w:r>
      <w:r w:rsidR="005D7D53">
        <w:t>.</w:t>
      </w:r>
    </w:p>
    <w:p w14:paraId="6B4C7A4D" w14:textId="6FFCC88B" w:rsidR="002C7602" w:rsidRDefault="002C7602" w:rsidP="00CD0AF8"/>
    <w:p w14:paraId="4FA65DFA" w14:textId="3C7025CC" w:rsidR="002C7602" w:rsidRDefault="002C7602" w:rsidP="00CD0AF8"/>
    <w:p w14:paraId="3566E51E" w14:textId="477079DA" w:rsidR="002C7602" w:rsidRDefault="002C7602" w:rsidP="00CD0AF8"/>
    <w:p w14:paraId="40FF84C0" w14:textId="524CA556" w:rsidR="002C7602" w:rsidRDefault="002C7602" w:rsidP="00CD0AF8"/>
    <w:p w14:paraId="616FC29C" w14:textId="1789C9DE" w:rsidR="002C7602" w:rsidRDefault="002C7602" w:rsidP="00CD0AF8"/>
    <w:p w14:paraId="1C121268" w14:textId="7C58E191" w:rsidR="002C7602" w:rsidRDefault="002C7602" w:rsidP="00CD0AF8"/>
    <w:p w14:paraId="78D263F2" w14:textId="3A5126E3" w:rsidR="002C7602" w:rsidRDefault="002C7602" w:rsidP="00CD0AF8"/>
    <w:p w14:paraId="564DA290" w14:textId="77777777" w:rsidR="002C7602" w:rsidRDefault="002C7602" w:rsidP="00CD0AF8"/>
    <w:p w14:paraId="5035FBCF" w14:textId="77777777" w:rsidR="00A016DC" w:rsidRDefault="00A016DC" w:rsidP="00CD0AF8"/>
    <w:p w14:paraId="79D98AC5" w14:textId="77777777" w:rsidR="00A016DC" w:rsidRDefault="00A016DC" w:rsidP="00A016DC">
      <w:pPr>
        <w:pStyle w:val="Heading2"/>
        <w:rPr>
          <w:noProof/>
        </w:rPr>
      </w:pPr>
      <w:bookmarkStart w:id="4" w:name="_Toc88515526"/>
      <w:r>
        <w:lastRenderedPageBreak/>
        <w:t>Nissan V2G trials</w:t>
      </w:r>
      <w:bookmarkEnd w:id="4"/>
    </w:p>
    <w:p w14:paraId="58DE5B1A" w14:textId="278D5A9A" w:rsidR="00F54D22" w:rsidRDefault="00A016DC" w:rsidP="00E15E52">
      <w:pPr>
        <w:rPr>
          <w:rFonts w:ascii="Open Sans" w:hAnsi="Open Sans" w:cs="Open Sans"/>
          <w:color w:val="000000"/>
          <w:sz w:val="20"/>
          <w:szCs w:val="20"/>
          <w:shd w:val="clear" w:color="auto" w:fill="FFFFFF"/>
        </w:rPr>
      </w:pPr>
      <w:r>
        <w:t xml:space="preserve">In 2020, Nissan began looking for businesses to participate in their V2G trials. The aim of these trials is to investigate how the storage and sharing capabilities of electricity in fleet vehicles can assist in supporting the </w:t>
      </w:r>
      <w:r w:rsidR="00190C3F">
        <w:t xml:space="preserve">UK power grid and potentially save businesses money. These trials involved using Nissan’s NV200 and Leaf electric vehicles alongside the vehicle-to-grid chargers which were heavily discounted for businesses due to grants offered from Innovate UK. </w:t>
      </w:r>
      <w:r w:rsidR="00190C3F">
        <w:rPr>
          <w:rFonts w:ascii="Open Sans" w:hAnsi="Open Sans" w:cs="Open Sans"/>
          <w:color w:val="000000"/>
          <w:sz w:val="20"/>
          <w:szCs w:val="20"/>
          <w:shd w:val="clear" w:color="auto" w:fill="FFFFFF"/>
        </w:rPr>
        <w:t>(Trinkwon, 2020)</w:t>
      </w:r>
    </w:p>
    <w:p w14:paraId="7B371EF1" w14:textId="02C45C1E" w:rsidR="00400F26" w:rsidRDefault="00CF643F" w:rsidP="00E15E52">
      <w:pPr>
        <w:rPr>
          <w:noProof/>
        </w:rPr>
      </w:pPr>
      <w:r>
        <w:t>In January 2021, Nissan and partners in the trials E.ON</w:t>
      </w:r>
      <w:r w:rsidR="00992FEF">
        <w:t xml:space="preserve"> Drive</w:t>
      </w:r>
      <w:r>
        <w:t xml:space="preserve"> and Imperial College London presented their findings in a paper. There are three key findings outlined in the paper. First of these is the potential economic benefits of vehicle-to-grid systems in fleets. E.ON</w:t>
      </w:r>
      <w:r w:rsidR="00992FEF">
        <w:t xml:space="preserve"> Drive</w:t>
      </w:r>
      <w:r>
        <w:t xml:space="preserve"> and Imperial College London estimate that </w:t>
      </w:r>
      <w:r w:rsidR="00843D34">
        <w:t xml:space="preserve">the technology could unlock cost savings in the power system of between £410m and £885m within the next decade. On top of this economic impact that has been forecast, figures regarding environmental impacts have also been released. These show that there is the potential to cut the carbon emissions </w:t>
      </w:r>
      <w:r w:rsidR="00635B90">
        <w:t xml:space="preserve">from </w:t>
      </w:r>
      <w:r w:rsidR="00843D34">
        <w:t>the power system to as low as -243gCO</w:t>
      </w:r>
      <w:r w:rsidR="00843D34">
        <w:rPr>
          <w:vertAlign w:val="subscript"/>
        </w:rPr>
        <w:t>2</w:t>
      </w:r>
      <w:r w:rsidR="00843D34">
        <w:rPr>
          <w:vertAlign w:val="subscript"/>
        </w:rPr>
        <w:softHyphen/>
      </w:r>
      <w:r w:rsidR="00843D34">
        <w:t>/km</w:t>
      </w:r>
      <w:r w:rsidR="00635B90">
        <w:t xml:space="preserve">. The final key outcome from the trials is the financial benefits for the vehicle owners. It is estimated that the annual saving per </w:t>
      </w:r>
      <w:r w:rsidR="009D2A08">
        <w:t>electric</w:t>
      </w:r>
      <w:r w:rsidR="00635B90">
        <w:t xml:space="preserve"> vehicle using V2G could be up to £12,000. Potentially, each vehicle could also reduce the CO</w:t>
      </w:r>
      <w:r w:rsidR="00635B90">
        <w:rPr>
          <w:vertAlign w:val="subscript"/>
        </w:rPr>
        <w:t xml:space="preserve">2 </w:t>
      </w:r>
      <w:r w:rsidR="00635B90">
        <w:t>emissions by 60 tonnes each year.</w:t>
      </w:r>
      <w:r w:rsidR="00F753F3" w:rsidRPr="00F753F3">
        <w:rPr>
          <w:rFonts w:ascii="Open Sans" w:hAnsi="Open Sans" w:cs="Open Sans"/>
          <w:color w:val="000000"/>
          <w:sz w:val="20"/>
          <w:szCs w:val="20"/>
          <w:shd w:val="clear" w:color="auto" w:fill="FFFFFF"/>
        </w:rPr>
        <w:t xml:space="preserve"> </w:t>
      </w:r>
      <w:r w:rsidR="00F753F3">
        <w:rPr>
          <w:rFonts w:ascii="Open Sans" w:hAnsi="Open Sans" w:cs="Open Sans"/>
          <w:color w:val="000000"/>
          <w:sz w:val="20"/>
          <w:szCs w:val="20"/>
          <w:shd w:val="clear" w:color="auto" w:fill="FFFFFF"/>
        </w:rPr>
        <w:t>(Nissan, E.ON Drive and Imperial College highlight the carbon saving and economic benefits of Vehicle-to-Grid technology, 2021)</w:t>
      </w:r>
      <w:r w:rsidR="00C65F26">
        <w:br w:type="page"/>
      </w:r>
    </w:p>
    <w:p w14:paraId="5541DE6B" w14:textId="2F14FD73" w:rsidR="00C65F26" w:rsidRDefault="00C65F26"/>
    <w:p w14:paraId="69B4C232" w14:textId="549CC8E7" w:rsidR="00C65F26" w:rsidRDefault="00F753F3" w:rsidP="00C65F26">
      <w:pPr>
        <w:pStyle w:val="Heading1"/>
      </w:pPr>
      <w:bookmarkStart w:id="5" w:name="_Toc88515527"/>
      <w:r>
        <w:t xml:space="preserve">Current </w:t>
      </w:r>
      <w:r w:rsidR="00017268">
        <w:t>Feasibility</w:t>
      </w:r>
      <w:r>
        <w:t xml:space="preserve"> of V2G</w:t>
      </w:r>
      <w:bookmarkEnd w:id="5"/>
    </w:p>
    <w:p w14:paraId="777FB39F" w14:textId="6E9F3DF7" w:rsidR="00F753F3" w:rsidRDefault="003367E1" w:rsidP="003367E1">
      <w:pPr>
        <w:pStyle w:val="Heading2"/>
      </w:pPr>
      <w:bookmarkStart w:id="6" w:name="_Toc88515528"/>
      <w:r>
        <w:t xml:space="preserve">Vehicle </w:t>
      </w:r>
      <w:r w:rsidR="00017268">
        <w:t>compatibility</w:t>
      </w:r>
      <w:bookmarkEnd w:id="6"/>
    </w:p>
    <w:p w14:paraId="6E8C192C" w14:textId="5DF79EB2" w:rsidR="003367E1" w:rsidRDefault="00C87C14" w:rsidP="00E15E52">
      <w:pPr>
        <w:rPr>
          <w:rFonts w:ascii="Open Sans" w:hAnsi="Open Sans" w:cs="Open Sans"/>
          <w:color w:val="000000"/>
          <w:sz w:val="20"/>
          <w:szCs w:val="20"/>
          <w:shd w:val="clear" w:color="auto" w:fill="FFFFFF"/>
        </w:rPr>
      </w:pPr>
      <w:r>
        <w:t xml:space="preserve">With the prospect of mainstream V2G technology fast approaching, knowing which vehicles are currently compatible is important. In order to make use of the vehicle-to-grid technology, electric vehicles must be able to support bidirectional </w:t>
      </w:r>
      <w:r w:rsidR="009D69A7">
        <w:t>power flow to allow energy to be taken back out of the vehicle battery. Currently, there are only a handful of vehicle manufacturers which support this. As stated above, Nissan is one of these manufacturers which supports the bidirectional power flow. Other companies which can currently support this technology are Mitsubishi and Toyota. Although many manufacturers continue develop their own versions of bidirectional power flow; these include Fiat, BMW and Tesla. Each of these systems will be slightly different but will allow the vehicles to make use of the Vehicl</w:t>
      </w:r>
      <w:r w:rsidR="00607159">
        <w:t xml:space="preserve">e-to-grid technology when development and testing is complete. </w:t>
      </w:r>
      <w:r w:rsidR="00607159">
        <w:rPr>
          <w:rFonts w:ascii="Open Sans" w:hAnsi="Open Sans" w:cs="Open Sans"/>
          <w:color w:val="000000"/>
          <w:sz w:val="20"/>
          <w:szCs w:val="20"/>
          <w:shd w:val="clear" w:color="auto" w:fill="FFFFFF"/>
        </w:rPr>
        <w:t>(Electric car charging - the latest home charging innovations, 2021)</w:t>
      </w:r>
    </w:p>
    <w:p w14:paraId="7F900BD2" w14:textId="77777777" w:rsidR="00E102D6" w:rsidRDefault="00E102D6" w:rsidP="00607159">
      <w:pPr>
        <w:rPr>
          <w:rFonts w:ascii="Open Sans" w:hAnsi="Open Sans" w:cs="Open Sans"/>
          <w:color w:val="000000"/>
          <w:sz w:val="20"/>
          <w:szCs w:val="20"/>
          <w:shd w:val="clear" w:color="auto" w:fill="FFFFFF"/>
        </w:rPr>
      </w:pPr>
    </w:p>
    <w:p w14:paraId="76935B27" w14:textId="29EBE949" w:rsidR="00E102D6" w:rsidRDefault="00E102D6" w:rsidP="00E102D6">
      <w:pPr>
        <w:pStyle w:val="Heading2"/>
      </w:pPr>
      <w:bookmarkStart w:id="7" w:name="_Toc88515529"/>
      <w:r>
        <w:t>Vehicle-to-Grid Chargers and app</w:t>
      </w:r>
      <w:r w:rsidR="00C00FB0">
        <w:t>lications</w:t>
      </w:r>
      <w:bookmarkEnd w:id="7"/>
    </w:p>
    <w:p w14:paraId="708FA137" w14:textId="1B128640" w:rsidR="00E102D6" w:rsidRDefault="00F033D2" w:rsidP="00E15E52">
      <w:pPr>
        <w:rPr>
          <w:rFonts w:ascii="Open Sans" w:hAnsi="Open Sans" w:cs="Open Sans"/>
          <w:color w:val="000000"/>
          <w:sz w:val="20"/>
          <w:szCs w:val="20"/>
          <w:shd w:val="clear" w:color="auto" w:fill="FFFFFF"/>
        </w:rPr>
      </w:pPr>
      <w:r>
        <w:t xml:space="preserve">In recent years, the number of companies offering V2G chargers to their customers has increased drastically. The options that are available to businesses have grown to the point that the majority of energy providers are able to offer business aimed solutions to allow electric fleets to be charged and discharged at appropriate </w:t>
      </w:r>
      <w:r w:rsidR="00646DC1">
        <w:t>times to take pressure off of the grid. For example, EDF</w:t>
      </w:r>
      <w:r w:rsidR="002C7602">
        <w:t xml:space="preserve"> Energy</w:t>
      </w:r>
      <w:r w:rsidR="00646DC1">
        <w:t xml:space="preserve"> have partnered with Nissan to offer a full V2G package which willow allow fleet managers to control the charging of the EV fleet</w:t>
      </w:r>
      <w:r w:rsidR="00C00FB0">
        <w:t xml:space="preserve"> through an application.</w:t>
      </w:r>
      <w:r w:rsidR="00646DC1">
        <w:t xml:space="preserve"> </w:t>
      </w:r>
      <w:r w:rsidR="00C00FB0">
        <w:t>This</w:t>
      </w:r>
      <w:r w:rsidR="00646DC1">
        <w:t xml:space="preserve"> ensure</w:t>
      </w:r>
      <w:r w:rsidR="00C00FB0">
        <w:t>s</w:t>
      </w:r>
      <w:r w:rsidR="00646DC1">
        <w:t xml:space="preserve"> that the vehicles are charged when the energy demand is low </w:t>
      </w:r>
      <w:r w:rsidR="00C00FB0">
        <w:t>and</w:t>
      </w:r>
      <w:r w:rsidR="00646DC1">
        <w:t xml:space="preserve"> allow</w:t>
      </w:r>
      <w:r w:rsidR="00C00FB0">
        <w:t>s</w:t>
      </w:r>
      <w:r w:rsidR="00646DC1">
        <w:t xml:space="preserve"> them to</w:t>
      </w:r>
      <w:r w:rsidR="00C00FB0">
        <w:t xml:space="preserve"> be</w:t>
      </w:r>
      <w:r w:rsidR="00646DC1">
        <w:t xml:space="preserve"> discharge</w:t>
      </w:r>
      <w:r w:rsidR="00C00FB0">
        <w:t>d</w:t>
      </w:r>
      <w:r w:rsidR="00646DC1">
        <w:t xml:space="preserve"> back into the grid when the demand for power is higher, therefore allowing the business to reap the financial benefits of V2G </w:t>
      </w:r>
      <w:r w:rsidR="00C00FB0">
        <w:t xml:space="preserve">as well as showing their willingness to work towards net zero emissions targets. </w:t>
      </w:r>
      <w:r w:rsidR="00C00FB0">
        <w:rPr>
          <w:rFonts w:ascii="Open Sans" w:hAnsi="Open Sans" w:cs="Open Sans"/>
          <w:color w:val="000000"/>
          <w:sz w:val="20"/>
          <w:szCs w:val="20"/>
          <w:shd w:val="clear" w:color="auto" w:fill="FFFFFF"/>
        </w:rPr>
        <w:t>(EV: Business &gt; V2G, n.d.)</w:t>
      </w:r>
    </w:p>
    <w:p w14:paraId="145B381E" w14:textId="24B1B1AC" w:rsidR="00C00FB0" w:rsidRPr="00E102D6" w:rsidRDefault="002C7602" w:rsidP="00E15E52">
      <w:r>
        <w:t xml:space="preserve">Applications such as the one offered by EDF are available from a few other energy providers such as E.ON and Hive. These apps have the same basic functions and are again geared towards allowing fleet managers to control the charging and discharging of their vehicles to maximise profits and savings whilst simultaneously benefiting the power grid and reducing the carbon emissions produced by their company and the transport </w:t>
      </w:r>
      <w:r w:rsidR="009D2A08">
        <w:t>sector</w:t>
      </w:r>
      <w:r>
        <w:t>.</w:t>
      </w:r>
    </w:p>
    <w:p w14:paraId="1DA60D2A" w14:textId="0653C0CE" w:rsidR="00C65F26" w:rsidRDefault="00C65F26">
      <w:r>
        <w:br w:type="page"/>
      </w:r>
    </w:p>
    <w:p w14:paraId="56184952" w14:textId="76BAFA71" w:rsidR="00C65F26" w:rsidRDefault="00860B2D" w:rsidP="00C65F26">
      <w:pPr>
        <w:pStyle w:val="Heading1"/>
      </w:pPr>
      <w:bookmarkStart w:id="8" w:name="_Toc88515530"/>
      <w:r>
        <w:lastRenderedPageBreak/>
        <w:t>Future implementation of Vehicle-to-Grid</w:t>
      </w:r>
      <w:bookmarkEnd w:id="8"/>
    </w:p>
    <w:p w14:paraId="7E26B70F" w14:textId="40B8D927" w:rsidR="00860B2D" w:rsidRDefault="00860B2D" w:rsidP="00860B2D">
      <w:pPr>
        <w:pStyle w:val="Heading2"/>
      </w:pPr>
      <w:bookmarkStart w:id="9" w:name="_Toc88515531"/>
      <w:r>
        <w:t>Projected Electric Vehicle sales</w:t>
      </w:r>
      <w:bookmarkEnd w:id="9"/>
    </w:p>
    <w:p w14:paraId="0E6F92D9" w14:textId="6AD7BCE5" w:rsidR="00860B2D" w:rsidRDefault="00325F59" w:rsidP="00E15E52">
      <w:pPr>
        <w:rPr>
          <w:shd w:val="clear" w:color="auto" w:fill="FFFFFF"/>
        </w:rPr>
      </w:pPr>
      <w:r>
        <w:t xml:space="preserve">There are currently nearly 345,000 fully electric vehicles on the road in the UK with more being registered every day. </w:t>
      </w:r>
      <w:r>
        <w:rPr>
          <w:shd w:val="clear" w:color="auto" w:fill="FFFFFF"/>
        </w:rPr>
        <w:t>(Lilly, 2021)</w:t>
      </w:r>
      <w:r>
        <w:rPr>
          <w:shd w:val="clear" w:color="auto" w:fill="FFFFFF"/>
        </w:rPr>
        <w:t xml:space="preserve"> However, with the plans released by the government in 2020 to completely ban the sale of new ICE powered vehicles from 2030; the focus of manufacturers has now moved to EV development. The National Grid predicts that by the time ICE vehicles are banned</w:t>
      </w:r>
      <w:r w:rsidR="007C472F">
        <w:rPr>
          <w:shd w:val="clear" w:color="auto" w:fill="FFFFFF"/>
        </w:rPr>
        <w:t xml:space="preserve"> in 2030, there will be somewhere in the region of 11 million electric vehicles on British roads. </w:t>
      </w:r>
      <w:r w:rsidR="007C472F">
        <w:rPr>
          <w:shd w:val="clear" w:color="auto" w:fill="FFFFFF"/>
        </w:rPr>
        <w:t>(Electric car charging - the latest home charging innovations, 2021)</w:t>
      </w:r>
      <w:r w:rsidR="007C472F">
        <w:rPr>
          <w:shd w:val="clear" w:color="auto" w:fill="FFFFFF"/>
        </w:rPr>
        <w:t xml:space="preserve"> This means that a large proportion of the vehicles on the roads will be fully electric. This vastly broadens the potential of effective vehicle-to-grid technology being rolled out across the country. </w:t>
      </w:r>
      <w:r w:rsidR="007F6BB3">
        <w:rPr>
          <w:shd w:val="clear" w:color="auto" w:fill="FFFFFF"/>
        </w:rPr>
        <w:t>Therefore,</w:t>
      </w:r>
      <w:r w:rsidR="007C472F">
        <w:rPr>
          <w:shd w:val="clear" w:color="auto" w:fill="FFFFFF"/>
        </w:rPr>
        <w:t xml:space="preserve"> allowing many more businesses to benefit</w:t>
      </w:r>
      <w:r w:rsidR="007F6BB3">
        <w:rPr>
          <w:shd w:val="clear" w:color="auto" w:fill="FFFFFF"/>
        </w:rPr>
        <w:t xml:space="preserve">. </w:t>
      </w:r>
    </w:p>
    <w:p w14:paraId="6D6399E1" w14:textId="356EDD58" w:rsidR="007F6BB3" w:rsidRDefault="007F6BB3" w:rsidP="00860B2D">
      <w:pPr>
        <w:rPr>
          <w:rFonts w:ascii="Open Sans" w:hAnsi="Open Sans" w:cs="Open Sans"/>
          <w:color w:val="000000"/>
          <w:sz w:val="20"/>
          <w:szCs w:val="20"/>
          <w:shd w:val="clear" w:color="auto" w:fill="FFFFFF"/>
        </w:rPr>
      </w:pPr>
    </w:p>
    <w:p w14:paraId="7A50DB42" w14:textId="77777777" w:rsidR="007F6BB3" w:rsidRPr="00860B2D" w:rsidRDefault="007F6BB3" w:rsidP="00860B2D"/>
    <w:p w14:paraId="6322639C" w14:textId="1A702CFD" w:rsidR="00C65F26" w:rsidRDefault="00C65F26">
      <w:r>
        <w:br w:type="page"/>
      </w:r>
    </w:p>
    <w:p w14:paraId="5C7AB568" w14:textId="52462D3A" w:rsidR="00C65F26" w:rsidRDefault="00CC75A1" w:rsidP="00C65F26">
      <w:pPr>
        <w:pStyle w:val="Heading1"/>
      </w:pPr>
      <w:bookmarkStart w:id="10" w:name="_Toc88515532"/>
      <w:r>
        <w:lastRenderedPageBreak/>
        <w:t xml:space="preserve">Advantages and </w:t>
      </w:r>
      <w:r w:rsidR="00756687">
        <w:t>pitfalls of V</w:t>
      </w:r>
      <w:r w:rsidR="00422F29">
        <w:t>ehicle-to-Grid</w:t>
      </w:r>
      <w:bookmarkEnd w:id="10"/>
    </w:p>
    <w:p w14:paraId="147F85EE" w14:textId="7B41CA5B" w:rsidR="00084554" w:rsidRDefault="00084554" w:rsidP="00084554"/>
    <w:p w14:paraId="25FD0F87" w14:textId="729F8C6B" w:rsidR="00084554" w:rsidRDefault="00422F29" w:rsidP="00084554">
      <w:pPr>
        <w:pStyle w:val="Heading2"/>
      </w:pPr>
      <w:bookmarkStart w:id="11" w:name="_Toc88515533"/>
      <w:r>
        <w:t>Short-term advantages of V2G</w:t>
      </w:r>
      <w:bookmarkEnd w:id="11"/>
    </w:p>
    <w:p w14:paraId="72423467" w14:textId="29C61E2C" w:rsidR="00084554" w:rsidRDefault="00422F29" w:rsidP="00084554">
      <w:r>
        <w:t xml:space="preserve">The most obvious </w:t>
      </w:r>
      <w:r w:rsidR="00AD55F1">
        <w:t>impact</w:t>
      </w:r>
      <w:r>
        <w:t xml:space="preserve"> </w:t>
      </w:r>
      <w:r w:rsidR="00AD55F1">
        <w:t>of</w:t>
      </w:r>
      <w:r>
        <w:t xml:space="preserve"> the implementation of V2G technology </w:t>
      </w:r>
      <w:r w:rsidR="006C6042">
        <w:t>are the environmental factors. Having the ability to return power from electric vehicles</w:t>
      </w:r>
      <w:r w:rsidR="000B7E23">
        <w:t>,</w:t>
      </w:r>
      <w:r w:rsidR="006C6042">
        <w:t xml:space="preserve"> </w:t>
      </w:r>
      <w:r w:rsidR="000B7E23">
        <w:t xml:space="preserve">that are not being used, into the power grid at times of high demand. This assists in taking some of the strain that is put on the grid at peak times. The idea is that the </w:t>
      </w:r>
      <w:r w:rsidR="001B7682">
        <w:t>electric fleet</w:t>
      </w:r>
      <w:r w:rsidR="000B7E23">
        <w:t xml:space="preserve"> are charged at times of low demand, such as overnight, and then used for the day’s business the next day. Then</w:t>
      </w:r>
      <w:r w:rsidR="001B7682">
        <w:t>,</w:t>
      </w:r>
      <w:r w:rsidR="000B7E23">
        <w:t xml:space="preserve"> by the time </w:t>
      </w:r>
      <w:r w:rsidR="001B7682">
        <w:t>that most people have returned home from work, the vehic</w:t>
      </w:r>
      <w:r w:rsidR="005A2D79">
        <w:t xml:space="preserve">les are already plugged back in. This allows the power still stored in the vehicles’ batteries can be sold back into the National Grid to boost the energy supply when it is needed. Giving fleet managers the ability to set the vehicles to charge at a given point allows them to </w:t>
      </w:r>
      <w:r w:rsidR="00C3490C">
        <w:t>try</w:t>
      </w:r>
      <w:r w:rsidR="005A2D79">
        <w:t xml:space="preserve"> to improve the carbon footprint of their business but still allow business to continue as usual </w:t>
      </w:r>
      <w:r w:rsidR="00C3490C">
        <w:t>daily</w:t>
      </w:r>
      <w:r w:rsidR="005A2D79">
        <w:t>. This means that if some vehicles are required for a night shift</w:t>
      </w:r>
      <w:r w:rsidR="00C3490C">
        <w:t xml:space="preserve"> or very early morning, they can be set to charge earlier than the rest of the fleet. Allowing the vehicles to be ready for the shift but still allow the fleet to contribute to the power grid if required.</w:t>
      </w:r>
    </w:p>
    <w:p w14:paraId="3349E388" w14:textId="53125779" w:rsidR="009F67F6" w:rsidRDefault="009F67F6" w:rsidP="00084554">
      <w:r>
        <w:t xml:space="preserve">The economic benefits for the implementation of V2G technology would be  a huge driving force behind </w:t>
      </w:r>
      <w:r w:rsidR="004F2BD4">
        <w:t xml:space="preserve">businesses taking on the technology. The potential saving and reward from the use of this technology would be a huge financial incentive for many companies. For example, being able to run a </w:t>
      </w:r>
      <w:r w:rsidR="004917A5">
        <w:t>40-vehicle</w:t>
      </w:r>
      <w:r w:rsidR="004F2BD4">
        <w:t xml:space="preserve"> fleet</w:t>
      </w:r>
      <w:r w:rsidR="004E6D47">
        <w:t xml:space="preserve"> with each vehicle saving the company £12,000 annually, could save a company £480,000 per year. </w:t>
      </w:r>
      <w:r w:rsidR="004917A5">
        <w:t>This sort of saving on energy supplies would increase profit margins and allow development and research into new innovations.</w:t>
      </w:r>
    </w:p>
    <w:p w14:paraId="3FDE60BD" w14:textId="54F999FC" w:rsidR="00AD55F1" w:rsidRDefault="00AD55F1" w:rsidP="00084554">
      <w:r>
        <w:t xml:space="preserve">One issue that surrounds the </w:t>
      </w:r>
      <w:r w:rsidR="00382111">
        <w:t>vehicle</w:t>
      </w:r>
      <w:r>
        <w:t xml:space="preserve">-to-grid technology would be the availability of the required hardware. For example, the choices currently available to businesses looking to implement this technology is quite limited. There is a </w:t>
      </w:r>
      <w:r w:rsidR="00382111">
        <w:t>relatively small range of vehicles that support bidirectional charging. Therefore, there is a lack</w:t>
      </w:r>
      <w:r>
        <w:t xml:space="preserve"> of larger vehicles that </w:t>
      </w:r>
      <w:r w:rsidR="00382111">
        <w:t>can carry</w:t>
      </w:r>
      <w:r>
        <w:t xml:space="preserve"> cargo</w:t>
      </w:r>
      <w:r w:rsidR="00382111">
        <w:t xml:space="preserve">; even large passenger vehicles are quite limited compared to small hatchback shaped vehicles. This severely limits the type of company that can benefit financially from taking the step into V2G. There are quite few companies currently manufacturing the bidirectional chargers which are required to make use of the V2G technology. However, even the few companies that do manufacture these have often partnered with specific energy providers and/or vehicle manufacturers. </w:t>
      </w:r>
    </w:p>
    <w:p w14:paraId="06952E6B" w14:textId="2422787E" w:rsidR="00F06224" w:rsidRDefault="00F06224" w:rsidP="00084554"/>
    <w:p w14:paraId="59754766" w14:textId="4AF92EBE" w:rsidR="00F06224" w:rsidRDefault="00F06224" w:rsidP="00F06224">
      <w:pPr>
        <w:pStyle w:val="Heading2"/>
      </w:pPr>
      <w:bookmarkStart w:id="12" w:name="_Toc88515534"/>
      <w:r>
        <w:lastRenderedPageBreak/>
        <w:t>Long-term effects of Vehicle-to-Grid</w:t>
      </w:r>
      <w:bookmarkEnd w:id="12"/>
    </w:p>
    <w:p w14:paraId="548318BF" w14:textId="77777777" w:rsidR="00C84635" w:rsidRPr="00C84635" w:rsidRDefault="00C84635" w:rsidP="00C84635"/>
    <w:p w14:paraId="399790A4" w14:textId="2EB493C2" w:rsidR="001D0303" w:rsidRDefault="00C84635" w:rsidP="00F06224">
      <w:r>
        <w:t xml:space="preserve">One of the effects that could come from the implementation of the V2G technology and has not yet been addressed is the long-term effect of the constant charging and discharging on the batteries. The constant rapid charging and discharging of the battery cells could cause them to prematurely deteriorate. This could potentially completely cancel out many of the savings that many companies would be making. The service costs of the fleet could potentially </w:t>
      </w:r>
      <w:r w:rsidR="001D0303">
        <w:t>increase.</w:t>
      </w:r>
    </w:p>
    <w:p w14:paraId="6095533D" w14:textId="274B55B7" w:rsidR="001D0303" w:rsidRPr="00F06224" w:rsidRDefault="001D0303" w:rsidP="00F06224">
      <w:r>
        <w:t>The long-term effects of this technology on the National Grid have the potential to change the way the country stores and produces energy. The vehicles could be charged using completely renewable energy sources and then top up the grid when required. This could potentially allow the UK to produce more of its power from sustainable and renewable energy sources. If the technology was able to be implemented and could increase the proportion of renewable energy that is used in the country</w:t>
      </w:r>
      <w:r w:rsidR="002237FC">
        <w:t xml:space="preserve"> from the current 43%, there would be a huge shift towards a then more achievable goal of net zero emissions.</w:t>
      </w:r>
    </w:p>
    <w:p w14:paraId="3E5A22B4" w14:textId="77777777" w:rsidR="00016D35" w:rsidRPr="00016D35" w:rsidRDefault="00016D35" w:rsidP="00016D35"/>
    <w:p w14:paraId="0C6B420A" w14:textId="42E91F34" w:rsidR="00C65F26" w:rsidRDefault="00C65F26">
      <w:r>
        <w:br w:type="page"/>
      </w:r>
    </w:p>
    <w:p w14:paraId="045EDE5E" w14:textId="22627E93" w:rsidR="00C65F26" w:rsidRDefault="002237FC" w:rsidP="00C65F26">
      <w:pPr>
        <w:pStyle w:val="Heading1"/>
      </w:pPr>
      <w:bookmarkStart w:id="13" w:name="_Toc88515535"/>
      <w:r>
        <w:lastRenderedPageBreak/>
        <w:t>Conclusion</w:t>
      </w:r>
      <w:bookmarkEnd w:id="13"/>
    </w:p>
    <w:p w14:paraId="50C6A83D" w14:textId="77777777" w:rsidR="006F5DA5" w:rsidRDefault="006F5DA5"/>
    <w:p w14:paraId="4940BCB6" w14:textId="77777777" w:rsidR="009C21C2" w:rsidRDefault="002E6A06">
      <w:r>
        <w:t xml:space="preserve">Vehicle-to-Grid technology has a huge potential to take the UK forward into the future with a reduction in emissions from not only the transport sector but also the energy supply sector. The effective implementation of this technology would greatly benefit the economy and the environment simultaneously. By using this technology, many companies could reduce expenditure on fleet operations </w:t>
      </w:r>
      <w:r w:rsidR="009C21C2">
        <w:t xml:space="preserve">hence hopefully freeing up more capital to invest into researching new ways to reduce the carbon emissions of the nation. </w:t>
      </w:r>
    </w:p>
    <w:p w14:paraId="1FEC4B7B" w14:textId="77777777" w:rsidR="00C15191" w:rsidRDefault="009C21C2">
      <w:r>
        <w:t xml:space="preserve">The environmental impact of being able to replenish the National Grid when energy demand is high will reduce the amount of fossil fuels that are required to produce electricity to power the nation. This will be much more apparent as the percentage of electric vehicles continues to rise on the roads. When there are millions of batteries that </w:t>
      </w:r>
      <w:r w:rsidR="00C15191">
        <w:t>can aid</w:t>
      </w:r>
      <w:r>
        <w:t xml:space="preserve"> the grid, the country’s power stations will </w:t>
      </w:r>
      <w:r w:rsidR="00C15191">
        <w:t>reduce their own emissions. Furthermore, allowing businesses to make a sizeable saving each year by running their own fully electric fleets greatly improves the likelihood of larger corporations taking on this change and becoming a part of a lower emissions industry.</w:t>
      </w:r>
    </w:p>
    <w:p w14:paraId="3C70B5C2" w14:textId="649552C6" w:rsidR="00C65F26" w:rsidRDefault="00C15191">
      <w:r>
        <w:t>Although V2G technology is still in fairly early stages, there is a huge potential for growth in this industry. When the market begins to open, and more manufacturers begin to develop and sell the necessary hardware to utilise this technology</w:t>
      </w:r>
      <w:r w:rsidR="00B47E06">
        <w:t xml:space="preserve">, along with an increase in EV coverage throughout the nation; the true potential of a system such as this will be realised and undoubtedly revised and improved many times over. The eventual success of a system such as this </w:t>
      </w:r>
      <w:r w:rsidR="009E300B">
        <w:t>could</w:t>
      </w:r>
      <w:r w:rsidR="00B47E06">
        <w:t xml:space="preserve"> open avenues to effective implementation of Vehicle-to-Everything technology and further enhance the capabilities of modern Electric vehicles.</w:t>
      </w:r>
      <w:r w:rsidR="00C65F26">
        <w:br w:type="page"/>
      </w:r>
    </w:p>
    <w:p w14:paraId="1FC47FD5" w14:textId="64CAA5F0" w:rsidR="00C65F26" w:rsidRDefault="00C65F26" w:rsidP="00C65F26">
      <w:pPr>
        <w:pStyle w:val="Heading1"/>
      </w:pPr>
      <w:bookmarkStart w:id="14" w:name="_Toc88515536"/>
      <w:r>
        <w:lastRenderedPageBreak/>
        <w:t>References</w:t>
      </w:r>
      <w:bookmarkEnd w:id="14"/>
    </w:p>
    <w:p w14:paraId="06571A95" w14:textId="32A4BD81" w:rsidR="00B06C70" w:rsidRDefault="00B06C70" w:rsidP="00B06C70">
      <w:pPr>
        <w:rPr>
          <w:rFonts w:asciiTheme="majorHAnsi" w:eastAsiaTheme="majorEastAsia" w:hAnsiTheme="majorHAnsi" w:cstheme="majorBidi"/>
          <w:color w:val="2F5496" w:themeColor="accent1" w:themeShade="BF"/>
          <w:sz w:val="32"/>
          <w:szCs w:val="32"/>
        </w:rPr>
      </w:pPr>
    </w:p>
    <w:p w14:paraId="7506CE69" w14:textId="1FAEE7D0" w:rsidR="00B06C70" w:rsidRPr="004B4159" w:rsidRDefault="00B06C70" w:rsidP="004B4159">
      <w:pPr>
        <w:pStyle w:val="ListParagraph"/>
        <w:numPr>
          <w:ilvl w:val="0"/>
          <w:numId w:val="2"/>
        </w:numPr>
        <w:rPr>
          <w:rFonts w:asciiTheme="majorHAnsi" w:eastAsiaTheme="majorEastAsia" w:hAnsiTheme="majorHAnsi" w:cstheme="majorBidi"/>
          <w:color w:val="2F5496" w:themeColor="accent1" w:themeShade="BF"/>
          <w:sz w:val="32"/>
          <w:szCs w:val="32"/>
        </w:rPr>
      </w:pPr>
      <w:r w:rsidRPr="004B4159">
        <w:rPr>
          <w:shd w:val="clear" w:color="auto" w:fill="FFFFFF"/>
        </w:rPr>
        <w:t>IEEE Innovation at Work. 2021. </w:t>
      </w:r>
      <w:r w:rsidRPr="004B4159">
        <w:rPr>
          <w:i/>
          <w:iCs/>
          <w:shd w:val="clear" w:color="auto" w:fill="FFFFFF"/>
        </w:rPr>
        <w:t>Vehicle to Grid (V2G) Technology - IEEE Innovation at Work</w:t>
      </w:r>
      <w:r w:rsidRPr="004B4159">
        <w:rPr>
          <w:shd w:val="clear" w:color="auto" w:fill="FFFFFF"/>
        </w:rPr>
        <w:t>. [online] Available at: &lt;https://innovationatwork.ieee.org/vehicle-to-grid-v2g-technology/&gt; [Accessed 17 November 2021].</w:t>
      </w:r>
    </w:p>
    <w:p w14:paraId="13FFE23E" w14:textId="46FC99F7" w:rsidR="002F7FEC" w:rsidRPr="00126F6D" w:rsidRDefault="002F7FEC" w:rsidP="00B06C70">
      <w:pPr>
        <w:pStyle w:val="ListParagraph"/>
        <w:numPr>
          <w:ilvl w:val="0"/>
          <w:numId w:val="2"/>
        </w:numPr>
        <w:rPr>
          <w:rFonts w:asciiTheme="majorHAnsi" w:eastAsiaTheme="majorEastAsia" w:hAnsiTheme="majorHAnsi" w:cstheme="majorBidi"/>
          <w:color w:val="2F5496" w:themeColor="accent1" w:themeShade="BF"/>
          <w:sz w:val="32"/>
          <w:szCs w:val="32"/>
        </w:rPr>
      </w:pPr>
      <w:r>
        <w:rPr>
          <w:rFonts w:ascii="Open Sans" w:hAnsi="Open Sans" w:cs="Open Sans"/>
          <w:color w:val="000000"/>
          <w:sz w:val="20"/>
          <w:szCs w:val="20"/>
          <w:shd w:val="clear" w:color="auto" w:fill="FFFFFF"/>
        </w:rPr>
        <w:t>2021. </w:t>
      </w:r>
      <w:r>
        <w:rPr>
          <w:rFonts w:ascii="Open Sans" w:hAnsi="Open Sans" w:cs="Open Sans"/>
          <w:i/>
          <w:iCs/>
          <w:color w:val="000000"/>
          <w:sz w:val="20"/>
          <w:szCs w:val="20"/>
          <w:shd w:val="clear" w:color="auto" w:fill="FFFFFF"/>
        </w:rPr>
        <w:t>2019 UK Greenhouse Gas Emissions, Final Figures</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Department for Business, Energy &amp; Industrial Strategy. Available at: &lt;https://assets.publishing.service.gov.uk/government/uploads/system/uploads/attachment_data/file/957887/2019_Final_greenhouse_gas_emissions_statistical_release.pdf&gt; [Accessed 19 November 2021].</w:t>
      </w:r>
    </w:p>
    <w:p w14:paraId="63AB7D35" w14:textId="648D6179" w:rsidR="00126F6D" w:rsidRPr="00126F6D" w:rsidRDefault="00126F6D" w:rsidP="00B06C70">
      <w:pPr>
        <w:pStyle w:val="ListParagraph"/>
        <w:numPr>
          <w:ilvl w:val="0"/>
          <w:numId w:val="2"/>
        </w:numPr>
        <w:rPr>
          <w:rFonts w:asciiTheme="majorHAnsi" w:eastAsiaTheme="majorEastAsia" w:hAnsiTheme="majorHAnsi" w:cstheme="majorBidi"/>
          <w:color w:val="2F5496" w:themeColor="accent1" w:themeShade="BF"/>
          <w:sz w:val="32"/>
          <w:szCs w:val="32"/>
        </w:rPr>
      </w:pPr>
      <w:r>
        <w:rPr>
          <w:rFonts w:ascii="Open Sans" w:hAnsi="Open Sans" w:cs="Open Sans"/>
          <w:color w:val="000000"/>
          <w:sz w:val="20"/>
          <w:szCs w:val="20"/>
          <w:shd w:val="clear" w:color="auto" w:fill="FFFFFF"/>
        </w:rPr>
        <w:t>Transportandenergy.com. 2021. </w:t>
      </w:r>
      <w:r>
        <w:rPr>
          <w:rFonts w:ascii="Open Sans" w:hAnsi="Open Sans" w:cs="Open Sans"/>
          <w:i/>
          <w:iCs/>
          <w:color w:val="000000"/>
          <w:sz w:val="20"/>
          <w:szCs w:val="20"/>
          <w:shd w:val="clear" w:color="auto" w:fill="FFFFFF"/>
        </w:rPr>
        <w:t>DPD – transportandenergy</w:t>
      </w:r>
      <w:r>
        <w:rPr>
          <w:rFonts w:ascii="Open Sans" w:hAnsi="Open Sans" w:cs="Open Sans"/>
          <w:color w:val="000000"/>
          <w:sz w:val="20"/>
          <w:szCs w:val="20"/>
          <w:shd w:val="clear" w:color="auto" w:fill="FFFFFF"/>
        </w:rPr>
        <w:t>. [online] Available at: &lt;https://transportandenergy.com/tag/dpd/&gt; [Accessed 20 November 2021].</w:t>
      </w:r>
    </w:p>
    <w:p w14:paraId="1EE13D98" w14:textId="601196C4" w:rsidR="00126F6D" w:rsidRPr="004B4159" w:rsidRDefault="00126F6D" w:rsidP="00B06C70">
      <w:pPr>
        <w:pStyle w:val="ListParagraph"/>
        <w:numPr>
          <w:ilvl w:val="0"/>
          <w:numId w:val="2"/>
        </w:numPr>
        <w:rPr>
          <w:rFonts w:asciiTheme="majorHAnsi" w:eastAsiaTheme="majorEastAsia" w:hAnsiTheme="majorHAnsi" w:cstheme="majorBidi"/>
          <w:color w:val="2F5496" w:themeColor="accent1" w:themeShade="BF"/>
          <w:sz w:val="32"/>
          <w:szCs w:val="32"/>
        </w:rPr>
      </w:pPr>
      <w:r>
        <w:rPr>
          <w:rFonts w:ascii="Open Sans" w:hAnsi="Open Sans" w:cs="Open Sans"/>
          <w:color w:val="000000"/>
          <w:sz w:val="20"/>
          <w:szCs w:val="20"/>
          <w:shd w:val="clear" w:color="auto" w:fill="FFFFFF"/>
        </w:rPr>
        <w:t>Trinkwon, W., 2020. </w:t>
      </w:r>
      <w:r>
        <w:rPr>
          <w:rFonts w:ascii="Open Sans" w:hAnsi="Open Sans" w:cs="Open Sans"/>
          <w:i/>
          <w:iCs/>
          <w:color w:val="000000"/>
          <w:sz w:val="20"/>
          <w:szCs w:val="20"/>
          <w:shd w:val="clear" w:color="auto" w:fill="FFFFFF"/>
        </w:rPr>
        <w:t>Nissan seeks businesses for new vehicle-to-grid charging trial | Autocar</w:t>
      </w:r>
      <w:r>
        <w:rPr>
          <w:rFonts w:ascii="Open Sans" w:hAnsi="Open Sans" w:cs="Open Sans"/>
          <w:color w:val="000000"/>
          <w:sz w:val="20"/>
          <w:szCs w:val="20"/>
          <w:shd w:val="clear" w:color="auto" w:fill="FFFFFF"/>
        </w:rPr>
        <w:t>. [online] Autocar. Available at: &lt;https://www.autocar.co.uk/car-news/industry/nissan-seeks-businesses-new-vehicle-grid-charging-trial&gt; [Accessed 19 November 2021].</w:t>
      </w:r>
    </w:p>
    <w:p w14:paraId="1DD1CCC6" w14:textId="4D17B3DF" w:rsidR="004B4159" w:rsidRPr="00F753F3" w:rsidRDefault="004B4159" w:rsidP="00B06C70">
      <w:pPr>
        <w:pStyle w:val="ListParagraph"/>
        <w:numPr>
          <w:ilvl w:val="0"/>
          <w:numId w:val="2"/>
        </w:numPr>
        <w:rPr>
          <w:rFonts w:asciiTheme="majorHAnsi" w:eastAsiaTheme="majorEastAsia" w:hAnsiTheme="majorHAnsi" w:cstheme="majorBidi"/>
          <w:color w:val="2F5496" w:themeColor="accent1" w:themeShade="BF"/>
          <w:sz w:val="32"/>
          <w:szCs w:val="32"/>
        </w:rPr>
      </w:pPr>
      <w:r>
        <w:rPr>
          <w:rFonts w:ascii="Open Sans" w:hAnsi="Open Sans" w:cs="Open Sans"/>
          <w:color w:val="000000"/>
          <w:sz w:val="20"/>
          <w:szCs w:val="20"/>
          <w:shd w:val="clear" w:color="auto" w:fill="FFFFFF"/>
        </w:rPr>
        <w:t>Lilly, C., 2021. </w:t>
      </w:r>
      <w:r>
        <w:rPr>
          <w:rFonts w:ascii="Open Sans" w:hAnsi="Open Sans" w:cs="Open Sans"/>
          <w:i/>
          <w:iCs/>
          <w:color w:val="000000"/>
          <w:sz w:val="20"/>
          <w:szCs w:val="20"/>
          <w:shd w:val="clear" w:color="auto" w:fill="FFFFFF"/>
        </w:rPr>
        <w:t>Electric vehicle market statistics 2021 - How many electric cars in UK &amp;#63</w:t>
      </w:r>
      <w:r>
        <w:rPr>
          <w:rFonts w:ascii="Open Sans" w:hAnsi="Open Sans" w:cs="Open Sans"/>
          <w:color w:val="000000"/>
          <w:sz w:val="20"/>
          <w:szCs w:val="20"/>
          <w:shd w:val="clear" w:color="auto" w:fill="FFFFFF"/>
        </w:rPr>
        <w:t>. [online] Nextgreencar.com. Available at: &lt;https://www.nextgreencar.com/electric-cars/statistics/&gt; [Accessed 20 November 2021].</w:t>
      </w:r>
    </w:p>
    <w:p w14:paraId="215C5299" w14:textId="0E9F03A6" w:rsidR="00F753F3" w:rsidRPr="00607159" w:rsidRDefault="00F753F3" w:rsidP="00F753F3">
      <w:pPr>
        <w:pStyle w:val="ListParagraph"/>
        <w:numPr>
          <w:ilvl w:val="0"/>
          <w:numId w:val="2"/>
        </w:numPr>
        <w:rPr>
          <w:rFonts w:asciiTheme="majorHAnsi" w:eastAsiaTheme="majorEastAsia" w:hAnsiTheme="majorHAnsi" w:cstheme="majorBidi"/>
          <w:color w:val="2F5496" w:themeColor="accent1" w:themeShade="BF"/>
          <w:sz w:val="32"/>
          <w:szCs w:val="32"/>
        </w:rPr>
      </w:pPr>
      <w:proofErr w:type="spellStart"/>
      <w:r w:rsidRPr="00F753F3">
        <w:rPr>
          <w:shd w:val="clear" w:color="auto" w:fill="FFFFFF"/>
        </w:rPr>
        <w:t>NissanNews</w:t>
      </w:r>
      <w:proofErr w:type="spellEnd"/>
      <w:r w:rsidRPr="00F753F3">
        <w:rPr>
          <w:shd w:val="clear" w:color="auto" w:fill="FFFFFF"/>
        </w:rPr>
        <w:t>. 2021. </w:t>
      </w:r>
      <w:r w:rsidRPr="00F753F3">
        <w:rPr>
          <w:i/>
          <w:iCs/>
          <w:shd w:val="clear" w:color="auto" w:fill="FFFFFF"/>
        </w:rPr>
        <w:t>Nissan, E.ON Drive and Imperial College highlight the carbon saving and economic benefits of Vehicle-to-Grid technology</w:t>
      </w:r>
      <w:r w:rsidRPr="00F753F3">
        <w:rPr>
          <w:shd w:val="clear" w:color="auto" w:fill="FFFFFF"/>
        </w:rPr>
        <w:t>. [online] Available at: &lt;https://europe.nissannews.com/en-GB/releases/release-beb6420a9f2916baf13a4ed15006b51d-nissan-eon-drive-and-imperial-college-highlight-the-carbon-saving-and-economic-benefits-of-vehicle-to-grid-technology&gt; [Accessed 20 November 2021].</w:t>
      </w:r>
    </w:p>
    <w:p w14:paraId="055BB4D3" w14:textId="495B0862" w:rsidR="00607159" w:rsidRPr="00C00FB0" w:rsidRDefault="00607159" w:rsidP="00607159">
      <w:pPr>
        <w:pStyle w:val="ListParagraph"/>
        <w:numPr>
          <w:ilvl w:val="0"/>
          <w:numId w:val="2"/>
        </w:numPr>
        <w:rPr>
          <w:rFonts w:asciiTheme="majorHAnsi" w:eastAsiaTheme="majorEastAsia" w:hAnsiTheme="majorHAnsi" w:cstheme="majorBidi"/>
          <w:color w:val="2F5496" w:themeColor="accent1" w:themeShade="BF"/>
          <w:sz w:val="32"/>
          <w:szCs w:val="32"/>
        </w:rPr>
      </w:pPr>
      <w:r w:rsidRPr="00607159">
        <w:rPr>
          <w:shd w:val="clear" w:color="auto" w:fill="FFFFFF"/>
        </w:rPr>
        <w:t>Whatcar.com. 2021. </w:t>
      </w:r>
      <w:r w:rsidRPr="00607159">
        <w:rPr>
          <w:i/>
          <w:iCs/>
          <w:shd w:val="clear" w:color="auto" w:fill="FFFFFF"/>
        </w:rPr>
        <w:t>Electric car charging - the latest home charging innovations</w:t>
      </w:r>
      <w:r w:rsidRPr="00607159">
        <w:rPr>
          <w:shd w:val="clear" w:color="auto" w:fill="FFFFFF"/>
        </w:rPr>
        <w:t>. [online] Available at: &lt;https://www.whatcar.com/news/electric-car-charging-the-latest-home-charging-innovations/n21687&gt; [Accessed 21 November 2021].</w:t>
      </w:r>
    </w:p>
    <w:p w14:paraId="445D7902" w14:textId="3A4B93E9" w:rsidR="00C00FB0" w:rsidRPr="00C00FB0" w:rsidRDefault="00C00FB0" w:rsidP="00C00FB0">
      <w:pPr>
        <w:pStyle w:val="ListParagraph"/>
        <w:numPr>
          <w:ilvl w:val="0"/>
          <w:numId w:val="2"/>
        </w:numPr>
        <w:rPr>
          <w:rFonts w:asciiTheme="majorHAnsi" w:eastAsiaTheme="majorEastAsia" w:hAnsiTheme="majorHAnsi" w:cstheme="majorBidi"/>
          <w:color w:val="2F5496" w:themeColor="accent1" w:themeShade="BF"/>
          <w:sz w:val="32"/>
          <w:szCs w:val="32"/>
        </w:rPr>
      </w:pPr>
      <w:r w:rsidRPr="00C00FB0">
        <w:rPr>
          <w:shd w:val="clear" w:color="auto" w:fill="FFFFFF"/>
        </w:rPr>
        <w:t>EDF. n.d. </w:t>
      </w:r>
      <w:r w:rsidRPr="00C00FB0">
        <w:rPr>
          <w:i/>
          <w:iCs/>
          <w:shd w:val="clear" w:color="auto" w:fill="FFFFFF"/>
        </w:rPr>
        <w:t>EV: Business &gt; V2G</w:t>
      </w:r>
      <w:r w:rsidRPr="00C00FB0">
        <w:rPr>
          <w:shd w:val="clear" w:color="auto" w:fill="FFFFFF"/>
        </w:rPr>
        <w:t>. [online] Available at: &lt;https://www.edfenergy.com/electric-cars/vehicle-grid&gt; [Accessed 21 November 2021].</w:t>
      </w:r>
    </w:p>
    <w:p w14:paraId="5ADB85B1" w14:textId="77777777" w:rsidR="00B06C70" w:rsidRPr="00B06C70" w:rsidRDefault="00B06C70" w:rsidP="00B06C70"/>
    <w:sectPr w:rsidR="00B06C70" w:rsidRPr="00B06C70" w:rsidSect="00CB142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80688A" w14:textId="77777777" w:rsidR="00771B8A" w:rsidRDefault="00771B8A" w:rsidP="009D2A08">
      <w:pPr>
        <w:spacing w:after="0" w:line="240" w:lineRule="auto"/>
      </w:pPr>
      <w:r>
        <w:separator/>
      </w:r>
    </w:p>
  </w:endnote>
  <w:endnote w:type="continuationSeparator" w:id="0">
    <w:p w14:paraId="79295EF4" w14:textId="77777777" w:rsidR="00771B8A" w:rsidRDefault="00771B8A" w:rsidP="009D2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886A1" w14:textId="77777777" w:rsidR="00771B8A" w:rsidRDefault="00771B8A" w:rsidP="009D2A08">
      <w:pPr>
        <w:spacing w:after="0" w:line="240" w:lineRule="auto"/>
      </w:pPr>
      <w:r>
        <w:separator/>
      </w:r>
    </w:p>
  </w:footnote>
  <w:footnote w:type="continuationSeparator" w:id="0">
    <w:p w14:paraId="51A73403" w14:textId="77777777" w:rsidR="00771B8A" w:rsidRDefault="00771B8A" w:rsidP="009D2A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275A2"/>
    <w:multiLevelType w:val="hybridMultilevel"/>
    <w:tmpl w:val="BF5E31BE"/>
    <w:lvl w:ilvl="0" w:tplc="D9A29654">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3E42D7"/>
    <w:multiLevelType w:val="hybridMultilevel"/>
    <w:tmpl w:val="01043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8E2221"/>
    <w:multiLevelType w:val="hybridMultilevel"/>
    <w:tmpl w:val="B804E0AE"/>
    <w:lvl w:ilvl="0" w:tplc="2E5C0D24">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29103A"/>
    <w:multiLevelType w:val="hybridMultilevel"/>
    <w:tmpl w:val="00EC9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ED0DC6"/>
    <w:multiLevelType w:val="hybridMultilevel"/>
    <w:tmpl w:val="10003F80"/>
    <w:lvl w:ilvl="0" w:tplc="B91255B8">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42C"/>
    <w:rsid w:val="0000190E"/>
    <w:rsid w:val="00016D35"/>
    <w:rsid w:val="00017268"/>
    <w:rsid w:val="00084554"/>
    <w:rsid w:val="000B7E23"/>
    <w:rsid w:val="000E19F9"/>
    <w:rsid w:val="000F67C6"/>
    <w:rsid w:val="00126F6D"/>
    <w:rsid w:val="00147285"/>
    <w:rsid w:val="00172369"/>
    <w:rsid w:val="00190C3F"/>
    <w:rsid w:val="001B7682"/>
    <w:rsid w:val="001D0303"/>
    <w:rsid w:val="001F7253"/>
    <w:rsid w:val="002237FC"/>
    <w:rsid w:val="002618CC"/>
    <w:rsid w:val="002C7602"/>
    <w:rsid w:val="002E6A06"/>
    <w:rsid w:val="002F7FEC"/>
    <w:rsid w:val="00325F59"/>
    <w:rsid w:val="003367E1"/>
    <w:rsid w:val="00374B13"/>
    <w:rsid w:val="00382111"/>
    <w:rsid w:val="003A7BAE"/>
    <w:rsid w:val="0040008A"/>
    <w:rsid w:val="00400F26"/>
    <w:rsid w:val="00422F29"/>
    <w:rsid w:val="00427E18"/>
    <w:rsid w:val="004702DA"/>
    <w:rsid w:val="004917A5"/>
    <w:rsid w:val="004B4159"/>
    <w:rsid w:val="004E6D47"/>
    <w:rsid w:val="004F2BD4"/>
    <w:rsid w:val="00534245"/>
    <w:rsid w:val="00555213"/>
    <w:rsid w:val="005921CF"/>
    <w:rsid w:val="005A2D79"/>
    <w:rsid w:val="005D7D53"/>
    <w:rsid w:val="00604F91"/>
    <w:rsid w:val="00607159"/>
    <w:rsid w:val="00635B90"/>
    <w:rsid w:val="00646DC1"/>
    <w:rsid w:val="006C6042"/>
    <w:rsid w:val="006C6DC5"/>
    <w:rsid w:val="006F5DA5"/>
    <w:rsid w:val="0071078F"/>
    <w:rsid w:val="00756687"/>
    <w:rsid w:val="00771B8A"/>
    <w:rsid w:val="007A391B"/>
    <w:rsid w:val="007A66EB"/>
    <w:rsid w:val="007C472F"/>
    <w:rsid w:val="007F6BB3"/>
    <w:rsid w:val="00843D34"/>
    <w:rsid w:val="00860B2D"/>
    <w:rsid w:val="00992FEF"/>
    <w:rsid w:val="009C21C2"/>
    <w:rsid w:val="009D2A08"/>
    <w:rsid w:val="009D69A7"/>
    <w:rsid w:val="009E300B"/>
    <w:rsid w:val="009F67F6"/>
    <w:rsid w:val="00A016DC"/>
    <w:rsid w:val="00A66B1B"/>
    <w:rsid w:val="00AD55F1"/>
    <w:rsid w:val="00B06C70"/>
    <w:rsid w:val="00B07428"/>
    <w:rsid w:val="00B47E06"/>
    <w:rsid w:val="00B622C1"/>
    <w:rsid w:val="00BF0112"/>
    <w:rsid w:val="00C00FB0"/>
    <w:rsid w:val="00C15191"/>
    <w:rsid w:val="00C3490C"/>
    <w:rsid w:val="00C65F26"/>
    <w:rsid w:val="00C84635"/>
    <w:rsid w:val="00C87C14"/>
    <w:rsid w:val="00CA00B2"/>
    <w:rsid w:val="00CB142C"/>
    <w:rsid w:val="00CC75A1"/>
    <w:rsid w:val="00CD0AF8"/>
    <w:rsid w:val="00CF643F"/>
    <w:rsid w:val="00D038A3"/>
    <w:rsid w:val="00D907F3"/>
    <w:rsid w:val="00D941A4"/>
    <w:rsid w:val="00D96ADC"/>
    <w:rsid w:val="00E102D6"/>
    <w:rsid w:val="00E15E52"/>
    <w:rsid w:val="00E61408"/>
    <w:rsid w:val="00E65BEF"/>
    <w:rsid w:val="00F033D2"/>
    <w:rsid w:val="00F06224"/>
    <w:rsid w:val="00F54D22"/>
    <w:rsid w:val="00F64544"/>
    <w:rsid w:val="00F70786"/>
    <w:rsid w:val="00F753F3"/>
    <w:rsid w:val="00FB0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C8FB2"/>
  <w15:chartTrackingRefBased/>
  <w15:docId w15:val="{DBD2ED2E-A3C6-42F0-9CB6-E9B36F4C7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91B"/>
    <w:pPr>
      <w:spacing w:line="360" w:lineRule="auto"/>
    </w:pPr>
  </w:style>
  <w:style w:type="paragraph" w:styleId="Heading1">
    <w:name w:val="heading 1"/>
    <w:basedOn w:val="Normal"/>
    <w:next w:val="Normal"/>
    <w:link w:val="Heading1Char"/>
    <w:uiPriority w:val="9"/>
    <w:qFormat/>
    <w:rsid w:val="00C65F26"/>
    <w:pPr>
      <w:keepNext/>
      <w:keepLines/>
      <w:numPr>
        <w:numId w:val="4"/>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Heading1"/>
    <w:next w:val="Normal"/>
    <w:link w:val="Heading2Char"/>
    <w:autoRedefine/>
    <w:uiPriority w:val="9"/>
    <w:unhideWhenUsed/>
    <w:qFormat/>
    <w:rsid w:val="003367E1"/>
    <w:pPr>
      <w:numPr>
        <w:numId w:val="0"/>
      </w:numPr>
      <w:spacing w:before="40"/>
      <w:ind w:left="360"/>
      <w:outlineLvl w:val="1"/>
    </w:pPr>
    <w:rPr>
      <w:color w:val="4472C4" w:themeColor="accent1"/>
      <w:sz w:val="26"/>
      <w:szCs w:val="26"/>
    </w:rPr>
  </w:style>
  <w:style w:type="paragraph" w:styleId="Heading3">
    <w:name w:val="heading 3"/>
    <w:basedOn w:val="Normal"/>
    <w:next w:val="Normal"/>
    <w:link w:val="Heading3Char"/>
    <w:uiPriority w:val="9"/>
    <w:unhideWhenUsed/>
    <w:qFormat/>
    <w:rsid w:val="00427E1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14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42C"/>
    <w:rPr>
      <w:rFonts w:eastAsiaTheme="minorEastAsia"/>
      <w:lang w:val="en-US"/>
    </w:rPr>
  </w:style>
  <w:style w:type="character" w:customStyle="1" w:styleId="Heading1Char">
    <w:name w:val="Heading 1 Char"/>
    <w:basedOn w:val="DefaultParagraphFont"/>
    <w:link w:val="Heading1"/>
    <w:uiPriority w:val="9"/>
    <w:rsid w:val="00C65F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5F26"/>
    <w:pPr>
      <w:outlineLvl w:val="9"/>
    </w:pPr>
    <w:rPr>
      <w:lang w:val="en-US"/>
    </w:rPr>
  </w:style>
  <w:style w:type="paragraph" w:styleId="TOC2">
    <w:name w:val="toc 2"/>
    <w:basedOn w:val="Normal"/>
    <w:next w:val="Normal"/>
    <w:autoRedefine/>
    <w:uiPriority w:val="39"/>
    <w:unhideWhenUsed/>
    <w:rsid w:val="00C65F2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65F26"/>
    <w:pPr>
      <w:spacing w:after="100"/>
    </w:pPr>
    <w:rPr>
      <w:rFonts w:eastAsiaTheme="minorEastAsia" w:cs="Times New Roman"/>
      <w:lang w:val="en-US"/>
    </w:rPr>
  </w:style>
  <w:style w:type="paragraph" w:styleId="TOC3">
    <w:name w:val="toc 3"/>
    <w:basedOn w:val="Normal"/>
    <w:next w:val="Normal"/>
    <w:autoRedefine/>
    <w:uiPriority w:val="39"/>
    <w:unhideWhenUsed/>
    <w:rsid w:val="00C65F26"/>
    <w:pPr>
      <w:spacing w:after="100"/>
      <w:ind w:left="440"/>
    </w:pPr>
    <w:rPr>
      <w:rFonts w:eastAsiaTheme="minorEastAsia" w:cs="Times New Roman"/>
      <w:lang w:val="en-US"/>
    </w:rPr>
  </w:style>
  <w:style w:type="character" w:styleId="Hyperlink">
    <w:name w:val="Hyperlink"/>
    <w:basedOn w:val="DefaultParagraphFont"/>
    <w:uiPriority w:val="99"/>
    <w:unhideWhenUsed/>
    <w:rsid w:val="00C65F26"/>
    <w:rPr>
      <w:color w:val="0563C1" w:themeColor="hyperlink"/>
      <w:u w:val="single"/>
    </w:rPr>
  </w:style>
  <w:style w:type="paragraph" w:styleId="ListParagraph">
    <w:name w:val="List Paragraph"/>
    <w:basedOn w:val="Normal"/>
    <w:uiPriority w:val="34"/>
    <w:qFormat/>
    <w:rsid w:val="00B06C70"/>
    <w:pPr>
      <w:ind w:left="720"/>
      <w:contextualSpacing/>
    </w:pPr>
  </w:style>
  <w:style w:type="character" w:customStyle="1" w:styleId="Heading2Char">
    <w:name w:val="Heading 2 Char"/>
    <w:basedOn w:val="DefaultParagraphFont"/>
    <w:link w:val="Heading2"/>
    <w:uiPriority w:val="9"/>
    <w:rsid w:val="003367E1"/>
    <w:rPr>
      <w:rFonts w:asciiTheme="majorHAnsi" w:eastAsiaTheme="majorEastAsia" w:hAnsiTheme="majorHAnsi" w:cstheme="majorBidi"/>
      <w:color w:val="4472C4" w:themeColor="accent1"/>
      <w:sz w:val="26"/>
      <w:szCs w:val="26"/>
    </w:rPr>
  </w:style>
  <w:style w:type="character" w:customStyle="1" w:styleId="Heading3Char">
    <w:name w:val="Heading 3 Char"/>
    <w:basedOn w:val="DefaultParagraphFont"/>
    <w:link w:val="Heading3"/>
    <w:uiPriority w:val="9"/>
    <w:rsid w:val="00427E18"/>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400F2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D2A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2A08"/>
  </w:style>
  <w:style w:type="paragraph" w:styleId="Footer">
    <w:name w:val="footer"/>
    <w:basedOn w:val="Normal"/>
    <w:link w:val="FooterChar"/>
    <w:uiPriority w:val="99"/>
    <w:unhideWhenUsed/>
    <w:rsid w:val="009D2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2A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C50617AA2564AAD83A014871149F81A"/>
        <w:category>
          <w:name w:val="General"/>
          <w:gallery w:val="placeholder"/>
        </w:category>
        <w:types>
          <w:type w:val="bbPlcHdr"/>
        </w:types>
        <w:behaviors>
          <w:behavior w:val="content"/>
        </w:behaviors>
        <w:guid w:val="{E4B80CC4-9E86-4613-B18F-AA0B71204810}"/>
      </w:docPartPr>
      <w:docPartBody>
        <w:p w:rsidR="00B73C33" w:rsidRDefault="00F246F3" w:rsidP="00F246F3">
          <w:pPr>
            <w:pStyle w:val="6C50617AA2564AAD83A014871149F81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6F3"/>
    <w:rsid w:val="004F538C"/>
    <w:rsid w:val="00B73C33"/>
    <w:rsid w:val="00C45381"/>
    <w:rsid w:val="00C7451E"/>
    <w:rsid w:val="00F246F3"/>
    <w:rsid w:val="00F27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50617AA2564AAD83A014871149F81A">
    <w:name w:val="6C50617AA2564AAD83A014871149F81A"/>
    <w:rsid w:val="00F246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3080F9-E89E-49ED-9CCD-C472B070C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1899</TotalTime>
  <Pages>12</Pages>
  <Words>2624</Words>
  <Characters>15278</Characters>
  <Application>Microsoft Office Word</Application>
  <DocSecurity>0</DocSecurity>
  <Lines>332</Lines>
  <Paragraphs>114</Paragraphs>
  <ScaleCrop>false</ScaleCrop>
  <HeadingPairs>
    <vt:vector size="2" baseType="variant">
      <vt:variant>
        <vt:lpstr>Title</vt:lpstr>
      </vt:variant>
      <vt:variant>
        <vt:i4>1</vt:i4>
      </vt:variant>
    </vt:vector>
  </HeadingPairs>
  <TitlesOfParts>
    <vt:vector size="1" baseType="lpstr">
      <vt:lpstr>vEHICLE TO gRID (V2G) tECHNOLOGY</vt:lpstr>
    </vt:vector>
  </TitlesOfParts>
  <Company/>
  <LinksUpToDate>false</LinksUpToDate>
  <CharactersWithSpaces>17788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vEHICLE TO gRID (V2G) tECHNOLOGY</dc:title>
  <dc:subject/>
  <dc:creator>Tom Crocker</dc:creator>
  <cp:keywords/>
  <dc:description/>
  <cp:lastModifiedBy>Aiden Scriven (1803502)</cp:lastModifiedBy>
  <cp:revision>35</cp:revision>
  <dcterms:created xsi:type="dcterms:W3CDTF">2021-11-21T15:40:00Z</dcterms:created>
  <dcterms:modified xsi:type="dcterms:W3CDTF">2021-11-22T23:18:00Z</dcterms:modified>
</cp:coreProperties>
</file>