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Examine the role of metaphor in Plato’s thought. - James Barrow [1702562]</w:t>
      </w:r>
    </w:p>
    <w:p w:rsidR="00000000" w:rsidDel="00000000" w:rsidP="00000000" w:rsidRDefault="00000000" w:rsidRPr="00000000" w14:paraId="00000001">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role of metaphor in Plato’s thought stems from Plato trying to explain his concept of what he calls ‘The Forms’. The forms are what Plato believed to be the representative of the transcendent world beyond experiences, and he therefore uses allegory and metaphor as a teaching tool to understand this unlearnable world which resides above the plane of existence we reside in. A Form is a perfect and immaterial concept which is imprinted on the physical world in some way. For instance, if a person were to find a starlit night sky beautiful, then that night sky participates in the Form of Beauty. The same could be said for a flower, or for anything that anybody subjectively sees as beautiful. However, because each of these ‘beautiful’ things are different, Plato says how they must only be an imperfect representation of what beauty is. Although, because we as humans have a concept of what we believe to be beauty that we have in the material senses, then we must have a knowledge of what the Form of Beauty entails. Plato writes:</w:t>
      </w:r>
    </w:p>
    <w:p w:rsidR="00000000" w:rsidDel="00000000" w:rsidP="00000000" w:rsidRDefault="00000000" w:rsidRPr="00000000" w14:paraId="00000003">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04">
      <w:pPr>
        <w:ind w:left="72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then, what [the carpenter] makes is not “what a bed really is”, his product is not “what is”, but something which </w:t>
      </w:r>
      <w:r w:rsidDel="00000000" w:rsidR="00000000" w:rsidRPr="00000000">
        <w:rPr>
          <w:rFonts w:ascii="Times New Roman" w:cs="Times New Roman" w:eastAsia="Times New Roman" w:hAnsi="Times New Roman"/>
          <w:i w:val="1"/>
          <w:sz w:val="24"/>
          <w:szCs w:val="24"/>
          <w:rtl w:val="0"/>
        </w:rPr>
        <w:t xml:space="preserve">resembles </w:t>
      </w:r>
      <w:r w:rsidDel="00000000" w:rsidR="00000000" w:rsidRPr="00000000">
        <w:rPr>
          <w:rFonts w:ascii="Times New Roman" w:cs="Times New Roman" w:eastAsia="Times New Roman" w:hAnsi="Times New Roman"/>
          <w:sz w:val="24"/>
          <w:szCs w:val="24"/>
          <w:rtl w:val="0"/>
        </w:rPr>
        <w:t xml:space="preserve">“what is” without </w:t>
      </w:r>
      <w:r w:rsidDel="00000000" w:rsidR="00000000" w:rsidRPr="00000000">
        <w:rPr>
          <w:rFonts w:ascii="Times New Roman" w:cs="Times New Roman" w:eastAsia="Times New Roman" w:hAnsi="Times New Roman"/>
          <w:i w:val="1"/>
          <w:sz w:val="24"/>
          <w:szCs w:val="24"/>
          <w:rtl w:val="0"/>
        </w:rPr>
        <w:t xml:space="preserve">being </w:t>
      </w:r>
      <w:r w:rsidDel="00000000" w:rsidR="00000000" w:rsidRPr="00000000">
        <w:rPr>
          <w:rFonts w:ascii="Times New Roman" w:cs="Times New Roman" w:eastAsia="Times New Roman" w:hAnsi="Times New Roman"/>
          <w:sz w:val="24"/>
          <w:szCs w:val="24"/>
          <w:rtl w:val="0"/>
        </w:rPr>
        <w:t xml:space="preserve">it. And anyone who says that the products of the carpenter or any other craftsman are ultimately real can hardly be telling the truth, can he?”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5">
      <w:pPr>
        <w:ind w:left="72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being said here, through the use of metaphor, is that the most skilled craftsperson is still unable to create what essence creates a bed, but rather a better imitation. Plato uses the metaphor of a skilled craftsperson in order to dictate that even the most skilled person is not nearly skilled enough to approach the infinite nature of the form he is imitating. This metaphor plays a role in Plato’s thought because it is used to tell us that our best efforts to learn and understand the forms is redundant, due to the forms having an immaterial and unlearnable property. We cannot learn the knowledge of the Forms by experience, instead it is learned through reason.</w:t>
      </w:r>
    </w:p>
    <w:p w:rsidR="00000000" w:rsidDel="00000000" w:rsidP="00000000" w:rsidRDefault="00000000" w:rsidRPr="00000000" w14:paraId="00000007">
      <w:pPr>
        <w:ind w:lef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Plato extends his use of metaphor by using the Analogy of the Sun to explain his concept of the Form of the Good. What Plato means by the Form of the Good can be explained in an alternative name, as it is also known as the Form of Forms. What I mean by this is that in the hierarchy of intelligence, there is a Form that is above all other Forms. Plato likens this particular ‘super-Form’ to be like that of the sun in a metaphor. He writes in Book X of </w:t>
      </w:r>
      <w:r w:rsidDel="00000000" w:rsidR="00000000" w:rsidRPr="00000000">
        <w:rPr>
          <w:rFonts w:ascii="Times New Roman" w:cs="Times New Roman" w:eastAsia="Times New Roman" w:hAnsi="Times New Roman"/>
          <w:i w:val="1"/>
          <w:sz w:val="24"/>
          <w:szCs w:val="24"/>
          <w:rtl w:val="0"/>
        </w:rPr>
        <w:t xml:space="preserve">The Republic</w:t>
      </w:r>
      <w:r w:rsidDel="00000000" w:rsidR="00000000" w:rsidRPr="00000000">
        <w:rPr>
          <w:rFonts w:ascii="Times New Roman" w:cs="Times New Roman" w:eastAsia="Times New Roman" w:hAnsi="Times New Roman"/>
          <w:sz w:val="24"/>
          <w:szCs w:val="24"/>
          <w:rtl w:val="0"/>
        </w:rPr>
        <w:t xml:space="preserve">: “[...] the sun is not itself sight, it is the cause of sight and is seen by the sight it causes.”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What this metaphor tells us is that the sun gives us sight but it is not the concept of sight itself, which in tandem means that the Form of the Good is not necessarily the concept of good, but rather it is what gives the concept for us to learn about. Nickolas Pappas summarised it by suggesting that in the analogy of the sun, the sun represents the Form of the Good, the eye represents the intelligence that is able to harness the light of the sun, the sight that is bestowed on those who can see the light of the sun is the knowledge that one learns, and visible things are the Forms themselves.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09">
      <w:pPr>
        <w:ind w:lef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Plato then takes his metaphors even further, by creating an analogy of a philosopher learning about the existence of the Forms and the attempt to teach that concept to those who have not been enlightened. This is Plato’s </w:t>
      </w:r>
      <w:r w:rsidDel="00000000" w:rsidR="00000000" w:rsidRPr="00000000">
        <w:rPr>
          <w:rFonts w:ascii="Times New Roman" w:cs="Times New Roman" w:eastAsia="Times New Roman" w:hAnsi="Times New Roman"/>
          <w:i w:val="1"/>
          <w:sz w:val="24"/>
          <w:szCs w:val="24"/>
          <w:rtl w:val="0"/>
        </w:rPr>
        <w:t xml:space="preserve">‘Allegory of the Cave’</w:t>
      </w:r>
      <w:r w:rsidDel="00000000" w:rsidR="00000000" w:rsidRPr="00000000">
        <w:rPr>
          <w:rFonts w:ascii="Times New Roman" w:cs="Times New Roman" w:eastAsia="Times New Roman" w:hAnsi="Times New Roman"/>
          <w:sz w:val="24"/>
          <w:szCs w:val="24"/>
          <w:rtl w:val="0"/>
        </w:rPr>
        <w:t xml:space="preserve">, which tells of prisoners being shackled in a cave, with the only thing that they can see being the shadows of objects on the wall in front of them, and the light source being behind them projecting these shadows. After time, one of the prisoners is able to leave and see the light source which is casting the shadows and the objects themselves which the light is being shined on. Eventually the prisoner leaves the cave and sees sunlight for the first time, to which they respond by re-entering the cave to try and tell the others about what he has seen and learned in his enlightenment.</w:t>
      </w:r>
    </w:p>
    <w:p w:rsidR="00000000" w:rsidDel="00000000" w:rsidP="00000000" w:rsidRDefault="00000000" w:rsidRPr="00000000" w14:paraId="0000000B">
      <w:pPr>
        <w:ind w:lef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perhaps the most important metaphor in Plato’s works, as it combines what we have already learned into the journey that Plato believes a philosopher must take for him to become one that has a higher knowledge. The allegory of the cave tells people to reject the senses that help us experience the world around us, and to see beyond what we can see. A. S. Ferguson wrote nearly a century ago about the allegory, writing: </w:t>
      </w:r>
    </w:p>
    <w:p w:rsidR="00000000" w:rsidDel="00000000" w:rsidP="00000000" w:rsidRDefault="00000000" w:rsidRPr="00000000" w14:paraId="0000000D">
      <w:pPr>
        <w:ind w:lef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ind w:left="72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purpose of the cave seems to be to keep the prisoners engrossed with the shadows. I say the purpose, because all the signs point to its being contrived by human minds for human ends.”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0F">
      <w:pPr>
        <w:ind w:left="72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 was designed by an unknown entity to stifle the knowledge that humankind can learn. Escaping the cave is an arduous effort that takes time, but results in a higher knowledge of something immeasurable which is incredibly difficult to attempt to teach to those who have not experienced the same. Therefore, I am of the belief analogy of the sun and the allegory of the cave seeks to serve two purposes, to bolster Plato’s concept of the Forms, and to teach those of the process a philosopher must go through in order for them to become a true philosopher.</w:t>
      </w:r>
    </w:p>
    <w:p w:rsidR="00000000" w:rsidDel="00000000" w:rsidP="00000000" w:rsidRDefault="00000000" w:rsidRPr="00000000" w14:paraId="00000011">
      <w:pPr>
        <w:ind w:lef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role of metaphor in Plato’s thought is to tell people who lack ‘knowledge’ in the easiest way possible about concepts that would otherwise be unlearnable. Plato uses these metaphors to attempt what is otherwise deemed impossible. Metaphors are therefore the key role in understanding what Plato is teaching.</w:t>
      </w:r>
    </w:p>
    <w:p w:rsidR="00000000" w:rsidDel="00000000" w:rsidP="00000000" w:rsidRDefault="00000000" w:rsidRPr="00000000" w14:paraId="00000013">
      <w:pPr>
        <w:ind w:lef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ind w:left="0" w:firstLine="0"/>
        <w:contextualSpacing w:val="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sz w:val="24"/>
          <w:szCs w:val="24"/>
          <w:rtl w:val="0"/>
        </w:rPr>
        <w:t xml:space="preserve">Word Count: </w:t>
      </w:r>
      <w:r w:rsidDel="00000000" w:rsidR="00000000" w:rsidRPr="00000000">
        <w:rPr>
          <w:rFonts w:ascii="Times New Roman" w:cs="Times New Roman" w:eastAsia="Times New Roman" w:hAnsi="Times New Roman"/>
          <w:sz w:val="24"/>
          <w:szCs w:val="24"/>
          <w:rtl w:val="0"/>
        </w:rPr>
        <w:t xml:space="preserve">992 </w:t>
      </w:r>
      <w:r w:rsidDel="00000000" w:rsidR="00000000" w:rsidRPr="00000000">
        <w:rPr>
          <w:rFonts w:ascii="Times New Roman" w:cs="Times New Roman" w:eastAsia="Times New Roman" w:hAnsi="Times New Roman"/>
          <w:i w:val="1"/>
          <w:sz w:val="24"/>
          <w:szCs w:val="24"/>
          <w:rtl w:val="0"/>
        </w:rPr>
        <w:t xml:space="preserve">(1085 including references and footnotes)</w:t>
      </w:r>
    </w:p>
    <w:p w:rsidR="00000000" w:rsidDel="00000000" w:rsidP="00000000" w:rsidRDefault="00000000" w:rsidRPr="00000000" w14:paraId="00000015">
      <w:pPr>
        <w:keepNext w:val="0"/>
        <w:keepLines w:val="0"/>
        <w:spacing w:after="80" w:before="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16">
      <w:pPr>
        <w:spacing w:after="180" w:lineRule="auto"/>
        <w:ind w:left="900" w:hanging="44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Ferguson, A. (1922). Plato's Simile of Light (continued). Part II. The Allegory of the Cave. </w:t>
      </w:r>
      <w:r w:rsidDel="00000000" w:rsidR="00000000" w:rsidRPr="00000000">
        <w:rPr>
          <w:rFonts w:ascii="Times New Roman" w:cs="Times New Roman" w:eastAsia="Times New Roman" w:hAnsi="Times New Roman"/>
          <w:i w:val="1"/>
          <w:sz w:val="24"/>
          <w:szCs w:val="24"/>
          <w:rtl w:val="0"/>
        </w:rPr>
        <w:t xml:space="preserve">The Classical Quarterly</w:t>
      </w:r>
      <w:r w:rsidDel="00000000" w:rsidR="00000000" w:rsidRPr="00000000">
        <w:rPr>
          <w:rFonts w:ascii="Times New Roman" w:cs="Times New Roman" w:eastAsia="Times New Roman" w:hAnsi="Times New Roman"/>
          <w:sz w:val="24"/>
          <w:szCs w:val="24"/>
          <w:rtl w:val="0"/>
        </w:rPr>
        <w:t xml:space="preserve">, 16 (01), pp.15-28.</w:t>
      </w:r>
    </w:p>
    <w:p w:rsidR="00000000" w:rsidDel="00000000" w:rsidP="00000000" w:rsidRDefault="00000000" w:rsidRPr="00000000" w14:paraId="00000017">
      <w:pPr>
        <w:spacing w:after="180" w:lineRule="auto"/>
        <w:ind w:left="900" w:hanging="44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Jannotta, Anthony (2010). Plato’s Theory of Forms: Analogy and Metaphor in Plato’s Republic. Undergraduate Review, 6, 154-157. Available at: http://vc.bridgew.edu/undergrad_rev/vol6/iss1/28</w:t>
      </w:r>
    </w:p>
    <w:p w:rsidR="00000000" w:rsidDel="00000000" w:rsidP="00000000" w:rsidRDefault="00000000" w:rsidRPr="00000000" w14:paraId="00000018">
      <w:pPr>
        <w:spacing w:after="180" w:lineRule="auto"/>
        <w:ind w:left="900" w:hanging="44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Pappas, N. (2003). </w:t>
      </w:r>
      <w:r w:rsidDel="00000000" w:rsidR="00000000" w:rsidRPr="00000000">
        <w:rPr>
          <w:rFonts w:ascii="Times New Roman" w:cs="Times New Roman" w:eastAsia="Times New Roman" w:hAnsi="Times New Roman"/>
          <w:i w:val="1"/>
          <w:sz w:val="24"/>
          <w:szCs w:val="24"/>
          <w:rtl w:val="0"/>
        </w:rPr>
        <w:t xml:space="preserve">Plato and the Republic</w:t>
      </w:r>
      <w:r w:rsidDel="00000000" w:rsidR="00000000" w:rsidRPr="00000000">
        <w:rPr>
          <w:rFonts w:ascii="Times New Roman" w:cs="Times New Roman" w:eastAsia="Times New Roman" w:hAnsi="Times New Roman"/>
          <w:sz w:val="24"/>
          <w:szCs w:val="24"/>
          <w:rtl w:val="0"/>
        </w:rPr>
        <w:t xml:space="preserve">. London: Taylor &amp; Francis, p.102.</w:t>
      </w:r>
    </w:p>
    <w:p w:rsidR="00000000" w:rsidDel="00000000" w:rsidP="00000000" w:rsidRDefault="00000000" w:rsidRPr="00000000" w14:paraId="00000019">
      <w:pPr>
        <w:spacing w:after="180" w:lineRule="auto"/>
        <w:ind w:left="900" w:hanging="44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Plato. and Lee, H. (1974). </w:t>
      </w:r>
      <w:r w:rsidDel="00000000" w:rsidR="00000000" w:rsidRPr="00000000">
        <w:rPr>
          <w:rFonts w:ascii="Times New Roman" w:cs="Times New Roman" w:eastAsia="Times New Roman" w:hAnsi="Times New Roman"/>
          <w:i w:val="1"/>
          <w:sz w:val="24"/>
          <w:szCs w:val="24"/>
          <w:rtl w:val="0"/>
        </w:rPr>
        <w:t xml:space="preserve">The Republic</w:t>
      </w:r>
      <w:r w:rsidDel="00000000" w:rsidR="00000000" w:rsidRPr="00000000">
        <w:rPr>
          <w:rFonts w:ascii="Times New Roman" w:cs="Times New Roman" w:eastAsia="Times New Roman" w:hAnsi="Times New Roman"/>
          <w:sz w:val="24"/>
          <w:szCs w:val="24"/>
          <w:rtl w:val="0"/>
        </w:rPr>
        <w:t xml:space="preserve">. 2nd ed. Harmondsworth: Penguin, p.362.</w:t>
      </w:r>
    </w:p>
    <w:p w:rsidR="00000000" w:rsidDel="00000000" w:rsidP="00000000" w:rsidRDefault="00000000" w:rsidRPr="00000000" w14:paraId="0000001A">
      <w:pPr>
        <w:ind w:left="0" w:firstLine="0"/>
        <w:contextualSpacing w:val="0"/>
        <w:jc w:val="both"/>
        <w:rPr>
          <w:rFonts w:ascii="Times New Roman" w:cs="Times New Roman" w:eastAsia="Times New Roman" w:hAnsi="Times New Roman"/>
          <w:sz w:val="24"/>
          <w:szCs w:val="24"/>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(Plato. and Lee, 1974)</w:t>
      </w:r>
    </w:p>
  </w:footnote>
  <w:footnote w:id="1">
    <w:p w:rsidR="00000000" w:rsidDel="00000000" w:rsidP="00000000" w:rsidRDefault="00000000" w:rsidRPr="00000000" w14:paraId="0000001C">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2">
    <w:p w:rsidR="00000000" w:rsidDel="00000000" w:rsidP="00000000" w:rsidRDefault="00000000" w:rsidRPr="00000000" w14:paraId="0000001D">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(Pappas, 2003)</w:t>
      </w:r>
    </w:p>
  </w:footnote>
  <w:footnote w:id="3">
    <w:p w:rsidR="00000000" w:rsidDel="00000000" w:rsidP="00000000" w:rsidRDefault="00000000" w:rsidRPr="00000000" w14:paraId="0000001E">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(Ferguson, 1922)</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