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9B4ADA" w14:textId="77777777" w:rsidR="00F04EDA" w:rsidRPr="0089553B" w:rsidRDefault="00F04EDA" w:rsidP="00132808">
      <w:pPr>
        <w:jc w:val="center"/>
      </w:pPr>
      <w:r w:rsidRPr="0089553B">
        <w:rPr>
          <w:noProof/>
        </w:rPr>
        <w:drawing>
          <wp:inline distT="0" distB="0" distL="0" distR="0" wp14:anchorId="49834514" wp14:editId="4BFDE5C2">
            <wp:extent cx="3505200" cy="1943100"/>
            <wp:effectExtent l="0" t="0" r="0" b="0"/>
            <wp:docPr id="15035892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05200" cy="1943100"/>
                    </a:xfrm>
                    <a:prstGeom prst="rect">
                      <a:avLst/>
                    </a:prstGeom>
                    <a:noFill/>
                    <a:ln>
                      <a:noFill/>
                    </a:ln>
                  </pic:spPr>
                </pic:pic>
              </a:graphicData>
            </a:graphic>
          </wp:inline>
        </w:drawing>
      </w:r>
    </w:p>
    <w:p w14:paraId="4F93605D" w14:textId="77777777" w:rsidR="00F04EDA" w:rsidRPr="0089553B" w:rsidRDefault="00F04EDA" w:rsidP="00132808">
      <w:pPr>
        <w:jc w:val="both"/>
        <w:rPr>
          <w:rFonts w:ascii="Arial" w:hAnsi="Arial" w:cs="Arial"/>
        </w:rPr>
      </w:pPr>
      <w:r w:rsidRPr="0089553B">
        <w:rPr>
          <w:rFonts w:ascii="Arial" w:hAnsi="Arial" w:cs="Arial"/>
        </w:rPr>
        <w:t xml:space="preserve"> </w:t>
      </w:r>
    </w:p>
    <w:p w14:paraId="63E4C173" w14:textId="77777777" w:rsidR="00F04EDA" w:rsidRPr="0089553B" w:rsidRDefault="00F04EDA" w:rsidP="00132808">
      <w:pPr>
        <w:jc w:val="both"/>
        <w:rPr>
          <w:rFonts w:ascii="Arial" w:hAnsi="Arial" w:cs="Arial"/>
          <w:b/>
          <w:bCs/>
        </w:rPr>
      </w:pPr>
      <w:r w:rsidRPr="0089553B">
        <w:rPr>
          <w:rFonts w:ascii="Arial" w:hAnsi="Arial" w:cs="Arial"/>
          <w:b/>
          <w:bCs/>
        </w:rPr>
        <w:t xml:space="preserve">Student Name: </w:t>
      </w:r>
      <w:proofErr w:type="spellStart"/>
      <w:r w:rsidRPr="0089553B">
        <w:rPr>
          <w:rFonts w:ascii="Arial" w:hAnsi="Arial" w:cs="Arial"/>
          <w:b/>
          <w:bCs/>
        </w:rPr>
        <w:t>Rajveersinh</w:t>
      </w:r>
      <w:proofErr w:type="spellEnd"/>
      <w:r w:rsidRPr="0089553B">
        <w:rPr>
          <w:rFonts w:ascii="Arial" w:hAnsi="Arial" w:cs="Arial"/>
          <w:b/>
          <w:bCs/>
        </w:rPr>
        <w:t xml:space="preserve"> </w:t>
      </w:r>
      <w:proofErr w:type="spellStart"/>
      <w:r w:rsidRPr="0089553B">
        <w:rPr>
          <w:rFonts w:ascii="Arial" w:hAnsi="Arial" w:cs="Arial"/>
          <w:b/>
          <w:bCs/>
        </w:rPr>
        <w:t>Shailendrasinh</w:t>
      </w:r>
      <w:proofErr w:type="spellEnd"/>
      <w:r w:rsidRPr="0089553B">
        <w:rPr>
          <w:rFonts w:ascii="Arial" w:hAnsi="Arial" w:cs="Arial"/>
          <w:b/>
          <w:bCs/>
        </w:rPr>
        <w:t xml:space="preserve"> Rana</w:t>
      </w:r>
    </w:p>
    <w:p w14:paraId="59DE47AC" w14:textId="77777777" w:rsidR="00F04EDA" w:rsidRPr="0089553B" w:rsidRDefault="00F04EDA" w:rsidP="00132808">
      <w:pPr>
        <w:jc w:val="both"/>
        <w:rPr>
          <w:rFonts w:ascii="Arial" w:hAnsi="Arial" w:cs="Arial"/>
          <w:b/>
          <w:bCs/>
        </w:rPr>
      </w:pPr>
      <w:r w:rsidRPr="0089553B">
        <w:rPr>
          <w:rFonts w:ascii="Arial" w:hAnsi="Arial" w:cs="Arial"/>
          <w:b/>
          <w:bCs/>
        </w:rPr>
        <w:t>Student ID: 2526006</w:t>
      </w:r>
    </w:p>
    <w:p w14:paraId="3F7064BB" w14:textId="77777777" w:rsidR="00F04EDA" w:rsidRPr="0089553B" w:rsidRDefault="00F04EDA" w:rsidP="00132808">
      <w:pPr>
        <w:jc w:val="both"/>
        <w:rPr>
          <w:rFonts w:ascii="Arial" w:hAnsi="Arial" w:cs="Arial"/>
          <w:b/>
          <w:bCs/>
        </w:rPr>
      </w:pPr>
      <w:r w:rsidRPr="0089553B">
        <w:rPr>
          <w:rFonts w:ascii="Arial" w:hAnsi="Arial" w:cs="Arial"/>
          <w:b/>
          <w:bCs/>
        </w:rPr>
        <w:t>Course Name: M.Sc. Public Health and Social Care in Practice</w:t>
      </w:r>
    </w:p>
    <w:p w14:paraId="55D52C34" w14:textId="77777777" w:rsidR="00F04EDA" w:rsidRPr="0089553B" w:rsidRDefault="00F04EDA" w:rsidP="00132808">
      <w:pPr>
        <w:jc w:val="both"/>
        <w:rPr>
          <w:rFonts w:ascii="Arial" w:hAnsi="Arial" w:cs="Arial"/>
          <w:b/>
          <w:bCs/>
        </w:rPr>
      </w:pPr>
      <w:r w:rsidRPr="0089553B">
        <w:rPr>
          <w:rFonts w:ascii="Arial" w:hAnsi="Arial" w:cs="Arial"/>
          <w:b/>
          <w:bCs/>
        </w:rPr>
        <w:t>Course ID: LCHS700</w:t>
      </w:r>
      <w:r w:rsidRPr="00DD3234">
        <w:rPr>
          <w:rFonts w:ascii="Arial" w:hAnsi="Arial" w:cs="Arial"/>
          <w:b/>
          <w:bCs/>
        </w:rPr>
        <w:t>2</w:t>
      </w:r>
    </w:p>
    <w:p w14:paraId="6E0DB1A9" w14:textId="77777777" w:rsidR="00F04EDA" w:rsidRPr="0089553B" w:rsidRDefault="00F04EDA" w:rsidP="00132808">
      <w:pPr>
        <w:jc w:val="both"/>
        <w:rPr>
          <w:rFonts w:ascii="Arial" w:hAnsi="Arial" w:cs="Arial"/>
          <w:b/>
          <w:bCs/>
        </w:rPr>
      </w:pPr>
      <w:r w:rsidRPr="0089553B">
        <w:rPr>
          <w:rFonts w:ascii="Arial" w:hAnsi="Arial" w:cs="Arial"/>
          <w:b/>
          <w:bCs/>
        </w:rPr>
        <w:t xml:space="preserve">Module Name: </w:t>
      </w:r>
      <w:r w:rsidRPr="00DD3234">
        <w:rPr>
          <w:rFonts w:ascii="Arial" w:hAnsi="Arial" w:cs="Arial"/>
          <w:b/>
          <w:bCs/>
        </w:rPr>
        <w:t xml:space="preserve">Health care system organization and management </w:t>
      </w:r>
    </w:p>
    <w:p w14:paraId="1E659A61" w14:textId="77777777" w:rsidR="00F04EDA" w:rsidRDefault="00F04EDA" w:rsidP="00132808">
      <w:pPr>
        <w:jc w:val="both"/>
        <w:rPr>
          <w:rFonts w:ascii="Arial" w:hAnsi="Arial" w:cs="Arial"/>
          <w:b/>
          <w:bCs/>
        </w:rPr>
      </w:pPr>
      <w:r w:rsidRPr="0089553B">
        <w:rPr>
          <w:rFonts w:ascii="Arial" w:hAnsi="Arial" w:cs="Arial"/>
          <w:b/>
          <w:bCs/>
        </w:rPr>
        <w:t xml:space="preserve">Lecturer: Dr. </w:t>
      </w:r>
      <w:r w:rsidRPr="00DD3234">
        <w:rPr>
          <w:rFonts w:ascii="Arial" w:hAnsi="Arial" w:cs="Arial"/>
          <w:b/>
          <w:bCs/>
        </w:rPr>
        <w:t>Fahad Khan</w:t>
      </w:r>
    </w:p>
    <w:p w14:paraId="3AE049FD" w14:textId="77777777" w:rsidR="00F04EDA" w:rsidRDefault="00F04EDA" w:rsidP="00132808">
      <w:pPr>
        <w:jc w:val="both"/>
        <w:rPr>
          <w:rFonts w:ascii="Arial" w:hAnsi="Arial" w:cs="Arial"/>
        </w:rPr>
      </w:pPr>
      <w:r>
        <w:rPr>
          <w:rFonts w:ascii="Arial" w:hAnsi="Arial" w:cs="Arial"/>
          <w:b/>
          <w:bCs/>
        </w:rPr>
        <w:t xml:space="preserve">Assignment Title: </w:t>
      </w:r>
      <w:r w:rsidRPr="004D69E9">
        <w:rPr>
          <w:rFonts w:ascii="Arial" w:hAnsi="Arial" w:cs="Arial"/>
        </w:rPr>
        <w:t>Delayed Dental Care and Healthcare System Failure Leading to Fatal Outcome</w:t>
      </w:r>
    </w:p>
    <w:p w14:paraId="1ADFF30A" w14:textId="77777777" w:rsidR="0051369C" w:rsidRDefault="0051369C" w:rsidP="00132808">
      <w:pPr>
        <w:jc w:val="both"/>
        <w:rPr>
          <w:rFonts w:ascii="Arial" w:hAnsi="Arial" w:cs="Arial"/>
        </w:rPr>
      </w:pPr>
    </w:p>
    <w:p w14:paraId="426CDB40" w14:textId="77777777" w:rsidR="0051369C" w:rsidRDefault="0051369C" w:rsidP="00132808">
      <w:pPr>
        <w:jc w:val="both"/>
        <w:rPr>
          <w:rFonts w:ascii="Arial" w:hAnsi="Arial" w:cs="Arial"/>
        </w:rPr>
      </w:pPr>
    </w:p>
    <w:p w14:paraId="2FFC3159" w14:textId="77777777" w:rsidR="0051369C" w:rsidRDefault="0051369C" w:rsidP="00132808">
      <w:pPr>
        <w:jc w:val="both"/>
        <w:rPr>
          <w:rFonts w:ascii="Arial" w:hAnsi="Arial" w:cs="Arial"/>
        </w:rPr>
      </w:pPr>
    </w:p>
    <w:p w14:paraId="4333EF2A" w14:textId="77777777" w:rsidR="0051369C" w:rsidRDefault="0051369C" w:rsidP="00132808">
      <w:pPr>
        <w:jc w:val="both"/>
        <w:rPr>
          <w:rFonts w:ascii="Arial" w:hAnsi="Arial" w:cs="Arial"/>
        </w:rPr>
      </w:pPr>
    </w:p>
    <w:p w14:paraId="3540E2CE" w14:textId="77777777" w:rsidR="0051369C" w:rsidRDefault="0051369C" w:rsidP="00132808">
      <w:pPr>
        <w:jc w:val="both"/>
        <w:rPr>
          <w:rFonts w:ascii="Arial" w:hAnsi="Arial" w:cs="Arial"/>
        </w:rPr>
      </w:pPr>
    </w:p>
    <w:p w14:paraId="4C69056A" w14:textId="77777777" w:rsidR="0051369C" w:rsidRDefault="0051369C" w:rsidP="00132808">
      <w:pPr>
        <w:jc w:val="both"/>
        <w:rPr>
          <w:rFonts w:ascii="Arial" w:hAnsi="Arial" w:cs="Arial"/>
        </w:rPr>
      </w:pPr>
    </w:p>
    <w:p w14:paraId="7CF405D8" w14:textId="77777777" w:rsidR="0051369C" w:rsidRDefault="0051369C" w:rsidP="00132808">
      <w:pPr>
        <w:jc w:val="both"/>
        <w:rPr>
          <w:rFonts w:ascii="Arial" w:hAnsi="Arial" w:cs="Arial"/>
        </w:rPr>
      </w:pPr>
    </w:p>
    <w:p w14:paraId="319750FF" w14:textId="77777777" w:rsidR="0051369C" w:rsidRDefault="0051369C" w:rsidP="00132808">
      <w:pPr>
        <w:jc w:val="both"/>
        <w:rPr>
          <w:rFonts w:ascii="Arial" w:hAnsi="Arial" w:cs="Arial"/>
        </w:rPr>
      </w:pPr>
    </w:p>
    <w:p w14:paraId="644078A4" w14:textId="77777777" w:rsidR="0051369C" w:rsidRDefault="0051369C" w:rsidP="00132808">
      <w:pPr>
        <w:jc w:val="both"/>
        <w:rPr>
          <w:rFonts w:ascii="Arial" w:hAnsi="Arial" w:cs="Arial"/>
        </w:rPr>
      </w:pPr>
    </w:p>
    <w:p w14:paraId="5FABEDED" w14:textId="77777777" w:rsidR="0051369C" w:rsidRDefault="0051369C" w:rsidP="00132808">
      <w:pPr>
        <w:jc w:val="both"/>
        <w:rPr>
          <w:rFonts w:ascii="Arial" w:hAnsi="Arial" w:cs="Arial"/>
        </w:rPr>
      </w:pPr>
    </w:p>
    <w:p w14:paraId="0AC2AD21" w14:textId="77777777" w:rsidR="0051369C" w:rsidRDefault="0051369C" w:rsidP="00132808">
      <w:pPr>
        <w:jc w:val="both"/>
        <w:rPr>
          <w:rFonts w:ascii="Arial" w:hAnsi="Arial" w:cs="Arial"/>
        </w:rPr>
      </w:pPr>
    </w:p>
    <w:p w14:paraId="4C5C66A3" w14:textId="77777777" w:rsidR="0051369C" w:rsidRDefault="0051369C" w:rsidP="00132808">
      <w:pPr>
        <w:jc w:val="both"/>
        <w:rPr>
          <w:rFonts w:ascii="Arial" w:hAnsi="Arial" w:cs="Arial"/>
        </w:rPr>
      </w:pPr>
    </w:p>
    <w:p w14:paraId="48175393" w14:textId="77777777" w:rsidR="0051369C" w:rsidRDefault="0051369C" w:rsidP="00132808">
      <w:pPr>
        <w:jc w:val="both"/>
        <w:rPr>
          <w:rFonts w:ascii="Arial" w:hAnsi="Arial" w:cs="Arial"/>
        </w:rPr>
      </w:pPr>
    </w:p>
    <w:p w14:paraId="632C6ACA" w14:textId="77777777" w:rsidR="0051369C" w:rsidRDefault="0051369C" w:rsidP="00132808">
      <w:pPr>
        <w:jc w:val="both"/>
        <w:rPr>
          <w:rFonts w:ascii="Arial" w:hAnsi="Arial" w:cs="Arial"/>
        </w:rPr>
      </w:pPr>
    </w:p>
    <w:p w14:paraId="2129DA79" w14:textId="77777777" w:rsidR="0051369C" w:rsidRDefault="0051369C" w:rsidP="00132808">
      <w:pPr>
        <w:jc w:val="both"/>
        <w:rPr>
          <w:rFonts w:ascii="Arial" w:hAnsi="Arial" w:cs="Arial"/>
        </w:rPr>
      </w:pPr>
    </w:p>
    <w:p w14:paraId="208BCA2D" w14:textId="77777777" w:rsidR="0051369C" w:rsidRPr="004D69E9" w:rsidRDefault="0051369C" w:rsidP="00132808">
      <w:pPr>
        <w:jc w:val="both"/>
        <w:rPr>
          <w:rFonts w:ascii="Arial" w:hAnsi="Arial" w:cs="Arial"/>
        </w:rPr>
      </w:pPr>
    </w:p>
    <w:p w14:paraId="221A399D" w14:textId="77777777" w:rsidR="005A7019" w:rsidRDefault="005A7019" w:rsidP="00132808">
      <w:pPr>
        <w:jc w:val="both"/>
        <w:rPr>
          <w:b/>
          <w:bCs/>
        </w:rPr>
      </w:pPr>
    </w:p>
    <w:sdt>
      <w:sdtPr>
        <w:rPr>
          <w:rFonts w:asciiTheme="minorHAnsi" w:eastAsiaTheme="minorHAnsi" w:hAnsiTheme="minorHAnsi" w:cstheme="minorBidi"/>
          <w:color w:val="auto"/>
          <w:kern w:val="2"/>
          <w:sz w:val="22"/>
          <w:szCs w:val="22"/>
          <w:lang w:val="en-IN"/>
          <w14:ligatures w14:val="standardContextual"/>
        </w:rPr>
        <w:id w:val="-1506750680"/>
        <w:docPartObj>
          <w:docPartGallery w:val="Table of Contents"/>
          <w:docPartUnique/>
        </w:docPartObj>
      </w:sdtPr>
      <w:sdtEndPr>
        <w:rPr>
          <w:b/>
          <w:bCs/>
          <w:noProof/>
        </w:rPr>
      </w:sdtEndPr>
      <w:sdtContent>
        <w:p w14:paraId="34983791" w14:textId="4A44F92F" w:rsidR="00764FBE" w:rsidRPr="00475891" w:rsidRDefault="00764FBE" w:rsidP="00475891">
          <w:pPr>
            <w:pStyle w:val="TOCHeading"/>
            <w:jc w:val="center"/>
            <w:rPr>
              <w:rFonts w:ascii="Arial" w:hAnsi="Arial" w:cs="Arial"/>
              <w:b/>
              <w:bCs/>
            </w:rPr>
          </w:pPr>
          <w:r w:rsidRPr="00475891">
            <w:rPr>
              <w:rFonts w:ascii="Arial" w:hAnsi="Arial" w:cs="Arial"/>
              <w:b/>
              <w:bCs/>
            </w:rPr>
            <w:t>Table of Contents</w:t>
          </w:r>
        </w:p>
        <w:p w14:paraId="60149224" w14:textId="5B695DDB" w:rsidR="00F86908" w:rsidRDefault="00764FBE" w:rsidP="003B2AC7">
          <w:pPr>
            <w:pStyle w:val="TOC1"/>
            <w:rPr>
              <w:rFonts w:eastAsiaTheme="minorEastAsia"/>
              <w:sz w:val="24"/>
              <w:szCs w:val="24"/>
              <w:lang w:eastAsia="en-IN"/>
            </w:rPr>
          </w:pPr>
          <w:r>
            <w:rPr>
              <w:noProof w:val="0"/>
            </w:rPr>
            <w:fldChar w:fldCharType="begin"/>
          </w:r>
          <w:r>
            <w:instrText xml:space="preserve"> TOC \o "1-3" \h \z \u </w:instrText>
          </w:r>
          <w:r>
            <w:rPr>
              <w:noProof w:val="0"/>
            </w:rPr>
            <w:fldChar w:fldCharType="separate"/>
          </w:r>
          <w:hyperlink w:anchor="_Toc225360033" w:history="1">
            <w:r w:rsidR="00F86908" w:rsidRPr="00A47B2F">
              <w:rPr>
                <w:rStyle w:val="Hyperlink"/>
                <w:rFonts w:ascii="Arial" w:hAnsi="Arial" w:cs="Arial"/>
              </w:rPr>
              <w:t>Executive Summary:</w:t>
            </w:r>
            <w:r w:rsidR="00F86908">
              <w:rPr>
                <w:webHidden/>
              </w:rPr>
              <w:tab/>
            </w:r>
            <w:r w:rsidR="00F86908">
              <w:rPr>
                <w:webHidden/>
              </w:rPr>
              <w:fldChar w:fldCharType="begin"/>
            </w:r>
            <w:r w:rsidR="00F86908">
              <w:rPr>
                <w:webHidden/>
              </w:rPr>
              <w:instrText xml:space="preserve"> PAGEREF _Toc225360033 \h </w:instrText>
            </w:r>
            <w:r w:rsidR="00F86908">
              <w:rPr>
                <w:webHidden/>
              </w:rPr>
            </w:r>
            <w:r w:rsidR="00F86908">
              <w:rPr>
                <w:webHidden/>
              </w:rPr>
              <w:fldChar w:fldCharType="separate"/>
            </w:r>
            <w:r w:rsidR="00F86908">
              <w:rPr>
                <w:webHidden/>
              </w:rPr>
              <w:t>3</w:t>
            </w:r>
            <w:r w:rsidR="00F86908">
              <w:rPr>
                <w:webHidden/>
              </w:rPr>
              <w:fldChar w:fldCharType="end"/>
            </w:r>
          </w:hyperlink>
        </w:p>
        <w:p w14:paraId="10375F8C" w14:textId="3469DF60" w:rsidR="00F86908" w:rsidRDefault="00F86908" w:rsidP="003B2AC7">
          <w:pPr>
            <w:pStyle w:val="TOC1"/>
            <w:rPr>
              <w:rFonts w:eastAsiaTheme="minorEastAsia"/>
              <w:sz w:val="24"/>
              <w:szCs w:val="24"/>
              <w:lang w:eastAsia="en-IN"/>
            </w:rPr>
          </w:pPr>
          <w:hyperlink w:anchor="_Toc225360034" w:history="1">
            <w:r w:rsidRPr="00A47B2F">
              <w:rPr>
                <w:rStyle w:val="Hyperlink"/>
                <w:rFonts w:ascii="Arial" w:hAnsi="Arial" w:cs="Arial"/>
              </w:rPr>
              <w:t>Introduction:</w:t>
            </w:r>
            <w:r>
              <w:rPr>
                <w:webHidden/>
              </w:rPr>
              <w:tab/>
            </w:r>
            <w:r>
              <w:rPr>
                <w:webHidden/>
              </w:rPr>
              <w:fldChar w:fldCharType="begin"/>
            </w:r>
            <w:r>
              <w:rPr>
                <w:webHidden/>
              </w:rPr>
              <w:instrText xml:space="preserve"> PAGEREF _Toc225360034 \h </w:instrText>
            </w:r>
            <w:r>
              <w:rPr>
                <w:webHidden/>
              </w:rPr>
            </w:r>
            <w:r>
              <w:rPr>
                <w:webHidden/>
              </w:rPr>
              <w:fldChar w:fldCharType="separate"/>
            </w:r>
            <w:r>
              <w:rPr>
                <w:webHidden/>
              </w:rPr>
              <w:t>3</w:t>
            </w:r>
            <w:r>
              <w:rPr>
                <w:webHidden/>
              </w:rPr>
              <w:fldChar w:fldCharType="end"/>
            </w:r>
          </w:hyperlink>
        </w:p>
        <w:p w14:paraId="375949FD" w14:textId="2E008073" w:rsidR="00F86908" w:rsidRDefault="00F86908" w:rsidP="003B2AC7">
          <w:pPr>
            <w:pStyle w:val="TOC1"/>
            <w:rPr>
              <w:rFonts w:eastAsiaTheme="minorEastAsia"/>
              <w:sz w:val="24"/>
              <w:szCs w:val="24"/>
              <w:lang w:eastAsia="en-IN"/>
            </w:rPr>
          </w:pPr>
          <w:hyperlink w:anchor="_Toc225360035" w:history="1">
            <w:r w:rsidRPr="00A47B2F">
              <w:rPr>
                <w:rStyle w:val="Hyperlink"/>
                <w:rFonts w:ascii="Arial" w:hAnsi="Arial" w:cs="Arial"/>
              </w:rPr>
              <w:t>Principle Section</w:t>
            </w:r>
            <w:r>
              <w:rPr>
                <w:webHidden/>
              </w:rPr>
              <w:tab/>
            </w:r>
            <w:r>
              <w:rPr>
                <w:webHidden/>
              </w:rPr>
              <w:fldChar w:fldCharType="begin"/>
            </w:r>
            <w:r>
              <w:rPr>
                <w:webHidden/>
              </w:rPr>
              <w:instrText xml:space="preserve"> PAGEREF _Toc225360035 \h </w:instrText>
            </w:r>
            <w:r>
              <w:rPr>
                <w:webHidden/>
              </w:rPr>
            </w:r>
            <w:r>
              <w:rPr>
                <w:webHidden/>
              </w:rPr>
              <w:fldChar w:fldCharType="separate"/>
            </w:r>
            <w:r>
              <w:rPr>
                <w:webHidden/>
              </w:rPr>
              <w:t>4</w:t>
            </w:r>
            <w:r>
              <w:rPr>
                <w:webHidden/>
              </w:rPr>
              <w:fldChar w:fldCharType="end"/>
            </w:r>
          </w:hyperlink>
        </w:p>
        <w:p w14:paraId="7778375D" w14:textId="68FDA11A" w:rsidR="00F86908" w:rsidRDefault="00F86908">
          <w:pPr>
            <w:pStyle w:val="TOC2"/>
            <w:tabs>
              <w:tab w:val="left" w:pos="720"/>
              <w:tab w:val="right" w:leader="dot" w:pos="9016"/>
            </w:tabs>
            <w:rPr>
              <w:rFonts w:eastAsiaTheme="minorEastAsia"/>
              <w:noProof/>
              <w:sz w:val="24"/>
              <w:szCs w:val="24"/>
              <w:lang w:eastAsia="en-IN"/>
            </w:rPr>
          </w:pPr>
          <w:hyperlink w:anchor="_Toc225360036" w:history="1">
            <w:r w:rsidRPr="00A47B2F">
              <w:rPr>
                <w:rStyle w:val="Hyperlink"/>
                <w:rFonts w:ascii="Arial" w:hAnsi="Arial" w:cs="Arial"/>
                <w:b/>
                <w:bCs/>
                <w:noProof/>
              </w:rPr>
              <w:t>a.</w:t>
            </w:r>
            <w:r>
              <w:rPr>
                <w:rFonts w:eastAsiaTheme="minorEastAsia"/>
                <w:noProof/>
                <w:sz w:val="24"/>
                <w:szCs w:val="24"/>
                <w:lang w:eastAsia="en-IN"/>
              </w:rPr>
              <w:tab/>
            </w:r>
            <w:r w:rsidRPr="00A47B2F">
              <w:rPr>
                <w:rStyle w:val="Hyperlink"/>
                <w:rFonts w:ascii="Arial" w:hAnsi="Arial" w:cs="Arial"/>
                <w:b/>
                <w:bCs/>
                <w:noProof/>
              </w:rPr>
              <w:t>Global and National Statistical Context</w:t>
            </w:r>
            <w:r>
              <w:rPr>
                <w:noProof/>
                <w:webHidden/>
              </w:rPr>
              <w:tab/>
            </w:r>
            <w:r>
              <w:rPr>
                <w:noProof/>
                <w:webHidden/>
              </w:rPr>
              <w:fldChar w:fldCharType="begin"/>
            </w:r>
            <w:r>
              <w:rPr>
                <w:noProof/>
                <w:webHidden/>
              </w:rPr>
              <w:instrText xml:space="preserve"> PAGEREF _Toc225360036 \h </w:instrText>
            </w:r>
            <w:r>
              <w:rPr>
                <w:noProof/>
                <w:webHidden/>
              </w:rPr>
            </w:r>
            <w:r>
              <w:rPr>
                <w:noProof/>
                <w:webHidden/>
              </w:rPr>
              <w:fldChar w:fldCharType="separate"/>
            </w:r>
            <w:r>
              <w:rPr>
                <w:noProof/>
                <w:webHidden/>
              </w:rPr>
              <w:t>5</w:t>
            </w:r>
            <w:r>
              <w:rPr>
                <w:noProof/>
                <w:webHidden/>
              </w:rPr>
              <w:fldChar w:fldCharType="end"/>
            </w:r>
          </w:hyperlink>
        </w:p>
        <w:p w14:paraId="59F0DD6D" w14:textId="3F671610" w:rsidR="00F86908" w:rsidRDefault="00F86908">
          <w:pPr>
            <w:pStyle w:val="TOC2"/>
            <w:tabs>
              <w:tab w:val="right" w:leader="dot" w:pos="9016"/>
            </w:tabs>
            <w:rPr>
              <w:rFonts w:eastAsiaTheme="minorEastAsia"/>
              <w:noProof/>
              <w:sz w:val="24"/>
              <w:szCs w:val="24"/>
              <w:lang w:eastAsia="en-IN"/>
            </w:rPr>
          </w:pPr>
          <w:hyperlink w:anchor="_Toc225360037" w:history="1">
            <w:r w:rsidRPr="00A47B2F">
              <w:rPr>
                <w:rStyle w:val="Hyperlink"/>
                <w:rFonts w:ascii="Arial" w:hAnsi="Arial" w:cs="Arial"/>
                <w:b/>
                <w:bCs/>
                <w:noProof/>
              </w:rPr>
              <w:t>System and Governance levels weakness</w:t>
            </w:r>
            <w:r>
              <w:rPr>
                <w:noProof/>
                <w:webHidden/>
              </w:rPr>
              <w:tab/>
            </w:r>
            <w:r>
              <w:rPr>
                <w:noProof/>
                <w:webHidden/>
              </w:rPr>
              <w:fldChar w:fldCharType="begin"/>
            </w:r>
            <w:r>
              <w:rPr>
                <w:noProof/>
                <w:webHidden/>
              </w:rPr>
              <w:instrText xml:space="preserve"> PAGEREF _Toc225360037 \h </w:instrText>
            </w:r>
            <w:r>
              <w:rPr>
                <w:noProof/>
                <w:webHidden/>
              </w:rPr>
            </w:r>
            <w:r>
              <w:rPr>
                <w:noProof/>
                <w:webHidden/>
              </w:rPr>
              <w:fldChar w:fldCharType="separate"/>
            </w:r>
            <w:r>
              <w:rPr>
                <w:noProof/>
                <w:webHidden/>
              </w:rPr>
              <w:t>6</w:t>
            </w:r>
            <w:r>
              <w:rPr>
                <w:noProof/>
                <w:webHidden/>
              </w:rPr>
              <w:fldChar w:fldCharType="end"/>
            </w:r>
          </w:hyperlink>
        </w:p>
        <w:p w14:paraId="086B7525" w14:textId="02546908" w:rsidR="00F86908" w:rsidRDefault="00F86908">
          <w:pPr>
            <w:pStyle w:val="TOC2"/>
            <w:tabs>
              <w:tab w:val="right" w:leader="dot" w:pos="9016"/>
            </w:tabs>
            <w:rPr>
              <w:rFonts w:eastAsiaTheme="minorEastAsia"/>
              <w:noProof/>
              <w:sz w:val="24"/>
              <w:szCs w:val="24"/>
              <w:lang w:eastAsia="en-IN"/>
            </w:rPr>
          </w:pPr>
          <w:hyperlink w:anchor="_Toc225360038" w:history="1">
            <w:r w:rsidRPr="00A47B2F">
              <w:rPr>
                <w:rStyle w:val="Hyperlink"/>
                <w:rFonts w:ascii="Arial" w:hAnsi="Arial" w:cs="Arial"/>
                <w:b/>
                <w:bCs/>
                <w:noProof/>
              </w:rPr>
              <w:t>Underlying Challenges</w:t>
            </w:r>
            <w:r>
              <w:rPr>
                <w:noProof/>
                <w:webHidden/>
              </w:rPr>
              <w:tab/>
            </w:r>
            <w:r>
              <w:rPr>
                <w:noProof/>
                <w:webHidden/>
              </w:rPr>
              <w:fldChar w:fldCharType="begin"/>
            </w:r>
            <w:r>
              <w:rPr>
                <w:noProof/>
                <w:webHidden/>
              </w:rPr>
              <w:instrText xml:space="preserve"> PAGEREF _Toc225360038 \h </w:instrText>
            </w:r>
            <w:r>
              <w:rPr>
                <w:noProof/>
                <w:webHidden/>
              </w:rPr>
            </w:r>
            <w:r>
              <w:rPr>
                <w:noProof/>
                <w:webHidden/>
              </w:rPr>
              <w:fldChar w:fldCharType="separate"/>
            </w:r>
            <w:r>
              <w:rPr>
                <w:noProof/>
                <w:webHidden/>
              </w:rPr>
              <w:t>7</w:t>
            </w:r>
            <w:r>
              <w:rPr>
                <w:noProof/>
                <w:webHidden/>
              </w:rPr>
              <w:fldChar w:fldCharType="end"/>
            </w:r>
          </w:hyperlink>
        </w:p>
        <w:p w14:paraId="1D79B80D" w14:textId="7AEC8DB9" w:rsidR="00F86908" w:rsidRDefault="00F86908">
          <w:pPr>
            <w:pStyle w:val="TOC2"/>
            <w:tabs>
              <w:tab w:val="right" w:leader="dot" w:pos="9016"/>
            </w:tabs>
            <w:rPr>
              <w:rFonts w:eastAsiaTheme="minorEastAsia"/>
              <w:noProof/>
              <w:sz w:val="24"/>
              <w:szCs w:val="24"/>
              <w:lang w:eastAsia="en-IN"/>
            </w:rPr>
          </w:pPr>
          <w:hyperlink w:anchor="_Toc225360039" w:history="1">
            <w:r w:rsidRPr="00A47B2F">
              <w:rPr>
                <w:rStyle w:val="Hyperlink"/>
                <w:rFonts w:ascii="Arial" w:hAnsi="Arial" w:cs="Arial"/>
                <w:b/>
                <w:bCs/>
                <w:noProof/>
              </w:rPr>
              <w:t>Rich Picture</w:t>
            </w:r>
            <w:r>
              <w:rPr>
                <w:noProof/>
                <w:webHidden/>
              </w:rPr>
              <w:tab/>
            </w:r>
            <w:r>
              <w:rPr>
                <w:noProof/>
                <w:webHidden/>
              </w:rPr>
              <w:fldChar w:fldCharType="begin"/>
            </w:r>
            <w:r>
              <w:rPr>
                <w:noProof/>
                <w:webHidden/>
              </w:rPr>
              <w:instrText xml:space="preserve"> PAGEREF _Toc225360039 \h </w:instrText>
            </w:r>
            <w:r>
              <w:rPr>
                <w:noProof/>
                <w:webHidden/>
              </w:rPr>
            </w:r>
            <w:r>
              <w:rPr>
                <w:noProof/>
                <w:webHidden/>
              </w:rPr>
              <w:fldChar w:fldCharType="separate"/>
            </w:r>
            <w:r>
              <w:rPr>
                <w:noProof/>
                <w:webHidden/>
              </w:rPr>
              <w:t>7</w:t>
            </w:r>
            <w:r>
              <w:rPr>
                <w:noProof/>
                <w:webHidden/>
              </w:rPr>
              <w:fldChar w:fldCharType="end"/>
            </w:r>
          </w:hyperlink>
        </w:p>
        <w:p w14:paraId="6196999F" w14:textId="5DD2C7AB" w:rsidR="00F86908" w:rsidRDefault="00F86908" w:rsidP="003B2AC7">
          <w:pPr>
            <w:pStyle w:val="TOC1"/>
            <w:rPr>
              <w:rFonts w:eastAsiaTheme="minorEastAsia"/>
              <w:sz w:val="24"/>
              <w:szCs w:val="24"/>
              <w:lang w:eastAsia="en-IN"/>
            </w:rPr>
          </w:pPr>
          <w:hyperlink w:anchor="_Toc225360040" w:history="1">
            <w:r w:rsidRPr="00A47B2F">
              <w:rPr>
                <w:rStyle w:val="Hyperlink"/>
                <w:rFonts w:ascii="Arial" w:hAnsi="Arial" w:cs="Arial"/>
              </w:rPr>
              <w:t>b. Centralisation or Decentralisation within the Case Study</w:t>
            </w:r>
            <w:r>
              <w:rPr>
                <w:webHidden/>
              </w:rPr>
              <w:tab/>
            </w:r>
            <w:r>
              <w:rPr>
                <w:webHidden/>
              </w:rPr>
              <w:fldChar w:fldCharType="begin"/>
            </w:r>
            <w:r>
              <w:rPr>
                <w:webHidden/>
              </w:rPr>
              <w:instrText xml:space="preserve"> PAGEREF _Toc225360040 \h </w:instrText>
            </w:r>
            <w:r>
              <w:rPr>
                <w:webHidden/>
              </w:rPr>
            </w:r>
            <w:r>
              <w:rPr>
                <w:webHidden/>
              </w:rPr>
              <w:fldChar w:fldCharType="separate"/>
            </w:r>
            <w:r>
              <w:rPr>
                <w:webHidden/>
              </w:rPr>
              <w:t>9</w:t>
            </w:r>
            <w:r>
              <w:rPr>
                <w:webHidden/>
              </w:rPr>
              <w:fldChar w:fldCharType="end"/>
            </w:r>
          </w:hyperlink>
        </w:p>
        <w:p w14:paraId="69904CDD" w14:textId="702030CD" w:rsidR="00F86908" w:rsidRDefault="00F86908">
          <w:pPr>
            <w:pStyle w:val="TOC2"/>
            <w:tabs>
              <w:tab w:val="right" w:leader="dot" w:pos="9016"/>
            </w:tabs>
            <w:rPr>
              <w:rFonts w:eastAsiaTheme="minorEastAsia"/>
              <w:noProof/>
              <w:sz w:val="24"/>
              <w:szCs w:val="24"/>
              <w:lang w:eastAsia="en-IN"/>
            </w:rPr>
          </w:pPr>
          <w:hyperlink w:anchor="_Toc225360041" w:history="1">
            <w:r w:rsidRPr="00A47B2F">
              <w:rPr>
                <w:rStyle w:val="Hyperlink"/>
                <w:rFonts w:ascii="Arial" w:hAnsi="Arial" w:cs="Arial"/>
                <w:b/>
                <w:bCs/>
                <w:noProof/>
              </w:rPr>
              <w:t>Centralised System</w:t>
            </w:r>
            <w:r>
              <w:rPr>
                <w:noProof/>
                <w:webHidden/>
              </w:rPr>
              <w:tab/>
            </w:r>
            <w:r>
              <w:rPr>
                <w:noProof/>
                <w:webHidden/>
              </w:rPr>
              <w:fldChar w:fldCharType="begin"/>
            </w:r>
            <w:r>
              <w:rPr>
                <w:noProof/>
                <w:webHidden/>
              </w:rPr>
              <w:instrText xml:space="preserve"> PAGEREF _Toc225360041 \h </w:instrText>
            </w:r>
            <w:r>
              <w:rPr>
                <w:noProof/>
                <w:webHidden/>
              </w:rPr>
            </w:r>
            <w:r>
              <w:rPr>
                <w:noProof/>
                <w:webHidden/>
              </w:rPr>
              <w:fldChar w:fldCharType="separate"/>
            </w:r>
            <w:r>
              <w:rPr>
                <w:noProof/>
                <w:webHidden/>
              </w:rPr>
              <w:t>9</w:t>
            </w:r>
            <w:r>
              <w:rPr>
                <w:noProof/>
                <w:webHidden/>
              </w:rPr>
              <w:fldChar w:fldCharType="end"/>
            </w:r>
          </w:hyperlink>
        </w:p>
        <w:p w14:paraId="5FE1ADE6" w14:textId="132850F2" w:rsidR="00F86908" w:rsidRDefault="00F86908">
          <w:pPr>
            <w:pStyle w:val="TOC2"/>
            <w:tabs>
              <w:tab w:val="right" w:leader="dot" w:pos="9016"/>
            </w:tabs>
            <w:rPr>
              <w:rFonts w:eastAsiaTheme="minorEastAsia"/>
              <w:noProof/>
              <w:sz w:val="24"/>
              <w:szCs w:val="24"/>
              <w:lang w:eastAsia="en-IN"/>
            </w:rPr>
          </w:pPr>
          <w:hyperlink w:anchor="_Toc225360042" w:history="1">
            <w:r w:rsidRPr="00A47B2F">
              <w:rPr>
                <w:rStyle w:val="Hyperlink"/>
                <w:rFonts w:ascii="Arial" w:hAnsi="Arial" w:cs="Arial"/>
                <w:b/>
                <w:bCs/>
                <w:noProof/>
              </w:rPr>
              <w:t>Advantages and Disadvantages of Centralisation</w:t>
            </w:r>
            <w:r>
              <w:rPr>
                <w:noProof/>
                <w:webHidden/>
              </w:rPr>
              <w:tab/>
            </w:r>
            <w:r>
              <w:rPr>
                <w:noProof/>
                <w:webHidden/>
              </w:rPr>
              <w:fldChar w:fldCharType="begin"/>
            </w:r>
            <w:r>
              <w:rPr>
                <w:noProof/>
                <w:webHidden/>
              </w:rPr>
              <w:instrText xml:space="preserve"> PAGEREF _Toc225360042 \h </w:instrText>
            </w:r>
            <w:r>
              <w:rPr>
                <w:noProof/>
                <w:webHidden/>
              </w:rPr>
            </w:r>
            <w:r>
              <w:rPr>
                <w:noProof/>
                <w:webHidden/>
              </w:rPr>
              <w:fldChar w:fldCharType="separate"/>
            </w:r>
            <w:r>
              <w:rPr>
                <w:noProof/>
                <w:webHidden/>
              </w:rPr>
              <w:t>9</w:t>
            </w:r>
            <w:r>
              <w:rPr>
                <w:noProof/>
                <w:webHidden/>
              </w:rPr>
              <w:fldChar w:fldCharType="end"/>
            </w:r>
          </w:hyperlink>
        </w:p>
        <w:p w14:paraId="6FD934CE" w14:textId="3CEA88A6" w:rsidR="00F86908" w:rsidRDefault="00F86908">
          <w:pPr>
            <w:pStyle w:val="TOC2"/>
            <w:tabs>
              <w:tab w:val="right" w:leader="dot" w:pos="9016"/>
            </w:tabs>
            <w:rPr>
              <w:rFonts w:eastAsiaTheme="minorEastAsia"/>
              <w:noProof/>
              <w:sz w:val="24"/>
              <w:szCs w:val="24"/>
              <w:lang w:eastAsia="en-IN"/>
            </w:rPr>
          </w:pPr>
          <w:hyperlink w:anchor="_Toc225360043" w:history="1">
            <w:r w:rsidRPr="00A47B2F">
              <w:rPr>
                <w:rStyle w:val="Hyperlink"/>
                <w:rFonts w:ascii="Arial" w:hAnsi="Arial" w:cs="Arial"/>
                <w:b/>
                <w:bCs/>
                <w:noProof/>
              </w:rPr>
              <w:t>Decentralised Systems</w:t>
            </w:r>
            <w:r>
              <w:rPr>
                <w:noProof/>
                <w:webHidden/>
              </w:rPr>
              <w:tab/>
            </w:r>
            <w:r>
              <w:rPr>
                <w:noProof/>
                <w:webHidden/>
              </w:rPr>
              <w:fldChar w:fldCharType="begin"/>
            </w:r>
            <w:r>
              <w:rPr>
                <w:noProof/>
                <w:webHidden/>
              </w:rPr>
              <w:instrText xml:space="preserve"> PAGEREF _Toc225360043 \h </w:instrText>
            </w:r>
            <w:r>
              <w:rPr>
                <w:noProof/>
                <w:webHidden/>
              </w:rPr>
            </w:r>
            <w:r>
              <w:rPr>
                <w:noProof/>
                <w:webHidden/>
              </w:rPr>
              <w:fldChar w:fldCharType="separate"/>
            </w:r>
            <w:r>
              <w:rPr>
                <w:noProof/>
                <w:webHidden/>
              </w:rPr>
              <w:t>10</w:t>
            </w:r>
            <w:r>
              <w:rPr>
                <w:noProof/>
                <w:webHidden/>
              </w:rPr>
              <w:fldChar w:fldCharType="end"/>
            </w:r>
          </w:hyperlink>
        </w:p>
        <w:p w14:paraId="7ACBC462" w14:textId="03DB9806" w:rsidR="00F86908" w:rsidRDefault="00F86908">
          <w:pPr>
            <w:pStyle w:val="TOC2"/>
            <w:tabs>
              <w:tab w:val="right" w:leader="dot" w:pos="9016"/>
            </w:tabs>
            <w:rPr>
              <w:rFonts w:eastAsiaTheme="minorEastAsia"/>
              <w:noProof/>
              <w:sz w:val="24"/>
              <w:szCs w:val="24"/>
              <w:lang w:eastAsia="en-IN"/>
            </w:rPr>
          </w:pPr>
          <w:hyperlink w:anchor="_Toc225360044" w:history="1">
            <w:r w:rsidRPr="00A47B2F">
              <w:rPr>
                <w:rStyle w:val="Hyperlink"/>
                <w:rFonts w:ascii="Arial" w:hAnsi="Arial" w:cs="Arial"/>
                <w:b/>
                <w:bCs/>
                <w:noProof/>
              </w:rPr>
              <w:t>Advantages and Disadvantages of Decentralisation</w:t>
            </w:r>
            <w:r>
              <w:rPr>
                <w:noProof/>
                <w:webHidden/>
              </w:rPr>
              <w:tab/>
            </w:r>
            <w:r>
              <w:rPr>
                <w:noProof/>
                <w:webHidden/>
              </w:rPr>
              <w:fldChar w:fldCharType="begin"/>
            </w:r>
            <w:r>
              <w:rPr>
                <w:noProof/>
                <w:webHidden/>
              </w:rPr>
              <w:instrText xml:space="preserve"> PAGEREF _Toc225360044 \h </w:instrText>
            </w:r>
            <w:r>
              <w:rPr>
                <w:noProof/>
                <w:webHidden/>
              </w:rPr>
            </w:r>
            <w:r>
              <w:rPr>
                <w:noProof/>
                <w:webHidden/>
              </w:rPr>
              <w:fldChar w:fldCharType="separate"/>
            </w:r>
            <w:r>
              <w:rPr>
                <w:noProof/>
                <w:webHidden/>
              </w:rPr>
              <w:t>10</w:t>
            </w:r>
            <w:r>
              <w:rPr>
                <w:noProof/>
                <w:webHidden/>
              </w:rPr>
              <w:fldChar w:fldCharType="end"/>
            </w:r>
          </w:hyperlink>
        </w:p>
        <w:p w14:paraId="7639E60C" w14:textId="00F09CE8" w:rsidR="00F86908" w:rsidRDefault="00F86908">
          <w:pPr>
            <w:pStyle w:val="TOC2"/>
            <w:tabs>
              <w:tab w:val="right" w:leader="dot" w:pos="9016"/>
            </w:tabs>
            <w:rPr>
              <w:rFonts w:eastAsiaTheme="minorEastAsia"/>
              <w:noProof/>
              <w:sz w:val="24"/>
              <w:szCs w:val="24"/>
              <w:lang w:eastAsia="en-IN"/>
            </w:rPr>
          </w:pPr>
          <w:hyperlink w:anchor="_Toc225360045" w:history="1">
            <w:r w:rsidRPr="00A47B2F">
              <w:rPr>
                <w:rStyle w:val="Hyperlink"/>
                <w:rFonts w:ascii="Arial" w:hAnsi="Arial" w:cs="Arial"/>
                <w:b/>
                <w:bCs/>
                <w:noProof/>
              </w:rPr>
              <w:t>Centralisation and Decentralisation Comparison</w:t>
            </w:r>
            <w:r>
              <w:rPr>
                <w:noProof/>
                <w:webHidden/>
              </w:rPr>
              <w:tab/>
            </w:r>
            <w:r>
              <w:rPr>
                <w:noProof/>
                <w:webHidden/>
              </w:rPr>
              <w:fldChar w:fldCharType="begin"/>
            </w:r>
            <w:r>
              <w:rPr>
                <w:noProof/>
                <w:webHidden/>
              </w:rPr>
              <w:instrText xml:space="preserve"> PAGEREF _Toc225360045 \h </w:instrText>
            </w:r>
            <w:r>
              <w:rPr>
                <w:noProof/>
                <w:webHidden/>
              </w:rPr>
            </w:r>
            <w:r>
              <w:rPr>
                <w:noProof/>
                <w:webHidden/>
              </w:rPr>
              <w:fldChar w:fldCharType="separate"/>
            </w:r>
            <w:r>
              <w:rPr>
                <w:noProof/>
                <w:webHidden/>
              </w:rPr>
              <w:t>11</w:t>
            </w:r>
            <w:r>
              <w:rPr>
                <w:noProof/>
                <w:webHidden/>
              </w:rPr>
              <w:fldChar w:fldCharType="end"/>
            </w:r>
          </w:hyperlink>
        </w:p>
        <w:p w14:paraId="263B63B4" w14:textId="4CBDE8EA" w:rsidR="00F86908" w:rsidRDefault="00F86908" w:rsidP="003B2AC7">
          <w:pPr>
            <w:pStyle w:val="TOC1"/>
            <w:rPr>
              <w:rFonts w:eastAsiaTheme="minorEastAsia"/>
              <w:sz w:val="24"/>
              <w:szCs w:val="24"/>
              <w:lang w:eastAsia="en-IN"/>
            </w:rPr>
          </w:pPr>
          <w:hyperlink w:anchor="_Toc225360046" w:history="1">
            <w:r w:rsidRPr="00A47B2F">
              <w:rPr>
                <w:rStyle w:val="Hyperlink"/>
                <w:rFonts w:ascii="Arial" w:hAnsi="Arial" w:cs="Arial"/>
              </w:rPr>
              <w:t>c. Theory of leadership and its applicability</w:t>
            </w:r>
            <w:r>
              <w:rPr>
                <w:webHidden/>
              </w:rPr>
              <w:tab/>
            </w:r>
            <w:r>
              <w:rPr>
                <w:webHidden/>
              </w:rPr>
              <w:fldChar w:fldCharType="begin"/>
            </w:r>
            <w:r>
              <w:rPr>
                <w:webHidden/>
              </w:rPr>
              <w:instrText xml:space="preserve"> PAGEREF _Toc225360046 \h </w:instrText>
            </w:r>
            <w:r>
              <w:rPr>
                <w:webHidden/>
              </w:rPr>
            </w:r>
            <w:r>
              <w:rPr>
                <w:webHidden/>
              </w:rPr>
              <w:fldChar w:fldCharType="separate"/>
            </w:r>
            <w:r>
              <w:rPr>
                <w:webHidden/>
              </w:rPr>
              <w:t>11</w:t>
            </w:r>
            <w:r>
              <w:rPr>
                <w:webHidden/>
              </w:rPr>
              <w:fldChar w:fldCharType="end"/>
            </w:r>
          </w:hyperlink>
        </w:p>
        <w:p w14:paraId="4F6CC848" w14:textId="2684E718" w:rsidR="00F86908" w:rsidRDefault="00F86908">
          <w:pPr>
            <w:pStyle w:val="TOC2"/>
            <w:tabs>
              <w:tab w:val="right" w:leader="dot" w:pos="9016"/>
            </w:tabs>
            <w:rPr>
              <w:rFonts w:eastAsiaTheme="minorEastAsia"/>
              <w:noProof/>
              <w:sz w:val="24"/>
              <w:szCs w:val="24"/>
              <w:lang w:eastAsia="en-IN"/>
            </w:rPr>
          </w:pPr>
          <w:hyperlink w:anchor="_Toc225360047" w:history="1">
            <w:r w:rsidRPr="00A47B2F">
              <w:rPr>
                <w:rStyle w:val="Hyperlink"/>
                <w:rFonts w:ascii="Arial" w:hAnsi="Arial" w:cs="Arial"/>
                <w:b/>
                <w:bCs/>
                <w:noProof/>
              </w:rPr>
              <w:t>Behavioural Leadership Theory</w:t>
            </w:r>
            <w:r>
              <w:rPr>
                <w:noProof/>
                <w:webHidden/>
              </w:rPr>
              <w:tab/>
            </w:r>
            <w:r>
              <w:rPr>
                <w:noProof/>
                <w:webHidden/>
              </w:rPr>
              <w:fldChar w:fldCharType="begin"/>
            </w:r>
            <w:r>
              <w:rPr>
                <w:noProof/>
                <w:webHidden/>
              </w:rPr>
              <w:instrText xml:space="preserve"> PAGEREF _Toc225360047 \h </w:instrText>
            </w:r>
            <w:r>
              <w:rPr>
                <w:noProof/>
                <w:webHidden/>
              </w:rPr>
            </w:r>
            <w:r>
              <w:rPr>
                <w:noProof/>
                <w:webHidden/>
              </w:rPr>
              <w:fldChar w:fldCharType="separate"/>
            </w:r>
            <w:r>
              <w:rPr>
                <w:noProof/>
                <w:webHidden/>
              </w:rPr>
              <w:t>12</w:t>
            </w:r>
            <w:r>
              <w:rPr>
                <w:noProof/>
                <w:webHidden/>
              </w:rPr>
              <w:fldChar w:fldCharType="end"/>
            </w:r>
          </w:hyperlink>
        </w:p>
        <w:p w14:paraId="1B4C4E78" w14:textId="11CD4399" w:rsidR="00F86908" w:rsidRDefault="00F86908">
          <w:pPr>
            <w:pStyle w:val="TOC2"/>
            <w:tabs>
              <w:tab w:val="right" w:leader="dot" w:pos="9016"/>
            </w:tabs>
            <w:rPr>
              <w:rFonts w:eastAsiaTheme="minorEastAsia"/>
              <w:noProof/>
              <w:sz w:val="24"/>
              <w:szCs w:val="24"/>
              <w:lang w:eastAsia="en-IN"/>
            </w:rPr>
          </w:pPr>
          <w:hyperlink w:anchor="_Toc225360048" w:history="1">
            <w:r w:rsidRPr="00A47B2F">
              <w:rPr>
                <w:rStyle w:val="Hyperlink"/>
                <w:rFonts w:ascii="Arial" w:hAnsi="Arial" w:cs="Arial"/>
                <w:b/>
                <w:bCs/>
                <w:noProof/>
              </w:rPr>
              <w:t>Tannenbaum and Schmidt Leadership Continuum</w:t>
            </w:r>
            <w:r>
              <w:rPr>
                <w:noProof/>
                <w:webHidden/>
              </w:rPr>
              <w:tab/>
            </w:r>
            <w:r>
              <w:rPr>
                <w:noProof/>
                <w:webHidden/>
              </w:rPr>
              <w:fldChar w:fldCharType="begin"/>
            </w:r>
            <w:r>
              <w:rPr>
                <w:noProof/>
                <w:webHidden/>
              </w:rPr>
              <w:instrText xml:space="preserve"> PAGEREF _Toc225360048 \h </w:instrText>
            </w:r>
            <w:r>
              <w:rPr>
                <w:noProof/>
                <w:webHidden/>
              </w:rPr>
            </w:r>
            <w:r>
              <w:rPr>
                <w:noProof/>
                <w:webHidden/>
              </w:rPr>
              <w:fldChar w:fldCharType="separate"/>
            </w:r>
            <w:r>
              <w:rPr>
                <w:noProof/>
                <w:webHidden/>
              </w:rPr>
              <w:t>13</w:t>
            </w:r>
            <w:r>
              <w:rPr>
                <w:noProof/>
                <w:webHidden/>
              </w:rPr>
              <w:fldChar w:fldCharType="end"/>
            </w:r>
          </w:hyperlink>
        </w:p>
        <w:p w14:paraId="596B230A" w14:textId="425EEAEF" w:rsidR="00F86908" w:rsidRDefault="00F86908">
          <w:pPr>
            <w:pStyle w:val="TOC2"/>
            <w:tabs>
              <w:tab w:val="right" w:leader="dot" w:pos="9016"/>
            </w:tabs>
            <w:rPr>
              <w:rFonts w:eastAsiaTheme="minorEastAsia"/>
              <w:noProof/>
              <w:sz w:val="24"/>
              <w:szCs w:val="24"/>
              <w:lang w:eastAsia="en-IN"/>
            </w:rPr>
          </w:pPr>
          <w:hyperlink w:anchor="_Toc225360049" w:history="1">
            <w:r w:rsidRPr="00A47B2F">
              <w:rPr>
                <w:rStyle w:val="Hyperlink"/>
                <w:rFonts w:ascii="Arial" w:hAnsi="Arial" w:cs="Arial"/>
                <w:b/>
                <w:bCs/>
                <w:noProof/>
              </w:rPr>
              <w:t>Theory X and Theory Y</w:t>
            </w:r>
            <w:r>
              <w:rPr>
                <w:noProof/>
                <w:webHidden/>
              </w:rPr>
              <w:tab/>
            </w:r>
            <w:r>
              <w:rPr>
                <w:noProof/>
                <w:webHidden/>
              </w:rPr>
              <w:fldChar w:fldCharType="begin"/>
            </w:r>
            <w:r>
              <w:rPr>
                <w:noProof/>
                <w:webHidden/>
              </w:rPr>
              <w:instrText xml:space="preserve"> PAGEREF _Toc225360049 \h </w:instrText>
            </w:r>
            <w:r>
              <w:rPr>
                <w:noProof/>
                <w:webHidden/>
              </w:rPr>
            </w:r>
            <w:r>
              <w:rPr>
                <w:noProof/>
                <w:webHidden/>
              </w:rPr>
              <w:fldChar w:fldCharType="separate"/>
            </w:r>
            <w:r>
              <w:rPr>
                <w:noProof/>
                <w:webHidden/>
              </w:rPr>
              <w:t>15</w:t>
            </w:r>
            <w:r>
              <w:rPr>
                <w:noProof/>
                <w:webHidden/>
              </w:rPr>
              <w:fldChar w:fldCharType="end"/>
            </w:r>
          </w:hyperlink>
        </w:p>
        <w:p w14:paraId="7E2C217A" w14:textId="776C690D" w:rsidR="00F86908" w:rsidRDefault="00F86908" w:rsidP="003B2AC7">
          <w:pPr>
            <w:pStyle w:val="TOC1"/>
            <w:rPr>
              <w:rFonts w:eastAsiaTheme="minorEastAsia"/>
              <w:sz w:val="24"/>
              <w:szCs w:val="24"/>
              <w:lang w:eastAsia="en-IN"/>
            </w:rPr>
          </w:pPr>
          <w:hyperlink w:anchor="_Toc225360050" w:history="1">
            <w:r w:rsidRPr="00A47B2F">
              <w:rPr>
                <w:rStyle w:val="Hyperlink"/>
                <w:rFonts w:ascii="Arial" w:hAnsi="Arial" w:cs="Arial"/>
              </w:rPr>
              <w:t>d. Improvement, and Lessons Learned</w:t>
            </w:r>
            <w:r>
              <w:rPr>
                <w:webHidden/>
              </w:rPr>
              <w:tab/>
            </w:r>
            <w:r>
              <w:rPr>
                <w:webHidden/>
              </w:rPr>
              <w:fldChar w:fldCharType="begin"/>
            </w:r>
            <w:r>
              <w:rPr>
                <w:webHidden/>
              </w:rPr>
              <w:instrText xml:space="preserve"> PAGEREF _Toc225360050 \h </w:instrText>
            </w:r>
            <w:r>
              <w:rPr>
                <w:webHidden/>
              </w:rPr>
            </w:r>
            <w:r>
              <w:rPr>
                <w:webHidden/>
              </w:rPr>
              <w:fldChar w:fldCharType="separate"/>
            </w:r>
            <w:r>
              <w:rPr>
                <w:webHidden/>
              </w:rPr>
              <w:t>16</w:t>
            </w:r>
            <w:r>
              <w:rPr>
                <w:webHidden/>
              </w:rPr>
              <w:fldChar w:fldCharType="end"/>
            </w:r>
          </w:hyperlink>
        </w:p>
        <w:p w14:paraId="7E0D4645" w14:textId="4BB4F647" w:rsidR="00F86908" w:rsidRDefault="00F86908">
          <w:pPr>
            <w:pStyle w:val="TOC2"/>
            <w:tabs>
              <w:tab w:val="right" w:leader="dot" w:pos="9016"/>
            </w:tabs>
            <w:rPr>
              <w:rFonts w:eastAsiaTheme="minorEastAsia"/>
              <w:noProof/>
              <w:sz w:val="24"/>
              <w:szCs w:val="24"/>
              <w:lang w:eastAsia="en-IN"/>
            </w:rPr>
          </w:pPr>
          <w:hyperlink w:anchor="_Toc225360051" w:history="1">
            <w:r w:rsidRPr="00A47B2F">
              <w:rPr>
                <w:rStyle w:val="Hyperlink"/>
                <w:rFonts w:ascii="Arial" w:hAnsi="Arial" w:cs="Arial"/>
                <w:b/>
                <w:bCs/>
                <w:noProof/>
              </w:rPr>
              <w:t>Leadership and Governance Interaction</w:t>
            </w:r>
            <w:r>
              <w:rPr>
                <w:noProof/>
                <w:webHidden/>
              </w:rPr>
              <w:tab/>
            </w:r>
            <w:r>
              <w:rPr>
                <w:noProof/>
                <w:webHidden/>
              </w:rPr>
              <w:fldChar w:fldCharType="begin"/>
            </w:r>
            <w:r>
              <w:rPr>
                <w:noProof/>
                <w:webHidden/>
              </w:rPr>
              <w:instrText xml:space="preserve"> PAGEREF _Toc225360051 \h </w:instrText>
            </w:r>
            <w:r>
              <w:rPr>
                <w:noProof/>
                <w:webHidden/>
              </w:rPr>
            </w:r>
            <w:r>
              <w:rPr>
                <w:noProof/>
                <w:webHidden/>
              </w:rPr>
              <w:fldChar w:fldCharType="separate"/>
            </w:r>
            <w:r>
              <w:rPr>
                <w:noProof/>
                <w:webHidden/>
              </w:rPr>
              <w:t>16</w:t>
            </w:r>
            <w:r>
              <w:rPr>
                <w:noProof/>
                <w:webHidden/>
              </w:rPr>
              <w:fldChar w:fldCharType="end"/>
            </w:r>
          </w:hyperlink>
        </w:p>
        <w:p w14:paraId="5E4DB622" w14:textId="021A1C9C" w:rsidR="00F86908" w:rsidRDefault="00F86908">
          <w:pPr>
            <w:pStyle w:val="TOC2"/>
            <w:tabs>
              <w:tab w:val="right" w:leader="dot" w:pos="9016"/>
            </w:tabs>
            <w:rPr>
              <w:rFonts w:eastAsiaTheme="minorEastAsia"/>
              <w:noProof/>
              <w:sz w:val="24"/>
              <w:szCs w:val="24"/>
              <w:lang w:eastAsia="en-IN"/>
            </w:rPr>
          </w:pPr>
          <w:hyperlink w:anchor="_Toc225360052" w:history="1">
            <w:r w:rsidRPr="00A47B2F">
              <w:rPr>
                <w:rStyle w:val="Hyperlink"/>
                <w:rFonts w:ascii="Arial" w:hAnsi="Arial" w:cs="Arial"/>
                <w:b/>
                <w:bCs/>
                <w:noProof/>
              </w:rPr>
              <w:t>Missed Opportunities and Solutions</w:t>
            </w:r>
            <w:r>
              <w:rPr>
                <w:noProof/>
                <w:webHidden/>
              </w:rPr>
              <w:tab/>
            </w:r>
            <w:r>
              <w:rPr>
                <w:noProof/>
                <w:webHidden/>
              </w:rPr>
              <w:fldChar w:fldCharType="begin"/>
            </w:r>
            <w:r>
              <w:rPr>
                <w:noProof/>
                <w:webHidden/>
              </w:rPr>
              <w:instrText xml:space="preserve"> PAGEREF _Toc225360052 \h </w:instrText>
            </w:r>
            <w:r>
              <w:rPr>
                <w:noProof/>
                <w:webHidden/>
              </w:rPr>
            </w:r>
            <w:r>
              <w:rPr>
                <w:noProof/>
                <w:webHidden/>
              </w:rPr>
              <w:fldChar w:fldCharType="separate"/>
            </w:r>
            <w:r>
              <w:rPr>
                <w:noProof/>
                <w:webHidden/>
              </w:rPr>
              <w:t>17</w:t>
            </w:r>
            <w:r>
              <w:rPr>
                <w:noProof/>
                <w:webHidden/>
              </w:rPr>
              <w:fldChar w:fldCharType="end"/>
            </w:r>
          </w:hyperlink>
        </w:p>
        <w:p w14:paraId="665113EF" w14:textId="2071E497" w:rsidR="00F86908" w:rsidRDefault="00F86908" w:rsidP="003B2AC7">
          <w:pPr>
            <w:pStyle w:val="TOC1"/>
            <w:rPr>
              <w:rFonts w:eastAsiaTheme="minorEastAsia"/>
              <w:sz w:val="24"/>
              <w:szCs w:val="24"/>
              <w:lang w:eastAsia="en-IN"/>
            </w:rPr>
          </w:pPr>
          <w:hyperlink w:anchor="_Toc225360053" w:history="1">
            <w:r w:rsidRPr="00A47B2F">
              <w:rPr>
                <w:rStyle w:val="Hyperlink"/>
                <w:rFonts w:ascii="Arial" w:hAnsi="Arial" w:cs="Arial"/>
              </w:rPr>
              <w:t>Recommendation</w:t>
            </w:r>
            <w:r>
              <w:rPr>
                <w:webHidden/>
              </w:rPr>
              <w:tab/>
            </w:r>
            <w:r>
              <w:rPr>
                <w:webHidden/>
              </w:rPr>
              <w:fldChar w:fldCharType="begin"/>
            </w:r>
            <w:r>
              <w:rPr>
                <w:webHidden/>
              </w:rPr>
              <w:instrText xml:space="preserve"> PAGEREF _Toc225360053 \h </w:instrText>
            </w:r>
            <w:r>
              <w:rPr>
                <w:webHidden/>
              </w:rPr>
            </w:r>
            <w:r>
              <w:rPr>
                <w:webHidden/>
              </w:rPr>
              <w:fldChar w:fldCharType="separate"/>
            </w:r>
            <w:r>
              <w:rPr>
                <w:webHidden/>
              </w:rPr>
              <w:t>18</w:t>
            </w:r>
            <w:r>
              <w:rPr>
                <w:webHidden/>
              </w:rPr>
              <w:fldChar w:fldCharType="end"/>
            </w:r>
          </w:hyperlink>
        </w:p>
        <w:p w14:paraId="4F76B301" w14:textId="60A870BB" w:rsidR="00F86908" w:rsidRDefault="00F86908">
          <w:pPr>
            <w:pStyle w:val="TOC2"/>
            <w:tabs>
              <w:tab w:val="left" w:pos="720"/>
              <w:tab w:val="right" w:leader="dot" w:pos="9016"/>
            </w:tabs>
            <w:rPr>
              <w:rFonts w:eastAsiaTheme="minorEastAsia"/>
              <w:noProof/>
              <w:sz w:val="24"/>
              <w:szCs w:val="24"/>
              <w:lang w:eastAsia="en-IN"/>
            </w:rPr>
          </w:pPr>
          <w:hyperlink w:anchor="_Toc225360054" w:history="1">
            <w:r w:rsidRPr="00A47B2F">
              <w:rPr>
                <w:rStyle w:val="Hyperlink"/>
                <w:rFonts w:ascii="Arial" w:hAnsi="Arial" w:cs="Arial"/>
                <w:b/>
                <w:bCs/>
                <w:noProof/>
              </w:rPr>
              <w:t>1.</w:t>
            </w:r>
            <w:r>
              <w:rPr>
                <w:rFonts w:eastAsiaTheme="minorEastAsia"/>
                <w:noProof/>
                <w:sz w:val="24"/>
                <w:szCs w:val="24"/>
                <w:lang w:eastAsia="en-IN"/>
              </w:rPr>
              <w:tab/>
            </w:r>
            <w:r w:rsidRPr="00A47B2F">
              <w:rPr>
                <w:rStyle w:val="Hyperlink"/>
                <w:rFonts w:ascii="Arial" w:hAnsi="Arial" w:cs="Arial"/>
                <w:b/>
                <w:bCs/>
                <w:noProof/>
              </w:rPr>
              <w:t>Leadership Reform and Sustaining Improvement</w:t>
            </w:r>
            <w:r>
              <w:rPr>
                <w:noProof/>
                <w:webHidden/>
              </w:rPr>
              <w:tab/>
            </w:r>
            <w:r>
              <w:rPr>
                <w:noProof/>
                <w:webHidden/>
              </w:rPr>
              <w:fldChar w:fldCharType="begin"/>
            </w:r>
            <w:r>
              <w:rPr>
                <w:noProof/>
                <w:webHidden/>
              </w:rPr>
              <w:instrText xml:space="preserve"> PAGEREF _Toc225360054 \h </w:instrText>
            </w:r>
            <w:r>
              <w:rPr>
                <w:noProof/>
                <w:webHidden/>
              </w:rPr>
            </w:r>
            <w:r>
              <w:rPr>
                <w:noProof/>
                <w:webHidden/>
              </w:rPr>
              <w:fldChar w:fldCharType="separate"/>
            </w:r>
            <w:r>
              <w:rPr>
                <w:noProof/>
                <w:webHidden/>
              </w:rPr>
              <w:t>18</w:t>
            </w:r>
            <w:r>
              <w:rPr>
                <w:noProof/>
                <w:webHidden/>
              </w:rPr>
              <w:fldChar w:fldCharType="end"/>
            </w:r>
          </w:hyperlink>
        </w:p>
        <w:p w14:paraId="17BE1EE2" w14:textId="59F08662" w:rsidR="00F86908" w:rsidRDefault="00F86908">
          <w:pPr>
            <w:pStyle w:val="TOC2"/>
            <w:tabs>
              <w:tab w:val="left" w:pos="720"/>
              <w:tab w:val="right" w:leader="dot" w:pos="9016"/>
            </w:tabs>
            <w:rPr>
              <w:rFonts w:eastAsiaTheme="minorEastAsia"/>
              <w:noProof/>
              <w:sz w:val="24"/>
              <w:szCs w:val="24"/>
              <w:lang w:eastAsia="en-IN"/>
            </w:rPr>
          </w:pPr>
          <w:hyperlink w:anchor="_Toc225360055" w:history="1">
            <w:r w:rsidRPr="00A47B2F">
              <w:rPr>
                <w:rStyle w:val="Hyperlink"/>
                <w:rFonts w:ascii="Arial" w:hAnsi="Arial" w:cs="Arial"/>
                <w:b/>
                <w:bCs/>
                <w:noProof/>
              </w:rPr>
              <w:t>2.</w:t>
            </w:r>
            <w:r>
              <w:rPr>
                <w:rFonts w:eastAsiaTheme="minorEastAsia"/>
                <w:noProof/>
                <w:sz w:val="24"/>
                <w:szCs w:val="24"/>
                <w:lang w:eastAsia="en-IN"/>
              </w:rPr>
              <w:tab/>
            </w:r>
            <w:r w:rsidRPr="00A47B2F">
              <w:rPr>
                <w:rStyle w:val="Hyperlink"/>
                <w:rFonts w:ascii="Arial" w:hAnsi="Arial" w:cs="Arial"/>
                <w:b/>
                <w:bCs/>
                <w:noProof/>
              </w:rPr>
              <w:t>Strengthening Governance and Communication</w:t>
            </w:r>
            <w:r>
              <w:rPr>
                <w:noProof/>
                <w:webHidden/>
              </w:rPr>
              <w:tab/>
            </w:r>
            <w:r>
              <w:rPr>
                <w:noProof/>
                <w:webHidden/>
              </w:rPr>
              <w:fldChar w:fldCharType="begin"/>
            </w:r>
            <w:r>
              <w:rPr>
                <w:noProof/>
                <w:webHidden/>
              </w:rPr>
              <w:instrText xml:space="preserve"> PAGEREF _Toc225360055 \h </w:instrText>
            </w:r>
            <w:r>
              <w:rPr>
                <w:noProof/>
                <w:webHidden/>
              </w:rPr>
            </w:r>
            <w:r>
              <w:rPr>
                <w:noProof/>
                <w:webHidden/>
              </w:rPr>
              <w:fldChar w:fldCharType="separate"/>
            </w:r>
            <w:r>
              <w:rPr>
                <w:noProof/>
                <w:webHidden/>
              </w:rPr>
              <w:t>18</w:t>
            </w:r>
            <w:r>
              <w:rPr>
                <w:noProof/>
                <w:webHidden/>
              </w:rPr>
              <w:fldChar w:fldCharType="end"/>
            </w:r>
          </w:hyperlink>
        </w:p>
        <w:p w14:paraId="73B37EB1" w14:textId="381E7A7D" w:rsidR="00F86908" w:rsidRDefault="00F86908">
          <w:pPr>
            <w:pStyle w:val="TOC2"/>
            <w:tabs>
              <w:tab w:val="left" w:pos="720"/>
              <w:tab w:val="right" w:leader="dot" w:pos="9016"/>
            </w:tabs>
            <w:rPr>
              <w:rFonts w:eastAsiaTheme="minorEastAsia"/>
              <w:noProof/>
              <w:sz w:val="24"/>
              <w:szCs w:val="24"/>
              <w:lang w:eastAsia="en-IN"/>
            </w:rPr>
          </w:pPr>
          <w:hyperlink w:anchor="_Toc225360056" w:history="1">
            <w:r w:rsidRPr="00A47B2F">
              <w:rPr>
                <w:rStyle w:val="Hyperlink"/>
                <w:rFonts w:ascii="Arial" w:hAnsi="Arial" w:cs="Arial"/>
                <w:b/>
                <w:bCs/>
                <w:noProof/>
              </w:rPr>
              <w:t>3.</w:t>
            </w:r>
            <w:r>
              <w:rPr>
                <w:rFonts w:eastAsiaTheme="minorEastAsia"/>
                <w:noProof/>
                <w:sz w:val="24"/>
                <w:szCs w:val="24"/>
                <w:lang w:eastAsia="en-IN"/>
              </w:rPr>
              <w:tab/>
            </w:r>
            <w:r w:rsidRPr="00A47B2F">
              <w:rPr>
                <w:rStyle w:val="Hyperlink"/>
                <w:rFonts w:ascii="Arial" w:hAnsi="Arial" w:cs="Arial"/>
                <w:b/>
                <w:bCs/>
                <w:noProof/>
              </w:rPr>
              <w:t>Continuous Learning and Quality Improvement</w:t>
            </w:r>
            <w:r>
              <w:rPr>
                <w:noProof/>
                <w:webHidden/>
              </w:rPr>
              <w:tab/>
            </w:r>
            <w:r>
              <w:rPr>
                <w:noProof/>
                <w:webHidden/>
              </w:rPr>
              <w:fldChar w:fldCharType="begin"/>
            </w:r>
            <w:r>
              <w:rPr>
                <w:noProof/>
                <w:webHidden/>
              </w:rPr>
              <w:instrText xml:space="preserve"> PAGEREF _Toc225360056 \h </w:instrText>
            </w:r>
            <w:r>
              <w:rPr>
                <w:noProof/>
                <w:webHidden/>
              </w:rPr>
            </w:r>
            <w:r>
              <w:rPr>
                <w:noProof/>
                <w:webHidden/>
              </w:rPr>
              <w:fldChar w:fldCharType="separate"/>
            </w:r>
            <w:r>
              <w:rPr>
                <w:noProof/>
                <w:webHidden/>
              </w:rPr>
              <w:t>18</w:t>
            </w:r>
            <w:r>
              <w:rPr>
                <w:noProof/>
                <w:webHidden/>
              </w:rPr>
              <w:fldChar w:fldCharType="end"/>
            </w:r>
          </w:hyperlink>
        </w:p>
        <w:p w14:paraId="48104E27" w14:textId="3820FCCA" w:rsidR="00F86908" w:rsidRDefault="00F86908">
          <w:pPr>
            <w:pStyle w:val="TOC2"/>
            <w:tabs>
              <w:tab w:val="left" w:pos="720"/>
              <w:tab w:val="right" w:leader="dot" w:pos="9016"/>
            </w:tabs>
            <w:rPr>
              <w:rFonts w:eastAsiaTheme="minorEastAsia"/>
              <w:noProof/>
              <w:sz w:val="24"/>
              <w:szCs w:val="24"/>
              <w:lang w:eastAsia="en-IN"/>
            </w:rPr>
          </w:pPr>
          <w:hyperlink w:anchor="_Toc225360057" w:history="1">
            <w:r w:rsidRPr="00A47B2F">
              <w:rPr>
                <w:rStyle w:val="Hyperlink"/>
                <w:rFonts w:ascii="Arial" w:hAnsi="Arial" w:cs="Arial"/>
                <w:b/>
                <w:bCs/>
                <w:noProof/>
              </w:rPr>
              <w:t>4.</w:t>
            </w:r>
            <w:r>
              <w:rPr>
                <w:rFonts w:eastAsiaTheme="minorEastAsia"/>
                <w:noProof/>
                <w:sz w:val="24"/>
                <w:szCs w:val="24"/>
                <w:lang w:eastAsia="en-IN"/>
              </w:rPr>
              <w:tab/>
            </w:r>
            <w:r w:rsidRPr="00A47B2F">
              <w:rPr>
                <w:rStyle w:val="Hyperlink"/>
                <w:rFonts w:ascii="Arial" w:hAnsi="Arial" w:cs="Arial"/>
                <w:b/>
                <w:bCs/>
                <w:noProof/>
              </w:rPr>
              <w:t>Stakeholder Engagement and Co</w:t>
            </w:r>
            <w:r w:rsidRPr="00A47B2F">
              <w:rPr>
                <w:rStyle w:val="Hyperlink"/>
                <w:rFonts w:ascii="Cambria Math" w:hAnsi="Cambria Math" w:cs="Cambria Math"/>
                <w:b/>
                <w:bCs/>
                <w:noProof/>
              </w:rPr>
              <w:t>‑</w:t>
            </w:r>
            <w:r w:rsidRPr="00A47B2F">
              <w:rPr>
                <w:rStyle w:val="Hyperlink"/>
                <w:rFonts w:ascii="Arial" w:hAnsi="Arial" w:cs="Arial"/>
                <w:b/>
                <w:bCs/>
                <w:noProof/>
              </w:rPr>
              <w:t>Production</w:t>
            </w:r>
            <w:r>
              <w:rPr>
                <w:noProof/>
                <w:webHidden/>
              </w:rPr>
              <w:tab/>
            </w:r>
            <w:r>
              <w:rPr>
                <w:noProof/>
                <w:webHidden/>
              </w:rPr>
              <w:fldChar w:fldCharType="begin"/>
            </w:r>
            <w:r>
              <w:rPr>
                <w:noProof/>
                <w:webHidden/>
              </w:rPr>
              <w:instrText xml:space="preserve"> PAGEREF _Toc225360057 \h </w:instrText>
            </w:r>
            <w:r>
              <w:rPr>
                <w:noProof/>
                <w:webHidden/>
              </w:rPr>
            </w:r>
            <w:r>
              <w:rPr>
                <w:noProof/>
                <w:webHidden/>
              </w:rPr>
              <w:fldChar w:fldCharType="separate"/>
            </w:r>
            <w:r>
              <w:rPr>
                <w:noProof/>
                <w:webHidden/>
              </w:rPr>
              <w:t>19</w:t>
            </w:r>
            <w:r>
              <w:rPr>
                <w:noProof/>
                <w:webHidden/>
              </w:rPr>
              <w:fldChar w:fldCharType="end"/>
            </w:r>
          </w:hyperlink>
        </w:p>
        <w:p w14:paraId="3492FFC4" w14:textId="4FE9BFC6" w:rsidR="00F86908" w:rsidRDefault="00F86908" w:rsidP="003B2AC7">
          <w:pPr>
            <w:pStyle w:val="TOC1"/>
            <w:rPr>
              <w:rFonts w:eastAsiaTheme="minorEastAsia"/>
              <w:sz w:val="24"/>
              <w:szCs w:val="24"/>
              <w:lang w:eastAsia="en-IN"/>
            </w:rPr>
          </w:pPr>
          <w:hyperlink w:anchor="_Toc225360058" w:history="1">
            <w:r w:rsidRPr="00A47B2F">
              <w:rPr>
                <w:rStyle w:val="Hyperlink"/>
                <w:rFonts w:ascii="Arial" w:hAnsi="Arial" w:cs="Arial"/>
              </w:rPr>
              <w:t>Conclusion</w:t>
            </w:r>
            <w:r>
              <w:rPr>
                <w:webHidden/>
              </w:rPr>
              <w:tab/>
            </w:r>
            <w:r>
              <w:rPr>
                <w:webHidden/>
              </w:rPr>
              <w:fldChar w:fldCharType="begin"/>
            </w:r>
            <w:r>
              <w:rPr>
                <w:webHidden/>
              </w:rPr>
              <w:instrText xml:space="preserve"> PAGEREF _Toc225360058 \h </w:instrText>
            </w:r>
            <w:r>
              <w:rPr>
                <w:webHidden/>
              </w:rPr>
            </w:r>
            <w:r>
              <w:rPr>
                <w:webHidden/>
              </w:rPr>
              <w:fldChar w:fldCharType="separate"/>
            </w:r>
            <w:r>
              <w:rPr>
                <w:webHidden/>
              </w:rPr>
              <w:t>19</w:t>
            </w:r>
            <w:r>
              <w:rPr>
                <w:webHidden/>
              </w:rPr>
              <w:fldChar w:fldCharType="end"/>
            </w:r>
          </w:hyperlink>
        </w:p>
        <w:p w14:paraId="066AD4A1" w14:textId="1E9374D2" w:rsidR="00F86908" w:rsidRPr="003B2AC7" w:rsidRDefault="00F86908" w:rsidP="003B2AC7">
          <w:pPr>
            <w:pStyle w:val="TOC1"/>
            <w:rPr>
              <w:rFonts w:eastAsiaTheme="minorEastAsia"/>
              <w:sz w:val="24"/>
              <w:szCs w:val="24"/>
              <w:lang w:eastAsia="en-IN"/>
            </w:rPr>
          </w:pPr>
          <w:hyperlink w:anchor="_Toc225360059" w:history="1">
            <w:r w:rsidRPr="003B2AC7">
              <w:rPr>
                <w:rStyle w:val="Hyperlink"/>
                <w:b w:val="0"/>
                <w:bCs w:val="0"/>
              </w:rPr>
              <w:t>References</w:t>
            </w:r>
            <w:r w:rsidRPr="003B2AC7">
              <w:rPr>
                <w:webHidden/>
              </w:rPr>
              <w:tab/>
            </w:r>
            <w:r w:rsidRPr="003B2AC7">
              <w:rPr>
                <w:webHidden/>
              </w:rPr>
              <w:fldChar w:fldCharType="begin"/>
            </w:r>
            <w:r w:rsidRPr="003B2AC7">
              <w:rPr>
                <w:webHidden/>
              </w:rPr>
              <w:instrText xml:space="preserve"> PAGEREF _Toc225360059 \h </w:instrText>
            </w:r>
            <w:r w:rsidRPr="003B2AC7">
              <w:rPr>
                <w:webHidden/>
              </w:rPr>
            </w:r>
            <w:r w:rsidRPr="003B2AC7">
              <w:rPr>
                <w:webHidden/>
              </w:rPr>
              <w:fldChar w:fldCharType="separate"/>
            </w:r>
            <w:r w:rsidRPr="003B2AC7">
              <w:rPr>
                <w:webHidden/>
              </w:rPr>
              <w:t>20</w:t>
            </w:r>
            <w:r w:rsidRPr="003B2AC7">
              <w:rPr>
                <w:webHidden/>
              </w:rPr>
              <w:fldChar w:fldCharType="end"/>
            </w:r>
          </w:hyperlink>
        </w:p>
        <w:p w14:paraId="4E987D62" w14:textId="4B6BD079" w:rsidR="00764FBE" w:rsidRDefault="00764FBE">
          <w:r>
            <w:rPr>
              <w:b/>
              <w:bCs/>
              <w:noProof/>
            </w:rPr>
            <w:fldChar w:fldCharType="end"/>
          </w:r>
        </w:p>
      </w:sdtContent>
    </w:sdt>
    <w:p w14:paraId="2BFA18DA" w14:textId="77777777" w:rsidR="00764FBE" w:rsidRDefault="00764FBE" w:rsidP="00132808">
      <w:pPr>
        <w:jc w:val="both"/>
        <w:rPr>
          <w:b/>
          <w:bCs/>
        </w:rPr>
      </w:pPr>
    </w:p>
    <w:p w14:paraId="014689A1" w14:textId="77777777" w:rsidR="005A7019" w:rsidRDefault="005A7019" w:rsidP="00132808">
      <w:pPr>
        <w:jc w:val="both"/>
        <w:rPr>
          <w:b/>
          <w:bCs/>
        </w:rPr>
      </w:pPr>
    </w:p>
    <w:p w14:paraId="38291BE4" w14:textId="77777777" w:rsidR="005A7019" w:rsidRDefault="005A7019" w:rsidP="00132808">
      <w:pPr>
        <w:jc w:val="both"/>
        <w:rPr>
          <w:b/>
          <w:bCs/>
        </w:rPr>
      </w:pPr>
    </w:p>
    <w:p w14:paraId="081E55E7" w14:textId="77777777" w:rsidR="005A7019" w:rsidRDefault="005A7019" w:rsidP="00132808">
      <w:pPr>
        <w:jc w:val="both"/>
        <w:rPr>
          <w:b/>
          <w:bCs/>
        </w:rPr>
      </w:pPr>
    </w:p>
    <w:p w14:paraId="07440CAC" w14:textId="77777777" w:rsidR="000C0D2F" w:rsidRDefault="000C0D2F" w:rsidP="00132808">
      <w:pPr>
        <w:jc w:val="both"/>
        <w:rPr>
          <w:b/>
          <w:bCs/>
        </w:rPr>
      </w:pPr>
    </w:p>
    <w:p w14:paraId="44DC7F6E" w14:textId="6122172E" w:rsidR="005C40A3" w:rsidRPr="0051369C" w:rsidRDefault="00415622" w:rsidP="00B71A77">
      <w:pPr>
        <w:pStyle w:val="Heading1"/>
        <w:rPr>
          <w:rFonts w:ascii="Arial" w:hAnsi="Arial" w:cs="Arial"/>
          <w:b/>
          <w:bCs/>
          <w:sz w:val="22"/>
          <w:szCs w:val="22"/>
        </w:rPr>
      </w:pPr>
      <w:bookmarkStart w:id="0" w:name="_Toc225360033"/>
      <w:r w:rsidRPr="0051369C">
        <w:rPr>
          <w:rFonts w:ascii="Arial" w:hAnsi="Arial" w:cs="Arial"/>
          <w:b/>
          <w:bCs/>
          <w:sz w:val="22"/>
          <w:szCs w:val="22"/>
        </w:rPr>
        <w:t>Ex</w:t>
      </w:r>
      <w:r w:rsidR="006A0633" w:rsidRPr="0051369C">
        <w:rPr>
          <w:rFonts w:ascii="Arial" w:hAnsi="Arial" w:cs="Arial"/>
          <w:b/>
          <w:bCs/>
          <w:sz w:val="22"/>
          <w:szCs w:val="22"/>
        </w:rPr>
        <w:t>ecutive Summary:</w:t>
      </w:r>
      <w:bookmarkEnd w:id="0"/>
      <w:r w:rsidR="006A0633" w:rsidRPr="0051369C">
        <w:rPr>
          <w:rFonts w:ascii="Arial" w:hAnsi="Arial" w:cs="Arial"/>
          <w:b/>
          <w:bCs/>
          <w:sz w:val="22"/>
          <w:szCs w:val="22"/>
        </w:rPr>
        <w:t xml:space="preserve"> </w:t>
      </w:r>
    </w:p>
    <w:p w14:paraId="594F1EBB" w14:textId="10503ED1" w:rsidR="0054592F" w:rsidRPr="00B5547E" w:rsidRDefault="0054592F" w:rsidP="00132808">
      <w:pPr>
        <w:spacing w:line="360" w:lineRule="auto"/>
        <w:jc w:val="both"/>
        <w:rPr>
          <w:rFonts w:ascii="Arial" w:hAnsi="Arial" w:cs="Arial"/>
        </w:rPr>
      </w:pPr>
      <w:r w:rsidRPr="00B5547E">
        <w:rPr>
          <w:rFonts w:ascii="Arial" w:hAnsi="Arial" w:cs="Arial"/>
        </w:rPr>
        <w:t>The death of Leigh Rodgers, a 34-year-old mother, highlights serious concerns about delayed access to NHS dental care. After experiencing severe dental pain for several weeks and being unable to secure an NHS dental appointment, her condition worsened and she was admitted to hospital with a suspected dental abscess. Doctors arranged a CT scan to rule out serious infection such as Ludwig’s angina, but Rodgers suffered a rare anaphylactic reaction to the contrast medium and died about 90 minutes later despite medical treatment (BBC News, 2024).</w:t>
      </w:r>
    </w:p>
    <w:p w14:paraId="4A95C927" w14:textId="54B78959" w:rsidR="00B5547E" w:rsidRPr="0051369C" w:rsidRDefault="0054592F" w:rsidP="0051369C">
      <w:pPr>
        <w:spacing w:line="360" w:lineRule="auto"/>
        <w:jc w:val="both"/>
        <w:rPr>
          <w:rFonts w:ascii="Arial" w:hAnsi="Arial" w:cs="Arial"/>
        </w:rPr>
      </w:pPr>
      <w:r w:rsidRPr="00B5547E">
        <w:rPr>
          <w:rFonts w:ascii="Arial" w:hAnsi="Arial" w:cs="Arial"/>
        </w:rPr>
        <w:t>Although the immediate cause of death was a rare allergic reaction, the case reflects wider pressures within NHS dental services. Her family argued that earlier access to routine dental care might have prevented the escalation of her condition. Increasing shortages of dentists, long waiting times, and limited urgent appointments continue to affect access to care. Data from NHS Resolution also shows rising dental negligence claims in recent years, further highlighting systemic challenges in NHS dental services.</w:t>
      </w:r>
    </w:p>
    <w:p w14:paraId="13FDA972" w14:textId="38BAD474" w:rsidR="000C0D2F" w:rsidRPr="0051369C" w:rsidRDefault="000C0D2F" w:rsidP="00B71A77">
      <w:pPr>
        <w:pStyle w:val="Heading1"/>
        <w:rPr>
          <w:rFonts w:ascii="Arial" w:hAnsi="Arial" w:cs="Arial"/>
          <w:b/>
          <w:bCs/>
          <w:sz w:val="22"/>
          <w:szCs w:val="22"/>
        </w:rPr>
      </w:pPr>
      <w:bookmarkStart w:id="1" w:name="_Toc225360034"/>
      <w:r w:rsidRPr="0051369C">
        <w:rPr>
          <w:rFonts w:ascii="Arial" w:hAnsi="Arial" w:cs="Arial"/>
          <w:b/>
          <w:bCs/>
          <w:sz w:val="22"/>
          <w:szCs w:val="22"/>
        </w:rPr>
        <w:t>Introduction:</w:t>
      </w:r>
      <w:bookmarkEnd w:id="1"/>
      <w:r w:rsidRPr="0051369C">
        <w:rPr>
          <w:rFonts w:ascii="Arial" w:hAnsi="Arial" w:cs="Arial"/>
          <w:b/>
          <w:bCs/>
          <w:sz w:val="22"/>
          <w:szCs w:val="22"/>
        </w:rPr>
        <w:t xml:space="preserve"> </w:t>
      </w:r>
    </w:p>
    <w:p w14:paraId="6AD3D2B0" w14:textId="4B1960C6" w:rsidR="00773312" w:rsidRDefault="00773312" w:rsidP="00132808">
      <w:pPr>
        <w:spacing w:line="360" w:lineRule="auto"/>
        <w:jc w:val="both"/>
        <w:rPr>
          <w:rFonts w:ascii="Arial" w:hAnsi="Arial" w:cs="Arial"/>
        </w:rPr>
      </w:pPr>
      <w:r w:rsidRPr="00773312">
        <w:rPr>
          <w:rFonts w:ascii="Arial" w:hAnsi="Arial" w:cs="Arial"/>
        </w:rPr>
        <w:t>Leadership in health and social care can be understood as the ability to influence, guide and motivate individuals or teams to work together towards shared goals, particularly those aimed at improving patient outcomes, service quality and organisational effectiveness. Effective leadership plays an essential role in encouraging collaboration among healthcare professionals from different disciplines and supporting evidence-based decision-making in clinical practice. It also contributes to the development of a positive organisational culture where patient safety, accountability and continuous improvement are prioritised</w:t>
      </w:r>
      <w:r w:rsidR="007F034C">
        <w:rPr>
          <w:rFonts w:ascii="Arial" w:hAnsi="Arial" w:cs="Arial"/>
        </w:rPr>
        <w:t>(</w:t>
      </w:r>
      <w:r w:rsidR="00373268">
        <w:rPr>
          <w:rFonts w:ascii="Arial" w:hAnsi="Arial" w:cs="Arial"/>
        </w:rPr>
        <w:t>fig</w:t>
      </w:r>
      <w:r w:rsidR="00EC67B6">
        <w:rPr>
          <w:rFonts w:ascii="Arial" w:hAnsi="Arial" w:cs="Arial"/>
        </w:rPr>
        <w:t>.</w:t>
      </w:r>
      <w:r w:rsidR="00373268">
        <w:rPr>
          <w:rFonts w:ascii="Arial" w:hAnsi="Arial" w:cs="Arial"/>
        </w:rPr>
        <w:t>1)</w:t>
      </w:r>
      <w:r w:rsidRPr="00773312">
        <w:rPr>
          <w:rFonts w:ascii="Arial" w:hAnsi="Arial" w:cs="Arial"/>
        </w:rPr>
        <w:t xml:space="preserve">. In complex healthcare environments, strong leadership helps coordinate services, manage organisational change and ensure that patient care remains safe and effective. Research has shown that effective leadership within healthcare organisations is closely associated with improved patient safety, better teamwork, higher quality of care and stronger organisational performance (Välimäki et al., 2024; Wu et al., 2024; </w:t>
      </w:r>
      <w:proofErr w:type="spellStart"/>
      <w:r w:rsidRPr="00773312">
        <w:rPr>
          <w:rFonts w:ascii="Arial" w:hAnsi="Arial" w:cs="Arial"/>
        </w:rPr>
        <w:t>Althobaiti</w:t>
      </w:r>
      <w:proofErr w:type="spellEnd"/>
      <w:r w:rsidRPr="00773312">
        <w:rPr>
          <w:rFonts w:ascii="Arial" w:hAnsi="Arial" w:cs="Arial"/>
        </w:rPr>
        <w:t>, 2026).</w:t>
      </w:r>
    </w:p>
    <w:p w14:paraId="2032AE26" w14:textId="41BBC9EA" w:rsidR="00773312" w:rsidRDefault="00957ECD" w:rsidP="00132808">
      <w:pPr>
        <w:spacing w:line="360" w:lineRule="auto"/>
        <w:jc w:val="both"/>
        <w:rPr>
          <w:rFonts w:ascii="Arial" w:hAnsi="Arial" w:cs="Arial"/>
        </w:rPr>
      </w:pPr>
      <w:r w:rsidRPr="00957ECD">
        <w:rPr>
          <w:rFonts w:ascii="Arial" w:hAnsi="Arial" w:cs="Arial"/>
        </w:rPr>
        <w:t xml:space="preserve">Healthcare organisations may operate through centralized or decentralized leadership structures. Centralization refers to decision-making authority being concentrated at higher levels of management, which helps maintain consistency, clear accountability and standardised policies. In contrast, decentralization distributes decision-making power across different organisational levels, allowing frontline healthcare professionals to respond more quickly to patient needs and clinical situations. Both leadership structures have advantages </w:t>
      </w:r>
      <w:r w:rsidRPr="00957ECD">
        <w:rPr>
          <w:rFonts w:ascii="Arial" w:hAnsi="Arial" w:cs="Arial"/>
        </w:rPr>
        <w:lastRenderedPageBreak/>
        <w:t>and limitations, and their effectiveness often depends on the organisational context and the complexity of healthcare services (Wu et al., 2024; Spanos et al., 2024).</w:t>
      </w:r>
    </w:p>
    <w:p w14:paraId="373FC6AA" w14:textId="76C38DD7" w:rsidR="00F51B2F" w:rsidRPr="00360F9F" w:rsidRDefault="00360F9F" w:rsidP="00132808">
      <w:pPr>
        <w:spacing w:line="360" w:lineRule="auto"/>
        <w:jc w:val="both"/>
        <w:rPr>
          <w:rFonts w:ascii="Arial" w:hAnsi="Arial" w:cs="Arial"/>
        </w:rPr>
      </w:pPr>
      <w:r w:rsidRPr="00360F9F">
        <w:rPr>
          <w:rFonts w:ascii="Arial" w:hAnsi="Arial" w:cs="Arial"/>
        </w:rPr>
        <w:t>Several leadership theories explain how leaders guide organisations through challenges in healthcare settings. Transformational leadership focuses on inspiring and motivating staff to achieve shared goals and improve service quality, while transactional leadership emphasises structured systems, performance monitoring and reward-based management. Situational leadership suggests that leaders should adapt their style according to the situation, team capability and organisational environment. Selecting an appropriate leadership approach is particularly important during organisational change or crisis, as ineffective leadership can lead to poor communication, delays in care and increased risks to patient safety. Therefore, analysing leadership practices in healthcare systems is essential for understanding adverse outcomes and improving patient care (Wu et al., 2024; Singh et al., 2024).</w:t>
      </w:r>
    </w:p>
    <w:p w14:paraId="1A8129A4" w14:textId="758E983E" w:rsidR="00F51B2F" w:rsidRPr="00742CE1" w:rsidRDefault="00742CE1" w:rsidP="00132808">
      <w:pPr>
        <w:spacing w:line="360" w:lineRule="auto"/>
        <w:jc w:val="both"/>
        <w:rPr>
          <w:rFonts w:ascii="Arial" w:hAnsi="Arial" w:cs="Arial"/>
        </w:rPr>
      </w:pPr>
      <w:r w:rsidRPr="00742CE1">
        <w:rPr>
          <w:rFonts w:ascii="Arial" w:hAnsi="Arial" w:cs="Arial"/>
        </w:rPr>
        <w:t>This report will critically analyse the case of Leigh Rodgers using leadership and organisational theories within healthcare. It will examine leadership structures, decision-making processes and systemic factors that contributed to delayed dental care. Furthermore, the report will explore the implications for patient safety, healthcare policy and leadership strategies aimed at improving access to care and preventing similar incidents in the future.</w:t>
      </w:r>
    </w:p>
    <w:p w14:paraId="55D6B5B5" w14:textId="63741C1F" w:rsidR="002C1F36" w:rsidRPr="0051369C" w:rsidRDefault="00A80C52" w:rsidP="00B71A77">
      <w:pPr>
        <w:pStyle w:val="Heading1"/>
        <w:rPr>
          <w:rFonts w:ascii="Arial" w:hAnsi="Arial" w:cs="Arial"/>
          <w:b/>
          <w:bCs/>
          <w:sz w:val="22"/>
          <w:szCs w:val="22"/>
        </w:rPr>
      </w:pPr>
      <w:bookmarkStart w:id="2" w:name="_Toc225360035"/>
      <w:r w:rsidRPr="0051369C">
        <w:rPr>
          <w:rFonts w:ascii="Arial" w:hAnsi="Arial" w:cs="Arial"/>
          <w:b/>
          <w:bCs/>
          <w:sz w:val="22"/>
          <w:szCs w:val="22"/>
        </w:rPr>
        <w:t>Principle Section</w:t>
      </w:r>
      <w:bookmarkEnd w:id="2"/>
      <w:r w:rsidR="00EA729E" w:rsidRPr="0051369C">
        <w:rPr>
          <w:rFonts w:ascii="Arial" w:hAnsi="Arial" w:cs="Arial"/>
          <w:b/>
          <w:bCs/>
          <w:sz w:val="22"/>
          <w:szCs w:val="22"/>
        </w:rPr>
        <w:t xml:space="preserve"> </w:t>
      </w:r>
    </w:p>
    <w:p w14:paraId="37A66E94" w14:textId="0FEE8ED8" w:rsidR="00742CE1" w:rsidRDefault="006E1734" w:rsidP="00132808">
      <w:pPr>
        <w:tabs>
          <w:tab w:val="left" w:pos="6480"/>
        </w:tabs>
        <w:spacing w:line="360" w:lineRule="auto"/>
        <w:jc w:val="both"/>
        <w:rPr>
          <w:rFonts w:ascii="Arial" w:hAnsi="Arial" w:cs="Arial"/>
        </w:rPr>
      </w:pPr>
      <w:r w:rsidRPr="006E1734">
        <w:rPr>
          <w:rFonts w:ascii="Arial" w:hAnsi="Arial" w:cs="Arial"/>
        </w:rPr>
        <w:t>The central problem in this case is the tragic death of Leigh Rodgers, a 34</w:t>
      </w:r>
      <w:r w:rsidRPr="006E1734">
        <w:rPr>
          <w:rFonts w:ascii="Cambria Math" w:hAnsi="Cambria Math" w:cs="Cambria Math"/>
        </w:rPr>
        <w:t>‑</w:t>
      </w:r>
      <w:r w:rsidRPr="006E1734">
        <w:rPr>
          <w:rFonts w:ascii="Arial" w:hAnsi="Arial" w:cs="Arial"/>
        </w:rPr>
        <w:t>year-old woman who died following complications linked to delayed access to dental care. Rodgers endured severe tooth pain for around two weeks and was unable to secure a timely NHS dental appointment situation increasingly common across England due to systemic weaknesses in dental service provision (Health and Me, 2025). Her pain and infection worsened to the point that she needed urgent hospital assessment; during a CT scan to evaluate the severity of the infection she suffered a rare and fatal allergic reaction to contrast dye and died shortly afterwards. While this reaction was the immediate cause of death, the deeper issue relates to barriers in accessing primary dental care and poor coordination between services, which contributed to the escalation of her condition (Healthwatch England, 2025).</w:t>
      </w:r>
    </w:p>
    <w:p w14:paraId="2D6D3BE5" w14:textId="30B59CC7" w:rsidR="0013414B" w:rsidRPr="0013414B" w:rsidRDefault="0013414B" w:rsidP="00132808">
      <w:pPr>
        <w:tabs>
          <w:tab w:val="left" w:pos="6480"/>
        </w:tabs>
        <w:spacing w:line="360" w:lineRule="auto"/>
        <w:jc w:val="both"/>
        <w:rPr>
          <w:rFonts w:ascii="Arial" w:hAnsi="Arial" w:cs="Arial"/>
        </w:rPr>
      </w:pPr>
      <w:r w:rsidRPr="0013414B">
        <w:rPr>
          <w:rFonts w:ascii="Arial" w:hAnsi="Arial" w:cs="Arial"/>
        </w:rPr>
        <w:t>Rodgers’ death underscores an important systemic failure: the crisis in emergency and routine NHS dental care in England. Patients frequently report being unable to register with a dentist or obtain appointments when in pain, with watchdog reports finding that some individuals endure severe pain or resort to dangerous self</w:t>
      </w:r>
      <w:r w:rsidRPr="0013414B">
        <w:rPr>
          <w:rFonts w:ascii="Cambria Math" w:hAnsi="Cambria Math" w:cs="Cambria Math"/>
        </w:rPr>
        <w:t>‑</w:t>
      </w:r>
      <w:r w:rsidRPr="0013414B">
        <w:rPr>
          <w:rFonts w:ascii="Arial" w:hAnsi="Arial" w:cs="Arial"/>
        </w:rPr>
        <w:t>treatment including pulling their own teeth because urgent NHS care is unavailable or inaccessible (Healthwatch England, 2025).</w:t>
      </w:r>
    </w:p>
    <w:p w14:paraId="46C43988" w14:textId="4C476038" w:rsidR="006E1734" w:rsidRDefault="0013414B" w:rsidP="00132808">
      <w:pPr>
        <w:tabs>
          <w:tab w:val="left" w:pos="6480"/>
        </w:tabs>
        <w:spacing w:line="360" w:lineRule="auto"/>
        <w:jc w:val="both"/>
        <w:rPr>
          <w:rFonts w:ascii="Arial" w:hAnsi="Arial" w:cs="Arial"/>
        </w:rPr>
      </w:pPr>
      <w:r w:rsidRPr="0013414B">
        <w:rPr>
          <w:rFonts w:ascii="Arial" w:hAnsi="Arial" w:cs="Arial"/>
        </w:rPr>
        <w:lastRenderedPageBreak/>
        <w:t>This lack of accessible primary care does more than prolong discomfort; it magnifies health risks and amplifies inequalities. Research shows that difficulties in accessing dental services are widespread: many practices are not accepting new NHS patients, and geographic disparities leave communities with little or no nearby dental provision. Barriers such as insufficient NHS capacity, cost concerns, and lack of public awareness about dental rights exacerbate these access issues (The King’s Fund, 2024; GOV.UK, 2026).</w:t>
      </w:r>
    </w:p>
    <w:p w14:paraId="1F30E86E" w14:textId="169A18C9" w:rsidR="0013414B" w:rsidRDefault="00CF44E0" w:rsidP="00132808">
      <w:pPr>
        <w:tabs>
          <w:tab w:val="left" w:pos="6480"/>
        </w:tabs>
        <w:spacing w:line="360" w:lineRule="auto"/>
        <w:jc w:val="both"/>
        <w:rPr>
          <w:rFonts w:ascii="Arial" w:hAnsi="Arial" w:cs="Arial"/>
        </w:rPr>
      </w:pPr>
      <w:r w:rsidRPr="00CF44E0">
        <w:rPr>
          <w:rFonts w:ascii="Arial" w:hAnsi="Arial" w:cs="Arial"/>
        </w:rPr>
        <w:t>These problems are not isolated but are part of broader structural weaknesses in the NHS dental system. Public satisfaction with NHS dentistry has fallen sharply, and policy efforts to improve access have been criticised for failing to deliver meaningful change (Public Accounts Committee, 2025). When routine care is hard to obtain, minor infections can escalate into serious health problems that require hospitalisation increasing risks and healthcare costs, and, in rare but devastating outcomes like Rodgers’, loss of life (Health and Me, 2025; The King’s Fund, 2024).</w:t>
      </w:r>
    </w:p>
    <w:p w14:paraId="7EDC70ED" w14:textId="2E2A3FE1" w:rsidR="00FB3EC6" w:rsidRPr="0051369C" w:rsidRDefault="00FB3EC6" w:rsidP="001151CE">
      <w:pPr>
        <w:pStyle w:val="Heading2"/>
        <w:numPr>
          <w:ilvl w:val="0"/>
          <w:numId w:val="2"/>
        </w:numPr>
        <w:rPr>
          <w:rFonts w:ascii="Arial" w:hAnsi="Arial" w:cs="Arial"/>
          <w:b/>
          <w:bCs/>
          <w:sz w:val="22"/>
          <w:szCs w:val="22"/>
        </w:rPr>
      </w:pPr>
      <w:bookmarkStart w:id="3" w:name="_Toc225360036"/>
      <w:r w:rsidRPr="0051369C">
        <w:rPr>
          <w:rFonts w:ascii="Arial" w:hAnsi="Arial" w:cs="Arial"/>
          <w:b/>
          <w:bCs/>
          <w:sz w:val="22"/>
          <w:szCs w:val="22"/>
        </w:rPr>
        <w:t>Global and National Statistical Context</w:t>
      </w:r>
      <w:bookmarkEnd w:id="3"/>
    </w:p>
    <w:p w14:paraId="5EF906AE" w14:textId="1111C44B" w:rsidR="002C1F36" w:rsidRDefault="00407C3E" w:rsidP="00132808">
      <w:pPr>
        <w:spacing w:line="360" w:lineRule="auto"/>
        <w:jc w:val="both"/>
        <w:rPr>
          <w:rFonts w:ascii="Arial" w:hAnsi="Arial" w:cs="Arial"/>
        </w:rPr>
      </w:pPr>
      <w:r w:rsidRPr="00407C3E">
        <w:rPr>
          <w:rFonts w:ascii="Arial" w:hAnsi="Arial" w:cs="Arial"/>
        </w:rPr>
        <w:t>Oral diseases are a major and often overlooked global health concern that affect people of all ages and backgrounds. According to the World Health Organization (WHO), nearly half of the world’s population around 3.5 </w:t>
      </w:r>
      <w:proofErr w:type="gramStart"/>
      <w:r w:rsidRPr="00407C3E">
        <w:rPr>
          <w:rFonts w:ascii="Arial" w:hAnsi="Arial" w:cs="Arial"/>
        </w:rPr>
        <w:t>billion</w:t>
      </w:r>
      <w:r w:rsidR="000D6B18">
        <w:rPr>
          <w:rFonts w:ascii="Arial" w:hAnsi="Arial" w:cs="Arial"/>
        </w:rPr>
        <w:t>(</w:t>
      </w:r>
      <w:proofErr w:type="gramEnd"/>
      <w:r w:rsidR="000D6B18">
        <w:rPr>
          <w:rFonts w:ascii="Arial" w:hAnsi="Arial" w:cs="Arial"/>
        </w:rPr>
        <w:t>Figure 1)</w:t>
      </w:r>
      <w:r w:rsidRPr="00407C3E">
        <w:rPr>
          <w:rFonts w:ascii="Arial" w:hAnsi="Arial" w:cs="Arial"/>
        </w:rPr>
        <w:t xml:space="preserve"> people live with one or more oral diseases, including tooth decay, gum disease, tooth loss and other serious conditions (WHO, 2025). Of these, untreated dental caries (tooth decay) is the single most common health condition globally, affecting an estimated 2.5 billion people, and often leads to pain, infection and impaired quality of life if not treated promptly (WHO, 2025; WHO, 2022).</w:t>
      </w:r>
    </w:p>
    <w:p w14:paraId="0FA837BE" w14:textId="434799C1" w:rsidR="00073000" w:rsidRDefault="00073000" w:rsidP="00132808">
      <w:pPr>
        <w:spacing w:line="360" w:lineRule="auto"/>
        <w:jc w:val="both"/>
        <w:rPr>
          <w:rFonts w:ascii="Arial" w:hAnsi="Arial" w:cs="Arial"/>
        </w:rPr>
      </w:pPr>
      <w:r>
        <w:rPr>
          <w:noProof/>
        </w:rPr>
        <w:drawing>
          <wp:inline distT="0" distB="0" distL="0" distR="0" wp14:anchorId="55E41D78" wp14:editId="47377770">
            <wp:extent cx="5731510" cy="1900555"/>
            <wp:effectExtent l="0" t="0" r="2540" b="4445"/>
            <wp:docPr id="14066757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900555"/>
                    </a:xfrm>
                    <a:prstGeom prst="rect">
                      <a:avLst/>
                    </a:prstGeom>
                    <a:noFill/>
                    <a:ln>
                      <a:noFill/>
                    </a:ln>
                  </pic:spPr>
                </pic:pic>
              </a:graphicData>
            </a:graphic>
          </wp:inline>
        </w:drawing>
      </w:r>
    </w:p>
    <w:p w14:paraId="46C98FE2" w14:textId="6980BAF3" w:rsidR="00DF319D" w:rsidRPr="00C03222" w:rsidRDefault="00CD6D55" w:rsidP="00C03222">
      <w:pPr>
        <w:spacing w:line="360" w:lineRule="auto"/>
        <w:jc w:val="center"/>
        <w:rPr>
          <w:rFonts w:ascii="Arial" w:hAnsi="Arial" w:cs="Arial"/>
          <w:b/>
          <w:bCs/>
        </w:rPr>
      </w:pPr>
      <w:r w:rsidRPr="00C03222">
        <w:rPr>
          <w:rFonts w:ascii="Arial" w:hAnsi="Arial" w:cs="Arial"/>
          <w:b/>
          <w:bCs/>
        </w:rPr>
        <w:t xml:space="preserve">Figure 1 </w:t>
      </w:r>
      <w:r w:rsidR="00D91BB8" w:rsidRPr="00C03222">
        <w:rPr>
          <w:rFonts w:ascii="Arial" w:hAnsi="Arial" w:cs="Arial"/>
          <w:b/>
          <w:bCs/>
        </w:rPr>
        <w:t>WHO S</w:t>
      </w:r>
      <w:r w:rsidR="005625F6" w:rsidRPr="00C03222">
        <w:rPr>
          <w:rFonts w:ascii="Arial" w:hAnsi="Arial" w:cs="Arial"/>
          <w:b/>
          <w:bCs/>
        </w:rPr>
        <w:t>tatistics, 2025</w:t>
      </w:r>
    </w:p>
    <w:p w14:paraId="1523DF68" w14:textId="77777777" w:rsidR="00AF68A9" w:rsidRDefault="00AF68A9" w:rsidP="00132808">
      <w:pPr>
        <w:spacing w:line="360" w:lineRule="auto"/>
        <w:jc w:val="both"/>
        <w:rPr>
          <w:rFonts w:ascii="Arial" w:hAnsi="Arial" w:cs="Arial"/>
        </w:rPr>
      </w:pPr>
    </w:p>
    <w:p w14:paraId="1FEBB007" w14:textId="77777777" w:rsidR="00AF68A9" w:rsidRDefault="00AF68A9" w:rsidP="00132808">
      <w:pPr>
        <w:spacing w:line="360" w:lineRule="auto"/>
        <w:jc w:val="both"/>
        <w:rPr>
          <w:rFonts w:ascii="Arial" w:hAnsi="Arial" w:cs="Arial"/>
        </w:rPr>
      </w:pPr>
    </w:p>
    <w:p w14:paraId="7FBCB9B4" w14:textId="77777777" w:rsidR="00964263" w:rsidRPr="00964263" w:rsidRDefault="00964263" w:rsidP="00132808">
      <w:pPr>
        <w:spacing w:line="360" w:lineRule="auto"/>
        <w:jc w:val="both"/>
        <w:rPr>
          <w:rFonts w:ascii="Arial" w:hAnsi="Arial" w:cs="Arial"/>
        </w:rPr>
      </w:pPr>
      <w:r w:rsidRPr="00964263">
        <w:rPr>
          <w:rFonts w:ascii="Arial" w:hAnsi="Arial" w:cs="Arial"/>
        </w:rPr>
        <w:lastRenderedPageBreak/>
        <w:t>In the United Kingdom, access to NHS dental care has become increasingly difficult for many people, with national data showing a clear and worsening trend. According to the latest figures from NHS England, just 40.3% of adults had seen an NHS dentist within the recommended two</w:t>
      </w:r>
      <w:r w:rsidRPr="00964263">
        <w:rPr>
          <w:rFonts w:ascii="Cambria Math" w:hAnsi="Cambria Math" w:cs="Cambria Math"/>
        </w:rPr>
        <w:t>‑</w:t>
      </w:r>
      <w:r w:rsidRPr="00964263">
        <w:rPr>
          <w:rFonts w:ascii="Arial" w:hAnsi="Arial" w:cs="Arial"/>
        </w:rPr>
        <w:t>year period by June 2024, a significant drop from 50.9% before the COVID</w:t>
      </w:r>
      <w:r w:rsidRPr="00964263">
        <w:rPr>
          <w:rFonts w:ascii="Cambria Math" w:hAnsi="Cambria Math" w:cs="Cambria Math"/>
        </w:rPr>
        <w:t>‑</w:t>
      </w:r>
      <w:r w:rsidRPr="00964263">
        <w:rPr>
          <w:rFonts w:ascii="Arial" w:hAnsi="Arial" w:cs="Arial"/>
        </w:rPr>
        <w:t>19 pandemic in 2019 (House of Commons Library, 2024). This decline is mirrored in children’s dental attendance, suggesting that the problem affects families across the country, not just isolated groups.</w:t>
      </w:r>
    </w:p>
    <w:p w14:paraId="0E5E6F2C" w14:textId="43713BE6" w:rsidR="00964263" w:rsidRPr="00964263" w:rsidRDefault="00964263" w:rsidP="00132808">
      <w:pPr>
        <w:spacing w:line="360" w:lineRule="auto"/>
        <w:jc w:val="both"/>
        <w:rPr>
          <w:rFonts w:ascii="Arial" w:hAnsi="Arial" w:cs="Arial"/>
        </w:rPr>
      </w:pPr>
      <w:r w:rsidRPr="00964263">
        <w:rPr>
          <w:rFonts w:ascii="Arial" w:hAnsi="Arial" w:cs="Arial"/>
        </w:rPr>
        <w:t>Professional organisations such as the British Dental Association (BDA) warn that the situation has reached crisis levels: an estimated 13 million adults in England about 28% of the adult population now have unmet need for NHS dentistry, the highest proportion on record (BDA, 2024). Within that group, nearly 5.6 million adults reported trying and failing to secure an appointment, highlighting how widespread and persistent these access challenges have become (BDA, 2024).</w:t>
      </w:r>
    </w:p>
    <w:p w14:paraId="5ADFBD9B" w14:textId="21FE6826" w:rsidR="00AF68A9" w:rsidRDefault="00964263" w:rsidP="00132808">
      <w:pPr>
        <w:spacing w:line="360" w:lineRule="auto"/>
        <w:jc w:val="both"/>
        <w:rPr>
          <w:rFonts w:ascii="Arial" w:hAnsi="Arial" w:cs="Arial"/>
        </w:rPr>
      </w:pPr>
      <w:r w:rsidRPr="00964263">
        <w:rPr>
          <w:rFonts w:ascii="Arial" w:hAnsi="Arial" w:cs="Arial"/>
        </w:rPr>
        <w:t>These shortages are further worsened by uneven distribution of dental services, with some deprived and rural areas described as “dental deserts”, where residents struggle to find any NHS dentist at all (Local Government Association, 2025). Taken together, these national trends are not isolated anomalies but reflect deep</w:t>
      </w:r>
      <w:r w:rsidRPr="00964263">
        <w:rPr>
          <w:rFonts w:ascii="Cambria Math" w:hAnsi="Cambria Math" w:cs="Cambria Math"/>
        </w:rPr>
        <w:t>‑</w:t>
      </w:r>
      <w:r w:rsidRPr="00964263">
        <w:rPr>
          <w:rFonts w:ascii="Arial" w:hAnsi="Arial" w:cs="Arial"/>
        </w:rPr>
        <w:t>seated structural weaknesses in primary care access, with serious implications for oral health, equity and patient safety.</w:t>
      </w:r>
    </w:p>
    <w:p w14:paraId="623DA408" w14:textId="6C749874" w:rsidR="008B20BE" w:rsidRPr="0051369C" w:rsidRDefault="00A86695" w:rsidP="00266F9F">
      <w:pPr>
        <w:pStyle w:val="Heading2"/>
        <w:rPr>
          <w:rFonts w:ascii="Arial" w:hAnsi="Arial" w:cs="Arial"/>
          <w:b/>
          <w:bCs/>
          <w:sz w:val="22"/>
          <w:szCs w:val="22"/>
        </w:rPr>
      </w:pPr>
      <w:bookmarkStart w:id="4" w:name="_Toc225360037"/>
      <w:r w:rsidRPr="0051369C">
        <w:rPr>
          <w:rFonts w:ascii="Arial" w:hAnsi="Arial" w:cs="Arial"/>
          <w:b/>
          <w:bCs/>
          <w:sz w:val="22"/>
          <w:szCs w:val="22"/>
        </w:rPr>
        <w:t>System and Governance levels weakness</w:t>
      </w:r>
      <w:bookmarkEnd w:id="4"/>
    </w:p>
    <w:p w14:paraId="55081E4A" w14:textId="77777777" w:rsidR="00DA2818" w:rsidRPr="00DA2818" w:rsidRDefault="00DA2818" w:rsidP="00132808">
      <w:pPr>
        <w:spacing w:line="360" w:lineRule="auto"/>
        <w:jc w:val="both"/>
        <w:rPr>
          <w:rFonts w:ascii="Arial" w:hAnsi="Arial" w:cs="Arial"/>
        </w:rPr>
      </w:pPr>
      <w:r w:rsidRPr="00DA2818">
        <w:rPr>
          <w:rFonts w:ascii="Arial" w:hAnsi="Arial" w:cs="Arial"/>
        </w:rPr>
        <w:t>Governance challenges at both the national and organisational levels play a significant role in shaping these concerning outcomes. In England, responsibility for planning and commissioning dental services rests with NHS England, operating within policy frameworks established by the Department of Health and Social Care. Decisions about dental funding models, contractual targets, and workforce planning strongly influence the availability and accessibility of NHS dentistry. Long-standing criticisms of the NHS dental contract suggest that current systems do not sufficiently incentivise practices to provide complex or high-need NHS care, contributing to workforce attrition, reduced capacity, and persistent access limitations (House of Commons Library, 2024; The Guardian, 2025). Without substantial reform, these structural disincentives continue to restrict service capacity, deepen inequalities, and undermine preventive care delivery (Department of Health and Social Care, 2024).</w:t>
      </w:r>
    </w:p>
    <w:p w14:paraId="337EE5A2" w14:textId="77777777" w:rsidR="00DA2818" w:rsidRPr="00DA2818" w:rsidRDefault="00DA2818" w:rsidP="00132808">
      <w:pPr>
        <w:spacing w:line="360" w:lineRule="auto"/>
        <w:jc w:val="both"/>
        <w:rPr>
          <w:rFonts w:ascii="Arial" w:hAnsi="Arial" w:cs="Arial"/>
        </w:rPr>
      </w:pPr>
    </w:p>
    <w:p w14:paraId="01991CB1" w14:textId="263C4F25" w:rsidR="00A86695" w:rsidRDefault="00DA2818" w:rsidP="00132808">
      <w:pPr>
        <w:spacing w:line="360" w:lineRule="auto"/>
        <w:jc w:val="both"/>
        <w:rPr>
          <w:rFonts w:ascii="Arial" w:hAnsi="Arial" w:cs="Arial"/>
        </w:rPr>
      </w:pPr>
      <w:r w:rsidRPr="00DA2818">
        <w:rPr>
          <w:rFonts w:ascii="Arial" w:hAnsi="Arial" w:cs="Arial"/>
        </w:rPr>
        <w:t xml:space="preserve">These systemic weaknesses are compounded by broader socioeconomic and policy challenges, including workforce shortages, constrained funding, regional disparities in service provision, and rising private treatment costs (House of Commons Library, 2024). Such inequities mean that many individuals cannot access preventive dental care, which in turn </w:t>
      </w:r>
      <w:r w:rsidRPr="00DA2818">
        <w:rPr>
          <w:rFonts w:ascii="Arial" w:hAnsi="Arial" w:cs="Arial"/>
        </w:rPr>
        <w:lastRenderedPageBreak/>
        <w:t>increases the likelihood of emergency presentations and serious health complications (BDA, 2024).</w:t>
      </w:r>
    </w:p>
    <w:p w14:paraId="1251E818" w14:textId="0D2CDD83" w:rsidR="00DA2818" w:rsidRPr="0051369C" w:rsidRDefault="00BC1058" w:rsidP="000D3695">
      <w:pPr>
        <w:pStyle w:val="Heading2"/>
        <w:rPr>
          <w:rFonts w:ascii="Arial" w:hAnsi="Arial" w:cs="Arial"/>
          <w:b/>
          <w:bCs/>
          <w:sz w:val="22"/>
          <w:szCs w:val="22"/>
        </w:rPr>
      </w:pPr>
      <w:bookmarkStart w:id="5" w:name="_Toc225360038"/>
      <w:r w:rsidRPr="0051369C">
        <w:rPr>
          <w:rFonts w:ascii="Arial" w:hAnsi="Arial" w:cs="Arial"/>
          <w:b/>
          <w:bCs/>
          <w:sz w:val="22"/>
          <w:szCs w:val="22"/>
        </w:rPr>
        <w:t>Underlying Challenges</w:t>
      </w:r>
      <w:bookmarkEnd w:id="5"/>
    </w:p>
    <w:p w14:paraId="33E8CDFB" w14:textId="6D75E627" w:rsidR="00AB318E" w:rsidRDefault="00D27489" w:rsidP="00132808">
      <w:pPr>
        <w:spacing w:line="360" w:lineRule="auto"/>
        <w:jc w:val="both"/>
        <w:rPr>
          <w:rFonts w:ascii="Arial" w:hAnsi="Arial" w:cs="Arial"/>
        </w:rPr>
      </w:pPr>
      <w:r w:rsidRPr="00D27489">
        <w:rPr>
          <w:rFonts w:ascii="Arial" w:hAnsi="Arial" w:cs="Arial"/>
        </w:rPr>
        <w:t>Underlying challenges further illustrate the systemic nature of the problem in NHS dentistry. Across the United Kingdom, workforce shortages have been widely reported, with thousands of dentist roles remaining unfilled and dental teams struggling to recruit and retain staff in NHS practice (Public Accounts Committee, 2025; Dentistry.co.uk, 2025). Reports suggest that more than 5,500 NHS dental vacancies were open for extended periods and many practices find it difficult to attract dentists, particularly in high</w:t>
      </w:r>
      <w:r w:rsidRPr="00D27489">
        <w:rPr>
          <w:rFonts w:ascii="Cambria Math" w:hAnsi="Cambria Math" w:cs="Cambria Math"/>
        </w:rPr>
        <w:t>‑</w:t>
      </w:r>
      <w:r w:rsidRPr="00D27489">
        <w:rPr>
          <w:rFonts w:ascii="Arial" w:hAnsi="Arial" w:cs="Arial"/>
        </w:rPr>
        <w:t>need or underserved areas (Public Accounts Committee, 2025). This shortfall in qualified professionals limits the number of patients that can be seen, forcing some practices to reduce NHS services or shift more work to the private sector, which many patients cannot afford (Association of Dental Groups, 2025; NHS Confederation, 2024).</w:t>
      </w:r>
    </w:p>
    <w:p w14:paraId="55FD17A2" w14:textId="5352B787" w:rsidR="00F87BB8" w:rsidRDefault="00F87BB8" w:rsidP="00132808">
      <w:pPr>
        <w:spacing w:line="360" w:lineRule="auto"/>
        <w:jc w:val="both"/>
        <w:rPr>
          <w:rFonts w:ascii="Arial" w:hAnsi="Arial" w:cs="Arial"/>
        </w:rPr>
      </w:pPr>
      <w:r w:rsidRPr="00F87BB8">
        <w:rPr>
          <w:rFonts w:ascii="Arial" w:hAnsi="Arial" w:cs="Arial"/>
        </w:rPr>
        <w:t>Financial pressures within healthcare systems also affect service availability. Long</w:t>
      </w:r>
      <w:r w:rsidRPr="00F87BB8">
        <w:rPr>
          <w:rFonts w:ascii="Cambria Math" w:hAnsi="Cambria Math" w:cs="Cambria Math"/>
        </w:rPr>
        <w:t>‑</w:t>
      </w:r>
      <w:r w:rsidRPr="00F87BB8">
        <w:rPr>
          <w:rFonts w:ascii="Arial" w:hAnsi="Arial" w:cs="Arial"/>
        </w:rPr>
        <w:t>standing underfunding of NHS dentistry, compounded by an activity</w:t>
      </w:r>
      <w:r w:rsidRPr="00F87BB8">
        <w:rPr>
          <w:rFonts w:ascii="Cambria Math" w:hAnsi="Cambria Math" w:cs="Cambria Math"/>
        </w:rPr>
        <w:t>‑</w:t>
      </w:r>
      <w:r w:rsidRPr="00F87BB8">
        <w:rPr>
          <w:rFonts w:ascii="Arial" w:hAnsi="Arial" w:cs="Arial"/>
        </w:rPr>
        <w:t>based contract that many practitioners describe as financially unsustainable, has been linked to fewer dentists willing to provide NHS care and leaving practices unable to expand capacity (NHS Confederation, 2024; The King’s Fund, 2024).</w:t>
      </w:r>
      <w:r>
        <w:rPr>
          <w:rFonts w:ascii="Arial" w:hAnsi="Arial" w:cs="Arial"/>
        </w:rPr>
        <w:t xml:space="preserve"> </w:t>
      </w:r>
    </w:p>
    <w:p w14:paraId="43DCF4BC" w14:textId="6D449444" w:rsidR="00470993" w:rsidRDefault="00395167" w:rsidP="00132808">
      <w:pPr>
        <w:spacing w:line="360" w:lineRule="auto"/>
        <w:jc w:val="both"/>
        <w:rPr>
          <w:rFonts w:ascii="Arial" w:hAnsi="Arial" w:cs="Arial"/>
        </w:rPr>
      </w:pPr>
      <w:r w:rsidRPr="00395167">
        <w:rPr>
          <w:rFonts w:ascii="Arial" w:hAnsi="Arial" w:cs="Arial"/>
        </w:rPr>
        <w:t>Additionally, patient safety reports and national healthcare data indicate that delays in accessing primary dental care often lead</w:t>
      </w:r>
      <w:r w:rsidR="000278A5">
        <w:rPr>
          <w:rFonts w:ascii="Arial" w:hAnsi="Arial" w:cs="Arial"/>
        </w:rPr>
        <w:t>s</w:t>
      </w:r>
      <w:r>
        <w:rPr>
          <w:rFonts w:ascii="Arial" w:hAnsi="Arial" w:cs="Arial"/>
        </w:rPr>
        <w:t xml:space="preserve"> </w:t>
      </w:r>
      <w:r w:rsidRPr="00395167">
        <w:rPr>
          <w:rFonts w:ascii="Arial" w:hAnsi="Arial" w:cs="Arial"/>
        </w:rPr>
        <w:t>patients to seek help in hospital emergency departments, placing added pressure on services and exposing patients to suboptimal care settings. Emergency attendances for dental conditions have increased significantly in England, with tens of thousands more people presenting to A&amp;E for dental pain or infection over recent years</w:t>
      </w:r>
      <w:r w:rsidR="00D66A40">
        <w:rPr>
          <w:rFonts w:ascii="Arial" w:hAnsi="Arial" w:cs="Arial"/>
        </w:rPr>
        <w:t xml:space="preserve"> </w:t>
      </w:r>
      <w:r w:rsidRPr="00395167">
        <w:rPr>
          <w:rFonts w:ascii="Arial" w:hAnsi="Arial" w:cs="Arial"/>
        </w:rPr>
        <w:t>situations that could in many cases have been prevented with timely access to routine care (Care Quality Commission, 2024).</w:t>
      </w:r>
    </w:p>
    <w:p w14:paraId="5CAA43DC" w14:textId="3AABF9B7" w:rsidR="00EA32DB" w:rsidRPr="0051369C" w:rsidRDefault="001A74D8" w:rsidP="000D3695">
      <w:pPr>
        <w:pStyle w:val="Heading2"/>
        <w:rPr>
          <w:rFonts w:ascii="Arial" w:hAnsi="Arial" w:cs="Arial"/>
          <w:b/>
          <w:bCs/>
          <w:sz w:val="22"/>
          <w:szCs w:val="22"/>
        </w:rPr>
      </w:pPr>
      <w:bookmarkStart w:id="6" w:name="_Toc225360039"/>
      <w:r w:rsidRPr="0051369C">
        <w:rPr>
          <w:rFonts w:ascii="Arial" w:hAnsi="Arial" w:cs="Arial"/>
          <w:b/>
          <w:bCs/>
          <w:sz w:val="22"/>
          <w:szCs w:val="22"/>
        </w:rPr>
        <w:t>Rich Picture</w:t>
      </w:r>
      <w:bookmarkEnd w:id="6"/>
      <w:r w:rsidRPr="0051369C">
        <w:rPr>
          <w:rFonts w:ascii="Arial" w:hAnsi="Arial" w:cs="Arial"/>
          <w:b/>
          <w:bCs/>
          <w:sz w:val="22"/>
          <w:szCs w:val="22"/>
        </w:rPr>
        <w:t xml:space="preserve"> </w:t>
      </w:r>
    </w:p>
    <w:p w14:paraId="76697855" w14:textId="1FDACA4B" w:rsidR="00AB5D93" w:rsidRDefault="00255445" w:rsidP="00132808">
      <w:pPr>
        <w:spacing w:line="360" w:lineRule="auto"/>
        <w:jc w:val="both"/>
        <w:rPr>
          <w:rFonts w:ascii="Arial" w:hAnsi="Arial" w:cs="Arial"/>
        </w:rPr>
      </w:pPr>
      <w:r w:rsidRPr="003A6A7B">
        <w:rPr>
          <w:rFonts w:ascii="Arial" w:hAnsi="Arial" w:cs="Arial"/>
        </w:rPr>
        <w:t>A Rich Picture can be used to illustrate the complex system surrounding the death of Leigh Rodgers by showing the interactions between patients, healthcare services and governance structures. At the centre of the diagram</w:t>
      </w:r>
      <w:r w:rsidR="00C2515E">
        <w:rPr>
          <w:rFonts w:ascii="Arial" w:hAnsi="Arial" w:cs="Arial"/>
        </w:rPr>
        <w:t xml:space="preserve"> (Figure 2)</w:t>
      </w:r>
      <w:r w:rsidRPr="003A6A7B">
        <w:rPr>
          <w:rFonts w:ascii="Arial" w:hAnsi="Arial" w:cs="Arial"/>
        </w:rPr>
        <w:t xml:space="preserve"> is the patient experiencing severe tooth pain but struggling to access timely dental care through the National Health Service. Limited appointment availability, workforce shortages and financial pressures within NHS England create significant barriers to accessing dental services. National data indicates that only 40.3% of adults in England had seen an NHS dentist within the recommended two-year period in 2024, highlighting a decline in access compared with the period before the COVID-19 pandemic (House of Commons Library, 2024). As access to primary dental care is delayed, </w:t>
      </w:r>
      <w:r w:rsidRPr="003A6A7B">
        <w:rPr>
          <w:rFonts w:ascii="Arial" w:hAnsi="Arial" w:cs="Arial"/>
        </w:rPr>
        <w:lastRenderedPageBreak/>
        <w:t>untreated infections may worsen, forcing patients to seek emergency hospital treatment. In the Rich Picture, hospital clinicians and diagnostic imaging services represent the secondary care pathway where further investigations such as CT scans may occur. The case also reflects wider systemic challenges, including inequalities in dental access and the increasing reliance on private dental care due to limited NHS capacity (GOV.UK, 2023). From a leadership perspective, this situation highlights potential weaknesses in strategic planning, workforce management and service coordination within the healthcare system. Critics argue that insufficient leadership and policy oversight at organisational and national levels can contribute to fragmented services and delays in patient care.</w:t>
      </w:r>
      <w:r w:rsidRPr="00255445">
        <w:rPr>
          <w:rFonts w:ascii="Arial" w:hAnsi="Arial" w:cs="Arial"/>
          <w:b/>
          <w:bCs/>
        </w:rPr>
        <w:t xml:space="preserve"> </w:t>
      </w:r>
      <w:r w:rsidRPr="003A6A7B">
        <w:rPr>
          <w:rFonts w:ascii="Arial" w:hAnsi="Arial" w:cs="Arial"/>
        </w:rPr>
        <w:t>Overall, the Rich</w:t>
      </w:r>
      <w:r w:rsidRPr="00255445">
        <w:rPr>
          <w:rFonts w:ascii="Arial" w:hAnsi="Arial" w:cs="Arial"/>
          <w:b/>
          <w:bCs/>
        </w:rPr>
        <w:t xml:space="preserve"> </w:t>
      </w:r>
      <w:r w:rsidRPr="003A6A7B">
        <w:rPr>
          <w:rFonts w:ascii="Arial" w:hAnsi="Arial" w:cs="Arial"/>
        </w:rPr>
        <w:t>Picture demonstrates how interconnected factors</w:t>
      </w:r>
      <w:r w:rsidR="00BF7D60">
        <w:rPr>
          <w:rFonts w:ascii="Arial" w:hAnsi="Arial" w:cs="Arial"/>
        </w:rPr>
        <w:t xml:space="preserve"> </w:t>
      </w:r>
      <w:r w:rsidRPr="003A6A7B">
        <w:rPr>
          <w:rFonts w:ascii="Arial" w:hAnsi="Arial" w:cs="Arial"/>
        </w:rPr>
        <w:t>including patient access barriers, workforce shortages and policy decisions by organisations such as the UK Department of Health and Social Care</w:t>
      </w:r>
      <w:r w:rsidR="00E47D38">
        <w:rPr>
          <w:rFonts w:ascii="Arial" w:hAnsi="Arial" w:cs="Arial"/>
        </w:rPr>
        <w:t xml:space="preserve"> </w:t>
      </w:r>
      <w:r w:rsidRPr="003A6A7B">
        <w:rPr>
          <w:rFonts w:ascii="Arial" w:hAnsi="Arial" w:cs="Arial"/>
        </w:rPr>
        <w:t>can influence patient outcomes, emphasising the need for stronger leadership and system-level reforms to improve patient safety and access to care.</w:t>
      </w:r>
    </w:p>
    <w:p w14:paraId="2CE41689" w14:textId="77777777" w:rsidR="00470993" w:rsidRDefault="00470993" w:rsidP="00132808">
      <w:pPr>
        <w:spacing w:line="360" w:lineRule="auto"/>
        <w:jc w:val="both"/>
        <w:rPr>
          <w:rFonts w:ascii="Arial" w:hAnsi="Arial" w:cs="Arial"/>
        </w:rPr>
      </w:pPr>
    </w:p>
    <w:p w14:paraId="797CDBEB" w14:textId="77777777" w:rsidR="00470993" w:rsidRDefault="00470993" w:rsidP="00C26EBB">
      <w:pPr>
        <w:spacing w:line="360" w:lineRule="auto"/>
        <w:jc w:val="center"/>
        <w:rPr>
          <w:rFonts w:ascii="Arial" w:hAnsi="Arial" w:cs="Arial"/>
          <w:b/>
          <w:bCs/>
        </w:rPr>
      </w:pPr>
      <w:r>
        <w:rPr>
          <w:noProof/>
        </w:rPr>
        <w:drawing>
          <wp:inline distT="0" distB="0" distL="0" distR="0" wp14:anchorId="6BEC0BC6" wp14:editId="598CA596">
            <wp:extent cx="2522630" cy="3567065"/>
            <wp:effectExtent l="0" t="0" r="0" b="0"/>
            <wp:docPr id="49662729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33741" cy="3582776"/>
                    </a:xfrm>
                    <a:prstGeom prst="rect">
                      <a:avLst/>
                    </a:prstGeom>
                    <a:noFill/>
                    <a:ln>
                      <a:noFill/>
                    </a:ln>
                  </pic:spPr>
                </pic:pic>
              </a:graphicData>
            </a:graphic>
          </wp:inline>
        </w:drawing>
      </w:r>
    </w:p>
    <w:p w14:paraId="460DB198" w14:textId="77777777" w:rsidR="00470993" w:rsidRPr="00EA32DB" w:rsidRDefault="00470993" w:rsidP="00470993">
      <w:pPr>
        <w:spacing w:line="360" w:lineRule="auto"/>
        <w:jc w:val="both"/>
        <w:rPr>
          <w:rFonts w:ascii="Arial" w:hAnsi="Arial" w:cs="Arial"/>
          <w:b/>
          <w:bCs/>
        </w:rPr>
      </w:pPr>
    </w:p>
    <w:p w14:paraId="1662EB5D" w14:textId="77777777" w:rsidR="00470993" w:rsidRPr="00EA32DB" w:rsidRDefault="00470993" w:rsidP="00470993">
      <w:pPr>
        <w:spacing w:line="360" w:lineRule="auto"/>
        <w:jc w:val="center"/>
        <w:rPr>
          <w:rFonts w:ascii="Arial" w:hAnsi="Arial" w:cs="Arial"/>
          <w:b/>
          <w:bCs/>
        </w:rPr>
      </w:pPr>
      <w:r w:rsidRPr="00EA32DB">
        <w:rPr>
          <w:rFonts w:ascii="Arial" w:hAnsi="Arial" w:cs="Arial"/>
          <w:b/>
          <w:bCs/>
        </w:rPr>
        <w:t>Figure 2 The rich picture</w:t>
      </w:r>
    </w:p>
    <w:p w14:paraId="731B4D99" w14:textId="77777777" w:rsidR="00470993" w:rsidRDefault="00470993" w:rsidP="00132808">
      <w:pPr>
        <w:spacing w:line="360" w:lineRule="auto"/>
        <w:jc w:val="both"/>
        <w:rPr>
          <w:rFonts w:ascii="Arial" w:hAnsi="Arial" w:cs="Arial"/>
        </w:rPr>
      </w:pPr>
    </w:p>
    <w:p w14:paraId="6142A196" w14:textId="77777777" w:rsidR="005D3652" w:rsidRDefault="005D3652" w:rsidP="000A07D0">
      <w:pPr>
        <w:pStyle w:val="Heading1"/>
      </w:pPr>
    </w:p>
    <w:p w14:paraId="758A6192" w14:textId="77777777" w:rsidR="00C52B46" w:rsidRPr="0051369C" w:rsidRDefault="00C52B46" w:rsidP="000A07D0">
      <w:pPr>
        <w:pStyle w:val="Heading1"/>
        <w:rPr>
          <w:rFonts w:ascii="Arial" w:hAnsi="Arial" w:cs="Arial"/>
          <w:b/>
          <w:bCs/>
          <w:sz w:val="22"/>
          <w:szCs w:val="22"/>
        </w:rPr>
      </w:pPr>
      <w:bookmarkStart w:id="7" w:name="_Toc225360040"/>
      <w:r w:rsidRPr="0051369C">
        <w:rPr>
          <w:rFonts w:ascii="Arial" w:hAnsi="Arial" w:cs="Arial"/>
          <w:b/>
          <w:bCs/>
          <w:sz w:val="22"/>
          <w:szCs w:val="22"/>
        </w:rPr>
        <w:t>b. Centralisation or Decentralisation within the Case Study</w:t>
      </w:r>
      <w:bookmarkEnd w:id="7"/>
    </w:p>
    <w:p w14:paraId="7FFC9F88" w14:textId="34A5E734" w:rsidR="005D3652" w:rsidRPr="0051369C" w:rsidRDefault="009B200C" w:rsidP="000A07D0">
      <w:pPr>
        <w:pStyle w:val="Heading2"/>
        <w:rPr>
          <w:rFonts w:ascii="Arial" w:hAnsi="Arial" w:cs="Arial"/>
          <w:b/>
          <w:bCs/>
          <w:sz w:val="22"/>
          <w:szCs w:val="22"/>
        </w:rPr>
      </w:pPr>
      <w:bookmarkStart w:id="8" w:name="_Toc225360041"/>
      <w:r w:rsidRPr="0051369C">
        <w:rPr>
          <w:rFonts w:ascii="Arial" w:hAnsi="Arial" w:cs="Arial"/>
          <w:b/>
          <w:bCs/>
          <w:sz w:val="22"/>
          <w:szCs w:val="22"/>
        </w:rPr>
        <w:t>Centralised System</w:t>
      </w:r>
      <w:bookmarkEnd w:id="8"/>
    </w:p>
    <w:p w14:paraId="0987082F" w14:textId="77777777" w:rsidR="006B4A7F" w:rsidRPr="006B4A7F" w:rsidRDefault="006B4A7F" w:rsidP="00132808">
      <w:pPr>
        <w:spacing w:line="360" w:lineRule="auto"/>
        <w:jc w:val="both"/>
        <w:rPr>
          <w:rFonts w:ascii="Arial" w:hAnsi="Arial" w:cs="Arial"/>
        </w:rPr>
      </w:pPr>
      <w:r w:rsidRPr="006B4A7F">
        <w:rPr>
          <w:rFonts w:ascii="Arial" w:hAnsi="Arial" w:cs="Arial"/>
        </w:rPr>
        <w:t>Centralised healthcare systems concentrate decision-making authority at national or governmental levels, where policies, funding allocations and service priorities are determined centrally. In England, healthcare policy and strategic planning are largely directed by the UK Department of Health and Social Care, which sets the national framework for the National Health Service. This includes decisions related to dental contracts, funding structures and workforce planning that affect access to dental services across the country. In the case of Leigh Rodgers, the difficulties experienced in accessing timely NHS dental treatment can partly be understood within this centralised structure, where national policies influence the availability of local services and resources (House of Commons Library, 2024; Nuffield Trust, 2024).</w:t>
      </w:r>
    </w:p>
    <w:p w14:paraId="1C51970B" w14:textId="77777777" w:rsidR="006B4A7F" w:rsidRPr="006B4A7F" w:rsidRDefault="006B4A7F" w:rsidP="00132808">
      <w:pPr>
        <w:spacing w:line="360" w:lineRule="auto"/>
        <w:jc w:val="both"/>
        <w:rPr>
          <w:rFonts w:ascii="Arial" w:hAnsi="Arial" w:cs="Arial"/>
        </w:rPr>
      </w:pPr>
    </w:p>
    <w:p w14:paraId="2935F3FE" w14:textId="380974BD" w:rsidR="009B200C" w:rsidRDefault="006B4A7F" w:rsidP="00132808">
      <w:pPr>
        <w:spacing w:line="360" w:lineRule="auto"/>
        <w:jc w:val="both"/>
        <w:rPr>
          <w:rFonts w:ascii="Arial" w:hAnsi="Arial" w:cs="Arial"/>
        </w:rPr>
      </w:pPr>
      <w:r w:rsidRPr="006B4A7F">
        <w:rPr>
          <w:rFonts w:ascii="Arial" w:hAnsi="Arial" w:cs="Arial"/>
        </w:rPr>
        <w:t>Furthermore, the Health and Care Act 2022</w:t>
      </w:r>
      <w:r w:rsidR="00854361">
        <w:rPr>
          <w:rFonts w:ascii="Arial" w:hAnsi="Arial" w:cs="Arial"/>
        </w:rPr>
        <w:t xml:space="preserve"> </w:t>
      </w:r>
      <w:r w:rsidRPr="006B4A7F">
        <w:rPr>
          <w:rFonts w:ascii="Arial" w:hAnsi="Arial" w:cs="Arial"/>
        </w:rPr>
        <w:t xml:space="preserve">illustrate the role of centralisation in shaping healthcare governance in England. The legislation strengthened oversight and introduced structural reforms aimed at improving system coordination and accountability within the NHS. From a leadership perspective, centralised governance can support large-scale reforms and ensure that national standards for safety, quality and workforce planning are applied consistently across healthcare organisations. However, </w:t>
      </w:r>
      <w:r>
        <w:rPr>
          <w:rFonts w:ascii="Arial" w:hAnsi="Arial" w:cs="Arial"/>
        </w:rPr>
        <w:t>some</w:t>
      </w:r>
      <w:r w:rsidRPr="006B4A7F">
        <w:rPr>
          <w:rFonts w:ascii="Arial" w:hAnsi="Arial" w:cs="Arial"/>
        </w:rPr>
        <w:t xml:space="preserve"> argue that such top-down leadership approaches may sometimes overlook local service pressures or community needs, potentially limiting the responsiveness of healthcare systems to emerging challenges such as dental service shortages (The King’s Fund, 2023; Spanos et al., 2024).</w:t>
      </w:r>
    </w:p>
    <w:p w14:paraId="30174584" w14:textId="77777777" w:rsidR="0050215D" w:rsidRPr="0051369C" w:rsidRDefault="0050215D" w:rsidP="000A07D0">
      <w:pPr>
        <w:pStyle w:val="Heading2"/>
        <w:rPr>
          <w:rFonts w:ascii="Arial" w:hAnsi="Arial" w:cs="Arial"/>
          <w:b/>
          <w:bCs/>
          <w:sz w:val="22"/>
          <w:szCs w:val="22"/>
        </w:rPr>
      </w:pPr>
      <w:bookmarkStart w:id="9" w:name="_Toc225360042"/>
      <w:r w:rsidRPr="0051369C">
        <w:rPr>
          <w:rFonts w:ascii="Arial" w:hAnsi="Arial" w:cs="Arial"/>
          <w:b/>
          <w:bCs/>
          <w:sz w:val="22"/>
          <w:szCs w:val="22"/>
        </w:rPr>
        <w:t>Advantages and Disadvantages of Centralisation</w:t>
      </w:r>
      <w:bookmarkEnd w:id="9"/>
    </w:p>
    <w:p w14:paraId="170A4682" w14:textId="39FA6C76" w:rsidR="00441A41" w:rsidRDefault="00051005" w:rsidP="00132808">
      <w:pPr>
        <w:spacing w:line="360" w:lineRule="auto"/>
        <w:jc w:val="both"/>
        <w:rPr>
          <w:rFonts w:ascii="Arial" w:hAnsi="Arial" w:cs="Arial"/>
        </w:rPr>
      </w:pPr>
      <w:r>
        <w:rPr>
          <w:rFonts w:ascii="Arial" w:hAnsi="Arial" w:cs="Arial"/>
        </w:rPr>
        <w:t>C</w:t>
      </w:r>
      <w:r w:rsidRPr="00051005">
        <w:rPr>
          <w:rFonts w:ascii="Arial" w:hAnsi="Arial" w:cs="Arial"/>
        </w:rPr>
        <w:t>entralised systems offer several advantages, particularly in maintaining consistent national policies and service guidelines. National leadership can coordinate healthcare strategies, monitor performance and allocate resources to address broader public health priorities. In theory, this structure should help ensure equitable standards of care across regions.</w:t>
      </w:r>
      <w:r w:rsidR="00EB0C51">
        <w:rPr>
          <w:rFonts w:ascii="Arial" w:hAnsi="Arial" w:cs="Arial"/>
        </w:rPr>
        <w:t xml:space="preserve"> </w:t>
      </w:r>
      <w:r w:rsidRPr="00051005">
        <w:rPr>
          <w:rFonts w:ascii="Arial" w:hAnsi="Arial" w:cs="Arial"/>
        </w:rPr>
        <w:t>In Rodgers’ case, national dental policies have been widely criticised for failing to adequately address workforce shortages and declining NHS dental capacity, demonstrating how strategic decisions at policy level can influence patient access and outcomes (Nuffield Trust, 2024; Wu et al., 2024).</w:t>
      </w:r>
    </w:p>
    <w:p w14:paraId="7A738B78" w14:textId="12D900B3" w:rsidR="005D1E87" w:rsidRDefault="00092655" w:rsidP="00132808">
      <w:pPr>
        <w:spacing w:line="360" w:lineRule="auto"/>
        <w:jc w:val="both"/>
        <w:rPr>
          <w:rFonts w:ascii="Arial" w:hAnsi="Arial" w:cs="Arial"/>
        </w:rPr>
      </w:pPr>
      <w:r w:rsidRPr="00092655">
        <w:rPr>
          <w:rFonts w:ascii="Arial" w:hAnsi="Arial" w:cs="Arial"/>
        </w:rPr>
        <w:t xml:space="preserve">However, centralised decision-making can also create bureaucratic delays and reduce flexibility for local healthcare providers. Local organisations may have limited authority to adapt </w:t>
      </w:r>
      <w:r w:rsidRPr="00092655">
        <w:rPr>
          <w:rFonts w:ascii="Arial" w:hAnsi="Arial" w:cs="Arial"/>
        </w:rPr>
        <w:lastRenderedPageBreak/>
        <w:t>services according to community needs or workforce availability. In the context of Rodgers’ case, national funding structures and NHS dental contracts have been criticised for discouraging dentists from providing NHS services, which contributes to limited appointment availability. Consequently, many patients experience difficulties obtaining timely treatment, leading to worsening oral health conditions and increased reliance on emergency care. This highlights an important leadership challenge within centralised systems: while national oversight aims to ensure consistency, insufficient adaptability at local levels may contribute to gaps in service access and patient safety risks (House of Commons Library, 2024; Singh et al., 2024).</w:t>
      </w:r>
    </w:p>
    <w:p w14:paraId="6C25D693" w14:textId="77777777" w:rsidR="00B30CF8" w:rsidRPr="0051369C" w:rsidRDefault="00B30CF8" w:rsidP="000A07D0">
      <w:pPr>
        <w:pStyle w:val="Heading2"/>
        <w:rPr>
          <w:rFonts w:ascii="Arial" w:hAnsi="Arial" w:cs="Arial"/>
          <w:b/>
          <w:bCs/>
          <w:sz w:val="22"/>
          <w:szCs w:val="22"/>
        </w:rPr>
      </w:pPr>
      <w:bookmarkStart w:id="10" w:name="_Toc225360043"/>
      <w:r w:rsidRPr="0051369C">
        <w:rPr>
          <w:rFonts w:ascii="Arial" w:hAnsi="Arial" w:cs="Arial"/>
          <w:b/>
          <w:bCs/>
          <w:sz w:val="22"/>
          <w:szCs w:val="22"/>
        </w:rPr>
        <w:t>Decentralised Systems</w:t>
      </w:r>
      <w:bookmarkEnd w:id="10"/>
    </w:p>
    <w:p w14:paraId="107B6BA5" w14:textId="16C635C7" w:rsidR="00B30CF8" w:rsidRDefault="00A1656A" w:rsidP="00132808">
      <w:pPr>
        <w:spacing w:line="360" w:lineRule="auto"/>
        <w:jc w:val="both"/>
        <w:rPr>
          <w:rFonts w:ascii="Arial" w:hAnsi="Arial" w:cs="Arial"/>
        </w:rPr>
      </w:pPr>
      <w:r w:rsidRPr="00A1656A">
        <w:rPr>
          <w:rFonts w:ascii="Arial" w:hAnsi="Arial" w:cs="Arial"/>
        </w:rPr>
        <w:t>Despite strong national oversight, many aspects of service delivery within the National Health Service operate through decentralised structures. Since the introduction of the Health and Care Act 2022, healthcare services in England have been organised through Integrated Care Systems (ICSs), which are regional partnerships designed to coordinate health and social care services for local populations. There are 42 ICSs across England, each responsible for planning and delivering services for populations ranging from approximately 500,000 to 3 million people. These systems distribute decision-making authority across Integrated Care Boards, NHS trusts, local authorities and community healthcare providers. Consequently, local leaders are able to adapt healthcare services based on regional population needs. However, in the case of Leigh Rodgers, difficulties in accessing NHS dental services highlight how local service capacity and workforce shortages can affect patient access to timely care (NHS England, 2023; Nuffield Trust, 2024).</w:t>
      </w:r>
    </w:p>
    <w:p w14:paraId="5E91363D" w14:textId="676DD2E9" w:rsidR="00A1656A" w:rsidRPr="0051369C" w:rsidRDefault="00A1656A" w:rsidP="000A07D0">
      <w:pPr>
        <w:pStyle w:val="Heading2"/>
        <w:rPr>
          <w:rFonts w:ascii="Arial" w:hAnsi="Arial" w:cs="Arial"/>
          <w:b/>
          <w:bCs/>
          <w:sz w:val="22"/>
          <w:szCs w:val="22"/>
        </w:rPr>
      </w:pPr>
      <w:bookmarkStart w:id="11" w:name="_Toc225360044"/>
      <w:r w:rsidRPr="0051369C">
        <w:rPr>
          <w:rFonts w:ascii="Arial" w:hAnsi="Arial" w:cs="Arial"/>
          <w:b/>
          <w:bCs/>
          <w:sz w:val="22"/>
          <w:szCs w:val="22"/>
        </w:rPr>
        <w:t>Advantages and Disadvantages of Decentralisation</w:t>
      </w:r>
      <w:bookmarkEnd w:id="11"/>
    </w:p>
    <w:p w14:paraId="391BAF0C" w14:textId="77777777" w:rsidR="007B7264" w:rsidRPr="007B7264" w:rsidRDefault="007B7264" w:rsidP="00132808">
      <w:pPr>
        <w:spacing w:line="360" w:lineRule="auto"/>
        <w:jc w:val="both"/>
        <w:rPr>
          <w:rFonts w:ascii="Arial" w:hAnsi="Arial" w:cs="Arial"/>
        </w:rPr>
      </w:pPr>
      <w:r w:rsidRPr="007B7264">
        <w:rPr>
          <w:rFonts w:ascii="Arial" w:hAnsi="Arial" w:cs="Arial"/>
        </w:rPr>
        <w:t>Furthermore, decentralised governance may offer several advantages for healthcare systems. Local leadership within ICSs can improve collaboration between organisations, encourage innovation and allow services to respond more effectively to specific community health needs. For example, local leaders may introduce targeted initiatives to improve access to primary care or dental services in underserved areas. From a leadership perspective, decentralisation can empower healthcare professionals and promote shared responsibility in decision making. Nevertheless, critics argue that while decentralisation encourages flexibility, it also requires strong coordination and leadership to ensure that local initiatives align with national healthcare priorities and patient safety standards (Spanos et al., 2024; Wu et al., 2024).</w:t>
      </w:r>
    </w:p>
    <w:p w14:paraId="76172244" w14:textId="77777777" w:rsidR="007B7264" w:rsidRPr="007B7264" w:rsidRDefault="007B7264" w:rsidP="00132808">
      <w:pPr>
        <w:spacing w:line="360" w:lineRule="auto"/>
        <w:jc w:val="both"/>
        <w:rPr>
          <w:rFonts w:ascii="Arial" w:hAnsi="Arial" w:cs="Arial"/>
        </w:rPr>
      </w:pPr>
    </w:p>
    <w:p w14:paraId="6951888C" w14:textId="2EAD375D" w:rsidR="00C26EBB" w:rsidRDefault="007B7264" w:rsidP="00132808">
      <w:pPr>
        <w:spacing w:line="360" w:lineRule="auto"/>
        <w:jc w:val="both"/>
        <w:rPr>
          <w:rFonts w:ascii="Arial" w:hAnsi="Arial" w:cs="Arial"/>
        </w:rPr>
      </w:pPr>
      <w:r w:rsidRPr="007B7264">
        <w:rPr>
          <w:rFonts w:ascii="Arial" w:hAnsi="Arial" w:cs="Arial"/>
        </w:rPr>
        <w:t xml:space="preserve">However, decentralisation can also lead to variability in service provision and unequal access across different regions. Differences in workforce capacity, funding distribution and service </w:t>
      </w:r>
      <w:r w:rsidRPr="007B7264">
        <w:rPr>
          <w:rFonts w:ascii="Arial" w:hAnsi="Arial" w:cs="Arial"/>
        </w:rPr>
        <w:lastRenderedPageBreak/>
        <w:t xml:space="preserve">organisation may result in some areas having significantly better healthcare access than others. In Rodgers’ case, limited availability of local NHS dental appointments demonstrates how disparities in local service capacity can contribute to delays in treatment and worsening health conditions. Therefore, although decentralised systems aim to improve </w:t>
      </w:r>
      <w:r w:rsidR="00C26EBB">
        <w:rPr>
          <w:rFonts w:ascii="Arial" w:hAnsi="Arial" w:cs="Arial"/>
        </w:rPr>
        <w:t>responsiveness</w:t>
      </w:r>
      <w:r w:rsidR="00700355">
        <w:rPr>
          <w:rFonts w:ascii="Arial" w:hAnsi="Arial" w:cs="Arial"/>
        </w:rPr>
        <w:t>.</w:t>
      </w:r>
      <w:r w:rsidRPr="007B7264">
        <w:rPr>
          <w:rFonts w:ascii="Arial" w:hAnsi="Arial" w:cs="Arial"/>
        </w:rPr>
        <w:t xml:space="preserve">  </w:t>
      </w:r>
      <w:r w:rsidR="00814BD1">
        <w:rPr>
          <w:rFonts w:ascii="Arial" w:hAnsi="Arial" w:cs="Arial"/>
        </w:rPr>
        <w:t xml:space="preserve">researcher </w:t>
      </w:r>
      <w:r w:rsidRPr="007B7264">
        <w:rPr>
          <w:rFonts w:ascii="Arial" w:hAnsi="Arial" w:cs="Arial"/>
        </w:rPr>
        <w:t>suggest that insufficient national coordination and uneven resource distribution may create regional inequalities in care delivery. This highlights an ongoing leadership challenge within the NHS: balancing local autonomy with effective national oversight to ensure equitable access to healthcare services (House of Commons Library, 2024; Nuffield Trust, 2024).</w:t>
      </w:r>
    </w:p>
    <w:p w14:paraId="30D6177C" w14:textId="77777777" w:rsidR="0087129F" w:rsidRPr="0051369C" w:rsidRDefault="0087129F" w:rsidP="000A07D0">
      <w:pPr>
        <w:pStyle w:val="Heading2"/>
        <w:rPr>
          <w:rFonts w:ascii="Arial" w:hAnsi="Arial" w:cs="Arial"/>
          <w:b/>
          <w:bCs/>
          <w:sz w:val="22"/>
          <w:szCs w:val="22"/>
        </w:rPr>
      </w:pPr>
      <w:bookmarkStart w:id="12" w:name="_Toc225360045"/>
      <w:r w:rsidRPr="0051369C">
        <w:rPr>
          <w:rFonts w:ascii="Arial" w:hAnsi="Arial" w:cs="Arial"/>
          <w:b/>
          <w:bCs/>
          <w:sz w:val="22"/>
          <w:szCs w:val="22"/>
        </w:rPr>
        <w:t>Centralisation and Decentralisation Comparison</w:t>
      </w:r>
      <w:bookmarkEnd w:id="12"/>
    </w:p>
    <w:p w14:paraId="21B87BE1" w14:textId="7811176D" w:rsidR="00A1656A" w:rsidRDefault="009C2CB9" w:rsidP="00132808">
      <w:pPr>
        <w:spacing w:line="360" w:lineRule="auto"/>
        <w:jc w:val="both"/>
        <w:rPr>
          <w:rFonts w:ascii="Arial" w:hAnsi="Arial" w:cs="Arial"/>
        </w:rPr>
      </w:pPr>
      <w:r w:rsidRPr="009C2CB9">
        <w:rPr>
          <w:rFonts w:ascii="Arial" w:hAnsi="Arial" w:cs="Arial"/>
        </w:rPr>
        <w:t>In the case of Leigh Rodgers, both centralised and decentralised structures within the National Health Service influenced access to dental care. Centralisation allows national bodies such as the UK Department of Health and Social Care and NHS England to set nationwide policies, funding models and dental contracts, which can ensure consistent standards and accountability across the healthcare system. However, national policies have contributed to workforce dissatisfaction and reduced availability of NHS dental appointments, limiting patient access to care (House of Commons Library, 2024; Nuffield Trust, 2024). In contrast, decentralised governance through Integrated Care Systems enables local leaders to plan services according to regional population needs, improving flexibility and collaboration between healthcare providers. Nevertheless, decentralisation may also create regional variations in service provision due to differences in workforce capacity and local resources. Therefore, Rodgers’ case highlights that while centralisation provides national coordination and decentralisation offers local responsiveness, ineffective alignment between these structures can contribute to delays in care and patient safety risks (Spanos et al., 2024; Wu et al., 2024).</w:t>
      </w:r>
    </w:p>
    <w:p w14:paraId="3CD8A378" w14:textId="20EBBFDB" w:rsidR="00A50411" w:rsidRPr="0051369C" w:rsidRDefault="00A50411" w:rsidP="007B0C1A">
      <w:pPr>
        <w:pStyle w:val="Heading1"/>
        <w:rPr>
          <w:rFonts w:ascii="Arial" w:hAnsi="Arial" w:cs="Arial"/>
          <w:b/>
          <w:bCs/>
          <w:sz w:val="22"/>
          <w:szCs w:val="22"/>
        </w:rPr>
      </w:pPr>
      <w:bookmarkStart w:id="13" w:name="_Toc225360046"/>
      <w:r w:rsidRPr="0051369C">
        <w:rPr>
          <w:rFonts w:ascii="Arial" w:hAnsi="Arial" w:cs="Arial"/>
          <w:b/>
          <w:bCs/>
          <w:sz w:val="22"/>
          <w:szCs w:val="22"/>
        </w:rPr>
        <w:t>c. Theory of leadership and its applicability</w:t>
      </w:r>
      <w:bookmarkEnd w:id="13"/>
    </w:p>
    <w:p w14:paraId="252353E8" w14:textId="37A408BC" w:rsidR="00A50411" w:rsidRPr="00A50411" w:rsidRDefault="001773D0" w:rsidP="00132808">
      <w:pPr>
        <w:spacing w:line="360" w:lineRule="auto"/>
        <w:jc w:val="both"/>
        <w:rPr>
          <w:rFonts w:ascii="Arial" w:hAnsi="Arial" w:cs="Arial"/>
        </w:rPr>
      </w:pPr>
      <w:r w:rsidRPr="001773D0">
        <w:rPr>
          <w:rFonts w:ascii="Arial" w:hAnsi="Arial" w:cs="Arial"/>
        </w:rPr>
        <w:t xml:space="preserve">Effective leadership plays a crucial role in influencing healthcare quality, patient safety and access to services. In the case of Leigh Rodgers, leadership within National Health Service dental services and wider healthcare governance can be examined through different leadership theories. These theories help explain how leadership decisions, organisational culture and workforce management may have contributed to delays in accessing dental care. For example, leadership approaches such as Theory X and Theory Y, Theory Z, the Tannenbaum and Schmidt Leadership Continuum and Behavioural Leadership Theory can be used to understand how leaders manage staff, make decisions and support healthcare teams. Analysing these theories in relation to Rodgers’ case helps to critically evaluate whether </w:t>
      </w:r>
      <w:r w:rsidRPr="001773D0">
        <w:rPr>
          <w:rFonts w:ascii="Arial" w:hAnsi="Arial" w:cs="Arial"/>
        </w:rPr>
        <w:lastRenderedPageBreak/>
        <w:t>leadership practices supported effective service delivery or contributed to challenges such as limited workforce motivation, poor coordination and delayed access to care (Northouse, 2022; Wu et al., 2024).</w:t>
      </w:r>
    </w:p>
    <w:p w14:paraId="69167AE1" w14:textId="6CB4660E" w:rsidR="00DB33F4" w:rsidRPr="0051369C" w:rsidRDefault="008955CC" w:rsidP="007B0C1A">
      <w:pPr>
        <w:pStyle w:val="Heading2"/>
        <w:rPr>
          <w:rFonts w:ascii="Arial" w:hAnsi="Arial" w:cs="Arial"/>
          <w:b/>
          <w:bCs/>
          <w:sz w:val="22"/>
          <w:szCs w:val="22"/>
        </w:rPr>
      </w:pPr>
      <w:bookmarkStart w:id="14" w:name="_Toc225360047"/>
      <w:r w:rsidRPr="0051369C">
        <w:rPr>
          <w:rFonts w:ascii="Arial" w:hAnsi="Arial" w:cs="Arial"/>
          <w:b/>
          <w:bCs/>
          <w:sz w:val="22"/>
          <w:szCs w:val="22"/>
        </w:rPr>
        <w:t>Behavioural Leadership Theory</w:t>
      </w:r>
      <w:bookmarkEnd w:id="14"/>
    </w:p>
    <w:p w14:paraId="09C662D7" w14:textId="00C65F28" w:rsidR="00DB33F4" w:rsidRDefault="00D84336" w:rsidP="00132808">
      <w:pPr>
        <w:spacing w:line="360" w:lineRule="auto"/>
        <w:jc w:val="both"/>
        <w:rPr>
          <w:rFonts w:ascii="Arial" w:hAnsi="Arial" w:cs="Arial"/>
        </w:rPr>
      </w:pPr>
      <w:r w:rsidRPr="00D84336">
        <w:rPr>
          <w:rFonts w:ascii="Arial" w:hAnsi="Arial" w:cs="Arial"/>
        </w:rPr>
        <w:t>Behavioural Leadership Theory focuses on the observable actions and behaviours of leaders rather than their personal traits. It emphasises the balance between task-oriented behaviours, which focus on achieving organisational goals and maintaining performance, and people-oriented behaviours, which prioritise staff support, communication and team wellbeing. In healthcare settings such as the National Health Service, leaders must balance these two approaches to ensure high-quality patient care while also maintaining workforce motivation and sustainability. As illustrated in the diagram, effective leadership involves integrating both task and relationship behaviours to support teamwork and organisational effectiveness</w:t>
      </w:r>
      <w:r w:rsidR="00665EAB">
        <w:rPr>
          <w:rFonts w:ascii="Arial" w:hAnsi="Arial" w:cs="Arial"/>
        </w:rPr>
        <w:t xml:space="preserve"> </w:t>
      </w:r>
      <w:r w:rsidR="003642D1">
        <w:rPr>
          <w:rFonts w:ascii="Arial" w:hAnsi="Arial" w:cs="Arial"/>
        </w:rPr>
        <w:t>(as shown in figure 3)</w:t>
      </w:r>
      <w:r w:rsidRPr="00D84336">
        <w:rPr>
          <w:rFonts w:ascii="Arial" w:hAnsi="Arial" w:cs="Arial"/>
        </w:rPr>
        <w:t>. However, in the case of Leigh Rodgers, the ongoing NHS dental access crisis suggests that leadership practices may have placed greater emphasis on operational targets and service delivery rather than workforce wellbeing. This imbalance can contribute to staff dissatisfaction and reduced participation of dentists in NHS services, ultimately affecting patient access to timely care. Therefore, applying behavioural leadership theory highlights the importance of leadership behaviours that support both organisational performance and workforce engagement in order to improve patient safety and service accessibility (West et al., 2022; Wu et al., 2024).</w:t>
      </w:r>
    </w:p>
    <w:p w14:paraId="50DAD312" w14:textId="77777777" w:rsidR="00C01969" w:rsidRDefault="00C01969" w:rsidP="00132808">
      <w:pPr>
        <w:spacing w:line="360" w:lineRule="auto"/>
        <w:jc w:val="both"/>
        <w:rPr>
          <w:rFonts w:ascii="Arial" w:hAnsi="Arial" w:cs="Arial"/>
        </w:rPr>
      </w:pPr>
    </w:p>
    <w:p w14:paraId="3A79A661" w14:textId="77777777" w:rsidR="00C01969" w:rsidRDefault="00C01969" w:rsidP="00C01969">
      <w:pPr>
        <w:spacing w:line="360" w:lineRule="auto"/>
        <w:jc w:val="both"/>
        <w:rPr>
          <w:rFonts w:ascii="Arial" w:hAnsi="Arial" w:cs="Arial"/>
        </w:rPr>
      </w:pPr>
      <w:r>
        <w:rPr>
          <w:noProof/>
        </w:rPr>
        <w:lastRenderedPageBreak/>
        <w:drawing>
          <wp:inline distT="0" distB="0" distL="0" distR="0" wp14:anchorId="5BE2561E" wp14:editId="150EA607">
            <wp:extent cx="5731510" cy="4300220"/>
            <wp:effectExtent l="0" t="0" r="2540" b="5080"/>
            <wp:docPr id="45899663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300220"/>
                    </a:xfrm>
                    <a:prstGeom prst="rect">
                      <a:avLst/>
                    </a:prstGeom>
                    <a:noFill/>
                    <a:ln>
                      <a:noFill/>
                    </a:ln>
                  </pic:spPr>
                </pic:pic>
              </a:graphicData>
            </a:graphic>
          </wp:inline>
        </w:drawing>
      </w:r>
    </w:p>
    <w:p w14:paraId="67F0A71C" w14:textId="62E2CA64" w:rsidR="00C01969" w:rsidRPr="00EA32DB" w:rsidRDefault="00C01969" w:rsidP="00C01969">
      <w:pPr>
        <w:spacing w:line="360" w:lineRule="auto"/>
        <w:jc w:val="center"/>
        <w:rPr>
          <w:rFonts w:ascii="Arial" w:hAnsi="Arial" w:cs="Arial"/>
          <w:b/>
          <w:bCs/>
        </w:rPr>
      </w:pPr>
      <w:r w:rsidRPr="00EA32DB">
        <w:rPr>
          <w:rFonts w:ascii="Arial" w:hAnsi="Arial" w:cs="Arial"/>
          <w:b/>
          <w:bCs/>
        </w:rPr>
        <w:t>Figure 3 Behavi</w:t>
      </w:r>
      <w:r>
        <w:rPr>
          <w:rFonts w:ascii="Arial" w:hAnsi="Arial" w:cs="Arial"/>
          <w:b/>
          <w:bCs/>
        </w:rPr>
        <w:t>ou</w:t>
      </w:r>
      <w:r w:rsidRPr="00EA32DB">
        <w:rPr>
          <w:rFonts w:ascii="Arial" w:hAnsi="Arial" w:cs="Arial"/>
          <w:b/>
          <w:bCs/>
        </w:rPr>
        <w:t>ral theory of leadership</w:t>
      </w:r>
    </w:p>
    <w:p w14:paraId="1647CF24" w14:textId="77777777" w:rsidR="00C01969" w:rsidRPr="00EA32DB" w:rsidRDefault="00C01969" w:rsidP="00C01969">
      <w:pPr>
        <w:spacing w:line="360" w:lineRule="auto"/>
        <w:jc w:val="center"/>
        <w:rPr>
          <w:rFonts w:ascii="Arial" w:hAnsi="Arial" w:cs="Arial"/>
          <w:b/>
          <w:bCs/>
        </w:rPr>
      </w:pPr>
      <w:r w:rsidRPr="00EA32DB">
        <w:rPr>
          <w:rFonts w:ascii="Arial" w:hAnsi="Arial" w:cs="Arial"/>
          <w:b/>
          <w:bCs/>
        </w:rPr>
        <w:t>(Source: Slide Team)</w:t>
      </w:r>
    </w:p>
    <w:p w14:paraId="370E4BAB" w14:textId="77777777" w:rsidR="00C01969" w:rsidRPr="0051369C" w:rsidRDefault="00C01969" w:rsidP="007B0C1A">
      <w:pPr>
        <w:pStyle w:val="Heading2"/>
        <w:rPr>
          <w:rFonts w:ascii="Arial" w:hAnsi="Arial" w:cs="Arial"/>
          <w:sz w:val="22"/>
          <w:szCs w:val="22"/>
        </w:rPr>
      </w:pPr>
    </w:p>
    <w:p w14:paraId="43A68B4C" w14:textId="5FBC24E4" w:rsidR="00B516A2" w:rsidRPr="0051369C" w:rsidRDefault="00DF4372" w:rsidP="007B0C1A">
      <w:pPr>
        <w:pStyle w:val="Heading2"/>
        <w:rPr>
          <w:rFonts w:ascii="Arial" w:hAnsi="Arial" w:cs="Arial"/>
          <w:b/>
          <w:bCs/>
          <w:sz w:val="22"/>
          <w:szCs w:val="22"/>
        </w:rPr>
      </w:pPr>
      <w:bookmarkStart w:id="15" w:name="_Toc225360048"/>
      <w:r w:rsidRPr="0051369C">
        <w:rPr>
          <w:rFonts w:ascii="Arial" w:hAnsi="Arial" w:cs="Arial"/>
          <w:b/>
          <w:bCs/>
          <w:sz w:val="22"/>
          <w:szCs w:val="22"/>
        </w:rPr>
        <w:t>Tannenbaum and Schmidt Leadership Continuum</w:t>
      </w:r>
      <w:bookmarkEnd w:id="15"/>
    </w:p>
    <w:p w14:paraId="49C3D79F" w14:textId="516BDAC0" w:rsidR="004A4C7B" w:rsidRPr="004A4C7B" w:rsidRDefault="004A4C7B" w:rsidP="00132808">
      <w:pPr>
        <w:spacing w:line="360" w:lineRule="auto"/>
        <w:jc w:val="both"/>
        <w:rPr>
          <w:rFonts w:ascii="Arial" w:hAnsi="Arial" w:cs="Arial"/>
        </w:rPr>
      </w:pPr>
      <w:r w:rsidRPr="004A4C7B">
        <w:rPr>
          <w:rFonts w:ascii="Arial" w:hAnsi="Arial" w:cs="Arial"/>
        </w:rPr>
        <w:t>The Tannenbaum and Schmidt Leadership Continuum explains that leadership styles can range from highly authoritarian to highly democratic forms of decision-making. Rather than using a single fixed style, leaders move along this continuum depending on the situation, organisational needs and the level of team involvement required. As illustrated in the diagram, leadership may shift from a leader-centred approach, where decisions are made primarily by senior leaders, to a subordinate-centred approach, where staff and stakeholders are actively involved in decision-making</w:t>
      </w:r>
      <w:r w:rsidR="0046784C">
        <w:rPr>
          <w:rFonts w:ascii="Arial" w:hAnsi="Arial" w:cs="Arial"/>
        </w:rPr>
        <w:t xml:space="preserve"> (Figure. 3)</w:t>
      </w:r>
      <w:r w:rsidRPr="004A4C7B">
        <w:rPr>
          <w:rFonts w:ascii="Arial" w:hAnsi="Arial" w:cs="Arial"/>
        </w:rPr>
        <w:t>. In healthcare organisations such as the National Health Service, this flexibility is particularly important because different situations require different leadership responses. For example, during urgent clinical situations or emergency care pathways, leaders may adopt a more directive approach to ensure quick decisions and clear accountability. However, long-term issues such as workforce planning, service accessibility and healthcare reforms usually require a more participative leadership style that encourages collaboration between professionals, policymakers and managers.</w:t>
      </w:r>
    </w:p>
    <w:p w14:paraId="7933CDEB" w14:textId="77777777" w:rsidR="004A4C7B" w:rsidRPr="004A4C7B" w:rsidRDefault="004A4C7B" w:rsidP="00132808">
      <w:pPr>
        <w:spacing w:line="360" w:lineRule="auto"/>
        <w:jc w:val="both"/>
        <w:rPr>
          <w:rFonts w:ascii="Arial" w:hAnsi="Arial" w:cs="Arial"/>
        </w:rPr>
      </w:pPr>
    </w:p>
    <w:p w14:paraId="558CE03B" w14:textId="0CDCFB81" w:rsidR="00B516A2" w:rsidRDefault="004A4C7B" w:rsidP="00132808">
      <w:pPr>
        <w:spacing w:line="360" w:lineRule="auto"/>
        <w:jc w:val="both"/>
        <w:rPr>
          <w:rFonts w:ascii="Arial" w:hAnsi="Arial" w:cs="Arial"/>
        </w:rPr>
      </w:pPr>
      <w:r w:rsidRPr="004A4C7B">
        <w:rPr>
          <w:rFonts w:ascii="Arial" w:hAnsi="Arial" w:cs="Arial"/>
        </w:rPr>
        <w:t xml:space="preserve">In the case of Leigh Rodgers, leadership within NHS dental governance appears to have been largely reactive rather than proactive. Although national policies aim to improve access to dental services, ongoing problems such as appointment shortages and long waiting lists suggest that leadership responses have not fully addressed underlying workforce and system pressures. From a leadership perspective, relying too heavily on top-down decision-making may limit engagement with frontline professionals who better understand service capacity challenges. </w:t>
      </w:r>
      <w:r w:rsidR="0034296E" w:rsidRPr="0034296E">
        <w:rPr>
          <w:rFonts w:ascii="Arial" w:hAnsi="Arial" w:cs="Arial"/>
        </w:rPr>
        <w:t>Therefore, a more balanced leadership approach along the continuum</w:t>
      </w:r>
      <w:r w:rsidR="0034296E">
        <w:rPr>
          <w:rFonts w:ascii="Arial" w:hAnsi="Arial" w:cs="Arial"/>
        </w:rPr>
        <w:t xml:space="preserve"> </w:t>
      </w:r>
      <w:r w:rsidR="0034296E" w:rsidRPr="0034296E">
        <w:rPr>
          <w:rFonts w:ascii="Arial" w:hAnsi="Arial" w:cs="Arial"/>
        </w:rPr>
        <w:t>combining clear national direction with participative decision</w:t>
      </w:r>
      <w:r w:rsidR="0034296E">
        <w:rPr>
          <w:rFonts w:ascii="Arial" w:hAnsi="Arial" w:cs="Arial"/>
        </w:rPr>
        <w:t xml:space="preserve"> </w:t>
      </w:r>
      <w:r w:rsidR="0034296E" w:rsidRPr="0034296E">
        <w:rPr>
          <w:rFonts w:ascii="Arial" w:hAnsi="Arial" w:cs="Arial"/>
        </w:rPr>
        <w:t>making at local levels</w:t>
      </w:r>
      <w:r w:rsidR="0034296E">
        <w:rPr>
          <w:rFonts w:ascii="Arial" w:hAnsi="Arial" w:cs="Arial"/>
        </w:rPr>
        <w:t xml:space="preserve"> </w:t>
      </w:r>
      <w:r w:rsidR="0034296E" w:rsidRPr="0034296E">
        <w:rPr>
          <w:rFonts w:ascii="Arial" w:hAnsi="Arial" w:cs="Arial"/>
        </w:rPr>
        <w:t>could have improved workforce planning, appointment allocation, and communication between policymakers, dentists, and healthcare managers, potentially reducing delays in access to care (Spanos et al., 2024; Wu et al., 2024). In contrast, behavioural leadership theory, which focuses mainly on task</w:t>
      </w:r>
      <w:r w:rsidR="0034296E">
        <w:rPr>
          <w:rFonts w:ascii="Arial" w:hAnsi="Arial" w:cs="Arial"/>
        </w:rPr>
        <w:t xml:space="preserve"> </w:t>
      </w:r>
      <w:r w:rsidR="0034296E" w:rsidRPr="0034296E">
        <w:rPr>
          <w:rFonts w:ascii="Arial" w:hAnsi="Arial" w:cs="Arial"/>
        </w:rPr>
        <w:t xml:space="preserve">and </w:t>
      </w:r>
      <w:proofErr w:type="gramStart"/>
      <w:r w:rsidR="0034296E" w:rsidRPr="0034296E">
        <w:rPr>
          <w:rFonts w:ascii="Arial" w:hAnsi="Arial" w:cs="Arial"/>
        </w:rPr>
        <w:t>people</w:t>
      </w:r>
      <w:r w:rsidR="0034296E">
        <w:rPr>
          <w:rFonts w:ascii="Arial" w:hAnsi="Arial" w:cs="Arial"/>
        </w:rPr>
        <w:t xml:space="preserve"> </w:t>
      </w:r>
      <w:r w:rsidR="0034296E" w:rsidRPr="0034296E">
        <w:rPr>
          <w:rFonts w:ascii="Arial" w:hAnsi="Arial" w:cs="Arial"/>
        </w:rPr>
        <w:t>oriented</w:t>
      </w:r>
      <w:proofErr w:type="gramEnd"/>
      <w:r w:rsidR="0034296E" w:rsidRPr="0034296E">
        <w:rPr>
          <w:rFonts w:ascii="Arial" w:hAnsi="Arial" w:cs="Arial"/>
        </w:rPr>
        <w:t xml:space="preserve"> behaviours, lacks the flexibility needed to respond to complex and changing NHS pressures, making it less effective in addressing systemic issues such as workforce shortages and access barriers.</w:t>
      </w:r>
    </w:p>
    <w:p w14:paraId="76BB0F53" w14:textId="77777777" w:rsidR="00C83907" w:rsidRDefault="00C83907" w:rsidP="00132808">
      <w:pPr>
        <w:spacing w:line="360" w:lineRule="auto"/>
        <w:jc w:val="both"/>
        <w:rPr>
          <w:rFonts w:ascii="Arial" w:hAnsi="Arial" w:cs="Arial"/>
        </w:rPr>
      </w:pPr>
    </w:p>
    <w:p w14:paraId="3C9FDD11" w14:textId="77777777" w:rsidR="00C83907" w:rsidRDefault="00C83907" w:rsidP="00C83907">
      <w:pPr>
        <w:spacing w:line="360" w:lineRule="auto"/>
        <w:jc w:val="both"/>
        <w:rPr>
          <w:rFonts w:ascii="Arial" w:hAnsi="Arial" w:cs="Arial"/>
        </w:rPr>
      </w:pPr>
      <w:r>
        <w:rPr>
          <w:noProof/>
        </w:rPr>
        <w:drawing>
          <wp:inline distT="0" distB="0" distL="0" distR="0" wp14:anchorId="731CD99D" wp14:editId="34D5490F">
            <wp:extent cx="5731510" cy="3248025"/>
            <wp:effectExtent l="0" t="0" r="2540" b="9525"/>
            <wp:docPr id="4112512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48025"/>
                    </a:xfrm>
                    <a:prstGeom prst="rect">
                      <a:avLst/>
                    </a:prstGeom>
                    <a:noFill/>
                    <a:ln>
                      <a:noFill/>
                    </a:ln>
                  </pic:spPr>
                </pic:pic>
              </a:graphicData>
            </a:graphic>
          </wp:inline>
        </w:drawing>
      </w:r>
    </w:p>
    <w:p w14:paraId="5BF09E28" w14:textId="77777777" w:rsidR="00C83907" w:rsidRPr="00EA32DB" w:rsidRDefault="00C83907" w:rsidP="00C83907">
      <w:pPr>
        <w:spacing w:line="360" w:lineRule="auto"/>
        <w:jc w:val="center"/>
        <w:rPr>
          <w:rFonts w:ascii="Arial" w:hAnsi="Arial" w:cs="Arial"/>
          <w:b/>
          <w:bCs/>
        </w:rPr>
      </w:pPr>
      <w:r w:rsidRPr="00EA32DB">
        <w:rPr>
          <w:rFonts w:ascii="Arial" w:hAnsi="Arial" w:cs="Arial"/>
          <w:b/>
          <w:bCs/>
        </w:rPr>
        <w:t>Figure 3 Tannenbaum theory</w:t>
      </w:r>
    </w:p>
    <w:p w14:paraId="38F03B39" w14:textId="77777777" w:rsidR="00C83907" w:rsidRDefault="00C83907" w:rsidP="00C83907">
      <w:pPr>
        <w:spacing w:line="360" w:lineRule="auto"/>
        <w:jc w:val="center"/>
        <w:rPr>
          <w:rFonts w:ascii="Arial" w:hAnsi="Arial" w:cs="Arial"/>
          <w:b/>
          <w:bCs/>
        </w:rPr>
      </w:pPr>
      <w:r w:rsidRPr="00EA32DB">
        <w:rPr>
          <w:rFonts w:ascii="Arial" w:hAnsi="Arial" w:cs="Arial"/>
          <w:b/>
          <w:bCs/>
        </w:rPr>
        <w:t>Source (Tannenbaum and Schmidt, 1958)</w:t>
      </w:r>
    </w:p>
    <w:p w14:paraId="37EFE709" w14:textId="77777777" w:rsidR="00C11771" w:rsidRDefault="00C11771" w:rsidP="00C83907">
      <w:pPr>
        <w:spacing w:line="360" w:lineRule="auto"/>
        <w:jc w:val="center"/>
        <w:rPr>
          <w:rFonts w:ascii="Arial" w:hAnsi="Arial" w:cs="Arial"/>
          <w:b/>
          <w:bCs/>
        </w:rPr>
      </w:pPr>
    </w:p>
    <w:p w14:paraId="6A238754" w14:textId="77777777" w:rsidR="00C11771" w:rsidRDefault="00C11771" w:rsidP="00C83907">
      <w:pPr>
        <w:spacing w:line="360" w:lineRule="auto"/>
        <w:jc w:val="center"/>
        <w:rPr>
          <w:rFonts w:ascii="Arial" w:hAnsi="Arial" w:cs="Arial"/>
          <w:b/>
          <w:bCs/>
        </w:rPr>
      </w:pPr>
    </w:p>
    <w:p w14:paraId="064B43EC" w14:textId="77777777" w:rsidR="00C11771" w:rsidRPr="00EA32DB" w:rsidRDefault="00C11771" w:rsidP="00C83907">
      <w:pPr>
        <w:spacing w:line="360" w:lineRule="auto"/>
        <w:jc w:val="center"/>
        <w:rPr>
          <w:rFonts w:ascii="Arial" w:hAnsi="Arial" w:cs="Arial"/>
          <w:b/>
          <w:bCs/>
        </w:rPr>
      </w:pPr>
    </w:p>
    <w:p w14:paraId="3C62FD65" w14:textId="77777777" w:rsidR="00C83907" w:rsidRDefault="00C83907" w:rsidP="00132808">
      <w:pPr>
        <w:spacing w:line="360" w:lineRule="auto"/>
        <w:jc w:val="both"/>
        <w:rPr>
          <w:rFonts w:ascii="Arial" w:hAnsi="Arial" w:cs="Arial"/>
        </w:rPr>
      </w:pPr>
    </w:p>
    <w:p w14:paraId="5411497B" w14:textId="0C702786" w:rsidR="00774D55" w:rsidRPr="0051369C" w:rsidRDefault="00392DA8" w:rsidP="007B0C1A">
      <w:pPr>
        <w:pStyle w:val="Heading2"/>
        <w:rPr>
          <w:rFonts w:ascii="Arial" w:hAnsi="Arial" w:cs="Arial"/>
          <w:b/>
          <w:bCs/>
          <w:sz w:val="22"/>
          <w:szCs w:val="22"/>
        </w:rPr>
      </w:pPr>
      <w:bookmarkStart w:id="16" w:name="_Toc225360049"/>
      <w:r w:rsidRPr="0051369C">
        <w:rPr>
          <w:rFonts w:ascii="Arial" w:hAnsi="Arial" w:cs="Arial"/>
          <w:b/>
          <w:bCs/>
          <w:sz w:val="22"/>
          <w:szCs w:val="22"/>
        </w:rPr>
        <w:t>Theory X and Theory Y</w:t>
      </w:r>
      <w:bookmarkEnd w:id="16"/>
    </w:p>
    <w:p w14:paraId="4AC9E3FD" w14:textId="5C21EB3F" w:rsidR="00392DA8" w:rsidRDefault="00F97248" w:rsidP="00132808">
      <w:pPr>
        <w:spacing w:line="360" w:lineRule="auto"/>
        <w:jc w:val="both"/>
        <w:rPr>
          <w:rFonts w:ascii="Arial" w:hAnsi="Arial" w:cs="Arial"/>
        </w:rPr>
      </w:pPr>
      <w:r w:rsidRPr="00F97248">
        <w:rPr>
          <w:rFonts w:ascii="Arial" w:hAnsi="Arial" w:cs="Arial"/>
        </w:rPr>
        <w:t>Theory X, developed by Douglas McGregor, suggests that employees may be naturally unmotivated and therefore require strict supervision, clear rules and strong managerial control</w:t>
      </w:r>
      <w:r w:rsidR="00DA6E85">
        <w:rPr>
          <w:rFonts w:ascii="Arial" w:hAnsi="Arial" w:cs="Arial"/>
        </w:rPr>
        <w:t xml:space="preserve"> (Figure. 4)</w:t>
      </w:r>
      <w:r w:rsidRPr="00F97248">
        <w:rPr>
          <w:rFonts w:ascii="Arial" w:hAnsi="Arial" w:cs="Arial"/>
        </w:rPr>
        <w:t>. In the context of National Health Service dentistry, elements of this approach can be seen in the regulated dental contract system, where dentists are required to meet activity targets through the Unit of Dental Activity (UDA) framework. This model emphasises performance monitoring and compliance rather than professional autonomy. However, argue that such rigid management structures can reduce workforce motivation and discourage dentists from continuing NHS work. National reports indicate that millions of adults in England struggle to obtain NHS dental appointments, partly because some dentists have reduced NHS commitments or moved to private practice. In the case of Leigh Rodgers, limited appointment availability highlights how inflexible management systems may struggle to respond to growing patient demand (House of Commons Library, 2024; Nuffield Trust, 2024).</w:t>
      </w:r>
    </w:p>
    <w:p w14:paraId="024359CB" w14:textId="31173F1A" w:rsidR="00F97248" w:rsidRDefault="001348B8" w:rsidP="00132808">
      <w:pPr>
        <w:spacing w:line="360" w:lineRule="auto"/>
        <w:jc w:val="both"/>
        <w:rPr>
          <w:rFonts w:ascii="Arial" w:hAnsi="Arial" w:cs="Arial"/>
        </w:rPr>
      </w:pPr>
      <w:r w:rsidRPr="001348B8">
        <w:rPr>
          <w:rFonts w:ascii="Arial" w:hAnsi="Arial" w:cs="Arial"/>
        </w:rPr>
        <w:t>In contrast, Theory Y, also proposed by Douglas McGregor, assumes that employees are generally self-motivated, responsible and capable of contributing creatively when supported by positive leadership</w:t>
      </w:r>
      <w:r w:rsidR="00DA6E85">
        <w:rPr>
          <w:rFonts w:ascii="Arial" w:hAnsi="Arial" w:cs="Arial"/>
        </w:rPr>
        <w:t xml:space="preserve"> (Figure. 4)</w:t>
      </w:r>
      <w:r w:rsidRPr="001348B8">
        <w:rPr>
          <w:rFonts w:ascii="Arial" w:hAnsi="Arial" w:cs="Arial"/>
        </w:rPr>
        <w:t>. Within the NHS, initiatives such as Integrated Care Systems aim to encourage collaboration between healthcare providers and empower local leaders to design services that meet population needs. This reflects a more participative leadership approach that values staff involvement and innovation in service delivery. Nevertheless, evidence suggests that staff engagement within the NHS remains a challenge. For example, the NHS Staff Survey 2023 found that only around 56% of staff felt their organisation acted on employee feedback, indicating that participatory leadership practices are not always fully implemented. In Rodgers’ case, stronger Theory Y leadership—encouraging collaboration with dental professionals and frontline staff—may have supported more innovative solutions to improve access to NHS dental services (NHS Staff Survey, 2023; Wu et al., 2024).</w:t>
      </w:r>
    </w:p>
    <w:p w14:paraId="7E35E323" w14:textId="77777777" w:rsidR="00C83907" w:rsidRDefault="00C83907" w:rsidP="00132808">
      <w:pPr>
        <w:spacing w:line="360" w:lineRule="auto"/>
        <w:jc w:val="both"/>
        <w:rPr>
          <w:rFonts w:ascii="Arial" w:hAnsi="Arial" w:cs="Arial"/>
        </w:rPr>
      </w:pPr>
    </w:p>
    <w:p w14:paraId="186F2323" w14:textId="77777777" w:rsidR="00C83907" w:rsidRDefault="00C83907" w:rsidP="00C83907">
      <w:pPr>
        <w:spacing w:line="360" w:lineRule="auto"/>
        <w:jc w:val="center"/>
        <w:rPr>
          <w:rFonts w:ascii="Arial" w:hAnsi="Arial" w:cs="Arial"/>
          <w:b/>
          <w:bCs/>
        </w:rPr>
      </w:pPr>
      <w:r>
        <w:rPr>
          <w:noProof/>
        </w:rPr>
        <w:lastRenderedPageBreak/>
        <w:drawing>
          <wp:inline distT="0" distB="0" distL="0" distR="0" wp14:anchorId="18896D4B" wp14:editId="7A3DAE8C">
            <wp:extent cx="3403158" cy="2376103"/>
            <wp:effectExtent l="0" t="0" r="6985" b="5715"/>
            <wp:docPr id="162779749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12102" cy="2382347"/>
                    </a:xfrm>
                    <a:prstGeom prst="rect">
                      <a:avLst/>
                    </a:prstGeom>
                    <a:noFill/>
                    <a:ln>
                      <a:noFill/>
                    </a:ln>
                  </pic:spPr>
                </pic:pic>
              </a:graphicData>
            </a:graphic>
          </wp:inline>
        </w:drawing>
      </w:r>
    </w:p>
    <w:p w14:paraId="7AA3BB18" w14:textId="77777777" w:rsidR="00C83907" w:rsidRDefault="00C83907" w:rsidP="00C83907">
      <w:pPr>
        <w:spacing w:line="360" w:lineRule="auto"/>
        <w:jc w:val="center"/>
        <w:rPr>
          <w:rFonts w:ascii="Arial" w:hAnsi="Arial" w:cs="Arial"/>
          <w:b/>
          <w:bCs/>
        </w:rPr>
      </w:pPr>
      <w:r>
        <w:rPr>
          <w:rFonts w:ascii="Arial" w:hAnsi="Arial" w:cs="Arial"/>
          <w:b/>
          <w:bCs/>
        </w:rPr>
        <w:t>Figure 4 Theory X and Y</w:t>
      </w:r>
    </w:p>
    <w:p w14:paraId="21CB3EF6" w14:textId="73F85380" w:rsidR="002B3336" w:rsidRPr="00F6017B" w:rsidRDefault="00C83907" w:rsidP="00F6017B">
      <w:pPr>
        <w:spacing w:line="360" w:lineRule="auto"/>
        <w:jc w:val="center"/>
        <w:rPr>
          <w:rFonts w:ascii="Arial" w:hAnsi="Arial" w:cs="Arial"/>
          <w:b/>
          <w:bCs/>
        </w:rPr>
      </w:pPr>
      <w:r>
        <w:rPr>
          <w:rFonts w:ascii="Arial" w:hAnsi="Arial" w:cs="Arial"/>
          <w:b/>
          <w:bCs/>
        </w:rPr>
        <w:t>Source (Alan Chapman,2004)</w:t>
      </w:r>
    </w:p>
    <w:p w14:paraId="61AE24DF" w14:textId="77777777" w:rsidR="002B3336" w:rsidRPr="0051369C" w:rsidRDefault="002B3336" w:rsidP="007B0C1A">
      <w:pPr>
        <w:pStyle w:val="Heading1"/>
        <w:rPr>
          <w:rFonts w:ascii="Arial" w:hAnsi="Arial" w:cs="Arial"/>
          <w:b/>
          <w:bCs/>
          <w:sz w:val="22"/>
          <w:szCs w:val="22"/>
        </w:rPr>
      </w:pPr>
      <w:bookmarkStart w:id="17" w:name="_Toc225360050"/>
      <w:r w:rsidRPr="0051369C">
        <w:rPr>
          <w:rFonts w:ascii="Arial" w:hAnsi="Arial" w:cs="Arial"/>
          <w:b/>
          <w:bCs/>
          <w:sz w:val="22"/>
          <w:szCs w:val="22"/>
        </w:rPr>
        <w:t>d. Improvement, and Lessons Learned</w:t>
      </w:r>
      <w:bookmarkEnd w:id="17"/>
    </w:p>
    <w:p w14:paraId="4EF9EA04" w14:textId="77777777" w:rsidR="000B15BB" w:rsidRPr="0051369C" w:rsidRDefault="000B15BB" w:rsidP="007B0C1A">
      <w:pPr>
        <w:pStyle w:val="Heading2"/>
        <w:rPr>
          <w:rFonts w:ascii="Arial" w:hAnsi="Arial" w:cs="Arial"/>
          <w:b/>
          <w:bCs/>
          <w:sz w:val="22"/>
          <w:szCs w:val="22"/>
        </w:rPr>
      </w:pPr>
      <w:bookmarkStart w:id="18" w:name="_Toc225360051"/>
      <w:r w:rsidRPr="0051369C">
        <w:rPr>
          <w:rFonts w:ascii="Arial" w:hAnsi="Arial" w:cs="Arial"/>
          <w:b/>
          <w:bCs/>
          <w:sz w:val="22"/>
          <w:szCs w:val="22"/>
        </w:rPr>
        <w:t>Leadership and Governance Interaction</w:t>
      </w:r>
      <w:bookmarkEnd w:id="18"/>
    </w:p>
    <w:p w14:paraId="18FDDB6C" w14:textId="4EEF36FB" w:rsidR="00CA2735" w:rsidRPr="00CA2735" w:rsidRDefault="00CA2735" w:rsidP="00132808">
      <w:pPr>
        <w:spacing w:line="360" w:lineRule="auto"/>
        <w:jc w:val="both"/>
        <w:rPr>
          <w:rFonts w:ascii="Arial" w:hAnsi="Arial" w:cs="Arial"/>
        </w:rPr>
      </w:pPr>
      <w:r w:rsidRPr="00CA2735">
        <w:rPr>
          <w:rFonts w:ascii="Arial" w:hAnsi="Arial" w:cs="Arial"/>
        </w:rPr>
        <w:t>The death of Leigh Rodgers highlights important issues in the relationship between leadership, governance and healthcare service delivery. Although the immediate cause of death was a rare allergic reaction to contrast dye during a CT scan, the wider circumstances reveal systemic weaknesses in access to primary dental care within the National Health Service. From a leadership perspective, the case suggests that earlier interventions and better coordination between services may have helped prevent the progression of the patient’s condition. Examining governance within NHS England and the UK Department of Health and Social Care indicates that limitations in workforce planning, policy implementation and service accessibility can contribute to delays in treatment and increased patient risk.</w:t>
      </w:r>
    </w:p>
    <w:p w14:paraId="5DD78C15" w14:textId="77777777" w:rsidR="00CA2735" w:rsidRPr="00CA2735" w:rsidRDefault="00CA2735" w:rsidP="00132808">
      <w:pPr>
        <w:spacing w:line="360" w:lineRule="auto"/>
        <w:jc w:val="both"/>
        <w:rPr>
          <w:rFonts w:ascii="Arial" w:hAnsi="Arial" w:cs="Arial"/>
        </w:rPr>
      </w:pPr>
      <w:r w:rsidRPr="00CA2735">
        <w:rPr>
          <w:rFonts w:ascii="Arial" w:hAnsi="Arial" w:cs="Arial"/>
        </w:rPr>
        <w:t>Furthermore, leadership and governance structures are responsible for ensuring that healthcare services are safe, accessible and responsive to patient needs. However, evidence suggests that structural challenges within the NHS dental contract system have reduced dentist participation in NHS services, which has limited appointment availability. Recent data shows that only around 40% of adults in England had seen an NHS dentist within the previous two years, highlighting a significant decline in access to care (House of Commons Library, 2024). As a result, untreated dental conditions may worsen over time, increasing the likelihood that patients require emergency hospital treatment.</w:t>
      </w:r>
    </w:p>
    <w:p w14:paraId="3125F744" w14:textId="77777777" w:rsidR="00CA2735" w:rsidRPr="00CA2735" w:rsidRDefault="00CA2735" w:rsidP="00132808">
      <w:pPr>
        <w:spacing w:line="360" w:lineRule="auto"/>
        <w:jc w:val="both"/>
        <w:rPr>
          <w:rFonts w:ascii="Arial" w:hAnsi="Arial" w:cs="Arial"/>
        </w:rPr>
      </w:pPr>
    </w:p>
    <w:p w14:paraId="239379F3" w14:textId="188BCC4A" w:rsidR="007D6580" w:rsidRDefault="00CA2735" w:rsidP="00132808">
      <w:pPr>
        <w:spacing w:line="360" w:lineRule="auto"/>
        <w:jc w:val="both"/>
        <w:rPr>
          <w:rFonts w:ascii="Arial" w:hAnsi="Arial" w:cs="Arial"/>
        </w:rPr>
      </w:pPr>
      <w:r w:rsidRPr="00CA2735">
        <w:rPr>
          <w:rFonts w:ascii="Arial" w:hAnsi="Arial" w:cs="Arial"/>
        </w:rPr>
        <w:lastRenderedPageBreak/>
        <w:t>In addition, governance organisations such as NHS England are responsible for commissioning dental services and ensuring adequate workforce capacity. However, workforce shortages and recruitment challenges across NHS dentistry have resulted in long waiting lists and reduced access to appointments in many regions. Consequently, when patients cannot obtain timely primary dental care, relatively minor conditions such as tooth infections may develop into more serious health problems requiring hospital intervention. Therefore, Rodgers’ case illustrates how leadership decisions related to workforce planning, service funding and policy implementation can directly influence healthcare access and patient safety outcomes (Nuffield Trust, 2024; Wu et al., 2024).</w:t>
      </w:r>
    </w:p>
    <w:p w14:paraId="7354A752" w14:textId="77777777" w:rsidR="004302AB" w:rsidRPr="0051369C" w:rsidRDefault="004302AB" w:rsidP="007B0C1A">
      <w:pPr>
        <w:pStyle w:val="Heading2"/>
        <w:rPr>
          <w:rFonts w:ascii="Arial" w:hAnsi="Arial" w:cs="Arial"/>
          <w:b/>
          <w:bCs/>
          <w:sz w:val="22"/>
          <w:szCs w:val="22"/>
        </w:rPr>
      </w:pPr>
      <w:bookmarkStart w:id="19" w:name="_Toc225360052"/>
      <w:r w:rsidRPr="0051369C">
        <w:rPr>
          <w:rFonts w:ascii="Arial" w:hAnsi="Arial" w:cs="Arial"/>
          <w:b/>
          <w:bCs/>
          <w:sz w:val="22"/>
          <w:szCs w:val="22"/>
        </w:rPr>
        <w:t>Missed Opportunities and Solutions</w:t>
      </w:r>
      <w:bookmarkEnd w:id="19"/>
    </w:p>
    <w:p w14:paraId="0AD15781" w14:textId="77777777" w:rsidR="00F876F3" w:rsidRPr="00F876F3" w:rsidRDefault="00F876F3" w:rsidP="00132808">
      <w:pPr>
        <w:spacing w:line="360" w:lineRule="auto"/>
        <w:jc w:val="both"/>
        <w:rPr>
          <w:rFonts w:ascii="Arial" w:hAnsi="Arial" w:cs="Arial"/>
        </w:rPr>
      </w:pPr>
      <w:r w:rsidRPr="00F876F3">
        <w:rPr>
          <w:rFonts w:ascii="Arial" w:hAnsi="Arial" w:cs="Arial"/>
        </w:rPr>
        <w:t>A key missed opportunity in the case of Leigh Rodgers relates to limited prevention and early intervention within the National Health Service dental system. Effective healthcare leadership prioritises preventive care to reduce the need for emergency treatment. However, access to NHS dental appointments remains limited, with the British Dental Association reporting that around 13 million adults in England struggle to obtain NHS dental care. As a result, patients may delay treatment until symptoms become severe, increasing the risk of complications (BDA, 2024; Nuffield Trust, 2024).</w:t>
      </w:r>
    </w:p>
    <w:p w14:paraId="4317D60D" w14:textId="2D623CD0" w:rsidR="00CA2735" w:rsidRDefault="00F876F3" w:rsidP="00132808">
      <w:pPr>
        <w:spacing w:line="360" w:lineRule="auto"/>
        <w:jc w:val="both"/>
        <w:rPr>
          <w:rFonts w:ascii="Arial" w:hAnsi="Arial" w:cs="Arial"/>
        </w:rPr>
      </w:pPr>
      <w:r w:rsidRPr="00F876F3">
        <w:rPr>
          <w:rFonts w:ascii="Arial" w:hAnsi="Arial" w:cs="Arial"/>
        </w:rPr>
        <w:t>Another issue involves coordination between primary dental care and hospital services. In Rodgers’ case, the inability to access timely dental treatment led to hospital investigations and diagnostic imaging. Although the allergic reaction during the CT scan was unpredictable, earlier dental care might have prevented the condition from worsening and reduced the need for hospital intervention, highlighting weaknesses in healthcare coordination and access (Wu et al., 2024).</w:t>
      </w:r>
    </w:p>
    <w:p w14:paraId="7CC10A98" w14:textId="77777777" w:rsidR="003F59FD" w:rsidRPr="003F59FD" w:rsidRDefault="003F59FD" w:rsidP="00132808">
      <w:pPr>
        <w:spacing w:line="360" w:lineRule="auto"/>
        <w:jc w:val="both"/>
        <w:rPr>
          <w:rFonts w:ascii="Arial" w:hAnsi="Arial" w:cs="Arial"/>
        </w:rPr>
      </w:pPr>
      <w:r w:rsidRPr="003F59FD">
        <w:rPr>
          <w:rFonts w:ascii="Arial" w:hAnsi="Arial" w:cs="Arial"/>
        </w:rPr>
        <w:t>To address the challenges highlighted in the case of Leigh Rodgers, several evidence-based improvements have been suggested within healthcare research and policy discussions. One key recommendation is reforming the dental contract system within the National Health Service, particularly the Unit of Dental Activity (UDA) model. This system has been widely criticised for discouraging dentists from treating complex cases and reducing participation in NHS dentistry. Reforming the contract to prioritise preventive care and patient outcomes could help increase dentist engagement and improve appointment availability (Nuffield Trust, 2024; House of Commons Library, 2024).</w:t>
      </w:r>
    </w:p>
    <w:p w14:paraId="14C059EA" w14:textId="77777777" w:rsidR="003F59FD" w:rsidRPr="003F59FD" w:rsidRDefault="003F59FD" w:rsidP="00132808">
      <w:pPr>
        <w:spacing w:line="360" w:lineRule="auto"/>
        <w:jc w:val="both"/>
        <w:rPr>
          <w:rFonts w:ascii="Arial" w:hAnsi="Arial" w:cs="Arial"/>
        </w:rPr>
      </w:pPr>
    </w:p>
    <w:p w14:paraId="5094E894" w14:textId="324620AE" w:rsidR="00F876F3" w:rsidRDefault="003F59FD" w:rsidP="00132808">
      <w:pPr>
        <w:spacing w:line="360" w:lineRule="auto"/>
        <w:jc w:val="both"/>
        <w:rPr>
          <w:rFonts w:ascii="Arial" w:hAnsi="Arial" w:cs="Arial"/>
        </w:rPr>
      </w:pPr>
      <w:r w:rsidRPr="003F59FD">
        <w:rPr>
          <w:rFonts w:ascii="Arial" w:hAnsi="Arial" w:cs="Arial"/>
        </w:rPr>
        <w:t xml:space="preserve">Another important solution involves strengthening workforce planning and professional support for dental practitioners. Leadership strategies that focus on recruitment, training and retention could help reduce workforce shortages and improve access to care. For example, </w:t>
      </w:r>
      <w:r w:rsidRPr="003F59FD">
        <w:rPr>
          <w:rFonts w:ascii="Arial" w:hAnsi="Arial" w:cs="Arial"/>
        </w:rPr>
        <w:lastRenderedPageBreak/>
        <w:t>expanding training opportunities and providing incentives for dentists to work in underserved areas may increase service availability. In addition, research suggests that leadership approaches that prioritise staff engagement and wellbeing are linked with improved organisational performance and better patient outcomes (West et al., 2022; Wu et al., 2024).</w:t>
      </w:r>
    </w:p>
    <w:p w14:paraId="124CB06E" w14:textId="77777777" w:rsidR="00544EED" w:rsidRPr="0051369C" w:rsidRDefault="00544EED" w:rsidP="004D4734">
      <w:pPr>
        <w:pStyle w:val="Heading1"/>
        <w:rPr>
          <w:rFonts w:ascii="Arial" w:hAnsi="Arial" w:cs="Arial"/>
          <w:b/>
          <w:bCs/>
          <w:sz w:val="22"/>
          <w:szCs w:val="22"/>
        </w:rPr>
      </w:pPr>
      <w:bookmarkStart w:id="20" w:name="_Toc225360053"/>
      <w:r w:rsidRPr="0051369C">
        <w:rPr>
          <w:rFonts w:ascii="Arial" w:hAnsi="Arial" w:cs="Arial"/>
          <w:b/>
          <w:bCs/>
          <w:sz w:val="22"/>
          <w:szCs w:val="22"/>
        </w:rPr>
        <w:t>Recommendation</w:t>
      </w:r>
      <w:bookmarkEnd w:id="20"/>
    </w:p>
    <w:p w14:paraId="6106E23C" w14:textId="40BBB768" w:rsidR="00DC5F3D" w:rsidRPr="0051369C" w:rsidRDefault="00DC5F3D" w:rsidP="00CD1887">
      <w:pPr>
        <w:pStyle w:val="Heading2"/>
        <w:numPr>
          <w:ilvl w:val="0"/>
          <w:numId w:val="4"/>
        </w:numPr>
        <w:rPr>
          <w:rFonts w:ascii="Arial" w:hAnsi="Arial" w:cs="Arial"/>
          <w:b/>
          <w:bCs/>
          <w:sz w:val="22"/>
          <w:szCs w:val="22"/>
        </w:rPr>
      </w:pPr>
      <w:bookmarkStart w:id="21" w:name="_Toc225360054"/>
      <w:r w:rsidRPr="0051369C">
        <w:rPr>
          <w:rFonts w:ascii="Arial" w:hAnsi="Arial" w:cs="Arial"/>
          <w:b/>
          <w:bCs/>
          <w:sz w:val="22"/>
          <w:szCs w:val="22"/>
        </w:rPr>
        <w:t>Leadership Reform and Sustaining Improvement</w:t>
      </w:r>
      <w:bookmarkEnd w:id="21"/>
    </w:p>
    <w:p w14:paraId="411302D4" w14:textId="5E34890C" w:rsidR="00492F5B" w:rsidRPr="00C563AC" w:rsidRDefault="00C563AC" w:rsidP="00C563AC">
      <w:pPr>
        <w:pStyle w:val="ListParagraph"/>
        <w:spacing w:line="360" w:lineRule="auto"/>
        <w:jc w:val="both"/>
        <w:rPr>
          <w:rFonts w:ascii="Arial" w:hAnsi="Arial" w:cs="Arial"/>
        </w:rPr>
      </w:pPr>
      <w:r w:rsidRPr="00C563AC">
        <w:rPr>
          <w:rFonts w:ascii="Arial" w:hAnsi="Arial" w:cs="Arial"/>
        </w:rPr>
        <w:t>To address the challenges in the Leigh Rodgers case, Tannenbaum and Schmidt’s leadership continuum is the most suitable approach as it promotes a shift from rigid, top-down leadership to a more flexible and participative style.</w:t>
      </w:r>
      <w:r>
        <w:rPr>
          <w:rFonts w:ascii="Arial" w:hAnsi="Arial" w:cs="Arial"/>
        </w:rPr>
        <w:t xml:space="preserve"> </w:t>
      </w:r>
      <w:r w:rsidR="00C416CE">
        <w:rPr>
          <w:rFonts w:ascii="Arial" w:hAnsi="Arial" w:cs="Arial"/>
        </w:rPr>
        <w:t xml:space="preserve"> </w:t>
      </w:r>
      <w:r w:rsidRPr="00C563AC">
        <w:rPr>
          <w:rFonts w:ascii="Arial" w:hAnsi="Arial" w:cs="Arial"/>
        </w:rPr>
        <w:t xml:space="preserve">In NHS dental services, leadership has often limited input from frontline staff. Moving towards a participative approach allows dentists and teams to contribute to decisions, improving patient safety and service delivery—especially during ongoing workforce and access pressures (British Dental Association, 2023). In contrast, behavioural leadership theory lacks adaptability for complex healthcare settings (West et al., 2020), while McGregor’s Theory X and Theory Y </w:t>
      </w:r>
      <w:proofErr w:type="gramStart"/>
      <w:r w:rsidRPr="00C563AC">
        <w:rPr>
          <w:rFonts w:ascii="Arial" w:hAnsi="Arial" w:cs="Arial"/>
        </w:rPr>
        <w:t>simplifie</w:t>
      </w:r>
      <w:r w:rsidR="00C416CE">
        <w:rPr>
          <w:rFonts w:ascii="Arial" w:hAnsi="Arial" w:cs="Arial"/>
        </w:rPr>
        <w:t>s</w:t>
      </w:r>
      <w:proofErr w:type="gramEnd"/>
      <w:r w:rsidR="00C416CE">
        <w:rPr>
          <w:rFonts w:ascii="Arial" w:hAnsi="Arial" w:cs="Arial"/>
        </w:rPr>
        <w:t xml:space="preserve"> </w:t>
      </w:r>
      <w:r w:rsidRPr="00C563AC">
        <w:rPr>
          <w:rFonts w:ascii="Arial" w:hAnsi="Arial" w:cs="Arial"/>
        </w:rPr>
        <w:t>staff motivation, ignoring factors like burnout and organisational culture (NHS England, 2024).</w:t>
      </w:r>
    </w:p>
    <w:p w14:paraId="6C8DA822" w14:textId="2D691EF9" w:rsidR="00492F5B" w:rsidRPr="0051369C" w:rsidRDefault="00FA67F3" w:rsidP="00CD1887">
      <w:pPr>
        <w:pStyle w:val="Heading2"/>
        <w:numPr>
          <w:ilvl w:val="0"/>
          <w:numId w:val="4"/>
        </w:numPr>
        <w:rPr>
          <w:rFonts w:ascii="Arial" w:hAnsi="Arial" w:cs="Arial"/>
          <w:b/>
          <w:bCs/>
          <w:sz w:val="22"/>
          <w:szCs w:val="22"/>
        </w:rPr>
      </w:pPr>
      <w:r>
        <w:rPr>
          <w:rFonts w:ascii="Arial" w:hAnsi="Arial" w:cs="Arial"/>
          <w:b/>
          <w:bCs/>
          <w:sz w:val="22"/>
          <w:szCs w:val="22"/>
        </w:rPr>
        <w:t xml:space="preserve"> </w:t>
      </w:r>
      <w:bookmarkStart w:id="22" w:name="_Toc225360055"/>
      <w:r w:rsidR="005A4BC2" w:rsidRPr="0051369C">
        <w:rPr>
          <w:rFonts w:ascii="Arial" w:hAnsi="Arial" w:cs="Arial"/>
          <w:b/>
          <w:bCs/>
          <w:sz w:val="22"/>
          <w:szCs w:val="22"/>
        </w:rPr>
        <w:t>Strengthening Governance and Communication</w:t>
      </w:r>
      <w:bookmarkEnd w:id="22"/>
    </w:p>
    <w:p w14:paraId="36944E10" w14:textId="3F77CFA3" w:rsidR="005A4BC2" w:rsidRDefault="005A4BC2" w:rsidP="00132808">
      <w:pPr>
        <w:pStyle w:val="ListParagraph"/>
        <w:spacing w:line="360" w:lineRule="auto"/>
        <w:jc w:val="both"/>
        <w:rPr>
          <w:rFonts w:ascii="Arial" w:hAnsi="Arial" w:cs="Arial"/>
          <w:b/>
          <w:bCs/>
        </w:rPr>
      </w:pPr>
    </w:p>
    <w:p w14:paraId="36D5019E" w14:textId="6EF7C8DE" w:rsidR="005A4BC2" w:rsidRDefault="002330D7" w:rsidP="00132808">
      <w:pPr>
        <w:pStyle w:val="ListParagraph"/>
        <w:spacing w:line="360" w:lineRule="auto"/>
        <w:jc w:val="both"/>
        <w:rPr>
          <w:rFonts w:ascii="Arial" w:hAnsi="Arial" w:cs="Arial"/>
        </w:rPr>
      </w:pPr>
      <w:r w:rsidRPr="002330D7">
        <w:rPr>
          <w:rFonts w:ascii="Arial" w:hAnsi="Arial" w:cs="Arial"/>
        </w:rPr>
        <w:t>To improve NHS dental services, governance should shift from siloed, target-driven models to patient-centred, outcome-focused approaches that prioritise access, safety and equity. This includes reforming dental contracts (such as the UDA model) to reward prevention and quality of care, introducing transparent performance metrics on appointment availability and patient satisfaction, and enhancing accountability through public reporting. Effective governance also requires clear communication between primary care, community services, hospitals and regulators. Research indicates that poor coordination across care boundaries contributes to delays, fragmented care and safety risks, while interoperable referral systems and shared records can support seamless patient pathways (Institute for Healthcare Improvement, 2023; Nuffield Trust, 2024; Wu et al., 2024).</w:t>
      </w:r>
    </w:p>
    <w:p w14:paraId="0EFB8D40" w14:textId="77777777" w:rsidR="002330D7" w:rsidRDefault="002330D7" w:rsidP="00132808">
      <w:pPr>
        <w:pStyle w:val="ListParagraph"/>
        <w:spacing w:line="360" w:lineRule="auto"/>
        <w:jc w:val="both"/>
        <w:rPr>
          <w:rFonts w:ascii="Arial" w:hAnsi="Arial" w:cs="Arial"/>
        </w:rPr>
      </w:pPr>
    </w:p>
    <w:p w14:paraId="7219E2BC" w14:textId="0C73F2F9" w:rsidR="002330D7" w:rsidRPr="00CD1887" w:rsidRDefault="00072B2D" w:rsidP="004B6FEA">
      <w:pPr>
        <w:pStyle w:val="Heading2"/>
        <w:numPr>
          <w:ilvl w:val="0"/>
          <w:numId w:val="4"/>
        </w:numPr>
        <w:rPr>
          <w:rFonts w:ascii="Arial" w:hAnsi="Arial" w:cs="Arial"/>
          <w:b/>
          <w:bCs/>
          <w:sz w:val="22"/>
          <w:szCs w:val="22"/>
        </w:rPr>
      </w:pPr>
      <w:bookmarkStart w:id="23" w:name="_Toc225360056"/>
      <w:r w:rsidRPr="00CD1887">
        <w:rPr>
          <w:rFonts w:ascii="Arial" w:hAnsi="Arial" w:cs="Arial"/>
          <w:b/>
          <w:bCs/>
          <w:sz w:val="22"/>
          <w:szCs w:val="22"/>
        </w:rPr>
        <w:t>Continuous Learning and Quality Improvement</w:t>
      </w:r>
      <w:bookmarkEnd w:id="23"/>
    </w:p>
    <w:p w14:paraId="133FEDB5" w14:textId="77777777" w:rsidR="00072B2D" w:rsidRDefault="00072B2D" w:rsidP="00132808">
      <w:pPr>
        <w:pStyle w:val="ListParagraph"/>
        <w:spacing w:line="360" w:lineRule="auto"/>
        <w:jc w:val="both"/>
        <w:rPr>
          <w:rFonts w:ascii="Arial" w:hAnsi="Arial" w:cs="Arial"/>
          <w:b/>
          <w:bCs/>
        </w:rPr>
      </w:pPr>
    </w:p>
    <w:p w14:paraId="2CDD2AC9" w14:textId="2007D34F" w:rsidR="00072B2D" w:rsidRDefault="004654DB" w:rsidP="00132808">
      <w:pPr>
        <w:pStyle w:val="ListParagraph"/>
        <w:spacing w:line="360" w:lineRule="auto"/>
        <w:jc w:val="both"/>
        <w:rPr>
          <w:rFonts w:ascii="Arial" w:hAnsi="Arial" w:cs="Arial"/>
        </w:rPr>
      </w:pPr>
      <w:r w:rsidRPr="003B3ACA">
        <w:rPr>
          <w:rFonts w:ascii="Arial" w:hAnsi="Arial" w:cs="Arial"/>
        </w:rPr>
        <w:t xml:space="preserve">To prevent incidents like the case of Leigh Rodgers, NHS dental services should adopt learning systems that drive continuous improvement. This includes conducting structured case reviews and near-miss analyses, using safety data to identify system </w:t>
      </w:r>
      <w:r w:rsidRPr="003B3ACA">
        <w:rPr>
          <w:rFonts w:ascii="Arial" w:hAnsi="Arial" w:cs="Arial"/>
        </w:rPr>
        <w:lastRenderedPageBreak/>
        <w:t>weaknesses, and applying continuous quality improvement methods such as Plan</w:t>
      </w:r>
      <w:r w:rsidRPr="003B3ACA">
        <w:rPr>
          <w:rFonts w:ascii="Cambria Math" w:hAnsi="Cambria Math" w:cs="Cambria Math"/>
        </w:rPr>
        <w:t>‑</w:t>
      </w:r>
      <w:r w:rsidRPr="003B3ACA">
        <w:rPr>
          <w:rFonts w:ascii="Arial" w:hAnsi="Arial" w:cs="Arial"/>
        </w:rPr>
        <w:t>Do</w:t>
      </w:r>
      <w:r w:rsidRPr="003B3ACA">
        <w:rPr>
          <w:rFonts w:ascii="Cambria Math" w:hAnsi="Cambria Math" w:cs="Cambria Math"/>
        </w:rPr>
        <w:t>‑</w:t>
      </w:r>
      <w:r w:rsidRPr="003B3ACA">
        <w:rPr>
          <w:rFonts w:ascii="Arial" w:hAnsi="Arial" w:cs="Arial"/>
        </w:rPr>
        <w:t>Study</w:t>
      </w:r>
      <w:r w:rsidRPr="003B3ACA">
        <w:rPr>
          <w:rFonts w:ascii="Cambria Math" w:hAnsi="Cambria Math" w:cs="Cambria Math"/>
        </w:rPr>
        <w:t>‑</w:t>
      </w:r>
      <w:r w:rsidRPr="003B3ACA">
        <w:rPr>
          <w:rFonts w:ascii="Arial" w:hAnsi="Arial" w:cs="Arial"/>
        </w:rPr>
        <w:t>Act (PDSA) cycles. Embedding a high</w:t>
      </w:r>
      <w:r w:rsidRPr="003B3ACA">
        <w:rPr>
          <w:rFonts w:ascii="Cambria Math" w:hAnsi="Cambria Math" w:cs="Cambria Math"/>
        </w:rPr>
        <w:t>‑</w:t>
      </w:r>
      <w:r w:rsidRPr="003B3ACA">
        <w:rPr>
          <w:rFonts w:ascii="Arial" w:hAnsi="Arial" w:cs="Arial"/>
        </w:rPr>
        <w:t>reliability culture focused on safety, learning and resilience can help reduce future patient harm and strengthen overall service quality (Institute for Healthcare Improvement, 2023; Wu et al., 2024).</w:t>
      </w:r>
    </w:p>
    <w:p w14:paraId="13AC5E22" w14:textId="77777777" w:rsidR="003B3ACA" w:rsidRDefault="003B3ACA" w:rsidP="00132808">
      <w:pPr>
        <w:pStyle w:val="ListParagraph"/>
        <w:spacing w:line="360" w:lineRule="auto"/>
        <w:jc w:val="both"/>
        <w:rPr>
          <w:rFonts w:ascii="Arial" w:hAnsi="Arial" w:cs="Arial"/>
        </w:rPr>
      </w:pPr>
    </w:p>
    <w:p w14:paraId="6916F3FB" w14:textId="39802D87" w:rsidR="003B3ACA" w:rsidRPr="00CD1887" w:rsidRDefault="0051369C" w:rsidP="004B6FEA">
      <w:pPr>
        <w:pStyle w:val="Heading2"/>
        <w:numPr>
          <w:ilvl w:val="0"/>
          <w:numId w:val="4"/>
        </w:numPr>
        <w:rPr>
          <w:rFonts w:ascii="Arial" w:hAnsi="Arial" w:cs="Arial"/>
          <w:b/>
          <w:bCs/>
          <w:sz w:val="22"/>
          <w:szCs w:val="22"/>
        </w:rPr>
      </w:pPr>
      <w:r w:rsidRPr="00CD1887">
        <w:rPr>
          <w:rFonts w:ascii="Arial" w:hAnsi="Arial" w:cs="Arial"/>
          <w:b/>
          <w:bCs/>
          <w:sz w:val="22"/>
          <w:szCs w:val="22"/>
        </w:rPr>
        <w:t xml:space="preserve"> </w:t>
      </w:r>
      <w:bookmarkStart w:id="24" w:name="_Toc225360057"/>
      <w:r w:rsidR="005F1F78" w:rsidRPr="00CD1887">
        <w:rPr>
          <w:rFonts w:ascii="Arial" w:hAnsi="Arial" w:cs="Arial"/>
          <w:b/>
          <w:bCs/>
          <w:sz w:val="22"/>
          <w:szCs w:val="22"/>
        </w:rPr>
        <w:t>Stakeholder Engagement and Co</w:t>
      </w:r>
      <w:r w:rsidR="005F1F78" w:rsidRPr="00CD1887">
        <w:rPr>
          <w:rFonts w:ascii="Cambria Math" w:hAnsi="Cambria Math" w:cs="Cambria Math"/>
          <w:b/>
          <w:bCs/>
          <w:sz w:val="22"/>
          <w:szCs w:val="22"/>
        </w:rPr>
        <w:t>‑</w:t>
      </w:r>
      <w:r w:rsidR="005F1F78" w:rsidRPr="00CD1887">
        <w:rPr>
          <w:rFonts w:ascii="Arial" w:hAnsi="Arial" w:cs="Arial"/>
          <w:b/>
          <w:bCs/>
          <w:sz w:val="22"/>
          <w:szCs w:val="22"/>
        </w:rPr>
        <w:t>Production</w:t>
      </w:r>
      <w:bookmarkEnd w:id="24"/>
    </w:p>
    <w:p w14:paraId="01572E03" w14:textId="77777777" w:rsidR="005F1F78" w:rsidRDefault="005F1F78" w:rsidP="00132808">
      <w:pPr>
        <w:pStyle w:val="ListParagraph"/>
        <w:spacing w:line="360" w:lineRule="auto"/>
        <w:jc w:val="both"/>
        <w:rPr>
          <w:rFonts w:ascii="Arial" w:hAnsi="Arial" w:cs="Arial"/>
          <w:b/>
          <w:bCs/>
        </w:rPr>
      </w:pPr>
    </w:p>
    <w:p w14:paraId="5E881E79" w14:textId="59CF928A" w:rsidR="005F1F78" w:rsidRDefault="0093133C" w:rsidP="00132808">
      <w:pPr>
        <w:pStyle w:val="ListParagraph"/>
        <w:spacing w:line="360" w:lineRule="auto"/>
        <w:jc w:val="both"/>
        <w:rPr>
          <w:rFonts w:ascii="Arial" w:hAnsi="Arial" w:cs="Arial"/>
        </w:rPr>
      </w:pPr>
      <w:r w:rsidRPr="0093133C">
        <w:rPr>
          <w:rFonts w:ascii="Arial" w:hAnsi="Arial" w:cs="Arial"/>
        </w:rPr>
        <w:t>Improving NHS dental services effectively requires active engagement with all stakeholders, including patients, clinicians and community representatives. Co-production approaches</w:t>
      </w:r>
      <w:r>
        <w:rPr>
          <w:rFonts w:ascii="Arial" w:hAnsi="Arial" w:cs="Arial"/>
        </w:rPr>
        <w:t xml:space="preserve"> </w:t>
      </w:r>
      <w:r w:rsidRPr="0093133C">
        <w:rPr>
          <w:rFonts w:ascii="Arial" w:hAnsi="Arial" w:cs="Arial"/>
        </w:rPr>
        <w:t>such as patient advisory panels, regular feedback surveys, and collaborative design of preventive and access initiatives with frontline staff</w:t>
      </w:r>
      <w:r>
        <w:rPr>
          <w:rFonts w:ascii="Arial" w:hAnsi="Arial" w:cs="Arial"/>
        </w:rPr>
        <w:t xml:space="preserve"> </w:t>
      </w:r>
      <w:r w:rsidRPr="0093133C">
        <w:rPr>
          <w:rFonts w:ascii="Arial" w:hAnsi="Arial" w:cs="Arial"/>
        </w:rPr>
        <w:t>can ensure services meet real needs. Research shows that involving stakeholders in service design improves the relevance, acceptability and long-term sustainability of healthcare interventions (Nuffield Trust, 2024; Wu et al., 2024).</w:t>
      </w:r>
    </w:p>
    <w:p w14:paraId="21B2092F" w14:textId="77777777" w:rsidR="0093133C" w:rsidRDefault="0093133C" w:rsidP="00132808">
      <w:pPr>
        <w:pStyle w:val="ListParagraph"/>
        <w:spacing w:line="360" w:lineRule="auto"/>
        <w:jc w:val="both"/>
        <w:rPr>
          <w:rFonts w:ascii="Arial" w:hAnsi="Arial" w:cs="Arial"/>
        </w:rPr>
      </w:pPr>
    </w:p>
    <w:p w14:paraId="48088DC1" w14:textId="7DF6FFE1" w:rsidR="00526BDB" w:rsidRPr="0051369C" w:rsidRDefault="00475891" w:rsidP="00764FBE">
      <w:pPr>
        <w:pStyle w:val="Heading1"/>
        <w:rPr>
          <w:rFonts w:ascii="Arial" w:hAnsi="Arial" w:cs="Arial"/>
          <w:b/>
          <w:bCs/>
          <w:sz w:val="22"/>
          <w:szCs w:val="22"/>
        </w:rPr>
      </w:pPr>
      <w:r>
        <w:rPr>
          <w:rFonts w:ascii="Arial" w:hAnsi="Arial" w:cs="Arial"/>
          <w:b/>
          <w:bCs/>
          <w:sz w:val="22"/>
          <w:szCs w:val="22"/>
        </w:rPr>
        <w:t xml:space="preserve">           </w:t>
      </w:r>
      <w:bookmarkStart w:id="25" w:name="_Toc225360058"/>
      <w:r w:rsidR="00526BDB" w:rsidRPr="0051369C">
        <w:rPr>
          <w:rFonts w:ascii="Arial" w:hAnsi="Arial" w:cs="Arial"/>
          <w:b/>
          <w:bCs/>
          <w:sz w:val="22"/>
          <w:szCs w:val="22"/>
        </w:rPr>
        <w:t>Conclusion</w:t>
      </w:r>
      <w:bookmarkEnd w:id="25"/>
    </w:p>
    <w:p w14:paraId="62D75F93" w14:textId="77777777" w:rsidR="00526BDB" w:rsidRDefault="00526BDB" w:rsidP="00132808">
      <w:pPr>
        <w:pStyle w:val="ListParagraph"/>
        <w:spacing w:line="360" w:lineRule="auto"/>
        <w:jc w:val="both"/>
        <w:rPr>
          <w:rFonts w:ascii="Arial" w:hAnsi="Arial" w:cs="Arial"/>
        </w:rPr>
      </w:pPr>
    </w:p>
    <w:p w14:paraId="73C8E5E2" w14:textId="77777777" w:rsidR="00BF4324" w:rsidRPr="00BF4324" w:rsidRDefault="00BF4324" w:rsidP="00BF4324">
      <w:pPr>
        <w:pStyle w:val="ListParagraph"/>
        <w:spacing w:line="360" w:lineRule="auto"/>
        <w:jc w:val="both"/>
        <w:rPr>
          <w:rFonts w:ascii="Arial" w:hAnsi="Arial" w:cs="Arial"/>
        </w:rPr>
      </w:pPr>
      <w:r w:rsidRPr="00BF4324">
        <w:rPr>
          <w:rFonts w:ascii="Arial" w:hAnsi="Arial" w:cs="Arial"/>
        </w:rPr>
        <w:t>The tragic death of Leigh Rodgers, a 34-year-old woman who suffered complications due to delayed dental care, highlights the human cost of systemic weaknesses in healthcare. While the immediate cause was a rare allergic reaction during hospital diagnostics, the underlying issues were structural: limited access to NHS dental services, workforce shortages, and fragmented care pathways. Recent data show that only 40% of adults in England had seen an NHS dentist within the recommended two years, leaving millions unable to receive timely care (House of Commons Library, 2024; BDA, 2024).</w:t>
      </w:r>
    </w:p>
    <w:p w14:paraId="7D27F1DB" w14:textId="77777777" w:rsidR="00BF4324" w:rsidRPr="00BF4324" w:rsidRDefault="00BF4324" w:rsidP="00BF4324">
      <w:pPr>
        <w:pStyle w:val="ListParagraph"/>
        <w:spacing w:line="360" w:lineRule="auto"/>
        <w:jc w:val="both"/>
        <w:rPr>
          <w:rFonts w:ascii="Arial" w:hAnsi="Arial" w:cs="Arial"/>
        </w:rPr>
      </w:pPr>
    </w:p>
    <w:p w14:paraId="007647FD" w14:textId="77777777" w:rsidR="00BF4324" w:rsidRPr="00BF4324" w:rsidRDefault="00BF4324" w:rsidP="00BF4324">
      <w:pPr>
        <w:pStyle w:val="ListParagraph"/>
        <w:spacing w:line="360" w:lineRule="auto"/>
        <w:jc w:val="both"/>
        <w:rPr>
          <w:rFonts w:ascii="Arial" w:hAnsi="Arial" w:cs="Arial"/>
        </w:rPr>
      </w:pPr>
      <w:r w:rsidRPr="00BF4324">
        <w:rPr>
          <w:rFonts w:ascii="Arial" w:hAnsi="Arial" w:cs="Arial"/>
        </w:rPr>
        <w:t>This case underscores the importance of leadership, governance, and systems thinking. Command-driven approaches may ensure compliance but risk disengaging staff, while Tannenbaum and Schmidt’s leadership continuum allows leaders to adapt their style from directive to participative, enabling greater staff involvement, which can support innovation and improve patient outcomes, alongside distributed leadership (West et al., 2022). Strong governance, clear communication, and integrated systems are essential to connect primary care, hospitals, and policymakers effectively.</w:t>
      </w:r>
    </w:p>
    <w:p w14:paraId="54B457E7" w14:textId="77777777" w:rsidR="00BF4324" w:rsidRPr="00BF4324" w:rsidRDefault="00BF4324" w:rsidP="00BF4324">
      <w:pPr>
        <w:pStyle w:val="ListParagraph"/>
        <w:spacing w:line="360" w:lineRule="auto"/>
        <w:jc w:val="both"/>
        <w:rPr>
          <w:rFonts w:ascii="Arial" w:hAnsi="Arial" w:cs="Arial"/>
        </w:rPr>
      </w:pPr>
    </w:p>
    <w:p w14:paraId="7C3506CA" w14:textId="259D0C17" w:rsidR="0093133C" w:rsidRDefault="00BF4324" w:rsidP="00BF4324">
      <w:pPr>
        <w:pStyle w:val="ListParagraph"/>
        <w:spacing w:line="360" w:lineRule="auto"/>
        <w:jc w:val="both"/>
        <w:rPr>
          <w:rFonts w:ascii="Arial" w:hAnsi="Arial" w:cs="Arial"/>
        </w:rPr>
      </w:pPr>
      <w:r w:rsidRPr="00BF4324">
        <w:rPr>
          <w:rFonts w:ascii="Arial" w:hAnsi="Arial" w:cs="Arial"/>
        </w:rPr>
        <w:lastRenderedPageBreak/>
        <w:t>Humanizing the system means listening to patients, supporting staff, and embedding learning from adverse events into practice. By fostering collaborative leadership, addressing workforce challenges, and prioritising timely access, the NHS can reduce preventable harm and improve patient trust and safety. Rodgers’ story reminds us that every delay in care affects real people and that leadership and systems must work together to prevent such tragedies.</w:t>
      </w:r>
    </w:p>
    <w:p w14:paraId="7DA61C82" w14:textId="77777777" w:rsidR="00B70E67" w:rsidRDefault="00B70E67" w:rsidP="00BF4324">
      <w:pPr>
        <w:pStyle w:val="ListParagraph"/>
        <w:spacing w:line="360" w:lineRule="auto"/>
        <w:jc w:val="both"/>
        <w:rPr>
          <w:rFonts w:ascii="Arial" w:hAnsi="Arial" w:cs="Arial"/>
        </w:rPr>
      </w:pPr>
    </w:p>
    <w:p w14:paraId="20AF4530" w14:textId="66FDDE52" w:rsidR="00B70E67" w:rsidRPr="003B2AC7" w:rsidRDefault="00B70E67" w:rsidP="00F86908">
      <w:pPr>
        <w:pStyle w:val="Heading1"/>
        <w:rPr>
          <w:rFonts w:ascii="Arial" w:hAnsi="Arial" w:cs="Arial"/>
          <w:b/>
          <w:bCs/>
          <w:sz w:val="22"/>
          <w:szCs w:val="22"/>
        </w:rPr>
      </w:pPr>
      <w:bookmarkStart w:id="26" w:name="_Toc225360059"/>
      <w:r w:rsidRPr="003B2AC7">
        <w:rPr>
          <w:rFonts w:ascii="Arial" w:hAnsi="Arial" w:cs="Arial"/>
          <w:b/>
          <w:bCs/>
          <w:sz w:val="22"/>
          <w:szCs w:val="22"/>
        </w:rPr>
        <w:t>References</w:t>
      </w:r>
      <w:bookmarkEnd w:id="26"/>
    </w:p>
    <w:p w14:paraId="0DBF418E" w14:textId="77777777" w:rsidR="00B70E67" w:rsidRPr="00B70E67" w:rsidRDefault="00B70E67" w:rsidP="00B70E67">
      <w:pPr>
        <w:pStyle w:val="ListParagraph"/>
        <w:numPr>
          <w:ilvl w:val="0"/>
          <w:numId w:val="5"/>
        </w:numPr>
        <w:spacing w:line="360" w:lineRule="auto"/>
        <w:jc w:val="both"/>
        <w:rPr>
          <w:rFonts w:ascii="Arial" w:hAnsi="Arial" w:cs="Arial"/>
        </w:rPr>
      </w:pPr>
      <w:proofErr w:type="spellStart"/>
      <w:r w:rsidRPr="00B70E67">
        <w:rPr>
          <w:rFonts w:ascii="Arial" w:hAnsi="Arial" w:cs="Arial"/>
        </w:rPr>
        <w:t>Althobaiti</w:t>
      </w:r>
      <w:proofErr w:type="spellEnd"/>
      <w:r w:rsidRPr="00B70E67">
        <w:rPr>
          <w:rFonts w:ascii="Arial" w:hAnsi="Arial" w:cs="Arial"/>
        </w:rPr>
        <w:t>, F.M., 2026. The effects of leadership on patient safety culture in health care: a systematic review. BMC Nursing, 25, p. 125. Available at: https://doi.org/10.1186/s12912-025-04263-7 (Accessed: 28 February 2026).</w:t>
      </w:r>
    </w:p>
    <w:p w14:paraId="00AD9A05"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Association of Dental Groups, 2025. State of dentistry report. Association of Dental Groups. Available at: https://www.theadg.co.uk (Accessed: 25 March 2026).</w:t>
      </w:r>
    </w:p>
    <w:p w14:paraId="07F2B594"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BBC News, 2024. Mother dies after allergic reaction during scan following dental pain. Available at: https://www.bbc.co.uk/news (Accessed: 2 March 2026).</w:t>
      </w:r>
    </w:p>
    <w:p w14:paraId="1A971A70"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British Dental Association, 2023. Dental access and workforce report. British Dental Association. Available at: https://www.bda.org (Accessed: 25 March 2026).</w:t>
      </w:r>
    </w:p>
    <w:p w14:paraId="2BBFCF14"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British Dental Association, 2024. NHS dental statistics show unmet need at record highs. Available at: https://bda.org/news-centre/press-releases/Pages/NHS-dental-statistics-show-unmet-need-at-record-highs.aspx (Accessed: 9 March 2026).</w:t>
      </w:r>
    </w:p>
    <w:p w14:paraId="3073C98C"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Care Quality Commission, 2024. Urgent and emergency care survey 2023: statistical release. Care Quality Commission. Available at: https://www.cqc.org.uk/publications/surveys/urgent-emergency-care-survey-2023 (Accessed: 25 March 2026).</w:t>
      </w:r>
    </w:p>
    <w:p w14:paraId="7696D7F5"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Department of Health and Social Care, 2024. NHS dental recovery plan. Department of Health and Social Care. Available at: https://www.gov.uk/government/publications/nhs-dental-recovery-plan (Accessed: 25 March 2026).</w:t>
      </w:r>
    </w:p>
    <w:p w14:paraId="403004B9"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Dentistry.co.uk, 2025. NHS dental workforce crisis and recruitment challenges. FMC Ltd. Available at: https://dentistry.co.uk (Accessed: 25 March 2026).</w:t>
      </w:r>
    </w:p>
    <w:p w14:paraId="54F73581"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GOV.UK, 2023. NHS dentistry statistics England 2023. UK Government. Available at: https://www.gov.uk (Accessed: 25 March 2026).</w:t>
      </w:r>
    </w:p>
    <w:p w14:paraId="7E900D73"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GOV.UK, 2026. Adult oral health survey 2023 – service use and barriers to accessing care. Available at: https://www.gov.uk/government/statistics/adult-oral-</w:t>
      </w:r>
      <w:r w:rsidRPr="00B70E67">
        <w:rPr>
          <w:rFonts w:ascii="Arial" w:hAnsi="Arial" w:cs="Arial"/>
        </w:rPr>
        <w:lastRenderedPageBreak/>
        <w:t>health-survey-2023/service-use-and-barriers-to-accessing-care (Accessed: 9 March 2026).</w:t>
      </w:r>
    </w:p>
    <w:p w14:paraId="5C52C223"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Health and Me, 2025. Mum dies minutes after routine CT scan for toothache she couldn’t get treated, partner urges not delay health check-ups. Available at: https://www.healthandme.com/health-news/mum-dies-minutes-after-routine-ct-scan-for-toothache-she-couldnt-get-treated-partner-urges-not-delay-health-check-ups-article-151392595 (Accessed: 9 March 2026).</w:t>
      </w:r>
    </w:p>
    <w:p w14:paraId="7406286E"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Healthwatch England, 2025. People pulling own teeth due to lack of urgent NHS dental care in England, watchdog finds. The Guardian, 15 December. Available at: https://www.theguardian.com/society/2025/dec/15/people-pulling-own-teeth-due-to-lack-of-urgent-nhs-dental-care-in-england-watchdog-finds (Accessed: 9 March 2026).</w:t>
      </w:r>
    </w:p>
    <w:p w14:paraId="4D784014"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House of Commons Library, 2024. Access to NHS dentistry in England: statistics. UK Parliament. Available at: https://commonslibrary.parliament.uk/research-briefings/cbp-7991/ (Accessed: 9 March 2026).</w:t>
      </w:r>
    </w:p>
    <w:p w14:paraId="26428082"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Institute for Healthcare Improvement, 2023. Quality improvement essentials toolkit. Institute for Healthcare Improvement. Available at: https://www.ihi.org (Accessed: 25 March 2026).</w:t>
      </w:r>
    </w:p>
    <w:p w14:paraId="5FB65D4F"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Local Government Association, 2025. Dental deserts report: gaps in NHS dentistry across the UK. Available at: https://www.local.gov.uk/our-support/health/dental-deserts-report (Accessed: 9 March 2026).</w:t>
      </w:r>
    </w:p>
    <w:p w14:paraId="4E165AFF"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NHS Confederation, 2024. NHS dentistry: addressing the crisis. NHS Confederation. Available at: https://www.nhsconfed.org (Accessed: 25 March 2026).</w:t>
      </w:r>
    </w:p>
    <w:p w14:paraId="06E255CE"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NHS England, 2023. Integrated care systems: design framework. NHS England. Available at: https://www.england.nhs.uk (Accessed: 25 March 2026).</w:t>
      </w:r>
    </w:p>
    <w:p w14:paraId="5FE2F525"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NHS England, 2024. NHS workforce and dental services update. NHS England. Available at: https://www.england.nhs.uk (Accessed: 25 March 2026).</w:t>
      </w:r>
    </w:p>
    <w:p w14:paraId="4E5EEF42"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NHS Staff Survey, 2023. National NHS staff survey results. NHS England. Available at: https://www.nhsstaffsurveys.com (Accessed: 25 March 2026).</w:t>
      </w:r>
    </w:p>
    <w:p w14:paraId="4559527D"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Northouse, P.G., 2022. Leadership: theory and practice. 9th ed. London: Sage.</w:t>
      </w:r>
    </w:p>
    <w:p w14:paraId="3B278B97"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Nuffield Trust, 2024. NHS dentistry: reform and access challenges. Nuffield Trust. Available at: https://www.nuffieldtrust.org.uk (Accessed: 25 March 2026).</w:t>
      </w:r>
    </w:p>
    <w:p w14:paraId="14956A8B"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Public Accounts Committee, 2025. Fixing NHS dentistry. UK Parliament. Available at: https://committees.parliament.uk/publications (Accessed: 25 March 2026).</w:t>
      </w:r>
    </w:p>
    <w:p w14:paraId="02F0399C"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 xml:space="preserve">Singh, A., </w:t>
      </w:r>
      <w:proofErr w:type="spellStart"/>
      <w:r w:rsidRPr="00B70E67">
        <w:rPr>
          <w:rFonts w:ascii="Arial" w:hAnsi="Arial" w:cs="Arial"/>
        </w:rPr>
        <w:t>Yeravdekar</w:t>
      </w:r>
      <w:proofErr w:type="spellEnd"/>
      <w:r w:rsidRPr="00B70E67">
        <w:rPr>
          <w:rFonts w:ascii="Arial" w:hAnsi="Arial" w:cs="Arial"/>
        </w:rPr>
        <w:t xml:space="preserve">, R. and Jadhav, S., 2024. Investigating the influence of selected leadership styles on patient safety and quality of care: a systematic review </w:t>
      </w:r>
      <w:r w:rsidRPr="00B70E67">
        <w:rPr>
          <w:rFonts w:ascii="Arial" w:hAnsi="Arial" w:cs="Arial"/>
        </w:rPr>
        <w:lastRenderedPageBreak/>
        <w:t>and meta-analysis. BMJ Leader, 8(3), pp. 208–214. Available at: https://doi.org/10.1136/leader-2023-000846 (Accessed: 25 March 2026).</w:t>
      </w:r>
    </w:p>
    <w:p w14:paraId="02DA3CD8"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 xml:space="preserve">Spanos, S., Leask, E., Patel, R., </w:t>
      </w:r>
      <w:proofErr w:type="spellStart"/>
      <w:r w:rsidRPr="00B70E67">
        <w:rPr>
          <w:rFonts w:ascii="Arial" w:hAnsi="Arial" w:cs="Arial"/>
        </w:rPr>
        <w:t>Datyner</w:t>
      </w:r>
      <w:proofErr w:type="spellEnd"/>
      <w:r w:rsidRPr="00B70E67">
        <w:rPr>
          <w:rFonts w:ascii="Arial" w:hAnsi="Arial" w:cs="Arial"/>
        </w:rPr>
        <w:t>, M., Loh, E. and Braithwaite, J., 2024. Healthcare leaders navigating complexity: a scoping review of key trends in future roles and competencies. BMC Medical Education, 24, p. 720. Available at: https://doi.org/10.1186/s12909-024-05689-4 (Accessed: 25 March 2026).</w:t>
      </w:r>
    </w:p>
    <w:p w14:paraId="4A4583E4"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The Guardian, 2025. NHS dentistry crisis leaves patients without access to care. Guardian News &amp; Media. Available at: https://www.theguardian.com (Accessed: 25 March 2026).</w:t>
      </w:r>
    </w:p>
    <w:p w14:paraId="19D14263"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The King’s Fund, 2023. The Health and Care Act explained. The King’s Fund. Available at: https://www.kingsfund.org.uk (Accessed: 25 March 2026).</w:t>
      </w:r>
    </w:p>
    <w:p w14:paraId="6A2EAB64" w14:textId="765E46DB"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The King’s Fund, 2024. NHS dentistry in England explained. Available at: https://www.kingsfund.org.uk/insight-and-analysis/long-reads/dentistry-england-explained (Accessed: 9 March 2026).</w:t>
      </w:r>
    </w:p>
    <w:p w14:paraId="03A28191"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 xml:space="preserve">Välimäki, M., Hu, S., </w:t>
      </w:r>
      <w:proofErr w:type="spellStart"/>
      <w:r w:rsidRPr="00B70E67">
        <w:rPr>
          <w:rFonts w:ascii="Arial" w:hAnsi="Arial" w:cs="Arial"/>
        </w:rPr>
        <w:t>Lantta</w:t>
      </w:r>
      <w:proofErr w:type="spellEnd"/>
      <w:r w:rsidRPr="00B70E67">
        <w:rPr>
          <w:rFonts w:ascii="Arial" w:hAnsi="Arial" w:cs="Arial"/>
        </w:rPr>
        <w:t xml:space="preserve">, T., Hipp, K., </w:t>
      </w:r>
      <w:proofErr w:type="spellStart"/>
      <w:r w:rsidRPr="00B70E67">
        <w:rPr>
          <w:rFonts w:ascii="Arial" w:hAnsi="Arial" w:cs="Arial"/>
        </w:rPr>
        <w:t>Varpula</w:t>
      </w:r>
      <w:proofErr w:type="spellEnd"/>
      <w:r w:rsidRPr="00B70E67">
        <w:rPr>
          <w:rFonts w:ascii="Arial" w:hAnsi="Arial" w:cs="Arial"/>
        </w:rPr>
        <w:t>, J., Chen, J., Liu, G., Tang, Y. and Li, X., 2024. The impact of evidence-based nursing leadership in healthcare settings: a mixed methods systematic review. BMC Nursing, 23, p. 452.</w:t>
      </w:r>
    </w:p>
    <w:p w14:paraId="23334612"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West, M., et al., 2020. Leadership and leadership development in healthcare. London: The King’s Fund.</w:t>
      </w:r>
    </w:p>
    <w:p w14:paraId="72405D89"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West, M., et al., 2022. Compassionate leadership in healthcare. London: The King’s Fund.</w:t>
      </w:r>
    </w:p>
    <w:p w14:paraId="090A26DF"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World Health Organization, 2022. WHO highlights oral health neglect affecting nearly half of the world’s population. World Health Organization. Available at: https://www.who.int/news/item/18-11-2022-who-highlights-oral-health-neglect-affecting-nearly-half-of-the-world-s-population (Accessed: 25 March 2026).</w:t>
      </w:r>
    </w:p>
    <w:p w14:paraId="4617D509"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World Health Organization, 2025. Oral health. World Health Organization. Available at: https://www.who.int/news-room/fact-sheets/detail/oral-health (Accessed: 25 March 2026).</w:t>
      </w:r>
    </w:p>
    <w:p w14:paraId="18B41179" w14:textId="77777777"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World Health Organization, 2025. Sugars and dental caries. World Health Organization. Available at: https://www.who.int/news-room/fact-sheets/detail/sugars-and-dental-caries (Accessed: 25 March 2026).</w:t>
      </w:r>
    </w:p>
    <w:p w14:paraId="1E74EBD7" w14:textId="1030333B" w:rsidR="00B70E67" w:rsidRPr="00B70E67" w:rsidRDefault="00B70E67" w:rsidP="00B70E67">
      <w:pPr>
        <w:pStyle w:val="ListParagraph"/>
        <w:numPr>
          <w:ilvl w:val="0"/>
          <w:numId w:val="5"/>
        </w:numPr>
        <w:spacing w:line="360" w:lineRule="auto"/>
        <w:jc w:val="both"/>
        <w:rPr>
          <w:rFonts w:ascii="Arial" w:hAnsi="Arial" w:cs="Arial"/>
        </w:rPr>
      </w:pPr>
      <w:r w:rsidRPr="00B70E67">
        <w:rPr>
          <w:rFonts w:ascii="Arial" w:hAnsi="Arial" w:cs="Arial"/>
        </w:rPr>
        <w:t>Wu, Y., Awang, S.R., Ahmad, T. and You, C., 2024. A systematic review of leadership styles in the healthcare sector: insights and future directions. Geriatric Nursing, 59, pp. 48–59. Available at: https://doi.org/10.1016/j.gerinurse.2024.06.033 (Accessed: 25 March 2026).</w:t>
      </w:r>
    </w:p>
    <w:sectPr w:rsidR="00B70E67" w:rsidRPr="00B70E6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D761B8" w14:textId="77777777" w:rsidR="00604CA8" w:rsidRDefault="00604CA8" w:rsidP="003D09A3">
      <w:pPr>
        <w:spacing w:after="0" w:line="240" w:lineRule="auto"/>
      </w:pPr>
      <w:r>
        <w:separator/>
      </w:r>
    </w:p>
  </w:endnote>
  <w:endnote w:type="continuationSeparator" w:id="0">
    <w:p w14:paraId="32D861C3" w14:textId="77777777" w:rsidR="00604CA8" w:rsidRDefault="00604CA8" w:rsidP="003D09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5473371"/>
      <w:docPartObj>
        <w:docPartGallery w:val="Page Numbers (Bottom of Page)"/>
        <w:docPartUnique/>
      </w:docPartObj>
    </w:sdtPr>
    <w:sdtEndPr>
      <w:rPr>
        <w:noProof/>
      </w:rPr>
    </w:sdtEndPr>
    <w:sdtContent>
      <w:p w14:paraId="09A59D5B" w14:textId="2BA396C1" w:rsidR="00791A55" w:rsidRDefault="00791A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C6F657" w14:textId="77777777" w:rsidR="00791A55" w:rsidRDefault="00791A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6860A" w14:textId="77777777" w:rsidR="00604CA8" w:rsidRDefault="00604CA8" w:rsidP="003D09A3">
      <w:pPr>
        <w:spacing w:after="0" w:line="240" w:lineRule="auto"/>
      </w:pPr>
      <w:r>
        <w:separator/>
      </w:r>
    </w:p>
  </w:footnote>
  <w:footnote w:type="continuationSeparator" w:id="0">
    <w:p w14:paraId="34524469" w14:textId="77777777" w:rsidR="00604CA8" w:rsidRDefault="00604CA8" w:rsidP="003D09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3371B"/>
    <w:multiLevelType w:val="hybridMultilevel"/>
    <w:tmpl w:val="FBA6C62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A5316D2"/>
    <w:multiLevelType w:val="hybridMultilevel"/>
    <w:tmpl w:val="D06EA41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AC373B4"/>
    <w:multiLevelType w:val="hybridMultilevel"/>
    <w:tmpl w:val="9AF4F0C8"/>
    <w:lvl w:ilvl="0" w:tplc="E3CA6DB8">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 w15:restartNumberingAfterBreak="0">
    <w:nsid w:val="24620146"/>
    <w:multiLevelType w:val="hybridMultilevel"/>
    <w:tmpl w:val="AEAEB770"/>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D3744A1"/>
    <w:multiLevelType w:val="hybridMultilevel"/>
    <w:tmpl w:val="B436302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1217410">
    <w:abstractNumId w:val="1"/>
  </w:num>
  <w:num w:numId="2" w16cid:durableId="1727873286">
    <w:abstractNumId w:val="3"/>
  </w:num>
  <w:num w:numId="3" w16cid:durableId="997808075">
    <w:abstractNumId w:val="4"/>
  </w:num>
  <w:num w:numId="4" w16cid:durableId="1274286310">
    <w:abstractNumId w:val="0"/>
  </w:num>
  <w:num w:numId="5" w16cid:durableId="17597137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53B"/>
    <w:rsid w:val="00011513"/>
    <w:rsid w:val="000278A5"/>
    <w:rsid w:val="00051005"/>
    <w:rsid w:val="00052F78"/>
    <w:rsid w:val="00072B2D"/>
    <w:rsid w:val="00073000"/>
    <w:rsid w:val="00082BBC"/>
    <w:rsid w:val="00092655"/>
    <w:rsid w:val="000A07D0"/>
    <w:rsid w:val="000A2079"/>
    <w:rsid w:val="000B15BB"/>
    <w:rsid w:val="000B5B5A"/>
    <w:rsid w:val="000C0D2F"/>
    <w:rsid w:val="000C3BAC"/>
    <w:rsid w:val="000D3695"/>
    <w:rsid w:val="000D6B18"/>
    <w:rsid w:val="00104D82"/>
    <w:rsid w:val="001151CE"/>
    <w:rsid w:val="00123171"/>
    <w:rsid w:val="00131266"/>
    <w:rsid w:val="00132808"/>
    <w:rsid w:val="0013414B"/>
    <w:rsid w:val="001348B8"/>
    <w:rsid w:val="00137339"/>
    <w:rsid w:val="0016660B"/>
    <w:rsid w:val="00172C85"/>
    <w:rsid w:val="00173B80"/>
    <w:rsid w:val="001773D0"/>
    <w:rsid w:val="001778A6"/>
    <w:rsid w:val="00197175"/>
    <w:rsid w:val="001A4BFA"/>
    <w:rsid w:val="001A74D8"/>
    <w:rsid w:val="001C718F"/>
    <w:rsid w:val="001E2BF3"/>
    <w:rsid w:val="001E38DE"/>
    <w:rsid w:val="0020139A"/>
    <w:rsid w:val="00201C66"/>
    <w:rsid w:val="00203370"/>
    <w:rsid w:val="002046F2"/>
    <w:rsid w:val="002248E8"/>
    <w:rsid w:val="00231E1A"/>
    <w:rsid w:val="002330D7"/>
    <w:rsid w:val="00255445"/>
    <w:rsid w:val="00266F9F"/>
    <w:rsid w:val="002756EC"/>
    <w:rsid w:val="00276919"/>
    <w:rsid w:val="002A6F87"/>
    <w:rsid w:val="002B3336"/>
    <w:rsid w:val="002C1F36"/>
    <w:rsid w:val="002D2717"/>
    <w:rsid w:val="002F1602"/>
    <w:rsid w:val="002F28FF"/>
    <w:rsid w:val="00302B7B"/>
    <w:rsid w:val="003070B3"/>
    <w:rsid w:val="00310231"/>
    <w:rsid w:val="00322B62"/>
    <w:rsid w:val="003317B6"/>
    <w:rsid w:val="0034296E"/>
    <w:rsid w:val="00356A9D"/>
    <w:rsid w:val="00360F9F"/>
    <w:rsid w:val="003642D1"/>
    <w:rsid w:val="00372457"/>
    <w:rsid w:val="00373268"/>
    <w:rsid w:val="00373905"/>
    <w:rsid w:val="00374D7B"/>
    <w:rsid w:val="00392DA8"/>
    <w:rsid w:val="00392E18"/>
    <w:rsid w:val="00395167"/>
    <w:rsid w:val="003A6A7B"/>
    <w:rsid w:val="003B2AC7"/>
    <w:rsid w:val="003B316A"/>
    <w:rsid w:val="003B3ACA"/>
    <w:rsid w:val="003C79BA"/>
    <w:rsid w:val="003D09A3"/>
    <w:rsid w:val="003F59FD"/>
    <w:rsid w:val="00407C3E"/>
    <w:rsid w:val="00414909"/>
    <w:rsid w:val="00415622"/>
    <w:rsid w:val="00422097"/>
    <w:rsid w:val="004302AB"/>
    <w:rsid w:val="00441A41"/>
    <w:rsid w:val="004654DB"/>
    <w:rsid w:val="004672F3"/>
    <w:rsid w:val="0046784C"/>
    <w:rsid w:val="00470429"/>
    <w:rsid w:val="00470993"/>
    <w:rsid w:val="004712C4"/>
    <w:rsid w:val="00475891"/>
    <w:rsid w:val="00487EE4"/>
    <w:rsid w:val="00492F5B"/>
    <w:rsid w:val="004A466C"/>
    <w:rsid w:val="004A4C7B"/>
    <w:rsid w:val="004A4F28"/>
    <w:rsid w:val="004B6FEA"/>
    <w:rsid w:val="004C2A92"/>
    <w:rsid w:val="004D4734"/>
    <w:rsid w:val="004D69E9"/>
    <w:rsid w:val="00500DF0"/>
    <w:rsid w:val="0050215D"/>
    <w:rsid w:val="0051369C"/>
    <w:rsid w:val="00526BDB"/>
    <w:rsid w:val="00544EED"/>
    <w:rsid w:val="0054592F"/>
    <w:rsid w:val="005625F6"/>
    <w:rsid w:val="00563A9B"/>
    <w:rsid w:val="005762BC"/>
    <w:rsid w:val="00583135"/>
    <w:rsid w:val="005A4BC2"/>
    <w:rsid w:val="005A7019"/>
    <w:rsid w:val="005C3D17"/>
    <w:rsid w:val="005C40A3"/>
    <w:rsid w:val="005D1E87"/>
    <w:rsid w:val="005D3652"/>
    <w:rsid w:val="005F1F78"/>
    <w:rsid w:val="005F4545"/>
    <w:rsid w:val="005F7828"/>
    <w:rsid w:val="00604CA8"/>
    <w:rsid w:val="00616713"/>
    <w:rsid w:val="0064255E"/>
    <w:rsid w:val="00665299"/>
    <w:rsid w:val="00665EAB"/>
    <w:rsid w:val="006847BE"/>
    <w:rsid w:val="00687E5F"/>
    <w:rsid w:val="006950CC"/>
    <w:rsid w:val="006A0633"/>
    <w:rsid w:val="006B1357"/>
    <w:rsid w:val="006B4A7F"/>
    <w:rsid w:val="006C6272"/>
    <w:rsid w:val="006C6715"/>
    <w:rsid w:val="006E1734"/>
    <w:rsid w:val="006F0921"/>
    <w:rsid w:val="00700355"/>
    <w:rsid w:val="007017BF"/>
    <w:rsid w:val="00704E77"/>
    <w:rsid w:val="007358CE"/>
    <w:rsid w:val="0074148D"/>
    <w:rsid w:val="00742CE1"/>
    <w:rsid w:val="00761541"/>
    <w:rsid w:val="00764FBE"/>
    <w:rsid w:val="00773312"/>
    <w:rsid w:val="00774D55"/>
    <w:rsid w:val="00791A55"/>
    <w:rsid w:val="00792B65"/>
    <w:rsid w:val="007A60E0"/>
    <w:rsid w:val="007A6817"/>
    <w:rsid w:val="007B0B20"/>
    <w:rsid w:val="007B0C1A"/>
    <w:rsid w:val="007B655E"/>
    <w:rsid w:val="007B7264"/>
    <w:rsid w:val="007C4132"/>
    <w:rsid w:val="007C7750"/>
    <w:rsid w:val="007D6580"/>
    <w:rsid w:val="007D6583"/>
    <w:rsid w:val="007E3405"/>
    <w:rsid w:val="007E43A8"/>
    <w:rsid w:val="007E5944"/>
    <w:rsid w:val="007F034C"/>
    <w:rsid w:val="00814BD1"/>
    <w:rsid w:val="008451A8"/>
    <w:rsid w:val="00854361"/>
    <w:rsid w:val="0087129F"/>
    <w:rsid w:val="00884633"/>
    <w:rsid w:val="00890DD8"/>
    <w:rsid w:val="0089553B"/>
    <w:rsid w:val="008955CC"/>
    <w:rsid w:val="008B20BE"/>
    <w:rsid w:val="008F5F02"/>
    <w:rsid w:val="0093133C"/>
    <w:rsid w:val="009515FC"/>
    <w:rsid w:val="00952ECD"/>
    <w:rsid w:val="00957ECD"/>
    <w:rsid w:val="00964263"/>
    <w:rsid w:val="00970134"/>
    <w:rsid w:val="00974ACA"/>
    <w:rsid w:val="009B200C"/>
    <w:rsid w:val="009B278F"/>
    <w:rsid w:val="009C2CB9"/>
    <w:rsid w:val="009D1D4A"/>
    <w:rsid w:val="009D7D8F"/>
    <w:rsid w:val="009E4511"/>
    <w:rsid w:val="009E7AD0"/>
    <w:rsid w:val="009F4577"/>
    <w:rsid w:val="00A1656A"/>
    <w:rsid w:val="00A21A49"/>
    <w:rsid w:val="00A32D51"/>
    <w:rsid w:val="00A435D8"/>
    <w:rsid w:val="00A47C77"/>
    <w:rsid w:val="00A47E68"/>
    <w:rsid w:val="00A50411"/>
    <w:rsid w:val="00A80C52"/>
    <w:rsid w:val="00A86695"/>
    <w:rsid w:val="00AA2DB4"/>
    <w:rsid w:val="00AB318E"/>
    <w:rsid w:val="00AB5D93"/>
    <w:rsid w:val="00AD60A1"/>
    <w:rsid w:val="00AF68A9"/>
    <w:rsid w:val="00B3091F"/>
    <w:rsid w:val="00B30CF8"/>
    <w:rsid w:val="00B37B4C"/>
    <w:rsid w:val="00B446D1"/>
    <w:rsid w:val="00B516A2"/>
    <w:rsid w:val="00B5409F"/>
    <w:rsid w:val="00B5547E"/>
    <w:rsid w:val="00B70E67"/>
    <w:rsid w:val="00B71A77"/>
    <w:rsid w:val="00B72407"/>
    <w:rsid w:val="00B86CC5"/>
    <w:rsid w:val="00B935D6"/>
    <w:rsid w:val="00BB281D"/>
    <w:rsid w:val="00BC1058"/>
    <w:rsid w:val="00BC1A51"/>
    <w:rsid w:val="00BD03F9"/>
    <w:rsid w:val="00BE0C60"/>
    <w:rsid w:val="00BF315E"/>
    <w:rsid w:val="00BF4324"/>
    <w:rsid w:val="00BF7744"/>
    <w:rsid w:val="00BF7D60"/>
    <w:rsid w:val="00C01969"/>
    <w:rsid w:val="00C03222"/>
    <w:rsid w:val="00C11614"/>
    <w:rsid w:val="00C11771"/>
    <w:rsid w:val="00C2515E"/>
    <w:rsid w:val="00C26EBB"/>
    <w:rsid w:val="00C40E2E"/>
    <w:rsid w:val="00C416CE"/>
    <w:rsid w:val="00C52B46"/>
    <w:rsid w:val="00C563AC"/>
    <w:rsid w:val="00C60708"/>
    <w:rsid w:val="00C633AA"/>
    <w:rsid w:val="00C70F8F"/>
    <w:rsid w:val="00C83907"/>
    <w:rsid w:val="00C928B8"/>
    <w:rsid w:val="00CA1A31"/>
    <w:rsid w:val="00CA2735"/>
    <w:rsid w:val="00CB2331"/>
    <w:rsid w:val="00CD1887"/>
    <w:rsid w:val="00CD1CF0"/>
    <w:rsid w:val="00CD6D55"/>
    <w:rsid w:val="00CE11A7"/>
    <w:rsid w:val="00CF44E0"/>
    <w:rsid w:val="00D00EEB"/>
    <w:rsid w:val="00D05298"/>
    <w:rsid w:val="00D16068"/>
    <w:rsid w:val="00D27489"/>
    <w:rsid w:val="00D504C7"/>
    <w:rsid w:val="00D5206C"/>
    <w:rsid w:val="00D523BC"/>
    <w:rsid w:val="00D66A40"/>
    <w:rsid w:val="00D67EF4"/>
    <w:rsid w:val="00D7082A"/>
    <w:rsid w:val="00D84336"/>
    <w:rsid w:val="00D91BB8"/>
    <w:rsid w:val="00DA2818"/>
    <w:rsid w:val="00DA6E85"/>
    <w:rsid w:val="00DB33F4"/>
    <w:rsid w:val="00DB59BF"/>
    <w:rsid w:val="00DC5F3D"/>
    <w:rsid w:val="00DD09A7"/>
    <w:rsid w:val="00DD1040"/>
    <w:rsid w:val="00DD3234"/>
    <w:rsid w:val="00DD566F"/>
    <w:rsid w:val="00DF22F3"/>
    <w:rsid w:val="00DF319D"/>
    <w:rsid w:val="00DF4372"/>
    <w:rsid w:val="00E017A7"/>
    <w:rsid w:val="00E15804"/>
    <w:rsid w:val="00E205DB"/>
    <w:rsid w:val="00E436BE"/>
    <w:rsid w:val="00E47D38"/>
    <w:rsid w:val="00E5382E"/>
    <w:rsid w:val="00E64CE9"/>
    <w:rsid w:val="00E652E1"/>
    <w:rsid w:val="00E775C5"/>
    <w:rsid w:val="00E907B7"/>
    <w:rsid w:val="00E9183D"/>
    <w:rsid w:val="00EA32DB"/>
    <w:rsid w:val="00EA55A7"/>
    <w:rsid w:val="00EA729E"/>
    <w:rsid w:val="00EB0C51"/>
    <w:rsid w:val="00EB7A16"/>
    <w:rsid w:val="00EC47AF"/>
    <w:rsid w:val="00EC67B6"/>
    <w:rsid w:val="00EE52B0"/>
    <w:rsid w:val="00F04EDA"/>
    <w:rsid w:val="00F13B55"/>
    <w:rsid w:val="00F477EE"/>
    <w:rsid w:val="00F515AA"/>
    <w:rsid w:val="00F51B2F"/>
    <w:rsid w:val="00F6017B"/>
    <w:rsid w:val="00F72E11"/>
    <w:rsid w:val="00F86908"/>
    <w:rsid w:val="00F876F3"/>
    <w:rsid w:val="00F87BB8"/>
    <w:rsid w:val="00F97248"/>
    <w:rsid w:val="00FA0131"/>
    <w:rsid w:val="00FA67F3"/>
    <w:rsid w:val="00FB3EC6"/>
    <w:rsid w:val="00FD675E"/>
    <w:rsid w:val="00FD7CCA"/>
    <w:rsid w:val="00FE67E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7D79A"/>
  <w15:chartTrackingRefBased/>
  <w15:docId w15:val="{ECFE2120-52D7-4D79-83B1-9FAB98527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656A"/>
  </w:style>
  <w:style w:type="paragraph" w:styleId="Heading1">
    <w:name w:val="heading 1"/>
    <w:basedOn w:val="Normal"/>
    <w:next w:val="Normal"/>
    <w:link w:val="Heading1Char"/>
    <w:uiPriority w:val="9"/>
    <w:qFormat/>
    <w:rsid w:val="0089553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9553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9553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9553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9553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955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55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55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55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553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9553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9553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9553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9553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955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55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55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553B"/>
    <w:rPr>
      <w:rFonts w:eastAsiaTheme="majorEastAsia" w:cstheme="majorBidi"/>
      <w:color w:val="272727" w:themeColor="text1" w:themeTint="D8"/>
    </w:rPr>
  </w:style>
  <w:style w:type="paragraph" w:styleId="Title">
    <w:name w:val="Title"/>
    <w:basedOn w:val="Normal"/>
    <w:next w:val="Normal"/>
    <w:link w:val="TitleChar"/>
    <w:uiPriority w:val="10"/>
    <w:qFormat/>
    <w:rsid w:val="008955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55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55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55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553B"/>
    <w:pPr>
      <w:spacing w:before="160"/>
      <w:jc w:val="center"/>
    </w:pPr>
    <w:rPr>
      <w:i/>
      <w:iCs/>
      <w:color w:val="404040" w:themeColor="text1" w:themeTint="BF"/>
    </w:rPr>
  </w:style>
  <w:style w:type="character" w:customStyle="1" w:styleId="QuoteChar">
    <w:name w:val="Quote Char"/>
    <w:basedOn w:val="DefaultParagraphFont"/>
    <w:link w:val="Quote"/>
    <w:uiPriority w:val="29"/>
    <w:rsid w:val="0089553B"/>
    <w:rPr>
      <w:i/>
      <w:iCs/>
      <w:color w:val="404040" w:themeColor="text1" w:themeTint="BF"/>
    </w:rPr>
  </w:style>
  <w:style w:type="paragraph" w:styleId="ListParagraph">
    <w:name w:val="List Paragraph"/>
    <w:basedOn w:val="Normal"/>
    <w:uiPriority w:val="34"/>
    <w:qFormat/>
    <w:rsid w:val="0089553B"/>
    <w:pPr>
      <w:ind w:left="720"/>
      <w:contextualSpacing/>
    </w:pPr>
  </w:style>
  <w:style w:type="character" w:styleId="IntenseEmphasis">
    <w:name w:val="Intense Emphasis"/>
    <w:basedOn w:val="DefaultParagraphFont"/>
    <w:uiPriority w:val="21"/>
    <w:qFormat/>
    <w:rsid w:val="0089553B"/>
    <w:rPr>
      <w:i/>
      <w:iCs/>
      <w:color w:val="2F5496" w:themeColor="accent1" w:themeShade="BF"/>
    </w:rPr>
  </w:style>
  <w:style w:type="paragraph" w:styleId="IntenseQuote">
    <w:name w:val="Intense Quote"/>
    <w:basedOn w:val="Normal"/>
    <w:next w:val="Normal"/>
    <w:link w:val="IntenseQuoteChar"/>
    <w:uiPriority w:val="30"/>
    <w:qFormat/>
    <w:rsid w:val="0089553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9553B"/>
    <w:rPr>
      <w:i/>
      <w:iCs/>
      <w:color w:val="2F5496" w:themeColor="accent1" w:themeShade="BF"/>
    </w:rPr>
  </w:style>
  <w:style w:type="character" w:styleId="IntenseReference">
    <w:name w:val="Intense Reference"/>
    <w:basedOn w:val="DefaultParagraphFont"/>
    <w:uiPriority w:val="32"/>
    <w:qFormat/>
    <w:rsid w:val="0089553B"/>
    <w:rPr>
      <w:b/>
      <w:bCs/>
      <w:smallCaps/>
      <w:color w:val="2F5496" w:themeColor="accent1" w:themeShade="BF"/>
      <w:spacing w:val="5"/>
    </w:rPr>
  </w:style>
  <w:style w:type="paragraph" w:styleId="Header">
    <w:name w:val="header"/>
    <w:basedOn w:val="Normal"/>
    <w:link w:val="HeaderChar"/>
    <w:uiPriority w:val="99"/>
    <w:unhideWhenUsed/>
    <w:rsid w:val="003D09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9A3"/>
  </w:style>
  <w:style w:type="paragraph" w:styleId="Footer">
    <w:name w:val="footer"/>
    <w:basedOn w:val="Normal"/>
    <w:link w:val="FooterChar"/>
    <w:uiPriority w:val="99"/>
    <w:unhideWhenUsed/>
    <w:rsid w:val="003D09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9A3"/>
  </w:style>
  <w:style w:type="paragraph" w:styleId="TOCHeading">
    <w:name w:val="TOC Heading"/>
    <w:basedOn w:val="Heading1"/>
    <w:next w:val="Normal"/>
    <w:uiPriority w:val="39"/>
    <w:unhideWhenUsed/>
    <w:qFormat/>
    <w:rsid w:val="00764FB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B2AC7"/>
    <w:pPr>
      <w:tabs>
        <w:tab w:val="right" w:leader="dot" w:pos="9016"/>
      </w:tabs>
      <w:spacing w:after="100"/>
    </w:pPr>
    <w:rPr>
      <w:b/>
      <w:bCs/>
      <w:noProof/>
    </w:rPr>
  </w:style>
  <w:style w:type="paragraph" w:styleId="TOC2">
    <w:name w:val="toc 2"/>
    <w:basedOn w:val="Normal"/>
    <w:next w:val="Normal"/>
    <w:autoRedefine/>
    <w:uiPriority w:val="39"/>
    <w:unhideWhenUsed/>
    <w:rsid w:val="00764FBE"/>
    <w:pPr>
      <w:spacing w:after="100"/>
      <w:ind w:left="220"/>
    </w:pPr>
  </w:style>
  <w:style w:type="paragraph" w:styleId="TOC3">
    <w:name w:val="toc 3"/>
    <w:basedOn w:val="Normal"/>
    <w:next w:val="Normal"/>
    <w:autoRedefine/>
    <w:uiPriority w:val="39"/>
    <w:unhideWhenUsed/>
    <w:rsid w:val="00764FBE"/>
    <w:pPr>
      <w:spacing w:after="100"/>
      <w:ind w:left="440"/>
    </w:pPr>
  </w:style>
  <w:style w:type="character" w:styleId="Hyperlink">
    <w:name w:val="Hyperlink"/>
    <w:basedOn w:val="DefaultParagraphFont"/>
    <w:uiPriority w:val="99"/>
    <w:unhideWhenUsed/>
    <w:rsid w:val="00764F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D49556-2568-4312-B745-CC485E985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22</Pages>
  <Words>7163</Words>
  <Characters>40834</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Rajveer Rana</dc:creator>
  <cp:keywords/>
  <dc:description/>
  <cp:lastModifiedBy>Rajveer Rana</cp:lastModifiedBy>
  <cp:revision>5</cp:revision>
  <dcterms:created xsi:type="dcterms:W3CDTF">2026-03-25T19:04:00Z</dcterms:created>
  <dcterms:modified xsi:type="dcterms:W3CDTF">2026-03-26T23:19:00Z</dcterms:modified>
</cp:coreProperties>
</file>