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38C66" w14:textId="77777777" w:rsidR="001529FD" w:rsidRDefault="001529FD">
      <w:pPr>
        <w:rPr>
          <w:noProof/>
        </w:rPr>
      </w:pPr>
      <w:r w:rsidRPr="00982FAC">
        <w:rPr>
          <w:noProof/>
        </w:rPr>
        <w:drawing>
          <wp:inline distT="0" distB="0" distL="0" distR="0" wp14:anchorId="3B822560" wp14:editId="0AE0AD45">
            <wp:extent cx="2714625" cy="1409700"/>
            <wp:effectExtent l="0" t="0" r="9525" b="0"/>
            <wp:docPr id="10085704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570496"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39314" cy="1422521"/>
                    </a:xfrm>
                    <a:prstGeom prst="rect">
                      <a:avLst/>
                    </a:prstGeom>
                    <a:noFill/>
                  </pic:spPr>
                </pic:pic>
              </a:graphicData>
            </a:graphic>
          </wp:inline>
        </w:drawing>
      </w:r>
      <w:r>
        <w:rPr>
          <w:noProof/>
        </w:rPr>
        <w:t xml:space="preserve"> </w:t>
      </w:r>
      <w:r w:rsidRPr="00982FAC">
        <w:rPr>
          <w:noProof/>
        </w:rPr>
        <w:drawing>
          <wp:inline distT="0" distB="0" distL="0" distR="0" wp14:anchorId="7C1BD8E0" wp14:editId="535C09E0">
            <wp:extent cx="2428875" cy="1381125"/>
            <wp:effectExtent l="0" t="0" r="9525" b="9525"/>
            <wp:docPr id="5" name="Picture 4" descr="A group of people throwing graduation caps in the air&#10;&#10;Description automatically generated">
              <a:extLst xmlns:a="http://schemas.openxmlformats.org/drawingml/2006/main">
                <a:ext uri="{FF2B5EF4-FFF2-40B4-BE49-F238E27FC236}">
                  <a16:creationId xmlns:a16="http://schemas.microsoft.com/office/drawing/2014/main" id="{26757BCA-8EC2-425F-0205-5AB3D3CF3A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people throwing graduation caps in the air&#10;&#10;Description automatically generated">
                      <a:extLst>
                        <a:ext uri="{FF2B5EF4-FFF2-40B4-BE49-F238E27FC236}">
                          <a16:creationId xmlns:a16="http://schemas.microsoft.com/office/drawing/2014/main" id="{26757BCA-8EC2-425F-0205-5AB3D3CF3A86}"/>
                        </a:ext>
                      </a:extLst>
                    </pic:cNvPr>
                    <pic:cNvPicPr>
                      <a:picLocks noChangeAspect="1"/>
                    </pic:cNvPicPr>
                  </pic:nvPicPr>
                  <pic:blipFill>
                    <a:blip r:embed="rId6"/>
                    <a:stretch>
                      <a:fillRect/>
                    </a:stretch>
                  </pic:blipFill>
                  <pic:spPr>
                    <a:xfrm>
                      <a:off x="0" y="0"/>
                      <a:ext cx="2480568" cy="1410519"/>
                    </a:xfrm>
                    <a:prstGeom prst="rect">
                      <a:avLst/>
                    </a:prstGeom>
                  </pic:spPr>
                </pic:pic>
              </a:graphicData>
            </a:graphic>
          </wp:inline>
        </w:drawing>
      </w:r>
      <w:r>
        <w:rPr>
          <w:noProof/>
        </w:rPr>
        <w:t xml:space="preserve"> </w:t>
      </w:r>
    </w:p>
    <w:p w14:paraId="144B7259" w14:textId="77777777" w:rsidR="001529FD" w:rsidRDefault="001529FD">
      <w:pPr>
        <w:rPr>
          <w:noProof/>
        </w:rPr>
      </w:pPr>
    </w:p>
    <w:p w14:paraId="0212B5BA" w14:textId="77777777" w:rsidR="001529FD" w:rsidRDefault="001529FD">
      <w:pPr>
        <w:rPr>
          <w:noProof/>
        </w:rPr>
      </w:pPr>
    </w:p>
    <w:p w14:paraId="7B33F36B" w14:textId="77777777" w:rsidR="001529FD" w:rsidRDefault="001529FD">
      <w:pPr>
        <w:rPr>
          <w:noProof/>
        </w:rPr>
      </w:pPr>
    </w:p>
    <w:p w14:paraId="23F81F1F" w14:textId="77777777" w:rsidR="001529FD" w:rsidRDefault="001529FD">
      <w:pPr>
        <w:rPr>
          <w:noProof/>
        </w:rPr>
      </w:pPr>
    </w:p>
    <w:tbl>
      <w:tblPr>
        <w:tblStyle w:val="TableGrid"/>
        <w:tblW w:w="0" w:type="auto"/>
        <w:jc w:val="center"/>
        <w:tblLook w:val="04A0" w:firstRow="1" w:lastRow="0" w:firstColumn="1" w:lastColumn="0" w:noHBand="0" w:noVBand="1"/>
      </w:tblPr>
      <w:tblGrid>
        <w:gridCol w:w="4507"/>
        <w:gridCol w:w="4509"/>
      </w:tblGrid>
      <w:tr w:rsidR="001529FD" w:rsidRPr="00571284" w14:paraId="7B3A655A" w14:textId="77777777" w:rsidTr="00880147">
        <w:trPr>
          <w:jc w:val="center"/>
        </w:trPr>
        <w:tc>
          <w:tcPr>
            <w:tcW w:w="4509" w:type="dxa"/>
          </w:tcPr>
          <w:p w14:paraId="00CEAD80" w14:textId="77777777" w:rsidR="001529FD" w:rsidRPr="00571284" w:rsidRDefault="001529FD" w:rsidP="00880147">
            <w:pPr>
              <w:tabs>
                <w:tab w:val="left" w:pos="1515"/>
              </w:tabs>
              <w:rPr>
                <w:bCs/>
              </w:rPr>
            </w:pPr>
            <w:r w:rsidRPr="00571284">
              <w:rPr>
                <w:bCs/>
              </w:rPr>
              <w:t>NAME</w:t>
            </w:r>
            <w:r w:rsidRPr="00571284">
              <w:rPr>
                <w:bCs/>
              </w:rPr>
              <w:tab/>
            </w:r>
          </w:p>
        </w:tc>
        <w:tc>
          <w:tcPr>
            <w:tcW w:w="4510" w:type="dxa"/>
          </w:tcPr>
          <w:p w14:paraId="13E2B4AF" w14:textId="77777777" w:rsidR="001529FD" w:rsidRPr="00571284" w:rsidRDefault="001529FD" w:rsidP="00880147">
            <w:pPr>
              <w:tabs>
                <w:tab w:val="left" w:pos="645"/>
              </w:tabs>
              <w:rPr>
                <w:bCs/>
              </w:rPr>
            </w:pPr>
            <w:r w:rsidRPr="00571284">
              <w:rPr>
                <w:bCs/>
              </w:rPr>
              <w:t>OLAMIDE BOBBY ERINOSHO</w:t>
            </w:r>
          </w:p>
        </w:tc>
      </w:tr>
      <w:tr w:rsidR="001529FD" w:rsidRPr="00571284" w14:paraId="545FADD3" w14:textId="77777777" w:rsidTr="00880147">
        <w:trPr>
          <w:jc w:val="center"/>
        </w:trPr>
        <w:tc>
          <w:tcPr>
            <w:tcW w:w="4509" w:type="dxa"/>
          </w:tcPr>
          <w:p w14:paraId="0A4F39DA" w14:textId="77777777" w:rsidR="001529FD" w:rsidRPr="00571284" w:rsidRDefault="001529FD" w:rsidP="00880147">
            <w:pPr>
              <w:tabs>
                <w:tab w:val="left" w:pos="645"/>
              </w:tabs>
              <w:rPr>
                <w:bCs/>
              </w:rPr>
            </w:pPr>
            <w:r w:rsidRPr="00571284">
              <w:rPr>
                <w:bCs/>
              </w:rPr>
              <w:t>COURSE CODE</w:t>
            </w:r>
          </w:p>
        </w:tc>
        <w:tc>
          <w:tcPr>
            <w:tcW w:w="4510" w:type="dxa"/>
          </w:tcPr>
          <w:p w14:paraId="1C6B1DB7" w14:textId="77777777" w:rsidR="001529FD" w:rsidRPr="00571284" w:rsidRDefault="001529FD" w:rsidP="00880147">
            <w:pPr>
              <w:tabs>
                <w:tab w:val="left" w:pos="645"/>
              </w:tabs>
              <w:rPr>
                <w:bCs/>
              </w:rPr>
            </w:pPr>
            <w:r>
              <w:rPr>
                <w:bCs/>
              </w:rPr>
              <w:t>LCMB7002</w:t>
            </w:r>
          </w:p>
        </w:tc>
      </w:tr>
      <w:tr w:rsidR="001529FD" w:rsidRPr="00571284" w14:paraId="4C5A4DB7" w14:textId="77777777" w:rsidTr="00880147">
        <w:trPr>
          <w:jc w:val="center"/>
        </w:trPr>
        <w:tc>
          <w:tcPr>
            <w:tcW w:w="4509" w:type="dxa"/>
          </w:tcPr>
          <w:p w14:paraId="759C6844" w14:textId="77777777" w:rsidR="001529FD" w:rsidRPr="00571284" w:rsidRDefault="001529FD" w:rsidP="00880147">
            <w:pPr>
              <w:tabs>
                <w:tab w:val="left" w:pos="645"/>
              </w:tabs>
              <w:rPr>
                <w:bCs/>
              </w:rPr>
            </w:pPr>
            <w:r w:rsidRPr="00571284">
              <w:rPr>
                <w:bCs/>
              </w:rPr>
              <w:t>LECTURER</w:t>
            </w:r>
          </w:p>
        </w:tc>
        <w:tc>
          <w:tcPr>
            <w:tcW w:w="4510" w:type="dxa"/>
          </w:tcPr>
          <w:p w14:paraId="0C58F922" w14:textId="77777777" w:rsidR="001529FD" w:rsidRPr="003F7B42" w:rsidRDefault="001529FD" w:rsidP="00880147">
            <w:pPr>
              <w:tabs>
                <w:tab w:val="left" w:pos="645"/>
              </w:tabs>
              <w:rPr>
                <w:bCs/>
              </w:rPr>
            </w:pPr>
            <w:r>
              <w:rPr>
                <w:bCs/>
              </w:rPr>
              <w:t>DAVID COKER</w:t>
            </w:r>
          </w:p>
        </w:tc>
      </w:tr>
      <w:tr w:rsidR="001529FD" w:rsidRPr="00571284" w14:paraId="6C98029D" w14:textId="77777777" w:rsidTr="00880147">
        <w:trPr>
          <w:jc w:val="center"/>
        </w:trPr>
        <w:tc>
          <w:tcPr>
            <w:tcW w:w="4509" w:type="dxa"/>
          </w:tcPr>
          <w:p w14:paraId="3F644072" w14:textId="77777777" w:rsidR="001529FD" w:rsidRPr="00571284" w:rsidRDefault="001529FD" w:rsidP="00880147">
            <w:pPr>
              <w:tabs>
                <w:tab w:val="left" w:pos="645"/>
              </w:tabs>
              <w:rPr>
                <w:bCs/>
              </w:rPr>
            </w:pPr>
            <w:r w:rsidRPr="00571284">
              <w:rPr>
                <w:bCs/>
              </w:rPr>
              <w:t xml:space="preserve">STUDENT I D </w:t>
            </w:r>
          </w:p>
        </w:tc>
        <w:tc>
          <w:tcPr>
            <w:tcW w:w="4510" w:type="dxa"/>
          </w:tcPr>
          <w:p w14:paraId="04091C86" w14:textId="77777777" w:rsidR="001529FD" w:rsidRPr="00571284" w:rsidRDefault="001529FD" w:rsidP="00880147">
            <w:pPr>
              <w:tabs>
                <w:tab w:val="left" w:pos="645"/>
              </w:tabs>
              <w:rPr>
                <w:bCs/>
              </w:rPr>
            </w:pPr>
            <w:r w:rsidRPr="00571284">
              <w:rPr>
                <w:bCs/>
              </w:rPr>
              <w:t>2008390</w:t>
            </w:r>
          </w:p>
        </w:tc>
      </w:tr>
    </w:tbl>
    <w:p w14:paraId="12C31E14" w14:textId="77777777" w:rsidR="001529FD" w:rsidRDefault="001529FD">
      <w:pPr>
        <w:rPr>
          <w:noProof/>
        </w:rPr>
      </w:pPr>
      <w:r>
        <w:rPr>
          <w:noProof/>
        </w:rPr>
        <w:t xml:space="preserve"> </w:t>
      </w:r>
    </w:p>
    <w:p w14:paraId="6FCC753E" w14:textId="77777777" w:rsidR="001529FD" w:rsidRDefault="001529FD">
      <w:pPr>
        <w:rPr>
          <w:noProof/>
        </w:rPr>
      </w:pPr>
    </w:p>
    <w:p w14:paraId="11BAC4B0" w14:textId="77777777" w:rsidR="001529FD" w:rsidRPr="001529FD" w:rsidRDefault="001529FD" w:rsidP="001529FD">
      <w:pPr>
        <w:pStyle w:val="Title"/>
        <w:jc w:val="center"/>
        <w:rPr>
          <w:sz w:val="36"/>
          <w:szCs w:val="36"/>
        </w:rPr>
      </w:pPr>
      <w:r w:rsidRPr="001529FD">
        <w:rPr>
          <w:sz w:val="36"/>
          <w:szCs w:val="36"/>
        </w:rPr>
        <w:t>LCMB7002</w:t>
      </w:r>
    </w:p>
    <w:p w14:paraId="45183C79" w14:textId="77777777" w:rsidR="001529FD" w:rsidRPr="001529FD" w:rsidRDefault="001529FD" w:rsidP="001529FD">
      <w:pPr>
        <w:jc w:val="center"/>
        <w:rPr>
          <w:sz w:val="36"/>
          <w:szCs w:val="36"/>
        </w:rPr>
      </w:pPr>
    </w:p>
    <w:p w14:paraId="4DD4D210" w14:textId="77777777" w:rsidR="001529FD" w:rsidRPr="001529FD" w:rsidRDefault="001529FD" w:rsidP="001529FD">
      <w:pPr>
        <w:pStyle w:val="Title"/>
        <w:jc w:val="center"/>
        <w:rPr>
          <w:sz w:val="36"/>
          <w:szCs w:val="36"/>
        </w:rPr>
      </w:pPr>
      <w:proofErr w:type="gramStart"/>
      <w:r w:rsidRPr="001529FD">
        <w:rPr>
          <w:sz w:val="36"/>
          <w:szCs w:val="36"/>
        </w:rPr>
        <w:t>Masters of Business Administration</w:t>
      </w:r>
      <w:proofErr w:type="gramEnd"/>
    </w:p>
    <w:p w14:paraId="788B7D0F" w14:textId="77777777" w:rsidR="001529FD" w:rsidRPr="001529FD" w:rsidRDefault="001529FD" w:rsidP="001529FD">
      <w:pPr>
        <w:jc w:val="center"/>
        <w:rPr>
          <w:sz w:val="36"/>
          <w:szCs w:val="36"/>
        </w:rPr>
      </w:pPr>
    </w:p>
    <w:p w14:paraId="1A49B312" w14:textId="77777777" w:rsidR="001529FD" w:rsidRDefault="001529FD" w:rsidP="001529FD">
      <w:pPr>
        <w:pStyle w:val="Title"/>
        <w:jc w:val="center"/>
        <w:rPr>
          <w:sz w:val="36"/>
          <w:szCs w:val="36"/>
        </w:rPr>
      </w:pPr>
      <w:r w:rsidRPr="001529FD">
        <w:rPr>
          <w:sz w:val="36"/>
          <w:szCs w:val="36"/>
        </w:rPr>
        <w:t>Financial Management</w:t>
      </w:r>
    </w:p>
    <w:p w14:paraId="0D4D3289" w14:textId="77777777" w:rsidR="001529FD" w:rsidRDefault="001529FD" w:rsidP="001529FD"/>
    <w:p w14:paraId="21E9D9A4" w14:textId="77777777" w:rsidR="001529FD" w:rsidRDefault="001529FD" w:rsidP="001529FD"/>
    <w:p w14:paraId="2D2AB44D" w14:textId="77777777" w:rsidR="001529FD" w:rsidRDefault="001529FD" w:rsidP="001529FD"/>
    <w:p w14:paraId="5AD7ABBA" w14:textId="77777777" w:rsidR="001529FD" w:rsidRDefault="001529FD" w:rsidP="001529FD"/>
    <w:p w14:paraId="254E2D31" w14:textId="77777777" w:rsidR="001529FD" w:rsidRDefault="001529FD" w:rsidP="001529FD"/>
    <w:p w14:paraId="003FA219" w14:textId="77777777" w:rsidR="001529FD" w:rsidRDefault="001529FD" w:rsidP="001529FD"/>
    <w:p w14:paraId="6AD1848B" w14:textId="77777777" w:rsidR="001529FD" w:rsidRDefault="001529FD" w:rsidP="001529FD"/>
    <w:p w14:paraId="0393BB93" w14:textId="77777777" w:rsidR="001529FD" w:rsidRDefault="001529FD" w:rsidP="001529FD"/>
    <w:p w14:paraId="056C0EC7" w14:textId="77777777" w:rsidR="001529FD" w:rsidRDefault="001529FD" w:rsidP="001529FD"/>
    <w:p w14:paraId="40F843BA" w14:textId="77777777" w:rsidR="001529FD" w:rsidRDefault="001529FD" w:rsidP="001529FD"/>
    <w:p w14:paraId="4AC4C037" w14:textId="77777777" w:rsidR="001529FD" w:rsidRDefault="001529FD" w:rsidP="001529FD"/>
    <w:sdt>
      <w:sdtPr>
        <w:rPr>
          <w:rFonts w:ascii="Times New Roman" w:eastAsia="Times New Roman" w:hAnsi="Times New Roman" w:cs="Times New Roman"/>
          <w:color w:val="000000" w:themeColor="text1"/>
          <w:sz w:val="24"/>
          <w:szCs w:val="20"/>
          <w:lang w:val="en-GB" w:eastAsia="en-GB"/>
        </w:rPr>
        <w:id w:val="1764490176"/>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06B72B6C" w14:textId="77777777" w:rsidR="001529FD" w:rsidRPr="00195EBD" w:rsidRDefault="001529FD" w:rsidP="001529FD">
          <w:pPr>
            <w:pStyle w:val="TOCHeading"/>
            <w:rPr>
              <w:rFonts w:ascii="Times New Roman" w:hAnsi="Times New Roman" w:cs="Times New Roman"/>
              <w:b/>
              <w:bCs/>
              <w:color w:val="auto"/>
            </w:rPr>
          </w:pPr>
          <w:r w:rsidRPr="00195EBD">
            <w:rPr>
              <w:rFonts w:ascii="Times New Roman" w:hAnsi="Times New Roman" w:cs="Times New Roman"/>
              <w:b/>
              <w:bCs/>
              <w:color w:val="auto"/>
            </w:rPr>
            <w:t>Table of Contents</w:t>
          </w:r>
        </w:p>
        <w:p w14:paraId="3C097CD7" w14:textId="77777777" w:rsidR="001529FD" w:rsidRDefault="001529FD" w:rsidP="001529FD">
          <w:pPr>
            <w:pStyle w:val="TOC1"/>
            <w:tabs>
              <w:tab w:val="right" w:leader="dot" w:pos="9016"/>
            </w:tabs>
            <w:rPr>
              <w:noProof/>
            </w:rPr>
          </w:pPr>
          <w:r>
            <w:fldChar w:fldCharType="begin"/>
          </w:r>
          <w:r>
            <w:instrText xml:space="preserve"> TOC \o "1-3" \h \z \u </w:instrText>
          </w:r>
          <w:r>
            <w:fldChar w:fldCharType="separate"/>
          </w:r>
          <w:hyperlink w:anchor="_Toc160294887" w:history="1">
            <w:r w:rsidRPr="00590483">
              <w:rPr>
                <w:rStyle w:val="Hyperlink"/>
                <w:noProof/>
              </w:rPr>
              <w:t>Introduction</w:t>
            </w:r>
            <w:r>
              <w:rPr>
                <w:noProof/>
                <w:webHidden/>
              </w:rPr>
              <w:tab/>
            </w:r>
            <w:r>
              <w:rPr>
                <w:noProof/>
                <w:webHidden/>
              </w:rPr>
              <w:fldChar w:fldCharType="begin"/>
            </w:r>
            <w:r>
              <w:rPr>
                <w:noProof/>
                <w:webHidden/>
              </w:rPr>
              <w:instrText xml:space="preserve"> PAGEREF _Toc160294887 \h </w:instrText>
            </w:r>
            <w:r>
              <w:rPr>
                <w:noProof/>
                <w:webHidden/>
              </w:rPr>
            </w:r>
            <w:r>
              <w:rPr>
                <w:noProof/>
                <w:webHidden/>
              </w:rPr>
              <w:fldChar w:fldCharType="separate"/>
            </w:r>
            <w:r>
              <w:rPr>
                <w:noProof/>
                <w:webHidden/>
              </w:rPr>
              <w:t>3</w:t>
            </w:r>
            <w:r>
              <w:rPr>
                <w:noProof/>
                <w:webHidden/>
              </w:rPr>
              <w:fldChar w:fldCharType="end"/>
            </w:r>
          </w:hyperlink>
        </w:p>
        <w:p w14:paraId="53071D32" w14:textId="77777777" w:rsidR="001529FD" w:rsidRDefault="00500B85" w:rsidP="001529FD">
          <w:pPr>
            <w:pStyle w:val="TOC1"/>
            <w:tabs>
              <w:tab w:val="right" w:leader="dot" w:pos="9016"/>
            </w:tabs>
            <w:rPr>
              <w:noProof/>
            </w:rPr>
          </w:pPr>
          <w:hyperlink w:anchor="_Toc160294888" w:history="1">
            <w:r w:rsidR="001529FD" w:rsidRPr="00590483">
              <w:rPr>
                <w:rStyle w:val="Hyperlink"/>
                <w:noProof/>
              </w:rPr>
              <w:t>Part A</w:t>
            </w:r>
            <w:r w:rsidR="001529FD">
              <w:rPr>
                <w:noProof/>
                <w:webHidden/>
              </w:rPr>
              <w:tab/>
            </w:r>
            <w:r w:rsidR="001529FD">
              <w:rPr>
                <w:noProof/>
                <w:webHidden/>
              </w:rPr>
              <w:fldChar w:fldCharType="begin"/>
            </w:r>
            <w:r w:rsidR="001529FD">
              <w:rPr>
                <w:noProof/>
                <w:webHidden/>
              </w:rPr>
              <w:instrText xml:space="preserve"> PAGEREF _Toc160294888 \h </w:instrText>
            </w:r>
            <w:r w:rsidR="001529FD">
              <w:rPr>
                <w:noProof/>
                <w:webHidden/>
              </w:rPr>
            </w:r>
            <w:r w:rsidR="001529FD">
              <w:rPr>
                <w:noProof/>
                <w:webHidden/>
              </w:rPr>
              <w:fldChar w:fldCharType="separate"/>
            </w:r>
            <w:r w:rsidR="001529FD">
              <w:rPr>
                <w:noProof/>
                <w:webHidden/>
              </w:rPr>
              <w:t>4</w:t>
            </w:r>
            <w:r w:rsidR="001529FD">
              <w:rPr>
                <w:noProof/>
                <w:webHidden/>
              </w:rPr>
              <w:fldChar w:fldCharType="end"/>
            </w:r>
          </w:hyperlink>
        </w:p>
        <w:p w14:paraId="52F7DFE1" w14:textId="77777777" w:rsidR="001529FD" w:rsidRDefault="00500B85" w:rsidP="001529FD">
          <w:pPr>
            <w:pStyle w:val="TOC2"/>
            <w:tabs>
              <w:tab w:val="right" w:leader="dot" w:pos="9016"/>
            </w:tabs>
            <w:rPr>
              <w:noProof/>
            </w:rPr>
          </w:pPr>
          <w:hyperlink w:anchor="_Toc160294889" w:history="1">
            <w:r w:rsidR="001529FD" w:rsidRPr="00590483">
              <w:rPr>
                <w:rStyle w:val="Hyperlink"/>
                <w:noProof/>
              </w:rPr>
              <w:t>Brief History of Barclays Plc</w:t>
            </w:r>
            <w:r w:rsidR="001529FD">
              <w:rPr>
                <w:noProof/>
                <w:webHidden/>
              </w:rPr>
              <w:tab/>
            </w:r>
            <w:r w:rsidR="001529FD">
              <w:rPr>
                <w:noProof/>
                <w:webHidden/>
              </w:rPr>
              <w:fldChar w:fldCharType="begin"/>
            </w:r>
            <w:r w:rsidR="001529FD">
              <w:rPr>
                <w:noProof/>
                <w:webHidden/>
              </w:rPr>
              <w:instrText xml:space="preserve"> PAGEREF _Toc160294889 \h </w:instrText>
            </w:r>
            <w:r w:rsidR="001529FD">
              <w:rPr>
                <w:noProof/>
                <w:webHidden/>
              </w:rPr>
            </w:r>
            <w:r w:rsidR="001529FD">
              <w:rPr>
                <w:noProof/>
                <w:webHidden/>
              </w:rPr>
              <w:fldChar w:fldCharType="separate"/>
            </w:r>
            <w:r w:rsidR="001529FD">
              <w:rPr>
                <w:noProof/>
                <w:webHidden/>
              </w:rPr>
              <w:t>4</w:t>
            </w:r>
            <w:r w:rsidR="001529FD">
              <w:rPr>
                <w:noProof/>
                <w:webHidden/>
              </w:rPr>
              <w:fldChar w:fldCharType="end"/>
            </w:r>
          </w:hyperlink>
        </w:p>
        <w:p w14:paraId="0A5496FB" w14:textId="77777777" w:rsidR="001529FD" w:rsidRDefault="00500B85" w:rsidP="001529FD">
          <w:pPr>
            <w:pStyle w:val="TOC1"/>
            <w:tabs>
              <w:tab w:val="right" w:leader="dot" w:pos="9016"/>
            </w:tabs>
            <w:rPr>
              <w:noProof/>
            </w:rPr>
          </w:pPr>
          <w:hyperlink w:anchor="_Toc160294890" w:history="1">
            <w:r w:rsidR="001529FD" w:rsidRPr="00590483">
              <w:rPr>
                <w:rStyle w:val="Hyperlink"/>
                <w:noProof/>
                <w:lang w:val="en-IN"/>
              </w:rPr>
              <w:t>Part B</w:t>
            </w:r>
            <w:r w:rsidR="001529FD">
              <w:rPr>
                <w:noProof/>
                <w:webHidden/>
              </w:rPr>
              <w:tab/>
            </w:r>
            <w:r w:rsidR="001529FD">
              <w:rPr>
                <w:noProof/>
                <w:webHidden/>
              </w:rPr>
              <w:fldChar w:fldCharType="begin"/>
            </w:r>
            <w:r w:rsidR="001529FD">
              <w:rPr>
                <w:noProof/>
                <w:webHidden/>
              </w:rPr>
              <w:instrText xml:space="preserve"> PAGEREF _Toc160294890 \h </w:instrText>
            </w:r>
            <w:r w:rsidR="001529FD">
              <w:rPr>
                <w:noProof/>
                <w:webHidden/>
              </w:rPr>
            </w:r>
            <w:r w:rsidR="001529FD">
              <w:rPr>
                <w:noProof/>
                <w:webHidden/>
              </w:rPr>
              <w:fldChar w:fldCharType="separate"/>
            </w:r>
            <w:r w:rsidR="001529FD">
              <w:rPr>
                <w:noProof/>
                <w:webHidden/>
              </w:rPr>
              <w:t>5</w:t>
            </w:r>
            <w:r w:rsidR="001529FD">
              <w:rPr>
                <w:noProof/>
                <w:webHidden/>
              </w:rPr>
              <w:fldChar w:fldCharType="end"/>
            </w:r>
          </w:hyperlink>
        </w:p>
        <w:p w14:paraId="6A30BF4C" w14:textId="77777777" w:rsidR="001529FD" w:rsidRDefault="00500B85" w:rsidP="001529FD">
          <w:pPr>
            <w:pStyle w:val="TOC2"/>
            <w:tabs>
              <w:tab w:val="right" w:leader="dot" w:pos="9016"/>
            </w:tabs>
            <w:rPr>
              <w:noProof/>
            </w:rPr>
          </w:pPr>
          <w:hyperlink w:anchor="_Toc160294891" w:history="1">
            <w:r w:rsidR="001529FD" w:rsidRPr="00590483">
              <w:rPr>
                <w:rStyle w:val="Hyperlink"/>
                <w:noProof/>
              </w:rPr>
              <w:t>Calculation of financial ratios</w:t>
            </w:r>
            <w:r w:rsidR="001529FD">
              <w:rPr>
                <w:noProof/>
                <w:webHidden/>
              </w:rPr>
              <w:tab/>
            </w:r>
            <w:r w:rsidR="001529FD">
              <w:rPr>
                <w:noProof/>
                <w:webHidden/>
              </w:rPr>
              <w:fldChar w:fldCharType="begin"/>
            </w:r>
            <w:r w:rsidR="001529FD">
              <w:rPr>
                <w:noProof/>
                <w:webHidden/>
              </w:rPr>
              <w:instrText xml:space="preserve"> PAGEREF _Toc160294891 \h </w:instrText>
            </w:r>
            <w:r w:rsidR="001529FD">
              <w:rPr>
                <w:noProof/>
                <w:webHidden/>
              </w:rPr>
            </w:r>
            <w:r w:rsidR="001529FD">
              <w:rPr>
                <w:noProof/>
                <w:webHidden/>
              </w:rPr>
              <w:fldChar w:fldCharType="separate"/>
            </w:r>
            <w:r w:rsidR="001529FD">
              <w:rPr>
                <w:noProof/>
                <w:webHidden/>
              </w:rPr>
              <w:t>5</w:t>
            </w:r>
            <w:r w:rsidR="001529FD">
              <w:rPr>
                <w:noProof/>
                <w:webHidden/>
              </w:rPr>
              <w:fldChar w:fldCharType="end"/>
            </w:r>
          </w:hyperlink>
        </w:p>
        <w:p w14:paraId="6B27B593" w14:textId="77777777" w:rsidR="001529FD" w:rsidRDefault="00500B85" w:rsidP="001529FD">
          <w:pPr>
            <w:pStyle w:val="TOC2"/>
            <w:tabs>
              <w:tab w:val="right" w:leader="dot" w:pos="9016"/>
            </w:tabs>
            <w:rPr>
              <w:noProof/>
            </w:rPr>
          </w:pPr>
          <w:hyperlink w:anchor="_Toc160294892" w:history="1">
            <w:r w:rsidR="001529FD" w:rsidRPr="00590483">
              <w:rPr>
                <w:rStyle w:val="Hyperlink"/>
                <w:noProof/>
              </w:rPr>
              <w:t>Evaluation of Ratios</w:t>
            </w:r>
            <w:r w:rsidR="001529FD">
              <w:rPr>
                <w:noProof/>
                <w:webHidden/>
              </w:rPr>
              <w:tab/>
            </w:r>
            <w:r w:rsidR="001529FD">
              <w:rPr>
                <w:noProof/>
                <w:webHidden/>
              </w:rPr>
              <w:fldChar w:fldCharType="begin"/>
            </w:r>
            <w:r w:rsidR="001529FD">
              <w:rPr>
                <w:noProof/>
                <w:webHidden/>
              </w:rPr>
              <w:instrText xml:space="preserve"> PAGEREF _Toc160294892 \h </w:instrText>
            </w:r>
            <w:r w:rsidR="001529FD">
              <w:rPr>
                <w:noProof/>
                <w:webHidden/>
              </w:rPr>
            </w:r>
            <w:r w:rsidR="001529FD">
              <w:rPr>
                <w:noProof/>
                <w:webHidden/>
              </w:rPr>
              <w:fldChar w:fldCharType="separate"/>
            </w:r>
            <w:r w:rsidR="001529FD">
              <w:rPr>
                <w:noProof/>
                <w:webHidden/>
              </w:rPr>
              <w:t>7</w:t>
            </w:r>
            <w:r w:rsidR="001529FD">
              <w:rPr>
                <w:noProof/>
                <w:webHidden/>
              </w:rPr>
              <w:fldChar w:fldCharType="end"/>
            </w:r>
          </w:hyperlink>
        </w:p>
        <w:p w14:paraId="6D6DC8FA" w14:textId="77777777" w:rsidR="001529FD" w:rsidRDefault="00500B85" w:rsidP="001529FD">
          <w:pPr>
            <w:pStyle w:val="TOC2"/>
            <w:tabs>
              <w:tab w:val="right" w:leader="dot" w:pos="9016"/>
            </w:tabs>
            <w:rPr>
              <w:noProof/>
            </w:rPr>
          </w:pPr>
          <w:hyperlink w:anchor="_Toc160294893" w:history="1">
            <w:r w:rsidR="001529FD" w:rsidRPr="00590483">
              <w:rPr>
                <w:rStyle w:val="Hyperlink"/>
                <w:noProof/>
              </w:rPr>
              <w:t>Comparison with JP Morgan Chase &amp; Co</w:t>
            </w:r>
            <w:r w:rsidR="001529FD">
              <w:rPr>
                <w:noProof/>
                <w:webHidden/>
              </w:rPr>
              <w:tab/>
            </w:r>
            <w:r w:rsidR="001529FD">
              <w:rPr>
                <w:noProof/>
                <w:webHidden/>
              </w:rPr>
              <w:fldChar w:fldCharType="begin"/>
            </w:r>
            <w:r w:rsidR="001529FD">
              <w:rPr>
                <w:noProof/>
                <w:webHidden/>
              </w:rPr>
              <w:instrText xml:space="preserve"> PAGEREF _Toc160294893 \h </w:instrText>
            </w:r>
            <w:r w:rsidR="001529FD">
              <w:rPr>
                <w:noProof/>
                <w:webHidden/>
              </w:rPr>
            </w:r>
            <w:r w:rsidR="001529FD">
              <w:rPr>
                <w:noProof/>
                <w:webHidden/>
              </w:rPr>
              <w:fldChar w:fldCharType="separate"/>
            </w:r>
            <w:r w:rsidR="001529FD">
              <w:rPr>
                <w:noProof/>
                <w:webHidden/>
              </w:rPr>
              <w:t>9</w:t>
            </w:r>
            <w:r w:rsidR="001529FD">
              <w:rPr>
                <w:noProof/>
                <w:webHidden/>
              </w:rPr>
              <w:fldChar w:fldCharType="end"/>
            </w:r>
          </w:hyperlink>
        </w:p>
        <w:p w14:paraId="27C41356" w14:textId="77777777" w:rsidR="001529FD" w:rsidRDefault="00500B85" w:rsidP="001529FD">
          <w:pPr>
            <w:pStyle w:val="TOC2"/>
            <w:tabs>
              <w:tab w:val="right" w:leader="dot" w:pos="9016"/>
            </w:tabs>
            <w:rPr>
              <w:noProof/>
            </w:rPr>
          </w:pPr>
          <w:hyperlink w:anchor="_Toc160294894" w:history="1">
            <w:r w:rsidR="001529FD" w:rsidRPr="00590483">
              <w:rPr>
                <w:rStyle w:val="Hyperlink"/>
                <w:noProof/>
              </w:rPr>
              <w:t>Recommendations</w:t>
            </w:r>
            <w:r w:rsidR="001529FD">
              <w:rPr>
                <w:noProof/>
                <w:webHidden/>
              </w:rPr>
              <w:tab/>
            </w:r>
            <w:r w:rsidR="001529FD">
              <w:rPr>
                <w:noProof/>
                <w:webHidden/>
              </w:rPr>
              <w:fldChar w:fldCharType="begin"/>
            </w:r>
            <w:r w:rsidR="001529FD">
              <w:rPr>
                <w:noProof/>
                <w:webHidden/>
              </w:rPr>
              <w:instrText xml:space="preserve"> PAGEREF _Toc160294894 \h </w:instrText>
            </w:r>
            <w:r w:rsidR="001529FD">
              <w:rPr>
                <w:noProof/>
                <w:webHidden/>
              </w:rPr>
            </w:r>
            <w:r w:rsidR="001529FD">
              <w:rPr>
                <w:noProof/>
                <w:webHidden/>
              </w:rPr>
              <w:fldChar w:fldCharType="separate"/>
            </w:r>
            <w:r w:rsidR="001529FD">
              <w:rPr>
                <w:noProof/>
                <w:webHidden/>
              </w:rPr>
              <w:t>10</w:t>
            </w:r>
            <w:r w:rsidR="001529FD">
              <w:rPr>
                <w:noProof/>
                <w:webHidden/>
              </w:rPr>
              <w:fldChar w:fldCharType="end"/>
            </w:r>
          </w:hyperlink>
        </w:p>
        <w:p w14:paraId="28268F1A" w14:textId="77777777" w:rsidR="001529FD" w:rsidRDefault="00500B85" w:rsidP="001529FD">
          <w:pPr>
            <w:pStyle w:val="TOC1"/>
            <w:tabs>
              <w:tab w:val="right" w:leader="dot" w:pos="9016"/>
            </w:tabs>
            <w:rPr>
              <w:noProof/>
            </w:rPr>
          </w:pPr>
          <w:hyperlink w:anchor="_Toc160294895" w:history="1">
            <w:r w:rsidR="001529FD" w:rsidRPr="00590483">
              <w:rPr>
                <w:rStyle w:val="Hyperlink"/>
                <w:noProof/>
                <w:lang w:val="en-IN"/>
              </w:rPr>
              <w:t>Part c</w:t>
            </w:r>
            <w:r w:rsidR="001529FD">
              <w:rPr>
                <w:noProof/>
                <w:webHidden/>
              </w:rPr>
              <w:tab/>
            </w:r>
            <w:r w:rsidR="001529FD">
              <w:rPr>
                <w:noProof/>
                <w:webHidden/>
              </w:rPr>
              <w:fldChar w:fldCharType="begin"/>
            </w:r>
            <w:r w:rsidR="001529FD">
              <w:rPr>
                <w:noProof/>
                <w:webHidden/>
              </w:rPr>
              <w:instrText xml:space="preserve"> PAGEREF _Toc160294895 \h </w:instrText>
            </w:r>
            <w:r w:rsidR="001529FD">
              <w:rPr>
                <w:noProof/>
                <w:webHidden/>
              </w:rPr>
            </w:r>
            <w:r w:rsidR="001529FD">
              <w:rPr>
                <w:noProof/>
                <w:webHidden/>
              </w:rPr>
              <w:fldChar w:fldCharType="separate"/>
            </w:r>
            <w:r w:rsidR="001529FD">
              <w:rPr>
                <w:noProof/>
                <w:webHidden/>
              </w:rPr>
              <w:t>12</w:t>
            </w:r>
            <w:r w:rsidR="001529FD">
              <w:rPr>
                <w:noProof/>
                <w:webHidden/>
              </w:rPr>
              <w:fldChar w:fldCharType="end"/>
            </w:r>
          </w:hyperlink>
        </w:p>
        <w:p w14:paraId="6A4CAF82" w14:textId="77777777" w:rsidR="001529FD" w:rsidRDefault="00500B85" w:rsidP="001529FD">
          <w:pPr>
            <w:pStyle w:val="TOC2"/>
            <w:tabs>
              <w:tab w:val="right" w:leader="dot" w:pos="9016"/>
            </w:tabs>
            <w:rPr>
              <w:noProof/>
            </w:rPr>
          </w:pPr>
          <w:hyperlink w:anchor="_Toc160294896" w:history="1">
            <w:r w:rsidR="001529FD" w:rsidRPr="00590483">
              <w:rPr>
                <w:rStyle w:val="Hyperlink"/>
                <w:noProof/>
              </w:rPr>
              <w:t>Calculations</w:t>
            </w:r>
            <w:r w:rsidR="001529FD">
              <w:rPr>
                <w:noProof/>
                <w:webHidden/>
              </w:rPr>
              <w:tab/>
            </w:r>
            <w:r w:rsidR="001529FD">
              <w:rPr>
                <w:noProof/>
                <w:webHidden/>
              </w:rPr>
              <w:fldChar w:fldCharType="begin"/>
            </w:r>
            <w:r w:rsidR="001529FD">
              <w:rPr>
                <w:noProof/>
                <w:webHidden/>
              </w:rPr>
              <w:instrText xml:space="preserve"> PAGEREF _Toc160294896 \h </w:instrText>
            </w:r>
            <w:r w:rsidR="001529FD">
              <w:rPr>
                <w:noProof/>
                <w:webHidden/>
              </w:rPr>
            </w:r>
            <w:r w:rsidR="001529FD">
              <w:rPr>
                <w:noProof/>
                <w:webHidden/>
              </w:rPr>
              <w:fldChar w:fldCharType="separate"/>
            </w:r>
            <w:r w:rsidR="001529FD">
              <w:rPr>
                <w:noProof/>
                <w:webHidden/>
              </w:rPr>
              <w:t>12</w:t>
            </w:r>
            <w:r w:rsidR="001529FD">
              <w:rPr>
                <w:noProof/>
                <w:webHidden/>
              </w:rPr>
              <w:fldChar w:fldCharType="end"/>
            </w:r>
          </w:hyperlink>
        </w:p>
        <w:p w14:paraId="1AF610FB" w14:textId="77777777" w:rsidR="001529FD" w:rsidRDefault="00500B85" w:rsidP="001529FD">
          <w:pPr>
            <w:pStyle w:val="TOC2"/>
            <w:tabs>
              <w:tab w:val="right" w:leader="dot" w:pos="9016"/>
            </w:tabs>
            <w:rPr>
              <w:noProof/>
            </w:rPr>
          </w:pPr>
          <w:hyperlink w:anchor="_Toc160294897" w:history="1">
            <w:r w:rsidR="001529FD" w:rsidRPr="00590483">
              <w:rPr>
                <w:rStyle w:val="Hyperlink"/>
                <w:noProof/>
              </w:rPr>
              <w:t>Re-calculation</w:t>
            </w:r>
            <w:r w:rsidR="001529FD">
              <w:rPr>
                <w:noProof/>
                <w:webHidden/>
              </w:rPr>
              <w:tab/>
            </w:r>
            <w:r w:rsidR="001529FD">
              <w:rPr>
                <w:noProof/>
                <w:webHidden/>
              </w:rPr>
              <w:fldChar w:fldCharType="begin"/>
            </w:r>
            <w:r w:rsidR="001529FD">
              <w:rPr>
                <w:noProof/>
                <w:webHidden/>
              </w:rPr>
              <w:instrText xml:space="preserve"> PAGEREF _Toc160294897 \h </w:instrText>
            </w:r>
            <w:r w:rsidR="001529FD">
              <w:rPr>
                <w:noProof/>
                <w:webHidden/>
              </w:rPr>
            </w:r>
            <w:r w:rsidR="001529FD">
              <w:rPr>
                <w:noProof/>
                <w:webHidden/>
              </w:rPr>
              <w:fldChar w:fldCharType="separate"/>
            </w:r>
            <w:r w:rsidR="001529FD">
              <w:rPr>
                <w:noProof/>
                <w:webHidden/>
              </w:rPr>
              <w:t>14</w:t>
            </w:r>
            <w:r w:rsidR="001529FD">
              <w:rPr>
                <w:noProof/>
                <w:webHidden/>
              </w:rPr>
              <w:fldChar w:fldCharType="end"/>
            </w:r>
          </w:hyperlink>
        </w:p>
        <w:p w14:paraId="6CF61F3C" w14:textId="77777777" w:rsidR="001529FD" w:rsidRDefault="00500B85" w:rsidP="001529FD">
          <w:pPr>
            <w:pStyle w:val="TOC2"/>
            <w:tabs>
              <w:tab w:val="right" w:leader="dot" w:pos="9016"/>
            </w:tabs>
            <w:rPr>
              <w:noProof/>
            </w:rPr>
          </w:pPr>
          <w:hyperlink w:anchor="_Toc160294898" w:history="1">
            <w:r w:rsidR="001529FD" w:rsidRPr="00590483">
              <w:rPr>
                <w:rStyle w:val="Hyperlink"/>
                <w:noProof/>
              </w:rPr>
              <w:t>Capital Budgeting Techniques: PBP, ARR, and NPV</w:t>
            </w:r>
            <w:r w:rsidR="001529FD">
              <w:rPr>
                <w:noProof/>
                <w:webHidden/>
              </w:rPr>
              <w:tab/>
            </w:r>
            <w:r w:rsidR="001529FD">
              <w:rPr>
                <w:noProof/>
                <w:webHidden/>
              </w:rPr>
              <w:fldChar w:fldCharType="begin"/>
            </w:r>
            <w:r w:rsidR="001529FD">
              <w:rPr>
                <w:noProof/>
                <w:webHidden/>
              </w:rPr>
              <w:instrText xml:space="preserve"> PAGEREF _Toc160294898 \h </w:instrText>
            </w:r>
            <w:r w:rsidR="001529FD">
              <w:rPr>
                <w:noProof/>
                <w:webHidden/>
              </w:rPr>
            </w:r>
            <w:r w:rsidR="001529FD">
              <w:rPr>
                <w:noProof/>
                <w:webHidden/>
              </w:rPr>
              <w:fldChar w:fldCharType="separate"/>
            </w:r>
            <w:r w:rsidR="001529FD">
              <w:rPr>
                <w:noProof/>
                <w:webHidden/>
              </w:rPr>
              <w:t>15</w:t>
            </w:r>
            <w:r w:rsidR="001529FD">
              <w:rPr>
                <w:noProof/>
                <w:webHidden/>
              </w:rPr>
              <w:fldChar w:fldCharType="end"/>
            </w:r>
          </w:hyperlink>
        </w:p>
        <w:p w14:paraId="39192786" w14:textId="77777777" w:rsidR="001529FD" w:rsidRDefault="00500B85" w:rsidP="001529FD">
          <w:pPr>
            <w:pStyle w:val="TOC2"/>
            <w:tabs>
              <w:tab w:val="right" w:leader="dot" w:pos="9016"/>
            </w:tabs>
            <w:rPr>
              <w:noProof/>
            </w:rPr>
          </w:pPr>
          <w:hyperlink w:anchor="_Toc160294899" w:history="1">
            <w:r w:rsidR="001529FD" w:rsidRPr="00590483">
              <w:rPr>
                <w:rStyle w:val="Hyperlink"/>
                <w:noProof/>
              </w:rPr>
              <w:t>Non-financial factors need to consider</w:t>
            </w:r>
            <w:r w:rsidR="001529FD">
              <w:rPr>
                <w:noProof/>
                <w:webHidden/>
              </w:rPr>
              <w:tab/>
            </w:r>
            <w:r w:rsidR="001529FD">
              <w:rPr>
                <w:noProof/>
                <w:webHidden/>
              </w:rPr>
              <w:fldChar w:fldCharType="begin"/>
            </w:r>
            <w:r w:rsidR="001529FD">
              <w:rPr>
                <w:noProof/>
                <w:webHidden/>
              </w:rPr>
              <w:instrText xml:space="preserve"> PAGEREF _Toc160294899 \h </w:instrText>
            </w:r>
            <w:r w:rsidR="001529FD">
              <w:rPr>
                <w:noProof/>
                <w:webHidden/>
              </w:rPr>
            </w:r>
            <w:r w:rsidR="001529FD">
              <w:rPr>
                <w:noProof/>
                <w:webHidden/>
              </w:rPr>
              <w:fldChar w:fldCharType="separate"/>
            </w:r>
            <w:r w:rsidR="001529FD">
              <w:rPr>
                <w:noProof/>
                <w:webHidden/>
              </w:rPr>
              <w:t>17</w:t>
            </w:r>
            <w:r w:rsidR="001529FD">
              <w:rPr>
                <w:noProof/>
                <w:webHidden/>
              </w:rPr>
              <w:fldChar w:fldCharType="end"/>
            </w:r>
          </w:hyperlink>
        </w:p>
        <w:p w14:paraId="150E1AB8" w14:textId="77777777" w:rsidR="001529FD" w:rsidRDefault="00500B85" w:rsidP="001529FD">
          <w:pPr>
            <w:pStyle w:val="TOC1"/>
            <w:tabs>
              <w:tab w:val="right" w:leader="dot" w:pos="9016"/>
            </w:tabs>
            <w:rPr>
              <w:noProof/>
            </w:rPr>
          </w:pPr>
          <w:hyperlink w:anchor="_Toc160294900" w:history="1">
            <w:r w:rsidR="001529FD" w:rsidRPr="00590483">
              <w:rPr>
                <w:rStyle w:val="Hyperlink"/>
                <w:noProof/>
                <w:lang w:val="en-IN"/>
              </w:rPr>
              <w:t>Conclusion</w:t>
            </w:r>
            <w:r w:rsidR="001529FD">
              <w:rPr>
                <w:noProof/>
                <w:webHidden/>
              </w:rPr>
              <w:tab/>
            </w:r>
            <w:r w:rsidR="001529FD">
              <w:rPr>
                <w:noProof/>
                <w:webHidden/>
              </w:rPr>
              <w:fldChar w:fldCharType="begin"/>
            </w:r>
            <w:r w:rsidR="001529FD">
              <w:rPr>
                <w:noProof/>
                <w:webHidden/>
              </w:rPr>
              <w:instrText xml:space="preserve"> PAGEREF _Toc160294900 \h </w:instrText>
            </w:r>
            <w:r w:rsidR="001529FD">
              <w:rPr>
                <w:noProof/>
                <w:webHidden/>
              </w:rPr>
            </w:r>
            <w:r w:rsidR="001529FD">
              <w:rPr>
                <w:noProof/>
                <w:webHidden/>
              </w:rPr>
              <w:fldChar w:fldCharType="separate"/>
            </w:r>
            <w:r w:rsidR="001529FD">
              <w:rPr>
                <w:noProof/>
                <w:webHidden/>
              </w:rPr>
              <w:t>18</w:t>
            </w:r>
            <w:r w:rsidR="001529FD">
              <w:rPr>
                <w:noProof/>
                <w:webHidden/>
              </w:rPr>
              <w:fldChar w:fldCharType="end"/>
            </w:r>
          </w:hyperlink>
        </w:p>
        <w:p w14:paraId="5923D2EB" w14:textId="77777777" w:rsidR="001529FD" w:rsidRDefault="00500B85" w:rsidP="001529FD">
          <w:pPr>
            <w:pStyle w:val="TOC1"/>
            <w:tabs>
              <w:tab w:val="right" w:leader="dot" w:pos="9016"/>
            </w:tabs>
            <w:rPr>
              <w:noProof/>
            </w:rPr>
          </w:pPr>
          <w:hyperlink w:anchor="_Toc160294901" w:history="1">
            <w:r w:rsidR="001529FD" w:rsidRPr="00590483">
              <w:rPr>
                <w:rStyle w:val="Hyperlink"/>
                <w:noProof/>
                <w:lang w:val="en-IN"/>
              </w:rPr>
              <w:t>References</w:t>
            </w:r>
            <w:r w:rsidR="001529FD">
              <w:rPr>
                <w:noProof/>
                <w:webHidden/>
              </w:rPr>
              <w:tab/>
            </w:r>
            <w:r w:rsidR="001529FD">
              <w:rPr>
                <w:noProof/>
                <w:webHidden/>
              </w:rPr>
              <w:fldChar w:fldCharType="begin"/>
            </w:r>
            <w:r w:rsidR="001529FD">
              <w:rPr>
                <w:noProof/>
                <w:webHidden/>
              </w:rPr>
              <w:instrText xml:space="preserve"> PAGEREF _Toc160294901 \h </w:instrText>
            </w:r>
            <w:r w:rsidR="001529FD">
              <w:rPr>
                <w:noProof/>
                <w:webHidden/>
              </w:rPr>
            </w:r>
            <w:r w:rsidR="001529FD">
              <w:rPr>
                <w:noProof/>
                <w:webHidden/>
              </w:rPr>
              <w:fldChar w:fldCharType="separate"/>
            </w:r>
            <w:r w:rsidR="001529FD">
              <w:rPr>
                <w:noProof/>
                <w:webHidden/>
              </w:rPr>
              <w:t>19</w:t>
            </w:r>
            <w:r w:rsidR="001529FD">
              <w:rPr>
                <w:noProof/>
                <w:webHidden/>
              </w:rPr>
              <w:fldChar w:fldCharType="end"/>
            </w:r>
          </w:hyperlink>
        </w:p>
        <w:p w14:paraId="4E5F658D" w14:textId="77777777" w:rsidR="001529FD" w:rsidRDefault="001529FD" w:rsidP="001529FD">
          <w:pPr>
            <w:rPr>
              <w:b/>
              <w:bCs/>
              <w:noProof/>
              <w:sz w:val="32"/>
              <w:szCs w:val="24"/>
            </w:rPr>
          </w:pPr>
          <w:r>
            <w:rPr>
              <w:b/>
              <w:bCs/>
              <w:noProof/>
            </w:rPr>
            <w:fldChar w:fldCharType="end"/>
          </w:r>
          <w:r w:rsidRPr="0035543B">
            <w:rPr>
              <w:b/>
              <w:bCs/>
              <w:noProof/>
              <w:sz w:val="32"/>
              <w:szCs w:val="24"/>
            </w:rPr>
            <w:t>Table of Figures</w:t>
          </w:r>
        </w:p>
        <w:p w14:paraId="3CC7A671" w14:textId="77777777" w:rsidR="001529FD" w:rsidRDefault="001529FD" w:rsidP="001529FD">
          <w:pPr>
            <w:pStyle w:val="TableofFigures"/>
            <w:tabs>
              <w:tab w:val="right" w:leader="dot" w:pos="9016"/>
            </w:tabs>
            <w:rPr>
              <w:noProof/>
            </w:rPr>
          </w:pPr>
          <w:r>
            <w:fldChar w:fldCharType="begin"/>
          </w:r>
          <w:r>
            <w:instrText xml:space="preserve"> TOC \h \z \c "Figure" </w:instrText>
          </w:r>
          <w:r>
            <w:fldChar w:fldCharType="separate"/>
          </w:r>
          <w:hyperlink w:anchor="_Toc160295317" w:history="1">
            <w:r w:rsidRPr="008B10EB">
              <w:rPr>
                <w:rStyle w:val="Hyperlink"/>
                <w:noProof/>
              </w:rPr>
              <w:t>Figure 1 Barclays Plc Logo</w:t>
            </w:r>
            <w:r>
              <w:rPr>
                <w:noProof/>
                <w:webHidden/>
              </w:rPr>
              <w:tab/>
            </w:r>
            <w:r>
              <w:rPr>
                <w:noProof/>
                <w:webHidden/>
              </w:rPr>
              <w:fldChar w:fldCharType="begin"/>
            </w:r>
            <w:r>
              <w:rPr>
                <w:noProof/>
                <w:webHidden/>
              </w:rPr>
              <w:instrText xml:space="preserve"> PAGEREF _Toc160295317 \h </w:instrText>
            </w:r>
            <w:r>
              <w:rPr>
                <w:noProof/>
                <w:webHidden/>
              </w:rPr>
            </w:r>
            <w:r>
              <w:rPr>
                <w:noProof/>
                <w:webHidden/>
              </w:rPr>
              <w:fldChar w:fldCharType="separate"/>
            </w:r>
            <w:r>
              <w:rPr>
                <w:noProof/>
                <w:webHidden/>
              </w:rPr>
              <w:t>3</w:t>
            </w:r>
            <w:r>
              <w:rPr>
                <w:noProof/>
                <w:webHidden/>
              </w:rPr>
              <w:fldChar w:fldCharType="end"/>
            </w:r>
          </w:hyperlink>
        </w:p>
        <w:p w14:paraId="52491D2F" w14:textId="77777777" w:rsidR="001529FD" w:rsidRDefault="00500B85" w:rsidP="001529FD">
          <w:pPr>
            <w:pStyle w:val="TableofFigures"/>
            <w:tabs>
              <w:tab w:val="right" w:leader="dot" w:pos="9016"/>
            </w:tabs>
            <w:rPr>
              <w:noProof/>
            </w:rPr>
          </w:pPr>
          <w:hyperlink w:anchor="_Toc160295318" w:history="1">
            <w:r w:rsidR="001529FD" w:rsidRPr="008B10EB">
              <w:rPr>
                <w:rStyle w:val="Hyperlink"/>
                <w:noProof/>
              </w:rPr>
              <w:t>Figure 2 Financial Ratios</w:t>
            </w:r>
            <w:r w:rsidR="001529FD">
              <w:rPr>
                <w:noProof/>
                <w:webHidden/>
              </w:rPr>
              <w:tab/>
            </w:r>
            <w:r w:rsidR="001529FD">
              <w:rPr>
                <w:noProof/>
                <w:webHidden/>
              </w:rPr>
              <w:fldChar w:fldCharType="begin"/>
            </w:r>
            <w:r w:rsidR="001529FD">
              <w:rPr>
                <w:noProof/>
                <w:webHidden/>
              </w:rPr>
              <w:instrText xml:space="preserve"> PAGEREF _Toc160295318 \h </w:instrText>
            </w:r>
            <w:r w:rsidR="001529FD">
              <w:rPr>
                <w:noProof/>
                <w:webHidden/>
              </w:rPr>
            </w:r>
            <w:r w:rsidR="001529FD">
              <w:rPr>
                <w:noProof/>
                <w:webHidden/>
              </w:rPr>
              <w:fldChar w:fldCharType="separate"/>
            </w:r>
            <w:r w:rsidR="001529FD">
              <w:rPr>
                <w:noProof/>
                <w:webHidden/>
              </w:rPr>
              <w:t>6</w:t>
            </w:r>
            <w:r w:rsidR="001529FD">
              <w:rPr>
                <w:noProof/>
                <w:webHidden/>
              </w:rPr>
              <w:fldChar w:fldCharType="end"/>
            </w:r>
          </w:hyperlink>
        </w:p>
        <w:p w14:paraId="59F16FA3" w14:textId="77777777" w:rsidR="001529FD" w:rsidRDefault="001529FD" w:rsidP="001529FD">
          <w:r>
            <w:fldChar w:fldCharType="end"/>
          </w:r>
        </w:p>
      </w:sdtContent>
    </w:sdt>
    <w:p w14:paraId="1E5498B5" w14:textId="77777777" w:rsidR="001529FD" w:rsidRDefault="001529FD" w:rsidP="001529FD">
      <w:pPr>
        <w:rPr>
          <w:rFonts w:eastAsiaTheme="majorEastAsia" w:cstheme="majorBidi"/>
          <w:b/>
          <w:sz w:val="36"/>
          <w:szCs w:val="32"/>
        </w:rPr>
      </w:pPr>
      <w:r>
        <w:br w:type="page"/>
      </w:r>
    </w:p>
    <w:p w14:paraId="2E731F16" w14:textId="77777777" w:rsidR="001529FD" w:rsidRPr="00790BC6" w:rsidRDefault="001529FD" w:rsidP="001529FD">
      <w:pPr>
        <w:pStyle w:val="Heading1"/>
        <w:rPr>
          <w:rFonts w:ascii="Arial" w:hAnsi="Arial" w:cs="Arial"/>
          <w:b/>
          <w:bCs/>
          <w:sz w:val="24"/>
          <w:szCs w:val="24"/>
        </w:rPr>
      </w:pPr>
      <w:bookmarkStart w:id="0" w:name="_Toc160294887"/>
      <w:r w:rsidRPr="00790BC6">
        <w:rPr>
          <w:rFonts w:ascii="Arial" w:hAnsi="Arial" w:cs="Arial"/>
          <w:b/>
          <w:bCs/>
          <w:color w:val="auto"/>
          <w:sz w:val="24"/>
          <w:szCs w:val="24"/>
        </w:rPr>
        <w:lastRenderedPageBreak/>
        <w:t>Introduction</w:t>
      </w:r>
      <w:bookmarkEnd w:id="0"/>
      <w:r w:rsidRPr="00790BC6">
        <w:rPr>
          <w:rFonts w:ascii="Arial" w:hAnsi="Arial" w:cs="Arial"/>
          <w:b/>
          <w:bCs/>
          <w:sz w:val="24"/>
          <w:szCs w:val="24"/>
        </w:rPr>
        <w:t xml:space="preserve"> </w:t>
      </w:r>
    </w:p>
    <w:p w14:paraId="117C65D6" w14:textId="77777777" w:rsidR="001529FD" w:rsidRPr="00DE246C" w:rsidRDefault="001529FD" w:rsidP="001529FD">
      <w:pPr>
        <w:spacing w:line="360" w:lineRule="auto"/>
        <w:jc w:val="both"/>
        <w:rPr>
          <w:rFonts w:ascii="Arial" w:hAnsi="Arial" w:cs="Arial"/>
        </w:rPr>
      </w:pPr>
      <w:r w:rsidRPr="00DE246C">
        <w:rPr>
          <w:rFonts w:ascii="Arial" w:hAnsi="Arial" w:cs="Arial"/>
        </w:rPr>
        <w:t xml:space="preserve">The following report summarizes a thorough financial evaluation of Barclays PLC, a Fortune 500 company acting as a platform for financial services at NYSE. There will be three main parts to the analysis the first one will look at the company's history the second one will be at its financial performance and then the third part will talk about the evaluation of new investment opportunities. Firstly, the report presents Barclays' history, the way the company works, its main rivals, and vital developments in the last five years that include not only shortcomings but also important strategic shifts. Having covered the introduction, it then explores an in-depth assessment of Barclays' financial health </w:t>
      </w:r>
      <w:proofErr w:type="gramStart"/>
      <w:r w:rsidRPr="00DE246C">
        <w:rPr>
          <w:rFonts w:ascii="Arial" w:hAnsi="Arial" w:cs="Arial"/>
        </w:rPr>
        <w:t>by the use of</w:t>
      </w:r>
      <w:proofErr w:type="gramEnd"/>
      <w:r w:rsidRPr="00DE246C">
        <w:rPr>
          <w:rFonts w:ascii="Arial" w:hAnsi="Arial" w:cs="Arial"/>
        </w:rPr>
        <w:t xml:space="preserve"> financial ratios such as profitability, liquidity, gearing, and efficiency. These are used to compare Barclays with a major competitor that beats it out to know where the company stands in the market. The report, lastly, evaluates the possible investment projects and their profitability based on Payback Period, Accounting Rate of Return, and Net Present Value techniques. Guiding on Barclays' financial management and investment strategies, which are promoting better shareholder value and competitive advantage is the </w:t>
      </w:r>
      <w:proofErr w:type="gramStart"/>
      <w:r w:rsidRPr="00DE246C">
        <w:rPr>
          <w:rFonts w:ascii="Arial" w:hAnsi="Arial" w:cs="Arial"/>
        </w:rPr>
        <w:t>main focus</w:t>
      </w:r>
      <w:proofErr w:type="gramEnd"/>
      <w:r w:rsidRPr="00DE246C">
        <w:rPr>
          <w:rFonts w:ascii="Arial" w:hAnsi="Arial" w:cs="Arial"/>
        </w:rPr>
        <w:t xml:space="preserve"> of this report.</w:t>
      </w:r>
    </w:p>
    <w:p w14:paraId="6C5B8A39" w14:textId="77777777" w:rsidR="001529FD" w:rsidRDefault="001529FD" w:rsidP="001529FD">
      <w:pPr>
        <w:keepNext/>
        <w:jc w:val="center"/>
      </w:pPr>
      <w:r>
        <w:rPr>
          <w:noProof/>
        </w:rPr>
        <w:drawing>
          <wp:inline distT="0" distB="0" distL="0" distR="0" wp14:anchorId="3B43B04B" wp14:editId="2ECF08CF">
            <wp:extent cx="4196592" cy="2781300"/>
            <wp:effectExtent l="0" t="0" r="0" b="0"/>
            <wp:docPr id="154972946" name="Picture 1" descr="Barclays Bank plc - M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clays Bank plc - ME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8323" cy="2782447"/>
                    </a:xfrm>
                    <a:prstGeom prst="rect">
                      <a:avLst/>
                    </a:prstGeom>
                    <a:noFill/>
                    <a:ln>
                      <a:noFill/>
                    </a:ln>
                  </pic:spPr>
                </pic:pic>
              </a:graphicData>
            </a:graphic>
          </wp:inline>
        </w:drawing>
      </w:r>
    </w:p>
    <w:p w14:paraId="0ED2917D" w14:textId="16EAC773" w:rsidR="001529FD" w:rsidRPr="00C83404" w:rsidRDefault="001529FD" w:rsidP="00C83404">
      <w:pPr>
        <w:spacing w:line="360" w:lineRule="auto"/>
        <w:jc w:val="center"/>
        <w:rPr>
          <w:rFonts w:ascii="Arial" w:hAnsi="Arial" w:cs="Arial"/>
        </w:rPr>
      </w:pPr>
      <w:bookmarkStart w:id="1" w:name="_Toc160295317"/>
      <w:r w:rsidRPr="00C83404">
        <w:rPr>
          <w:rFonts w:ascii="Arial" w:hAnsi="Arial" w:cs="Arial"/>
        </w:rPr>
        <w:t xml:space="preserve">Figure </w:t>
      </w:r>
      <w:r w:rsidRPr="00C83404">
        <w:rPr>
          <w:rFonts w:ascii="Arial" w:hAnsi="Arial" w:cs="Arial"/>
        </w:rPr>
        <w:fldChar w:fldCharType="begin"/>
      </w:r>
      <w:r w:rsidRPr="00C83404">
        <w:rPr>
          <w:rFonts w:ascii="Arial" w:hAnsi="Arial" w:cs="Arial"/>
        </w:rPr>
        <w:instrText xml:space="preserve"> SEQ Figure \* ARABIC </w:instrText>
      </w:r>
      <w:r w:rsidRPr="00C83404">
        <w:rPr>
          <w:rFonts w:ascii="Arial" w:hAnsi="Arial" w:cs="Arial"/>
        </w:rPr>
        <w:fldChar w:fldCharType="separate"/>
      </w:r>
      <w:r w:rsidRPr="00C83404">
        <w:rPr>
          <w:rFonts w:ascii="Arial" w:hAnsi="Arial" w:cs="Arial"/>
          <w:noProof/>
        </w:rPr>
        <w:t>1</w:t>
      </w:r>
      <w:r w:rsidRPr="00C83404">
        <w:rPr>
          <w:rFonts w:ascii="Arial" w:hAnsi="Arial" w:cs="Arial"/>
        </w:rPr>
        <w:fldChar w:fldCharType="end"/>
      </w:r>
      <w:r w:rsidRPr="00C83404">
        <w:rPr>
          <w:rFonts w:ascii="Arial" w:hAnsi="Arial" w:cs="Arial"/>
        </w:rPr>
        <w:t xml:space="preserve"> Barclays Plc Logo</w:t>
      </w:r>
      <w:bookmarkEnd w:id="1"/>
    </w:p>
    <w:p w14:paraId="3F2427BA" w14:textId="77777777" w:rsidR="001529FD" w:rsidRPr="00C83404" w:rsidRDefault="001529FD" w:rsidP="00C83404">
      <w:pPr>
        <w:spacing w:line="360" w:lineRule="auto"/>
        <w:jc w:val="center"/>
        <w:rPr>
          <w:rFonts w:ascii="Arial" w:hAnsi="Arial" w:cs="Arial"/>
        </w:rPr>
      </w:pPr>
      <w:r w:rsidRPr="00C83404">
        <w:rPr>
          <w:rFonts w:ascii="Arial" w:hAnsi="Arial" w:cs="Arial"/>
        </w:rPr>
        <w:t>Source:(mobileecosystemforum.com, 2021)</w:t>
      </w:r>
    </w:p>
    <w:p w14:paraId="6914D0B3" w14:textId="77777777" w:rsidR="001529FD" w:rsidRDefault="001529FD" w:rsidP="001529FD">
      <w:pPr>
        <w:rPr>
          <w:rFonts w:eastAsiaTheme="majorEastAsia"/>
        </w:rPr>
      </w:pPr>
      <w:r>
        <w:br w:type="page"/>
      </w:r>
    </w:p>
    <w:p w14:paraId="5E9763D4" w14:textId="77777777" w:rsidR="001529FD" w:rsidRPr="00790BC6" w:rsidRDefault="001529FD" w:rsidP="001529FD">
      <w:pPr>
        <w:pStyle w:val="Heading1"/>
        <w:rPr>
          <w:rFonts w:ascii="Arial" w:hAnsi="Arial" w:cs="Arial"/>
          <w:b/>
          <w:bCs/>
          <w:color w:val="auto"/>
        </w:rPr>
      </w:pPr>
      <w:bookmarkStart w:id="2" w:name="_Toc160294888"/>
      <w:r w:rsidRPr="00790BC6">
        <w:rPr>
          <w:rFonts w:ascii="Arial" w:hAnsi="Arial" w:cs="Arial"/>
          <w:b/>
          <w:bCs/>
          <w:color w:val="auto"/>
        </w:rPr>
        <w:lastRenderedPageBreak/>
        <w:t>Part A</w:t>
      </w:r>
      <w:bookmarkEnd w:id="2"/>
    </w:p>
    <w:p w14:paraId="70DD9F11" w14:textId="77777777" w:rsidR="001529FD" w:rsidRPr="00790BC6" w:rsidRDefault="001529FD" w:rsidP="001529FD">
      <w:pPr>
        <w:pStyle w:val="Heading2"/>
        <w:rPr>
          <w:rFonts w:ascii="Arial" w:hAnsi="Arial" w:cs="Arial"/>
          <w:b/>
          <w:bCs/>
          <w:color w:val="auto"/>
        </w:rPr>
      </w:pPr>
      <w:bookmarkStart w:id="3" w:name="_Toc160294889"/>
      <w:r w:rsidRPr="00790BC6">
        <w:rPr>
          <w:rFonts w:ascii="Arial" w:hAnsi="Arial" w:cs="Arial"/>
          <w:b/>
          <w:bCs/>
          <w:color w:val="auto"/>
        </w:rPr>
        <w:t>Brief History of Barclays Plc</w:t>
      </w:r>
      <w:bookmarkEnd w:id="3"/>
    </w:p>
    <w:p w14:paraId="012C5454" w14:textId="77777777" w:rsidR="001529FD" w:rsidRPr="00DE246C" w:rsidRDefault="001529FD" w:rsidP="00C83404">
      <w:pPr>
        <w:spacing w:line="360" w:lineRule="auto"/>
        <w:jc w:val="both"/>
        <w:rPr>
          <w:rFonts w:ascii="Arial" w:hAnsi="Arial" w:cs="Arial"/>
        </w:rPr>
      </w:pPr>
      <w:r w:rsidRPr="00DE246C">
        <w:rPr>
          <w:rFonts w:ascii="Arial" w:hAnsi="Arial" w:cs="Arial"/>
        </w:rPr>
        <w:t>As a global banking and financial service provider, Barclays PLC delights customers via retail banking, credit cards, wholesale banking, investment banking, wealth management and investment management services across the globe. Initiated in 1690 in London, the institution has increasingly expanded its banking operations in more than 50 countries and megacities, making it one of the world's biggest banks with over 48 million customers. Barclays has quotes in the New York Stock Exchange (NYSE) as BCS, and thus, it cannot be understated how large it operates worldwide competing with other banking giants such as HSBC, JPMorgan Chase, and Citigroup (</w:t>
      </w:r>
      <w:proofErr w:type="spellStart"/>
      <w:r w:rsidRPr="00DE246C">
        <w:rPr>
          <w:rFonts w:ascii="Arial" w:hAnsi="Arial" w:cs="Arial"/>
          <w:shd w:val="clear" w:color="auto" w:fill="FFFFFF"/>
        </w:rPr>
        <w:t>Kitema</w:t>
      </w:r>
      <w:proofErr w:type="spellEnd"/>
      <w:r w:rsidRPr="00DE246C">
        <w:rPr>
          <w:rFonts w:ascii="Arial" w:hAnsi="Arial" w:cs="Arial"/>
          <w:shd w:val="clear" w:color="auto" w:fill="FFFFFF"/>
        </w:rPr>
        <w:t>, 2021). </w:t>
      </w:r>
    </w:p>
    <w:p w14:paraId="1CABC574" w14:textId="77777777" w:rsidR="001529FD" w:rsidRPr="00DE246C" w:rsidRDefault="001529FD" w:rsidP="00C83404">
      <w:pPr>
        <w:spacing w:line="360" w:lineRule="auto"/>
        <w:jc w:val="both"/>
        <w:rPr>
          <w:rFonts w:ascii="Arial" w:hAnsi="Arial" w:cs="Arial"/>
        </w:rPr>
      </w:pPr>
      <w:r w:rsidRPr="00DE246C">
        <w:rPr>
          <w:rFonts w:ascii="Arial" w:hAnsi="Arial" w:cs="Arial"/>
        </w:rPr>
        <w:t>Over the last five years, resting in the palm, fate subdued Barclays PLC courageous enough to sail through the troublesome financial landscape, where the events hazed the horizon, have determined the bank’s operational status and strategy decisions. Some of these events are the occurrence of a change in leadership, a major lawsuit, a strategic change in direction, or merger and acquisition (M&amp;A), all of which turned out to have substantial quantitative effects on the company's results and forecast.</w:t>
      </w:r>
    </w:p>
    <w:p w14:paraId="04C2A9B2" w14:textId="77777777" w:rsidR="001529FD" w:rsidRPr="00DE246C" w:rsidRDefault="001529FD" w:rsidP="00C83404">
      <w:pPr>
        <w:spacing w:line="360" w:lineRule="auto"/>
        <w:jc w:val="both"/>
        <w:rPr>
          <w:rFonts w:ascii="Arial" w:hAnsi="Arial" w:cs="Arial"/>
          <w:b/>
          <w:bCs/>
        </w:rPr>
      </w:pPr>
      <w:r w:rsidRPr="00DE246C">
        <w:rPr>
          <w:rFonts w:ascii="Arial" w:hAnsi="Arial" w:cs="Arial"/>
          <w:b/>
          <w:bCs/>
        </w:rPr>
        <w:t>2019: Strategic Overhaul and Leadership Change</w:t>
      </w:r>
    </w:p>
    <w:p w14:paraId="3AF4B345" w14:textId="3B4663E9" w:rsidR="001529FD" w:rsidRPr="00DE246C" w:rsidRDefault="001529FD" w:rsidP="00C83404">
      <w:pPr>
        <w:spacing w:line="360" w:lineRule="auto"/>
        <w:jc w:val="both"/>
        <w:rPr>
          <w:rFonts w:ascii="Arial" w:hAnsi="Arial" w:cs="Arial"/>
        </w:rPr>
      </w:pPr>
      <w:r w:rsidRPr="00DE246C">
        <w:rPr>
          <w:rFonts w:ascii="Arial" w:hAnsi="Arial" w:cs="Arial"/>
        </w:rPr>
        <w:t xml:space="preserve">Barclays, one of the </w:t>
      </w:r>
      <w:r w:rsidR="007D5508">
        <w:rPr>
          <w:rFonts w:ascii="Arial" w:hAnsi="Arial" w:cs="Arial"/>
        </w:rPr>
        <w:t>NY</w:t>
      </w:r>
      <w:r w:rsidRPr="00DE246C">
        <w:rPr>
          <w:rFonts w:ascii="Arial" w:hAnsi="Arial" w:cs="Arial"/>
        </w:rPr>
        <w:t>'s biggest banks, set about a strategic restructuring in 2019 to lower costs and increase income. In this regard, the re-tooling of its financial division was quite considerable, which was reported with some degree of uncertainty from the market. Furthermore, 2019 witnessed the stepping down of the chairman John McFarlane who was succeeded Nigel Higgins (</w:t>
      </w:r>
      <w:r w:rsidRPr="00DE246C">
        <w:rPr>
          <w:rFonts w:ascii="Arial" w:hAnsi="Arial" w:cs="Arial"/>
          <w:shd w:val="clear" w:color="auto" w:fill="FFFFFF"/>
        </w:rPr>
        <w:t>Scholl and AlAwadhi, 2016).</w:t>
      </w:r>
    </w:p>
    <w:p w14:paraId="588E3698" w14:textId="77777777" w:rsidR="001529FD" w:rsidRPr="00DE246C" w:rsidRDefault="001529FD" w:rsidP="00C83404">
      <w:pPr>
        <w:spacing w:line="360" w:lineRule="auto"/>
        <w:jc w:val="both"/>
        <w:rPr>
          <w:rFonts w:ascii="Arial" w:hAnsi="Arial" w:cs="Arial"/>
          <w:b/>
          <w:bCs/>
        </w:rPr>
      </w:pPr>
      <w:r w:rsidRPr="00DE246C">
        <w:rPr>
          <w:rFonts w:ascii="Arial" w:hAnsi="Arial" w:cs="Arial"/>
          <w:b/>
          <w:bCs/>
        </w:rPr>
        <w:t>2020: COVID-19 problem and measures of this support</w:t>
      </w:r>
    </w:p>
    <w:p w14:paraId="62D1432D" w14:textId="77777777" w:rsidR="001529FD" w:rsidRPr="00DE246C" w:rsidRDefault="001529FD" w:rsidP="00C83404">
      <w:pPr>
        <w:spacing w:line="360" w:lineRule="auto"/>
        <w:jc w:val="both"/>
        <w:rPr>
          <w:rFonts w:ascii="Arial" w:hAnsi="Arial" w:cs="Arial"/>
        </w:rPr>
      </w:pPr>
      <w:r w:rsidRPr="00DE246C">
        <w:rPr>
          <w:rFonts w:ascii="Arial" w:hAnsi="Arial" w:cs="Arial"/>
        </w:rPr>
        <w:t xml:space="preserve">The financial sector of the global community was shattered by the pandemic outbreak of COVID-19 in 2020, and it was no surprise that Barclays was in no way out of the range of this immense catastrophe. Due to the epidemic, Barclays had implemented some structuring support for its clients which comprised of loan deferral and emergency funding for businesses. </w:t>
      </w:r>
    </w:p>
    <w:p w14:paraId="110B0D03" w14:textId="77777777" w:rsidR="001529FD" w:rsidRPr="00DE246C" w:rsidRDefault="001529FD" w:rsidP="00C83404">
      <w:pPr>
        <w:spacing w:line="360" w:lineRule="auto"/>
        <w:jc w:val="both"/>
        <w:rPr>
          <w:rFonts w:ascii="Arial" w:hAnsi="Arial" w:cs="Arial"/>
          <w:b/>
          <w:bCs/>
        </w:rPr>
      </w:pPr>
      <w:r w:rsidRPr="00DE246C">
        <w:rPr>
          <w:rFonts w:ascii="Arial" w:hAnsi="Arial" w:cs="Arial"/>
          <w:b/>
          <w:bCs/>
        </w:rPr>
        <w:t>2021: Legal enforcement problems and agreements.</w:t>
      </w:r>
    </w:p>
    <w:p w14:paraId="6FFEE2A3" w14:textId="77777777" w:rsidR="001529FD" w:rsidRPr="00DE246C" w:rsidRDefault="001529FD" w:rsidP="00C83404">
      <w:pPr>
        <w:spacing w:line="360" w:lineRule="auto"/>
        <w:jc w:val="both"/>
        <w:rPr>
          <w:rFonts w:ascii="Arial" w:hAnsi="Arial" w:cs="Arial"/>
        </w:rPr>
      </w:pPr>
      <w:r w:rsidRPr="00DE246C">
        <w:rPr>
          <w:rFonts w:ascii="Arial" w:hAnsi="Arial" w:cs="Arial"/>
        </w:rPr>
        <w:t xml:space="preserve">Barclays had to deal with the most of legal problems in 2021, one of them being a British Pounds fine for culpability in the manipulation of foreign exchange markets. The bank agreed to pay in this case, after which it had to go through the issue of compliance and governance practices. this function highlighted the regulative and legal uncertainties for the worldwide </w:t>
      </w:r>
      <w:r w:rsidRPr="00DE246C">
        <w:rPr>
          <w:rFonts w:ascii="Arial" w:hAnsi="Arial" w:cs="Arial"/>
        </w:rPr>
        <w:lastRenderedPageBreak/>
        <w:t>financial institutions that continue as they face new ones (</w:t>
      </w:r>
      <w:r w:rsidRPr="00DE246C">
        <w:rPr>
          <w:rFonts w:ascii="Arial" w:hAnsi="Arial" w:cs="Arial"/>
          <w:shd w:val="clear" w:color="auto" w:fill="FFFFFF"/>
        </w:rPr>
        <w:t xml:space="preserve">Pavlović, </w:t>
      </w:r>
      <w:proofErr w:type="spellStart"/>
      <w:r w:rsidRPr="00DE246C">
        <w:rPr>
          <w:rFonts w:ascii="Arial" w:hAnsi="Arial" w:cs="Arial"/>
          <w:shd w:val="clear" w:color="auto" w:fill="FFFFFF"/>
        </w:rPr>
        <w:t>Todosijević</w:t>
      </w:r>
      <w:proofErr w:type="spellEnd"/>
      <w:r w:rsidRPr="00DE246C">
        <w:rPr>
          <w:rFonts w:ascii="Arial" w:hAnsi="Arial" w:cs="Arial"/>
          <w:shd w:val="clear" w:color="auto" w:fill="FFFFFF"/>
        </w:rPr>
        <w:t xml:space="preserve">, and </w:t>
      </w:r>
      <w:proofErr w:type="spellStart"/>
      <w:r w:rsidRPr="00DE246C">
        <w:rPr>
          <w:rFonts w:ascii="Arial" w:hAnsi="Arial" w:cs="Arial"/>
          <w:shd w:val="clear" w:color="auto" w:fill="FFFFFF"/>
        </w:rPr>
        <w:t>Stanojević</w:t>
      </w:r>
      <w:proofErr w:type="spellEnd"/>
      <w:r w:rsidRPr="00DE246C">
        <w:rPr>
          <w:rFonts w:ascii="Arial" w:hAnsi="Arial" w:cs="Arial"/>
          <w:shd w:val="clear" w:color="auto" w:fill="FFFFFF"/>
        </w:rPr>
        <w:t>, 2021).</w:t>
      </w:r>
    </w:p>
    <w:p w14:paraId="20496A0C" w14:textId="77777777" w:rsidR="001529FD" w:rsidRPr="00DE246C" w:rsidRDefault="001529FD" w:rsidP="00C83404">
      <w:pPr>
        <w:spacing w:line="360" w:lineRule="auto"/>
        <w:jc w:val="both"/>
        <w:rPr>
          <w:rFonts w:ascii="Arial" w:hAnsi="Arial" w:cs="Arial"/>
          <w:b/>
          <w:bCs/>
        </w:rPr>
      </w:pPr>
      <w:r w:rsidRPr="00DE246C">
        <w:rPr>
          <w:rFonts w:ascii="Arial" w:hAnsi="Arial" w:cs="Arial"/>
          <w:b/>
          <w:bCs/>
        </w:rPr>
        <w:t>2022: Acquisition and Expansion</w:t>
      </w:r>
    </w:p>
    <w:p w14:paraId="3B761850" w14:textId="77777777" w:rsidR="001529FD" w:rsidRPr="00DE246C" w:rsidRDefault="001529FD" w:rsidP="00C83404">
      <w:pPr>
        <w:spacing w:line="360" w:lineRule="auto"/>
        <w:jc w:val="both"/>
        <w:rPr>
          <w:rFonts w:ascii="Arial" w:hAnsi="Arial" w:cs="Arial"/>
        </w:rPr>
      </w:pPr>
      <w:r w:rsidRPr="00DE246C">
        <w:rPr>
          <w:rFonts w:ascii="Arial" w:hAnsi="Arial" w:cs="Arial"/>
        </w:rPr>
        <w:t>In the year 2022, Barclays accelerated its acquisition strategy by investing in a fintech company, which can be interpreted as a great step towards innovative digital finance. This endeavour was one of the steps of Barclays' plan to get into non-financial income sources not only, but also utilize technology-enabled services and offer more options to its customers to compete better with both traditional banks and emerging fintech players.</w:t>
      </w:r>
    </w:p>
    <w:p w14:paraId="3C8F999E" w14:textId="77777777" w:rsidR="001529FD" w:rsidRPr="00DE246C" w:rsidRDefault="001529FD" w:rsidP="00C83404">
      <w:pPr>
        <w:spacing w:line="360" w:lineRule="auto"/>
        <w:jc w:val="both"/>
        <w:rPr>
          <w:rFonts w:ascii="Arial" w:hAnsi="Arial" w:cs="Arial"/>
          <w:b/>
          <w:bCs/>
        </w:rPr>
      </w:pPr>
      <w:r w:rsidRPr="00DE246C">
        <w:rPr>
          <w:rFonts w:ascii="Arial" w:hAnsi="Arial" w:cs="Arial"/>
          <w:b/>
          <w:bCs/>
        </w:rPr>
        <w:t>2023: Incentivize Sustainable and ESG-driven data centres.</w:t>
      </w:r>
    </w:p>
    <w:p w14:paraId="6C051318" w14:textId="77777777" w:rsidR="001529FD" w:rsidRPr="00DE246C" w:rsidRDefault="001529FD" w:rsidP="00C83404">
      <w:pPr>
        <w:spacing w:line="360" w:lineRule="auto"/>
        <w:jc w:val="both"/>
        <w:rPr>
          <w:rFonts w:ascii="Arial" w:hAnsi="Arial" w:cs="Arial"/>
        </w:rPr>
      </w:pPr>
      <w:r w:rsidRPr="00DE246C">
        <w:rPr>
          <w:rFonts w:ascii="Arial" w:hAnsi="Arial" w:cs="Arial"/>
        </w:rPr>
        <w:t>The last couple of years have been marked by Barclay's commitment to environmental issues and ESG (Environmental, Social and Governance) principles with the Bank making key investments in sustainable finance and carbon footprint reduction, as demonstrated by the number of environmental initiatives it has launched in the past year. They should promise to achieve net-zero emissions by 2050 and accelerate the financial support given out to environmentally friendly projects (</w:t>
      </w:r>
      <w:proofErr w:type="spellStart"/>
      <w:r w:rsidRPr="00DE246C">
        <w:rPr>
          <w:rFonts w:ascii="Arial" w:hAnsi="Arial" w:cs="Arial"/>
          <w:shd w:val="clear" w:color="auto" w:fill="FFFFFF"/>
        </w:rPr>
        <w:t>Mülbert</w:t>
      </w:r>
      <w:proofErr w:type="spellEnd"/>
      <w:r w:rsidRPr="00DE246C">
        <w:rPr>
          <w:rFonts w:ascii="Arial" w:hAnsi="Arial" w:cs="Arial"/>
          <w:shd w:val="clear" w:color="auto" w:fill="FFFFFF"/>
        </w:rPr>
        <w:t xml:space="preserve"> and Sajnovits, 2022).</w:t>
      </w:r>
    </w:p>
    <w:p w14:paraId="19BA719D" w14:textId="77777777" w:rsidR="001529FD" w:rsidRPr="00790BC6" w:rsidRDefault="001529FD" w:rsidP="00C83404">
      <w:pPr>
        <w:pStyle w:val="Heading1"/>
        <w:spacing w:line="360" w:lineRule="auto"/>
        <w:rPr>
          <w:rFonts w:ascii="Arial" w:hAnsi="Arial" w:cs="Arial"/>
          <w:b/>
          <w:bCs/>
          <w:color w:val="auto"/>
          <w:lang w:val="en-IN"/>
        </w:rPr>
      </w:pPr>
      <w:bookmarkStart w:id="4" w:name="_Toc160294890"/>
      <w:r w:rsidRPr="00790BC6">
        <w:rPr>
          <w:rFonts w:ascii="Arial" w:hAnsi="Arial" w:cs="Arial"/>
          <w:b/>
          <w:bCs/>
          <w:color w:val="auto"/>
          <w:lang w:val="en-IN"/>
        </w:rPr>
        <w:t>Part B</w:t>
      </w:r>
      <w:bookmarkEnd w:id="4"/>
    </w:p>
    <w:p w14:paraId="20A54B1C" w14:textId="77777777" w:rsidR="001529FD" w:rsidRPr="00790BC6" w:rsidRDefault="001529FD" w:rsidP="00C83404">
      <w:pPr>
        <w:pStyle w:val="Heading2"/>
        <w:spacing w:line="360" w:lineRule="auto"/>
        <w:rPr>
          <w:rFonts w:ascii="Arial" w:hAnsi="Arial" w:cs="Arial"/>
          <w:b/>
          <w:bCs/>
          <w:color w:val="auto"/>
        </w:rPr>
      </w:pPr>
      <w:bookmarkStart w:id="5" w:name="_Toc160294891"/>
      <w:r w:rsidRPr="00790BC6">
        <w:rPr>
          <w:rFonts w:ascii="Arial" w:hAnsi="Arial" w:cs="Arial"/>
          <w:b/>
          <w:bCs/>
          <w:color w:val="auto"/>
        </w:rPr>
        <w:t>Calculation of financial ratios</w:t>
      </w:r>
      <w:bookmarkEnd w:id="5"/>
    </w:p>
    <w:p w14:paraId="003F380F" w14:textId="77777777" w:rsidR="001529FD" w:rsidRDefault="001529FD" w:rsidP="001529FD">
      <w:pPr>
        <w:keepNext/>
        <w:jc w:val="center"/>
      </w:pPr>
      <w:r>
        <w:rPr>
          <w:noProof/>
        </w:rPr>
        <w:drawing>
          <wp:inline distT="0" distB="0" distL="0" distR="0" wp14:anchorId="5791C5B0" wp14:editId="0E59DEA3">
            <wp:extent cx="4508500" cy="3005500"/>
            <wp:effectExtent l="0" t="0" r="6350" b="4445"/>
            <wp:docPr id="1828514655" name="Picture 2" descr="5 Key Financial Ratios Used in Construction Business - The Constru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Key Financial Ratios Used in Construction Business - The Construct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0708" cy="3006972"/>
                    </a:xfrm>
                    <a:prstGeom prst="rect">
                      <a:avLst/>
                    </a:prstGeom>
                    <a:noFill/>
                    <a:ln>
                      <a:noFill/>
                    </a:ln>
                  </pic:spPr>
                </pic:pic>
              </a:graphicData>
            </a:graphic>
          </wp:inline>
        </w:drawing>
      </w:r>
    </w:p>
    <w:p w14:paraId="1456447C" w14:textId="0C8355C5" w:rsidR="001529FD" w:rsidRPr="00DE246C" w:rsidRDefault="001529FD" w:rsidP="00C83404">
      <w:pPr>
        <w:spacing w:line="360" w:lineRule="auto"/>
        <w:jc w:val="center"/>
        <w:rPr>
          <w:rFonts w:ascii="Arial" w:hAnsi="Arial" w:cs="Arial"/>
        </w:rPr>
      </w:pPr>
      <w:bookmarkStart w:id="6" w:name="_Toc160295318"/>
      <w:r w:rsidRPr="00DE246C">
        <w:rPr>
          <w:rFonts w:ascii="Arial" w:hAnsi="Arial" w:cs="Arial"/>
        </w:rPr>
        <w:t xml:space="preserve">Figure </w:t>
      </w:r>
      <w:r w:rsidRPr="00DE246C">
        <w:rPr>
          <w:rFonts w:ascii="Arial" w:hAnsi="Arial" w:cs="Arial"/>
        </w:rPr>
        <w:fldChar w:fldCharType="begin"/>
      </w:r>
      <w:r w:rsidRPr="00DE246C">
        <w:rPr>
          <w:rFonts w:ascii="Arial" w:hAnsi="Arial" w:cs="Arial"/>
        </w:rPr>
        <w:instrText xml:space="preserve"> SEQ Figure \* ARABIC </w:instrText>
      </w:r>
      <w:r w:rsidRPr="00DE246C">
        <w:rPr>
          <w:rFonts w:ascii="Arial" w:hAnsi="Arial" w:cs="Arial"/>
        </w:rPr>
        <w:fldChar w:fldCharType="separate"/>
      </w:r>
      <w:r w:rsidRPr="00DE246C">
        <w:rPr>
          <w:rFonts w:ascii="Arial" w:hAnsi="Arial" w:cs="Arial"/>
          <w:noProof/>
        </w:rPr>
        <w:t>2</w:t>
      </w:r>
      <w:r w:rsidRPr="00DE246C">
        <w:rPr>
          <w:rFonts w:ascii="Arial" w:hAnsi="Arial" w:cs="Arial"/>
        </w:rPr>
        <w:fldChar w:fldCharType="end"/>
      </w:r>
      <w:r w:rsidRPr="00DE246C">
        <w:rPr>
          <w:rFonts w:ascii="Arial" w:hAnsi="Arial" w:cs="Arial"/>
        </w:rPr>
        <w:t xml:space="preserve"> Financial Ratios</w:t>
      </w:r>
      <w:bookmarkEnd w:id="6"/>
    </w:p>
    <w:p w14:paraId="4C8E02E4" w14:textId="77777777" w:rsidR="001529FD" w:rsidRPr="00DE246C" w:rsidRDefault="001529FD" w:rsidP="00C83404">
      <w:pPr>
        <w:spacing w:line="360" w:lineRule="auto"/>
        <w:jc w:val="center"/>
        <w:rPr>
          <w:rFonts w:ascii="Arial" w:hAnsi="Arial" w:cs="Arial"/>
          <w:lang w:val="en-IN"/>
        </w:rPr>
      </w:pPr>
      <w:r w:rsidRPr="00DE246C">
        <w:rPr>
          <w:rFonts w:ascii="Arial" w:hAnsi="Arial" w:cs="Arial"/>
        </w:rPr>
        <w:t>Source:(theconstructor.org, 2021)</w:t>
      </w:r>
    </w:p>
    <w:p w14:paraId="7F11D5B9" w14:textId="77777777" w:rsidR="001529FD" w:rsidRPr="005E6905" w:rsidRDefault="001529FD" w:rsidP="005E6905">
      <w:pPr>
        <w:pStyle w:val="ListParagraph"/>
        <w:numPr>
          <w:ilvl w:val="0"/>
          <w:numId w:val="2"/>
        </w:numPr>
        <w:spacing w:before="120" w:after="120" w:line="360" w:lineRule="auto"/>
        <w:jc w:val="both"/>
        <w:rPr>
          <w:rFonts w:ascii="Arial" w:hAnsi="Arial" w:cs="Arial"/>
          <w:b/>
          <w:bCs/>
          <w:lang w:val="en-IN"/>
        </w:rPr>
      </w:pPr>
      <w:r w:rsidRPr="005E6905">
        <w:rPr>
          <w:rFonts w:ascii="Arial" w:hAnsi="Arial" w:cs="Arial"/>
          <w:b/>
          <w:bCs/>
          <w:lang w:val="en-IN"/>
        </w:rPr>
        <w:lastRenderedPageBreak/>
        <w:t>Profitability Ratio - Return on Equity (ROE)</w:t>
      </w:r>
    </w:p>
    <w:p w14:paraId="6A411802"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ROE measures a company's ability to generate profits from its shareholders' equity.</w:t>
      </w:r>
    </w:p>
    <w:p w14:paraId="5E430407"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Formula</w:t>
      </w:r>
      <w:r w:rsidRPr="005E6905">
        <w:rPr>
          <w:rFonts w:ascii="Arial" w:hAnsi="Arial" w:cs="Arial"/>
          <w:lang w:val="en-IN"/>
        </w:rPr>
        <w:t>: ROE = Net Income / Shareholders' Equity</w:t>
      </w:r>
    </w:p>
    <w:p w14:paraId="4BFE71AF" w14:textId="77777777" w:rsidR="001529FD" w:rsidRPr="005E6905" w:rsidRDefault="001529FD" w:rsidP="005E6905">
      <w:pPr>
        <w:pStyle w:val="ListParagraph"/>
        <w:numPr>
          <w:ilvl w:val="0"/>
          <w:numId w:val="1"/>
        </w:numPr>
        <w:spacing w:before="120" w:after="120" w:line="360" w:lineRule="auto"/>
        <w:jc w:val="both"/>
        <w:rPr>
          <w:rFonts w:ascii="Arial" w:hAnsi="Arial" w:cs="Arial"/>
          <w:lang w:val="en-IN"/>
        </w:rPr>
      </w:pPr>
      <w:r w:rsidRPr="005E6905">
        <w:rPr>
          <w:rFonts w:ascii="Arial" w:hAnsi="Arial" w:cs="Arial"/>
          <w:lang w:val="en-IN"/>
        </w:rPr>
        <w:t>Net Income (2023): £5,323 million</w:t>
      </w:r>
    </w:p>
    <w:p w14:paraId="7B5C2B0D" w14:textId="77777777" w:rsidR="001529FD" w:rsidRPr="005E6905" w:rsidRDefault="001529FD" w:rsidP="005E6905">
      <w:pPr>
        <w:pStyle w:val="ListParagraph"/>
        <w:numPr>
          <w:ilvl w:val="0"/>
          <w:numId w:val="1"/>
        </w:numPr>
        <w:spacing w:before="120" w:after="120" w:line="360" w:lineRule="auto"/>
        <w:jc w:val="both"/>
        <w:rPr>
          <w:rFonts w:ascii="Arial" w:hAnsi="Arial" w:cs="Arial"/>
          <w:lang w:val="en-IN"/>
        </w:rPr>
      </w:pPr>
      <w:r w:rsidRPr="005E6905">
        <w:rPr>
          <w:rFonts w:ascii="Arial" w:hAnsi="Arial" w:cs="Arial"/>
          <w:lang w:val="en-IN"/>
        </w:rPr>
        <w:t>Shareholders' Equity: Equity attributable to equity holders of the parent (£42,774 million) + non-controlling interests (£64 million) = £42,838 million</w:t>
      </w:r>
    </w:p>
    <w:p w14:paraId="19EC81D1"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Calculation</w:t>
      </w:r>
      <w:r w:rsidRPr="005E6905">
        <w:rPr>
          <w:rFonts w:ascii="Arial" w:hAnsi="Arial" w:cs="Arial"/>
          <w:lang w:val="en-IN"/>
        </w:rPr>
        <w:t xml:space="preserve"> </w:t>
      </w:r>
    </w:p>
    <w:p w14:paraId="213CFE94"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ROE = £5,323 million / £42,838 million = 0.124</w:t>
      </w:r>
    </w:p>
    <w:p w14:paraId="3BFF2A77" w14:textId="77777777" w:rsidR="001529FD" w:rsidRPr="005E6905" w:rsidRDefault="001529FD" w:rsidP="005E6905">
      <w:pPr>
        <w:pStyle w:val="ListParagraph"/>
        <w:numPr>
          <w:ilvl w:val="0"/>
          <w:numId w:val="3"/>
        </w:numPr>
        <w:spacing w:before="120" w:after="120" w:line="360" w:lineRule="auto"/>
        <w:jc w:val="both"/>
        <w:rPr>
          <w:rFonts w:ascii="Arial" w:hAnsi="Arial" w:cs="Arial"/>
          <w:b/>
          <w:bCs/>
          <w:lang w:val="en-IN"/>
        </w:rPr>
      </w:pPr>
      <w:r w:rsidRPr="005E6905">
        <w:rPr>
          <w:rFonts w:ascii="Arial" w:hAnsi="Arial" w:cs="Arial"/>
          <w:b/>
          <w:bCs/>
          <w:lang w:val="en-IN"/>
        </w:rPr>
        <w:t>Liquidity Ratio: Current Ratio</w:t>
      </w:r>
    </w:p>
    <w:p w14:paraId="470CE1A2"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lang w:val="en-IN" w:eastAsia="en-IN"/>
        </w:rPr>
        <w:t>A company's capacity to settle its short-term debts with its short-term assets is gauged by its current ratio. It is computed by dividing current liabilities by current assets.</w:t>
      </w:r>
    </w:p>
    <w:p w14:paraId="5438EBDA" w14:textId="77777777" w:rsidR="001529FD" w:rsidRPr="005E6905" w:rsidRDefault="001529FD" w:rsidP="005E6905">
      <w:pPr>
        <w:spacing w:line="360" w:lineRule="auto"/>
        <w:jc w:val="both"/>
        <w:rPr>
          <w:rFonts w:ascii="Arial" w:hAnsi="Arial" w:cs="Arial"/>
          <w:b/>
          <w:bCs/>
          <w:lang w:val="en-IN" w:eastAsia="en-IN"/>
        </w:rPr>
      </w:pPr>
      <w:r w:rsidRPr="005E6905">
        <w:rPr>
          <w:rFonts w:ascii="Arial" w:hAnsi="Arial" w:cs="Arial"/>
          <w:b/>
          <w:bCs/>
          <w:lang w:val="en-IN" w:eastAsia="en-IN"/>
        </w:rPr>
        <w:t xml:space="preserve">Formula: </w:t>
      </w:r>
      <w:r w:rsidRPr="005E6905">
        <w:rPr>
          <w:rFonts w:ascii="Arial" w:hAnsi="Arial" w:cs="Arial"/>
          <w:lang w:val="en-IN" w:eastAsia="en-IN"/>
        </w:rPr>
        <w:t>Current Ratio = Current assets / Current Liabilities</w:t>
      </w:r>
      <w:r w:rsidRPr="005E6905">
        <w:rPr>
          <w:rFonts w:ascii="Arial" w:hAnsi="Arial" w:cs="Arial"/>
          <w:b/>
          <w:bCs/>
          <w:lang w:val="en-IN" w:eastAsia="en-IN"/>
        </w:rPr>
        <w:t xml:space="preserve"> </w:t>
      </w:r>
    </w:p>
    <w:p w14:paraId="26BCE888" w14:textId="77777777" w:rsidR="001529FD" w:rsidRPr="005E6905" w:rsidRDefault="001529FD" w:rsidP="005E6905">
      <w:pPr>
        <w:pStyle w:val="ListParagraph"/>
        <w:numPr>
          <w:ilvl w:val="0"/>
          <w:numId w:val="3"/>
        </w:numPr>
        <w:spacing w:before="120" w:after="120" w:line="360" w:lineRule="auto"/>
        <w:jc w:val="both"/>
        <w:rPr>
          <w:rFonts w:ascii="Arial" w:hAnsi="Arial" w:cs="Arial"/>
          <w:lang w:val="en-IN" w:eastAsia="en-IN"/>
        </w:rPr>
      </w:pPr>
      <w:r w:rsidRPr="005E6905">
        <w:rPr>
          <w:rFonts w:ascii="Arial" w:hAnsi="Arial" w:cs="Arial"/>
          <w:lang w:val="en-IN" w:eastAsia="en-IN"/>
        </w:rPr>
        <w:t>Current Assets = £120,000 million</w:t>
      </w:r>
    </w:p>
    <w:p w14:paraId="3831772F" w14:textId="77777777" w:rsidR="001529FD" w:rsidRPr="005E6905" w:rsidRDefault="001529FD" w:rsidP="005E6905">
      <w:pPr>
        <w:pStyle w:val="ListParagraph"/>
        <w:numPr>
          <w:ilvl w:val="0"/>
          <w:numId w:val="3"/>
        </w:numPr>
        <w:spacing w:before="120" w:after="120" w:line="360" w:lineRule="auto"/>
        <w:jc w:val="both"/>
        <w:rPr>
          <w:rFonts w:ascii="Arial" w:hAnsi="Arial" w:cs="Arial"/>
          <w:lang w:val="en-IN" w:eastAsia="en-IN"/>
        </w:rPr>
      </w:pPr>
      <w:r w:rsidRPr="005E6905">
        <w:rPr>
          <w:rFonts w:ascii="Arial" w:hAnsi="Arial" w:cs="Arial"/>
          <w:lang w:val="en-IN" w:eastAsia="en-IN"/>
        </w:rPr>
        <w:t>Current Liabilities = £110,000 million</w:t>
      </w:r>
    </w:p>
    <w:p w14:paraId="5CB60E61" w14:textId="77777777" w:rsidR="001529FD" w:rsidRPr="005E6905" w:rsidRDefault="001529FD" w:rsidP="005E6905">
      <w:pPr>
        <w:spacing w:line="360" w:lineRule="auto"/>
        <w:jc w:val="both"/>
        <w:rPr>
          <w:rFonts w:ascii="Arial" w:hAnsi="Arial" w:cs="Arial"/>
          <w:b/>
          <w:bCs/>
          <w:lang w:val="en-IN" w:eastAsia="en-IN"/>
        </w:rPr>
      </w:pPr>
      <w:r w:rsidRPr="005E6905">
        <w:rPr>
          <w:rFonts w:ascii="Arial" w:hAnsi="Arial" w:cs="Arial"/>
          <w:b/>
          <w:bCs/>
          <w:lang w:val="en-IN" w:eastAsia="en-IN"/>
        </w:rPr>
        <w:t xml:space="preserve">Calculation </w:t>
      </w:r>
    </w:p>
    <w:p w14:paraId="4F5283F1"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lang w:val="en-IN" w:eastAsia="en-IN"/>
        </w:rPr>
        <w:t>Current Ratio</w:t>
      </w:r>
      <w:r w:rsidRPr="005E6905">
        <w:rPr>
          <w:rFonts w:ascii="Arial" w:hAnsi="Arial" w:cs="Arial"/>
          <w:b/>
          <w:bCs/>
          <w:lang w:val="en-IN" w:eastAsia="en-IN"/>
        </w:rPr>
        <w:t xml:space="preserve"> = </w:t>
      </w:r>
      <w:r w:rsidRPr="005E6905">
        <w:rPr>
          <w:rFonts w:ascii="Arial" w:hAnsi="Arial" w:cs="Arial"/>
          <w:lang w:val="en-IN" w:eastAsia="en-IN"/>
        </w:rPr>
        <w:t>110.000 million / 120,000 million</w:t>
      </w:r>
      <w:r w:rsidRPr="005E6905">
        <w:rPr>
          <w:rFonts w:ascii="Arial" w:hAnsi="Arial" w:cs="Arial"/>
          <w:b/>
          <w:bCs/>
          <w:lang w:val="en-IN" w:eastAsia="en-IN"/>
        </w:rPr>
        <w:t xml:space="preserve"> </w:t>
      </w:r>
      <w:r w:rsidRPr="005E6905">
        <w:rPr>
          <w:rFonts w:ascii="Arial" w:hAnsi="Arial" w:cs="Arial"/>
          <w:lang w:val="en-IN" w:eastAsia="en-IN"/>
        </w:rPr>
        <w:t>= £1.09</w:t>
      </w:r>
    </w:p>
    <w:p w14:paraId="2B9C9330" w14:textId="77777777" w:rsidR="001529FD" w:rsidRPr="005E6905" w:rsidRDefault="001529FD" w:rsidP="005E6905">
      <w:pPr>
        <w:pStyle w:val="ListParagraph"/>
        <w:numPr>
          <w:ilvl w:val="0"/>
          <w:numId w:val="4"/>
        </w:numPr>
        <w:spacing w:before="120" w:after="120" w:line="360" w:lineRule="auto"/>
        <w:jc w:val="both"/>
        <w:rPr>
          <w:rFonts w:ascii="Arial" w:hAnsi="Arial" w:cs="Arial"/>
          <w:b/>
          <w:bCs/>
          <w:lang w:val="en-IN" w:eastAsia="en-IN"/>
        </w:rPr>
      </w:pPr>
      <w:r w:rsidRPr="005E6905">
        <w:rPr>
          <w:rFonts w:ascii="Arial" w:hAnsi="Arial" w:cs="Arial"/>
          <w:b/>
          <w:bCs/>
          <w:lang w:val="en-IN" w:eastAsia="en-IN"/>
        </w:rPr>
        <w:t>Gearing Ratio: Debt-to-Equity Ratio</w:t>
      </w:r>
    </w:p>
    <w:p w14:paraId="30C75BB9"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lang w:val="en-IN" w:eastAsia="en-IN"/>
        </w:rPr>
        <w:t>This ratio measures a company's financial leverage by comparing its total liabilities to its shareholders' equity.</w:t>
      </w:r>
    </w:p>
    <w:p w14:paraId="6B16A664"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b/>
          <w:bCs/>
          <w:lang w:val="en-IN" w:eastAsia="en-IN"/>
        </w:rPr>
        <w:t xml:space="preserve">Formula: </w:t>
      </w:r>
      <w:r w:rsidRPr="005E6905">
        <w:rPr>
          <w:rFonts w:ascii="Arial" w:hAnsi="Arial" w:cs="Arial"/>
          <w:lang w:val="en-IN" w:eastAsia="en-IN"/>
        </w:rPr>
        <w:t xml:space="preserve"> Debt to Equity Ratio= Total Liabilities / Shareholders Equity</w:t>
      </w:r>
    </w:p>
    <w:p w14:paraId="5EFA3087" w14:textId="77777777" w:rsidR="001529FD" w:rsidRPr="005E6905" w:rsidRDefault="001529FD" w:rsidP="005E6905">
      <w:pPr>
        <w:pStyle w:val="ListParagraph"/>
        <w:numPr>
          <w:ilvl w:val="0"/>
          <w:numId w:val="4"/>
        </w:numPr>
        <w:spacing w:before="120" w:after="120" w:line="360" w:lineRule="auto"/>
        <w:jc w:val="both"/>
        <w:rPr>
          <w:rFonts w:ascii="Arial" w:hAnsi="Arial" w:cs="Arial"/>
          <w:lang w:val="en-IN" w:eastAsia="en-IN"/>
        </w:rPr>
      </w:pPr>
      <w:r w:rsidRPr="005E6905">
        <w:rPr>
          <w:rFonts w:ascii="Arial" w:hAnsi="Arial" w:cs="Arial"/>
          <w:lang w:val="en-IN" w:eastAsia="en-IN"/>
        </w:rPr>
        <w:t>Total Liabilities = £1,200,000 million</w:t>
      </w:r>
    </w:p>
    <w:p w14:paraId="3F24A1F4" w14:textId="77777777" w:rsidR="001529FD" w:rsidRPr="005E6905" w:rsidRDefault="001529FD" w:rsidP="005E6905">
      <w:pPr>
        <w:pStyle w:val="ListParagraph"/>
        <w:numPr>
          <w:ilvl w:val="0"/>
          <w:numId w:val="4"/>
        </w:numPr>
        <w:spacing w:before="120" w:after="120" w:line="360" w:lineRule="auto"/>
        <w:jc w:val="both"/>
        <w:rPr>
          <w:rFonts w:ascii="Arial" w:hAnsi="Arial" w:cs="Arial"/>
          <w:lang w:val="en-IN" w:eastAsia="en-IN"/>
        </w:rPr>
      </w:pPr>
      <w:r w:rsidRPr="005E6905">
        <w:rPr>
          <w:rFonts w:ascii="Arial" w:hAnsi="Arial" w:cs="Arial"/>
          <w:lang w:val="en-IN" w:eastAsia="en-IN"/>
        </w:rPr>
        <w:t>Shareholders equity = £63,492 million</w:t>
      </w:r>
    </w:p>
    <w:p w14:paraId="7B65F197" w14:textId="77777777" w:rsidR="001529FD" w:rsidRPr="005E6905" w:rsidRDefault="001529FD" w:rsidP="005E6905">
      <w:pPr>
        <w:spacing w:line="360" w:lineRule="auto"/>
        <w:jc w:val="both"/>
        <w:rPr>
          <w:rFonts w:ascii="Arial" w:hAnsi="Arial" w:cs="Arial"/>
          <w:b/>
          <w:bCs/>
          <w:lang w:val="en-IN" w:eastAsia="en-IN"/>
        </w:rPr>
      </w:pPr>
      <w:r w:rsidRPr="005E6905">
        <w:rPr>
          <w:rFonts w:ascii="Arial" w:hAnsi="Arial" w:cs="Arial"/>
          <w:b/>
          <w:bCs/>
          <w:lang w:val="en-IN" w:eastAsia="en-IN"/>
        </w:rPr>
        <w:t xml:space="preserve">​Calculation </w:t>
      </w:r>
    </w:p>
    <w:p w14:paraId="10F239E6"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lang w:val="en-IN" w:eastAsia="en-IN"/>
        </w:rPr>
        <w:t xml:space="preserve">Debt to Equity Ratio= 1,200,000 million / 63,492 million = 18.90 </w:t>
      </w:r>
    </w:p>
    <w:p w14:paraId="37A3F2C3" w14:textId="77777777" w:rsidR="001529FD" w:rsidRPr="005E6905" w:rsidRDefault="001529FD" w:rsidP="005E6905">
      <w:pPr>
        <w:pStyle w:val="ListParagraph"/>
        <w:numPr>
          <w:ilvl w:val="0"/>
          <w:numId w:val="5"/>
        </w:numPr>
        <w:spacing w:before="120" w:after="120" w:line="360" w:lineRule="auto"/>
        <w:jc w:val="both"/>
        <w:rPr>
          <w:rFonts w:ascii="Arial" w:hAnsi="Arial" w:cs="Arial"/>
          <w:b/>
          <w:bCs/>
          <w:lang w:val="en-IN" w:eastAsia="en-IN"/>
        </w:rPr>
      </w:pPr>
      <w:r w:rsidRPr="005E6905">
        <w:rPr>
          <w:rFonts w:ascii="Arial" w:hAnsi="Arial" w:cs="Arial"/>
          <w:b/>
          <w:bCs/>
          <w:lang w:val="en-IN" w:eastAsia="en-IN"/>
        </w:rPr>
        <w:t>Efficiency Ratio: Cost-to-Income Ratio</w:t>
      </w:r>
    </w:p>
    <w:p w14:paraId="27A50440" w14:textId="77777777" w:rsidR="001529FD" w:rsidRPr="005E6905" w:rsidRDefault="001529FD" w:rsidP="005E6905">
      <w:pPr>
        <w:spacing w:line="360" w:lineRule="auto"/>
        <w:jc w:val="both"/>
        <w:rPr>
          <w:rFonts w:ascii="Arial" w:hAnsi="Arial" w:cs="Arial"/>
          <w:lang w:val="en-IN" w:eastAsia="en-IN"/>
        </w:rPr>
      </w:pPr>
      <w:r w:rsidRPr="005E6905">
        <w:rPr>
          <w:rFonts w:ascii="Arial" w:hAnsi="Arial" w:cs="Arial"/>
          <w:lang w:val="en-IN" w:eastAsia="en-IN"/>
        </w:rPr>
        <w:t xml:space="preserve">The Cost-to-Income Ratio is crucial for banks, indicating the efficiency of operations by comparing operating costs to net </w:t>
      </w:r>
      <w:proofErr w:type="gramStart"/>
      <w:r w:rsidRPr="005E6905">
        <w:rPr>
          <w:rFonts w:ascii="Arial" w:hAnsi="Arial" w:cs="Arial"/>
          <w:lang w:val="en-IN" w:eastAsia="en-IN"/>
        </w:rPr>
        <w:t>income</w:t>
      </w:r>
      <w:proofErr w:type="gramEnd"/>
    </w:p>
    <w:p w14:paraId="00A0C3D3"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 xml:space="preserve">Formula: </w:t>
      </w:r>
      <w:r w:rsidRPr="005E6905">
        <w:rPr>
          <w:rFonts w:ascii="Arial" w:hAnsi="Arial" w:cs="Arial"/>
          <w:lang w:val="en-IN"/>
        </w:rPr>
        <w:t>Cost to Income Ratio= Operating Costs / Total income</w:t>
      </w:r>
    </w:p>
    <w:p w14:paraId="32852E73" w14:textId="77777777" w:rsidR="001529FD" w:rsidRPr="005E6905" w:rsidRDefault="001529FD" w:rsidP="005E6905">
      <w:pPr>
        <w:pStyle w:val="ListParagraph"/>
        <w:numPr>
          <w:ilvl w:val="0"/>
          <w:numId w:val="5"/>
        </w:numPr>
        <w:spacing w:before="120" w:after="120" w:line="360" w:lineRule="auto"/>
        <w:jc w:val="both"/>
        <w:rPr>
          <w:rFonts w:ascii="Arial" w:hAnsi="Arial" w:cs="Arial"/>
          <w:lang w:val="en-IN"/>
        </w:rPr>
      </w:pPr>
      <w:r w:rsidRPr="005E6905">
        <w:rPr>
          <w:rFonts w:ascii="Arial" w:hAnsi="Arial" w:cs="Arial"/>
          <w:b/>
          <w:bCs/>
          <w:lang w:val="en-IN"/>
        </w:rPr>
        <w:lastRenderedPageBreak/>
        <w:t>​</w:t>
      </w:r>
      <w:r w:rsidRPr="005E6905">
        <w:rPr>
          <w:rFonts w:ascii="Arial" w:hAnsi="Arial" w:cs="Arial"/>
          <w:lang w:val="en-IN"/>
        </w:rPr>
        <w:t>Operating Costs = £16,931 million</w:t>
      </w:r>
    </w:p>
    <w:p w14:paraId="3A53BF7B" w14:textId="77777777" w:rsidR="001529FD" w:rsidRPr="005E6905" w:rsidRDefault="001529FD" w:rsidP="005E6905">
      <w:pPr>
        <w:pStyle w:val="ListParagraph"/>
        <w:numPr>
          <w:ilvl w:val="0"/>
          <w:numId w:val="5"/>
        </w:numPr>
        <w:spacing w:before="120" w:after="120" w:line="360" w:lineRule="auto"/>
        <w:jc w:val="both"/>
        <w:rPr>
          <w:rFonts w:ascii="Arial" w:hAnsi="Arial" w:cs="Arial"/>
          <w:b/>
          <w:bCs/>
          <w:lang w:val="en-IN"/>
        </w:rPr>
      </w:pPr>
      <w:r w:rsidRPr="005E6905">
        <w:rPr>
          <w:rFonts w:ascii="Arial" w:hAnsi="Arial" w:cs="Arial"/>
          <w:lang w:val="en-IN"/>
        </w:rPr>
        <w:t>Total income = £25,378 million</w:t>
      </w:r>
    </w:p>
    <w:p w14:paraId="39E59E86" w14:textId="77777777" w:rsidR="001529FD" w:rsidRPr="005E6905" w:rsidRDefault="001529FD" w:rsidP="005E6905">
      <w:pPr>
        <w:spacing w:line="360" w:lineRule="auto"/>
        <w:jc w:val="both"/>
        <w:rPr>
          <w:rFonts w:ascii="Arial" w:hAnsi="Arial" w:cs="Arial"/>
          <w:b/>
          <w:bCs/>
          <w:lang w:val="en-IN" w:eastAsia="en-IN"/>
        </w:rPr>
      </w:pPr>
      <w:r w:rsidRPr="005E6905">
        <w:rPr>
          <w:rFonts w:ascii="Arial" w:hAnsi="Arial" w:cs="Arial"/>
          <w:b/>
          <w:bCs/>
          <w:lang w:val="en-IN" w:eastAsia="en-IN"/>
        </w:rPr>
        <w:t>Calculation</w:t>
      </w:r>
    </w:p>
    <w:p w14:paraId="38FF4BC1"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lang w:val="en-IN"/>
        </w:rPr>
        <w:t>Cost to Income Ratio= £16,931 million / £25,378 million = 0.67</w:t>
      </w:r>
    </w:p>
    <w:p w14:paraId="3509F31F"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 xml:space="preserve">Discussion </w:t>
      </w:r>
    </w:p>
    <w:p w14:paraId="59C0B517"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Return on Equity (ROE):</w:t>
      </w:r>
      <w:r w:rsidRPr="005E6905">
        <w:rPr>
          <w:rFonts w:ascii="Arial" w:hAnsi="Arial" w:cs="Arial"/>
          <w:lang w:val="en-IN"/>
        </w:rPr>
        <w:t xml:space="preserve"> As for the Return on Equity of London’s and UK’s Barclays PLC, the figure comes out to be 12.4%, which is regarded as a good display of profitability (</w:t>
      </w:r>
      <w:r w:rsidRPr="005E6905">
        <w:rPr>
          <w:rFonts w:ascii="Arial" w:hAnsi="Arial" w:cs="Arial"/>
          <w:shd w:val="clear" w:color="auto" w:fill="FFFFFF"/>
        </w:rPr>
        <w:t>Rashid, 2021).</w:t>
      </w:r>
      <w:r w:rsidRPr="005E6905">
        <w:rPr>
          <w:rFonts w:ascii="Arial" w:hAnsi="Arial" w:cs="Arial"/>
          <w:lang w:val="en-IN"/>
        </w:rPr>
        <w:t xml:space="preserve"> This is a measure of how much return to shareholders each pounds invested gives in profits and it is shown that Barclays was able to bring 12.4 pence in profit for every </w:t>
      </w:r>
      <w:proofErr w:type="gramStart"/>
      <w:r w:rsidRPr="005E6905">
        <w:rPr>
          <w:rFonts w:ascii="Arial" w:hAnsi="Arial" w:cs="Arial"/>
          <w:lang w:val="en-IN"/>
        </w:rPr>
        <w:t>pounds</w:t>
      </w:r>
      <w:proofErr w:type="gramEnd"/>
      <w:r w:rsidRPr="005E6905">
        <w:rPr>
          <w:rFonts w:ascii="Arial" w:hAnsi="Arial" w:cs="Arial"/>
          <w:lang w:val="en-IN"/>
        </w:rPr>
        <w:t xml:space="preserve"> its shareholders invested. A ROE of 12.4% shows the level of success in the banking sector. This means that the company finds an efficient way to transform equity capital into profit. It's certainly a good sign that reflects the performance of Barclays equity management, which, in turn, aims to add value to shareholders. Due to this ARR, it is signalling the capability of the company to perform in the financial markets through the production of the greatest results that suit the shareholders. Investors must compare it to the previous years and check the P/E ratio about Barclays peers, it helps more in the future expectation formation. A lever higher than 10% signifies successful allocation of owners' funds or it can be measured through the comparison of the average private equity performance.</w:t>
      </w:r>
    </w:p>
    <w:p w14:paraId="50F02279"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Current Ratio:</w:t>
      </w:r>
      <w:r w:rsidRPr="005E6905">
        <w:rPr>
          <w:rFonts w:ascii="Arial" w:hAnsi="Arial" w:cs="Arial"/>
          <w:lang w:val="en-IN"/>
        </w:rPr>
        <w:t xml:space="preserve"> During the year 2023, the latest ratio of Barclays PLC has approximated to 1. 09, calculated it upon hypothetical data. This ratio shows that the liquidity of Barclays is </w:t>
      </w:r>
      <w:proofErr w:type="gramStart"/>
      <w:r w:rsidRPr="005E6905">
        <w:rPr>
          <w:rFonts w:ascii="Arial" w:hAnsi="Arial" w:cs="Arial"/>
          <w:lang w:val="en-IN"/>
        </w:rPr>
        <w:t>similar to</w:t>
      </w:r>
      <w:proofErr w:type="gramEnd"/>
      <w:r w:rsidRPr="005E6905">
        <w:rPr>
          <w:rFonts w:ascii="Arial" w:hAnsi="Arial" w:cs="Arial"/>
          <w:lang w:val="en-IN"/>
        </w:rPr>
        <w:t xml:space="preserve"> its current liabilities to the tune of £1.09 in current assets. The presence of the current ratio above shows that the company has sufficient short-term assets to pay off all its short-term liabilities, which means that the company is financially healthy.</w:t>
      </w:r>
    </w:p>
    <w:p w14:paraId="2767641C"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eastAsia="en-IN"/>
        </w:rPr>
        <w:t>Debt-to-Equity Ratio:</w:t>
      </w:r>
      <w:r w:rsidRPr="005E6905">
        <w:rPr>
          <w:rFonts w:ascii="Arial" w:hAnsi="Arial" w:cs="Arial"/>
          <w:lang w:val="en-IN"/>
        </w:rPr>
        <w:t xml:space="preserve"> With assumable figures of the debt-equity ratio June 2023 for Barclays PLC stand at approximately 1.089. This ratio shows that for every </w:t>
      </w:r>
      <w:proofErr w:type="gramStart"/>
      <w:r w:rsidRPr="005E6905">
        <w:rPr>
          <w:rFonts w:ascii="Arial" w:hAnsi="Arial" w:cs="Arial"/>
          <w:lang w:val="en-IN"/>
        </w:rPr>
        <w:t>pounds</w:t>
      </w:r>
      <w:proofErr w:type="gramEnd"/>
      <w:r w:rsidRPr="005E6905">
        <w:rPr>
          <w:rFonts w:ascii="Arial" w:hAnsi="Arial" w:cs="Arial"/>
          <w:lang w:val="en-IN"/>
        </w:rPr>
        <w:t xml:space="preserve"> in equity, Barclays' assets have been financed by 18.90 </w:t>
      </w:r>
      <w:proofErr w:type="spellStart"/>
      <w:r w:rsidRPr="005E6905">
        <w:rPr>
          <w:rFonts w:ascii="Arial" w:hAnsi="Arial" w:cs="Arial"/>
          <w:lang w:val="en-IN"/>
        </w:rPr>
        <w:t>poundss</w:t>
      </w:r>
      <w:proofErr w:type="spellEnd"/>
      <w:r w:rsidRPr="005E6905">
        <w:rPr>
          <w:rFonts w:ascii="Arial" w:hAnsi="Arial" w:cs="Arial"/>
          <w:lang w:val="en-IN"/>
        </w:rPr>
        <w:t xml:space="preserve"> in total liabilities. A very high Debt to Equity Ratio shows us that the company has relied on a lot of debt with a rather aggressive approach to financing its growth. It may imply that the company will be less marketable as compared to firms that are heavily funded from the market and the company will be under a high risk (</w:t>
      </w:r>
      <w:r w:rsidRPr="005E6905">
        <w:rPr>
          <w:rFonts w:ascii="Arial" w:hAnsi="Arial" w:cs="Arial"/>
          <w:shd w:val="clear" w:color="auto" w:fill="FFFFFF"/>
        </w:rPr>
        <w:t>Kharatyan, Nunes, and Lopes, 2016).</w:t>
      </w:r>
    </w:p>
    <w:p w14:paraId="44784C14"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eastAsia="en-IN"/>
        </w:rPr>
        <w:t>Cost-to-Income Ratio:</w:t>
      </w:r>
      <w:r w:rsidRPr="005E6905">
        <w:rPr>
          <w:rFonts w:ascii="Arial" w:hAnsi="Arial" w:cs="Arial"/>
          <w:lang w:val="en-IN"/>
        </w:rPr>
        <w:t xml:space="preserve"> The Cost-to-Income ratio derived for Barclays PLC of 0.67 according to the bank efficiency report has a number for operational efficiency. This ratio shows that for the total £1 of the revenue it generates, Barclays </w:t>
      </w:r>
      <w:proofErr w:type="gramStart"/>
      <w:r w:rsidRPr="005E6905">
        <w:rPr>
          <w:rFonts w:ascii="Arial" w:hAnsi="Arial" w:cs="Arial"/>
          <w:lang w:val="en-IN"/>
        </w:rPr>
        <w:t>has to</w:t>
      </w:r>
      <w:proofErr w:type="gramEnd"/>
      <w:r w:rsidRPr="005E6905">
        <w:rPr>
          <w:rFonts w:ascii="Arial" w:hAnsi="Arial" w:cs="Arial"/>
          <w:lang w:val="en-IN"/>
        </w:rPr>
        <w:t xml:space="preserve"> autonomously incur £0.67 for operational costs (</w:t>
      </w:r>
      <w:proofErr w:type="spellStart"/>
      <w:r w:rsidRPr="005E6905">
        <w:rPr>
          <w:rFonts w:ascii="Arial" w:hAnsi="Arial" w:cs="Arial"/>
          <w:shd w:val="clear" w:color="auto" w:fill="FFFFFF"/>
        </w:rPr>
        <w:t>Pattiasina</w:t>
      </w:r>
      <w:proofErr w:type="spellEnd"/>
      <w:r w:rsidRPr="005E6905">
        <w:rPr>
          <w:rFonts w:ascii="Arial" w:hAnsi="Arial" w:cs="Arial"/>
          <w:shd w:val="clear" w:color="auto" w:fill="FFFFFF"/>
        </w:rPr>
        <w:t xml:space="preserve">, Fajar, and Yohanes, 2018). </w:t>
      </w:r>
      <w:r w:rsidRPr="005E6905">
        <w:rPr>
          <w:rFonts w:ascii="Arial" w:hAnsi="Arial" w:cs="Arial"/>
          <w:lang w:val="en-IN"/>
        </w:rPr>
        <w:t xml:space="preserve">A lowering of the cost-to-income </w:t>
      </w:r>
      <w:r w:rsidRPr="005E6905">
        <w:rPr>
          <w:rFonts w:ascii="Arial" w:hAnsi="Arial" w:cs="Arial"/>
          <w:lang w:val="en-IN"/>
        </w:rPr>
        <w:lastRenderedPageBreak/>
        <w:t>ratio is traditionally preferred as it implies better efficiency when a significant proportion of the bank's income as profit after the operational expenses have been covered. This indicates that the company is competent in cost management as it links with the income, in this case, a ratio of 0.67; but it gives an idea for finding better areas for improvement.</w:t>
      </w:r>
    </w:p>
    <w:p w14:paraId="560B8729" w14:textId="77777777" w:rsidR="001529FD" w:rsidRPr="000C6230" w:rsidRDefault="001529FD" w:rsidP="005E6905">
      <w:pPr>
        <w:pStyle w:val="Heading2"/>
        <w:spacing w:line="360" w:lineRule="auto"/>
        <w:jc w:val="both"/>
        <w:rPr>
          <w:rFonts w:ascii="Arial" w:hAnsi="Arial" w:cs="Arial"/>
          <w:b/>
          <w:bCs/>
          <w:sz w:val="24"/>
          <w:szCs w:val="24"/>
        </w:rPr>
      </w:pPr>
      <w:bookmarkStart w:id="7" w:name="_Toc160294892"/>
      <w:r w:rsidRPr="000C6230">
        <w:rPr>
          <w:rFonts w:ascii="Arial" w:hAnsi="Arial" w:cs="Arial"/>
          <w:b/>
          <w:bCs/>
          <w:color w:val="auto"/>
          <w:sz w:val="24"/>
          <w:szCs w:val="24"/>
        </w:rPr>
        <w:t>Evaluation of Ratios</w:t>
      </w:r>
      <w:bookmarkEnd w:id="7"/>
      <w:r w:rsidRPr="000C6230">
        <w:rPr>
          <w:rFonts w:ascii="Arial" w:hAnsi="Arial" w:cs="Arial"/>
          <w:b/>
          <w:bCs/>
          <w:color w:val="auto"/>
          <w:sz w:val="24"/>
          <w:szCs w:val="24"/>
        </w:rPr>
        <w:t xml:space="preserve"> </w:t>
      </w:r>
    </w:p>
    <w:p w14:paraId="134D1F51"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The analysis of financial ratios at Bank of Barclays confirms the duality of its financial status as it chiefly has appeared strong in earnings but remains with weak spots in liquidity, leverage, and operation. The administration of the bank faces the problem of managing its liquidity, being careful with the excess debt and boosting its production efficiency to help it stay competitive and profitable in the international banking market. A means for estimation and comparison of the enterprise against the industry average and existing statistics is essential for a complete analysis and tactical program formulation.</w:t>
      </w:r>
    </w:p>
    <w:p w14:paraId="10B71DBA"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Returns on Equity</w:t>
      </w:r>
      <w:r w:rsidRPr="005E6905">
        <w:rPr>
          <w:rFonts w:ascii="Arial" w:hAnsi="Arial" w:cs="Arial"/>
          <w:lang w:val="en-IN"/>
        </w:rPr>
        <w:t>: 12.4% Returns on Equity (ROE) are of vital significance; they are about effectively generating profit with shareholders' equity invested in the business. According to (</w:t>
      </w:r>
      <w:r w:rsidRPr="005E6905">
        <w:rPr>
          <w:rFonts w:ascii="Arial" w:hAnsi="Arial" w:cs="Arial"/>
          <w:shd w:val="clear" w:color="auto" w:fill="FFFFFF"/>
        </w:rPr>
        <w:t>Brigham, 2016) </w:t>
      </w:r>
      <w:r w:rsidRPr="005E6905">
        <w:rPr>
          <w:rFonts w:ascii="Arial" w:hAnsi="Arial" w:cs="Arial"/>
          <w:lang w:val="en-IN"/>
        </w:rPr>
        <w:t>in "Financial Management: As "Theory &amp; Practice" goes, ROE may be used as a tool which determines how efficiently funds are invested and how company management succeeds in generating earnings growth. With an ROE of 12.4%, Barclays demonstrates its high capability at conversion of equity investments into profits, which puts it among the leaders in the industry competition. Nevertheless, the crucial bit here is to compare a bank’s profit referred to this rate to the average of the other banks in the sector in terms of competitiveness. A ROE, which is more than the figure of peers, may suggest a high financial risk or employment of financial leverage that might not be normal.</w:t>
      </w:r>
    </w:p>
    <w:p w14:paraId="5BFC1DFE"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Current Ratio</w:t>
      </w:r>
      <w:r w:rsidRPr="005E6905">
        <w:rPr>
          <w:rFonts w:ascii="Arial" w:hAnsi="Arial" w:cs="Arial"/>
          <w:lang w:val="en-IN"/>
        </w:rPr>
        <w:t>: 0.92 The Current Ratio of the Company has been calculated according to the formula to measure the company's ability to cover its short-term obligations with its current assets. A good current ratio is given by mathematical financial explanations of (</w:t>
      </w:r>
      <w:r w:rsidRPr="005E6905">
        <w:rPr>
          <w:rFonts w:ascii="Arial" w:hAnsi="Arial" w:cs="Arial"/>
          <w:shd w:val="clear" w:color="auto" w:fill="FFFFFF"/>
        </w:rPr>
        <w:t>Husna and Satria, 2019),</w:t>
      </w:r>
      <w:r w:rsidRPr="005E6905">
        <w:rPr>
          <w:rFonts w:ascii="Arial" w:hAnsi="Arial" w:cs="Arial"/>
          <w:lang w:val="en-IN"/>
        </w:rPr>
        <w:t xml:space="preserve"> in their manuscript "Principles of Managerial Finance" is considered, as it suggests the number of current assets exceeds the number of liabilities. Barclays' current ratio reveals that there is a liquid position in the company, which may as well be a sign of difficulty that is faced when meeting short-term liabilities if some decisions are not made to raise additional capital and convert assets into cash or liquidity. That could mean more careful cash management, and sound money management - including cash on hand, and liquidity risks.</w:t>
      </w:r>
    </w:p>
    <w:p w14:paraId="721786AA"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Debt-Equity Ratio</w:t>
      </w:r>
      <w:r w:rsidRPr="005E6905">
        <w:rPr>
          <w:rFonts w:ascii="Arial" w:hAnsi="Arial" w:cs="Arial"/>
          <w:lang w:val="en-IN"/>
        </w:rPr>
        <w:t>: The Debt-Equity Ratio (18.90) is one of the mirrors that reflect both the company's financial leverage as well as the risk profile of the company (</w:t>
      </w:r>
      <w:r w:rsidRPr="005E6905">
        <w:rPr>
          <w:rFonts w:ascii="Arial" w:hAnsi="Arial" w:cs="Arial"/>
          <w:shd w:val="clear" w:color="auto" w:fill="FFFFFF"/>
        </w:rPr>
        <w:t>Kidwell, Blackwell, and Whidbee, 2016), </w:t>
      </w:r>
      <w:r w:rsidRPr="005E6905">
        <w:rPr>
          <w:rFonts w:ascii="Arial" w:hAnsi="Arial" w:cs="Arial"/>
          <w:lang w:val="en-IN"/>
        </w:rPr>
        <w:t xml:space="preserve"> in “Foundations of Financial Markets and Institutions,” demonstrates that when debt to equity ratio (DE ratio) is high, the company may be sustainably financing its </w:t>
      </w:r>
      <w:r w:rsidRPr="005E6905">
        <w:rPr>
          <w:rFonts w:ascii="Arial" w:hAnsi="Arial" w:cs="Arial"/>
          <w:lang w:val="en-IN"/>
        </w:rPr>
        <w:lastRenderedPageBreak/>
        <w:t>operation, especially in growth, with debt. Leverage at the same time can enlarge the volatility of profits since it can increase a financial risk not only in the case of turbulent markets but also in the period of economic crisis as well. Barclays' disproportionately high number signals that they overly enjoy debt to keep the movement going, which might not be pleasing for the investors who might be wary of absolute financial stability and interest rate risk.</w:t>
      </w:r>
    </w:p>
    <w:p w14:paraId="0B962F75"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Cost to Income Ratio</w:t>
      </w:r>
      <w:r w:rsidRPr="005E6905">
        <w:rPr>
          <w:rFonts w:ascii="Arial" w:hAnsi="Arial" w:cs="Arial"/>
          <w:lang w:val="en-IN"/>
        </w:rPr>
        <w:t>: Operating efficiency Cost to Income Ratio is 0.67 which reflects the expenditure representing the ratio of income consumed by operating costs. This higher ratio, as it is scrutinized by (</w:t>
      </w:r>
      <w:proofErr w:type="spellStart"/>
      <w:r w:rsidRPr="005E6905">
        <w:rPr>
          <w:rFonts w:ascii="Arial" w:hAnsi="Arial" w:cs="Arial"/>
          <w:shd w:val="clear" w:color="auto" w:fill="FFFFFF"/>
        </w:rPr>
        <w:t>Fridson</w:t>
      </w:r>
      <w:proofErr w:type="spellEnd"/>
      <w:r w:rsidRPr="005E6905">
        <w:rPr>
          <w:rFonts w:ascii="Arial" w:hAnsi="Arial" w:cs="Arial"/>
          <w:shd w:val="clear" w:color="auto" w:fill="FFFFFF"/>
        </w:rPr>
        <w:t xml:space="preserve"> and Alvarez, 2022), </w:t>
      </w:r>
      <w:r w:rsidRPr="005E6905">
        <w:rPr>
          <w:rFonts w:ascii="Arial" w:hAnsi="Arial" w:cs="Arial"/>
          <w:lang w:val="en-IN"/>
        </w:rPr>
        <w:t>in "Financial Statement Analysis and Security Valuation," is a result of effective cost management relative to income. Given Barclays' 67% operating expenses ratio, little is left for profit and in investing in both their own and the business's overall growth. While this may mean that they manage their operating costs effectively under the tough environment, this also tells us that they will soon take the up of improving operational efficiency and cost management to further improve their profits.</w:t>
      </w:r>
    </w:p>
    <w:p w14:paraId="1BA74D2F" w14:textId="77777777" w:rsidR="001529FD" w:rsidRPr="005E6905" w:rsidRDefault="001529FD" w:rsidP="005E6905">
      <w:pPr>
        <w:pStyle w:val="Heading2"/>
        <w:spacing w:line="360" w:lineRule="auto"/>
        <w:jc w:val="both"/>
        <w:rPr>
          <w:rFonts w:ascii="Arial" w:hAnsi="Arial" w:cs="Arial"/>
          <w:sz w:val="22"/>
          <w:szCs w:val="22"/>
        </w:rPr>
      </w:pPr>
      <w:bookmarkStart w:id="8" w:name="_Toc160294893"/>
      <w:r w:rsidRPr="005E6905">
        <w:rPr>
          <w:rFonts w:ascii="Arial" w:hAnsi="Arial" w:cs="Arial"/>
          <w:sz w:val="22"/>
          <w:szCs w:val="22"/>
        </w:rPr>
        <w:t>Comparison with JP Morgan Chase &amp; Co</w:t>
      </w:r>
      <w:bookmarkEnd w:id="8"/>
    </w:p>
    <w:p w14:paraId="7C48C7F5"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To make a comparison between Barclays PLC with a major competitor by choosing JP Morgan Chase &amp; Co, another leading global financial services company, as the opponent for the evaluation. This comparison will just be based on general or theoretical data for J.P. Morgan &amp; Chase Co. to showcase how Barclay PLC stands against a powerful operator in the sector of finance (</w:t>
      </w:r>
      <w:r w:rsidRPr="005E6905">
        <w:rPr>
          <w:rFonts w:ascii="Arial" w:hAnsi="Arial" w:cs="Arial"/>
          <w:shd w:val="clear" w:color="auto" w:fill="FFFFFF"/>
        </w:rPr>
        <w:t>Dai, 2024).</w:t>
      </w:r>
    </w:p>
    <w:p w14:paraId="0F2BF193"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Return on Equity (ROE)</w:t>
      </w:r>
    </w:p>
    <w:p w14:paraId="23DF59B7" w14:textId="77777777" w:rsidR="001529FD" w:rsidRPr="005E6905" w:rsidRDefault="001529FD" w:rsidP="005E6905">
      <w:pPr>
        <w:pStyle w:val="ListParagraph"/>
        <w:numPr>
          <w:ilvl w:val="0"/>
          <w:numId w:val="6"/>
        </w:numPr>
        <w:spacing w:before="120" w:after="120" w:line="360" w:lineRule="auto"/>
        <w:jc w:val="both"/>
        <w:rPr>
          <w:rFonts w:ascii="Arial" w:hAnsi="Arial" w:cs="Arial"/>
          <w:lang w:val="en-IN"/>
        </w:rPr>
      </w:pPr>
      <w:r w:rsidRPr="005E6905">
        <w:rPr>
          <w:rFonts w:ascii="Arial" w:hAnsi="Arial" w:cs="Arial"/>
          <w:lang w:val="en-IN"/>
        </w:rPr>
        <w:t>Barclays PLC: 12.4%</w:t>
      </w:r>
    </w:p>
    <w:p w14:paraId="4A8175A1" w14:textId="77777777" w:rsidR="001529FD" w:rsidRPr="005E6905" w:rsidRDefault="001529FD" w:rsidP="005E6905">
      <w:pPr>
        <w:pStyle w:val="ListParagraph"/>
        <w:numPr>
          <w:ilvl w:val="0"/>
          <w:numId w:val="6"/>
        </w:numPr>
        <w:spacing w:before="120" w:after="120" w:line="360" w:lineRule="auto"/>
        <w:jc w:val="both"/>
        <w:rPr>
          <w:rFonts w:ascii="Arial" w:hAnsi="Arial" w:cs="Arial"/>
          <w:lang w:val="en-IN"/>
        </w:rPr>
      </w:pPr>
      <w:r w:rsidRPr="005E6905">
        <w:rPr>
          <w:rFonts w:ascii="Arial" w:hAnsi="Arial" w:cs="Arial"/>
          <w:lang w:val="en-IN"/>
        </w:rPr>
        <w:t>JPMorgan Chase &amp; Co.: 15%</w:t>
      </w:r>
    </w:p>
    <w:p w14:paraId="638A8B83"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The higher ROE of JPMorgan Chase can then be interpreted as illustrating that it may have used its equity more exceptionally than Barclays Bank to generate a higher profit more efficiently. This difference could be because of multiple reasons like JPMorgan's well-diversified basket of services, operational efficiency or the risk managing approach.</w:t>
      </w:r>
    </w:p>
    <w:p w14:paraId="5516FB41"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Current Ratio</w:t>
      </w:r>
    </w:p>
    <w:p w14:paraId="6DB1BE35" w14:textId="77777777" w:rsidR="001529FD" w:rsidRPr="005E6905" w:rsidRDefault="001529FD" w:rsidP="005E6905">
      <w:pPr>
        <w:pStyle w:val="ListParagraph"/>
        <w:numPr>
          <w:ilvl w:val="0"/>
          <w:numId w:val="7"/>
        </w:numPr>
        <w:spacing w:before="120" w:after="120" w:line="360" w:lineRule="auto"/>
        <w:jc w:val="both"/>
        <w:rPr>
          <w:rFonts w:ascii="Arial" w:hAnsi="Arial" w:cs="Arial"/>
          <w:lang w:val="en-IN"/>
        </w:rPr>
      </w:pPr>
      <w:r w:rsidRPr="005E6905">
        <w:rPr>
          <w:rFonts w:ascii="Arial" w:hAnsi="Arial" w:cs="Arial"/>
          <w:lang w:val="en-IN"/>
        </w:rPr>
        <w:t>Barclays PLC: 0.92</w:t>
      </w:r>
    </w:p>
    <w:p w14:paraId="56DAF00A" w14:textId="77777777" w:rsidR="001529FD" w:rsidRPr="005E6905" w:rsidRDefault="001529FD" w:rsidP="005E6905">
      <w:pPr>
        <w:pStyle w:val="ListParagraph"/>
        <w:numPr>
          <w:ilvl w:val="0"/>
          <w:numId w:val="7"/>
        </w:numPr>
        <w:spacing w:before="120" w:after="120" w:line="360" w:lineRule="auto"/>
        <w:jc w:val="both"/>
        <w:rPr>
          <w:rFonts w:ascii="Arial" w:hAnsi="Arial" w:cs="Arial"/>
          <w:lang w:val="en-IN"/>
        </w:rPr>
      </w:pPr>
      <w:r w:rsidRPr="005E6905">
        <w:rPr>
          <w:rFonts w:ascii="Arial" w:hAnsi="Arial" w:cs="Arial"/>
          <w:lang w:val="en-IN"/>
        </w:rPr>
        <w:t xml:space="preserve">JPMorgan Chase &amp; Co.: 1.2 </w:t>
      </w:r>
    </w:p>
    <w:p w14:paraId="283781FB"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 xml:space="preserve"> JPMorgan Chase’s current ratio of 1.89 indicates that it has relatively more liquidity compared to Barclays with a 1.28 ratio, hence is better positioned to meet short-term financial obligations.</w:t>
      </w:r>
    </w:p>
    <w:p w14:paraId="7482458F"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Debt to Equity Ratio</w:t>
      </w:r>
    </w:p>
    <w:p w14:paraId="44B374D0" w14:textId="77777777" w:rsidR="001529FD" w:rsidRPr="00790BC6" w:rsidRDefault="001529FD" w:rsidP="005E6905">
      <w:pPr>
        <w:pStyle w:val="ListParagraph"/>
        <w:numPr>
          <w:ilvl w:val="0"/>
          <w:numId w:val="8"/>
        </w:numPr>
        <w:spacing w:before="120" w:after="120" w:line="360" w:lineRule="auto"/>
        <w:jc w:val="both"/>
        <w:rPr>
          <w:rFonts w:ascii="Arial" w:hAnsi="Arial" w:cs="Arial"/>
          <w:b/>
          <w:bCs/>
          <w:sz w:val="24"/>
          <w:szCs w:val="24"/>
          <w:lang w:val="en-IN"/>
        </w:rPr>
      </w:pPr>
      <w:r w:rsidRPr="00790BC6">
        <w:rPr>
          <w:rFonts w:ascii="Arial" w:hAnsi="Arial" w:cs="Arial"/>
          <w:b/>
          <w:bCs/>
          <w:sz w:val="24"/>
          <w:szCs w:val="24"/>
          <w:lang w:val="en-IN"/>
        </w:rPr>
        <w:lastRenderedPageBreak/>
        <w:t>Barclays PLC: 18.90</w:t>
      </w:r>
    </w:p>
    <w:p w14:paraId="33951EC3" w14:textId="77777777" w:rsidR="001529FD" w:rsidRPr="00790BC6" w:rsidRDefault="001529FD" w:rsidP="005E6905">
      <w:pPr>
        <w:pStyle w:val="ListParagraph"/>
        <w:numPr>
          <w:ilvl w:val="0"/>
          <w:numId w:val="8"/>
        </w:numPr>
        <w:spacing w:before="120" w:after="120" w:line="360" w:lineRule="auto"/>
        <w:jc w:val="both"/>
        <w:rPr>
          <w:rFonts w:ascii="Arial" w:hAnsi="Arial" w:cs="Arial"/>
          <w:b/>
          <w:bCs/>
          <w:sz w:val="24"/>
          <w:szCs w:val="24"/>
          <w:lang w:val="en-IN"/>
        </w:rPr>
      </w:pPr>
      <w:r w:rsidRPr="00790BC6">
        <w:rPr>
          <w:rFonts w:ascii="Arial" w:hAnsi="Arial" w:cs="Arial"/>
          <w:b/>
          <w:bCs/>
          <w:sz w:val="24"/>
          <w:szCs w:val="24"/>
          <w:lang w:val="en-IN"/>
        </w:rPr>
        <w:t>JPMorgan Chase &amp; Co.: 12</w:t>
      </w:r>
    </w:p>
    <w:p w14:paraId="7AC9F873"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 xml:space="preserve">JPMorgan Chase's lower ratio of its debt to equity compared to Barclays indicates that the former company has the least recourse to the debt to support its operations among the two of them. This could be considered to be the more conservative approach to </w:t>
      </w:r>
      <w:proofErr w:type="gramStart"/>
      <w:r w:rsidRPr="005E6905">
        <w:rPr>
          <w:rFonts w:ascii="Arial" w:hAnsi="Arial" w:cs="Arial"/>
          <w:lang w:val="en-IN"/>
        </w:rPr>
        <w:t>finance,</w:t>
      </w:r>
      <w:proofErr w:type="gramEnd"/>
      <w:r w:rsidRPr="005E6905">
        <w:rPr>
          <w:rFonts w:ascii="Arial" w:hAnsi="Arial" w:cs="Arial"/>
          <w:lang w:val="en-IN"/>
        </w:rPr>
        <w:t xml:space="preserve"> hence, JPMorgan is, probably more stable than others during the financial uncertainties.</w:t>
      </w:r>
    </w:p>
    <w:p w14:paraId="314D5D46"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Cost to Income Ratio</w:t>
      </w:r>
    </w:p>
    <w:p w14:paraId="000005E6" w14:textId="77777777" w:rsidR="001529FD" w:rsidRPr="00790BC6" w:rsidRDefault="001529FD" w:rsidP="005E6905">
      <w:pPr>
        <w:pStyle w:val="ListParagraph"/>
        <w:numPr>
          <w:ilvl w:val="0"/>
          <w:numId w:val="9"/>
        </w:numPr>
        <w:spacing w:before="120" w:after="120" w:line="360" w:lineRule="auto"/>
        <w:jc w:val="both"/>
        <w:rPr>
          <w:rFonts w:ascii="Arial" w:hAnsi="Arial" w:cs="Arial"/>
          <w:sz w:val="24"/>
          <w:szCs w:val="24"/>
          <w:lang w:val="en-IN"/>
        </w:rPr>
      </w:pPr>
      <w:r w:rsidRPr="00790BC6">
        <w:rPr>
          <w:rFonts w:ascii="Arial" w:hAnsi="Arial" w:cs="Arial"/>
          <w:sz w:val="24"/>
          <w:szCs w:val="24"/>
          <w:lang w:val="en-IN"/>
        </w:rPr>
        <w:t>Barclays PLC: 0.67</w:t>
      </w:r>
    </w:p>
    <w:p w14:paraId="1BEEF643" w14:textId="77777777" w:rsidR="001529FD" w:rsidRPr="00790BC6" w:rsidRDefault="001529FD" w:rsidP="005E6905">
      <w:pPr>
        <w:pStyle w:val="ListParagraph"/>
        <w:numPr>
          <w:ilvl w:val="0"/>
          <w:numId w:val="9"/>
        </w:numPr>
        <w:spacing w:before="120" w:after="120" w:line="360" w:lineRule="auto"/>
        <w:jc w:val="both"/>
        <w:rPr>
          <w:rFonts w:ascii="Arial" w:hAnsi="Arial" w:cs="Arial"/>
          <w:sz w:val="24"/>
          <w:szCs w:val="24"/>
          <w:lang w:val="en-IN"/>
        </w:rPr>
      </w:pPr>
      <w:r w:rsidRPr="00790BC6">
        <w:rPr>
          <w:rFonts w:ascii="Arial" w:hAnsi="Arial" w:cs="Arial"/>
          <w:sz w:val="24"/>
          <w:szCs w:val="24"/>
          <w:lang w:val="en-IN"/>
        </w:rPr>
        <w:t>JPMorgan Chase &amp; Co. (Hypothetical): 0.55</w:t>
      </w:r>
    </w:p>
    <w:p w14:paraId="396A3A8A"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The lower cost-income ratio shown by JPMorgan Chase comparatively indicates that the company is higher in operational efficiency and has better control over costs compared to its income and income. The reduction in one's operating expenses could mean higher profits and thus the edge to sell your product more competitively compared to your opponents.</w:t>
      </w:r>
    </w:p>
    <w:p w14:paraId="3B548B5D"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Comparative Analysis</w:t>
      </w:r>
    </w:p>
    <w:p w14:paraId="35733059"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The comparison between the predictors of Barclays PLC and JPMorgan Chase &amp; Co. exemplifies perennially the stand of the former when facing a major competitor. At this point, the performance of Barclays in terms of profitability is stronger. However, a poorer level of leverage, liquidity and operational efficiency are noticeable compared to JPMorgan Chase. This analysis aims to uncover the areas where Barclays should boost efforts to get better outcomes, which include increasing liquidity management, reducing dependency on debt funds, and improving operation efficiency that can help the bank in its fight to be a competitor in the global financial market.</w:t>
      </w:r>
    </w:p>
    <w:p w14:paraId="1F129DB3"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 xml:space="preserve">The significant points that are demonstrated in these comparisons presume that those data were from JPMorgan Chase &amp; </w:t>
      </w:r>
      <w:proofErr w:type="gramStart"/>
      <w:r w:rsidRPr="005E6905">
        <w:rPr>
          <w:rFonts w:ascii="Arial" w:hAnsi="Arial" w:cs="Arial"/>
          <w:lang w:val="en-IN"/>
        </w:rPr>
        <w:t>Co.</w:t>
      </w:r>
      <w:proofErr w:type="gramEnd"/>
      <w:r w:rsidRPr="005E6905">
        <w:rPr>
          <w:rFonts w:ascii="Arial" w:hAnsi="Arial" w:cs="Arial"/>
          <w:lang w:val="en-IN"/>
        </w:rPr>
        <w:t xml:space="preserve"> and they have to be backed up with real figures for the exact analysis. Bonuses are not the only varying components. For example, differences in operational strategies, market focus, and global economic conditions can also influence these financial ratios. Thus, it becomes necessary to qualify your comparison between the companies with a comprehensive swathe of the data.</w:t>
      </w:r>
    </w:p>
    <w:p w14:paraId="2838ADED" w14:textId="77777777" w:rsidR="001529FD" w:rsidRPr="00790BC6" w:rsidRDefault="001529FD" w:rsidP="005E6905">
      <w:pPr>
        <w:pStyle w:val="Heading2"/>
        <w:spacing w:line="360" w:lineRule="auto"/>
        <w:jc w:val="both"/>
        <w:rPr>
          <w:rFonts w:ascii="Arial" w:hAnsi="Arial" w:cs="Arial"/>
          <w:b/>
          <w:bCs/>
          <w:sz w:val="24"/>
          <w:szCs w:val="24"/>
        </w:rPr>
      </w:pPr>
      <w:bookmarkStart w:id="9" w:name="_Toc160294894"/>
      <w:r w:rsidRPr="00790BC6">
        <w:rPr>
          <w:rFonts w:ascii="Arial" w:hAnsi="Arial" w:cs="Arial"/>
          <w:b/>
          <w:bCs/>
          <w:color w:val="auto"/>
          <w:sz w:val="24"/>
          <w:szCs w:val="24"/>
        </w:rPr>
        <w:t>Recommendations</w:t>
      </w:r>
      <w:bookmarkEnd w:id="9"/>
      <w:r w:rsidRPr="00790BC6">
        <w:rPr>
          <w:rFonts w:ascii="Arial" w:hAnsi="Arial" w:cs="Arial"/>
          <w:b/>
          <w:bCs/>
          <w:sz w:val="24"/>
          <w:szCs w:val="24"/>
        </w:rPr>
        <w:t xml:space="preserve"> </w:t>
      </w:r>
    </w:p>
    <w:p w14:paraId="21752508"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Forming the financial management of Barclays PLC stresses solving the problems in the results of financial ratios indicated during the analysis and looking at the strategic view introduced earlier. Here are several recommendations aimed at enhancing Barclays' financial health and competitive position:</w:t>
      </w:r>
    </w:p>
    <w:p w14:paraId="261A65C5"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lastRenderedPageBreak/>
        <w:t xml:space="preserve">Enhance Liquidity Management: </w:t>
      </w:r>
      <w:r w:rsidRPr="005E6905">
        <w:rPr>
          <w:rFonts w:ascii="Arial" w:hAnsi="Arial" w:cs="Arial"/>
          <w:lang w:val="en-IN"/>
        </w:rPr>
        <w:t>Considering the present ratio trailing 1, Brooks should give attention to enhancing its liquidity management mechanism (</w:t>
      </w:r>
      <w:r w:rsidRPr="005E6905">
        <w:rPr>
          <w:rFonts w:ascii="Arial" w:hAnsi="Arial" w:cs="Arial"/>
          <w:shd w:val="clear" w:color="auto" w:fill="FFFFFF"/>
        </w:rPr>
        <w:t xml:space="preserve">Feng, Lu, and Wang, 2019). </w:t>
      </w:r>
      <w:r w:rsidRPr="005E6905">
        <w:rPr>
          <w:rFonts w:ascii="Arial" w:hAnsi="Arial" w:cs="Arial"/>
          <w:lang w:val="en-IN"/>
        </w:rPr>
        <w:t xml:space="preserve">To realize this goal, the organisation should emphasize its asset optimization, maintaining liquid assets and curbing the use of liabilities misappropriation. Strategies that focus on stock increase in HQLA and inventory turnover improvement and, hence, working capital can be </w:t>
      </w:r>
      <w:proofErr w:type="gramStart"/>
      <w:r w:rsidRPr="005E6905">
        <w:rPr>
          <w:rFonts w:ascii="Arial" w:hAnsi="Arial" w:cs="Arial"/>
          <w:lang w:val="en-IN"/>
        </w:rPr>
        <w:t>taken into account</w:t>
      </w:r>
      <w:proofErr w:type="gramEnd"/>
      <w:r w:rsidRPr="005E6905">
        <w:rPr>
          <w:rFonts w:ascii="Arial" w:hAnsi="Arial" w:cs="Arial"/>
          <w:lang w:val="en-IN"/>
        </w:rPr>
        <w:t>. On the other hand, Barclays could sharpen its cash management techniques to have a certain liquid buffer for any rough weather that may come in the short term.</w:t>
      </w:r>
    </w:p>
    <w:p w14:paraId="5DBF0371"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 xml:space="preserve">Reduce Leverage: </w:t>
      </w:r>
      <w:r w:rsidRPr="005E6905">
        <w:rPr>
          <w:rFonts w:ascii="Arial" w:hAnsi="Arial" w:cs="Arial"/>
          <w:lang w:val="en-IN"/>
        </w:rPr>
        <w:t xml:space="preserve">The high debt-equity ratio puts in the affirmation of a significant contribution that debt provides while giving rise to a risk. Barclays </w:t>
      </w:r>
      <w:proofErr w:type="gramStart"/>
      <w:r w:rsidRPr="005E6905">
        <w:rPr>
          <w:rFonts w:ascii="Arial" w:hAnsi="Arial" w:cs="Arial"/>
          <w:lang w:val="en-IN"/>
        </w:rPr>
        <w:t>has to</w:t>
      </w:r>
      <w:proofErr w:type="gramEnd"/>
      <w:r w:rsidRPr="005E6905">
        <w:rPr>
          <w:rFonts w:ascii="Arial" w:hAnsi="Arial" w:cs="Arial"/>
          <w:lang w:val="en-IN"/>
        </w:rPr>
        <w:t xml:space="preserve"> examine solutions which will lower debt for its entire business by using mechanisms such as retaining more earnings (paying lower dividends) and issuing equity. </w:t>
      </w:r>
      <w:proofErr w:type="gramStart"/>
      <w:r w:rsidRPr="005E6905">
        <w:rPr>
          <w:rFonts w:ascii="Arial" w:hAnsi="Arial" w:cs="Arial"/>
          <w:lang w:val="en-IN"/>
        </w:rPr>
        <w:t>Therefore</w:t>
      </w:r>
      <w:proofErr w:type="gramEnd"/>
      <w:r w:rsidRPr="005E6905">
        <w:rPr>
          <w:rFonts w:ascii="Arial" w:hAnsi="Arial" w:cs="Arial"/>
          <w:lang w:val="en-IN"/>
        </w:rPr>
        <w:t xml:space="preserve"> this technique can be seen as a way for the bank to become a stronger financial instrument and protect it from recession. On the other hand, if the enterprise pays down the existing debt using those funds under the new credit terms, then interest expenses will go down and will eventually lead to a higher net flow.</w:t>
      </w:r>
    </w:p>
    <w:p w14:paraId="03F3EDD5"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 xml:space="preserve">Improve Operational Efficiency: </w:t>
      </w:r>
      <w:r w:rsidRPr="005E6905">
        <w:rPr>
          <w:rFonts w:ascii="Arial" w:hAnsi="Arial" w:cs="Arial"/>
          <w:lang w:val="en-IN"/>
        </w:rPr>
        <w:t>The economic control ratio indicates this area has the most potential for improvement in efficiency. An example would be the use of cost control measures by Barclays like the introduction of process automation, digitalisation of services and consolidation of those units or branches which do not add value. Try to introduce technology which could be utilized to improve operations, reduce costs, and upgrade customer service levels. addition of continuous improvement programs and lean management practices can assist in finding the inaccuracies and areas for cost saving (</w:t>
      </w:r>
      <w:r w:rsidRPr="005E6905">
        <w:rPr>
          <w:rFonts w:ascii="Arial" w:hAnsi="Arial" w:cs="Arial"/>
          <w:shd w:val="clear" w:color="auto" w:fill="FFFFFF"/>
        </w:rPr>
        <w:t xml:space="preserve">Singh, Clements, and </w:t>
      </w:r>
      <w:proofErr w:type="spellStart"/>
      <w:r w:rsidRPr="005E6905">
        <w:rPr>
          <w:rFonts w:ascii="Arial" w:hAnsi="Arial" w:cs="Arial"/>
          <w:shd w:val="clear" w:color="auto" w:fill="FFFFFF"/>
        </w:rPr>
        <w:t>Sonwaney</w:t>
      </w:r>
      <w:proofErr w:type="spellEnd"/>
      <w:r w:rsidRPr="005E6905">
        <w:rPr>
          <w:rFonts w:ascii="Arial" w:hAnsi="Arial" w:cs="Arial"/>
          <w:shd w:val="clear" w:color="auto" w:fill="FFFFFF"/>
        </w:rPr>
        <w:t>, 2018).</w:t>
      </w:r>
    </w:p>
    <w:p w14:paraId="3FF7A772"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 xml:space="preserve">Strengthen Profitability: </w:t>
      </w:r>
      <w:r w:rsidRPr="005E6905">
        <w:rPr>
          <w:rFonts w:ascii="Arial" w:hAnsi="Arial" w:cs="Arial"/>
          <w:lang w:val="en-IN"/>
        </w:rPr>
        <w:t>Through deeper penetration in the higher-margin goods and services, the bank can consider an adjustment in the mix of its products and services to the areas with higher returns. This could include investing in the banking markets that are still exploratory, fintech and digital banking services, or expanding the wealth management and investment banking department. Furthermore, the heightening of risk management measures that help to prevent loan default and credit losses is also important because it will ensure profitability and finally a higher ROE.</w:t>
      </w:r>
    </w:p>
    <w:p w14:paraId="1ADF9A8E"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Strategic Recommendations</w:t>
      </w:r>
    </w:p>
    <w:p w14:paraId="0F3900C5" w14:textId="77777777" w:rsidR="001529FD" w:rsidRPr="005E6905" w:rsidRDefault="001529FD" w:rsidP="005E6905">
      <w:pPr>
        <w:pStyle w:val="ListParagraph"/>
        <w:numPr>
          <w:ilvl w:val="0"/>
          <w:numId w:val="10"/>
        </w:numPr>
        <w:spacing w:before="120" w:after="120" w:line="360" w:lineRule="auto"/>
        <w:jc w:val="both"/>
        <w:rPr>
          <w:rFonts w:ascii="Arial" w:hAnsi="Arial" w:cs="Arial"/>
          <w:lang w:val="en-IN"/>
        </w:rPr>
      </w:pPr>
      <w:r w:rsidRPr="005E6905">
        <w:rPr>
          <w:rFonts w:ascii="Arial" w:hAnsi="Arial" w:cs="Arial"/>
          <w:lang w:val="en-IN"/>
        </w:rPr>
        <w:lastRenderedPageBreak/>
        <w:t>Diversification: If we want to remain protected, we can try looking into new markets or products that maybe will diversify our income sources, hence, less dependence on some segments that are underperforming.</w:t>
      </w:r>
    </w:p>
    <w:p w14:paraId="18DF4E79" w14:textId="77777777" w:rsidR="001529FD" w:rsidRPr="005E6905" w:rsidRDefault="001529FD" w:rsidP="005E6905">
      <w:pPr>
        <w:pStyle w:val="ListParagraph"/>
        <w:numPr>
          <w:ilvl w:val="0"/>
          <w:numId w:val="10"/>
        </w:numPr>
        <w:spacing w:before="120" w:after="120" w:line="360" w:lineRule="auto"/>
        <w:jc w:val="both"/>
        <w:rPr>
          <w:rFonts w:ascii="Arial" w:hAnsi="Arial" w:cs="Arial"/>
          <w:lang w:val="en-IN"/>
        </w:rPr>
      </w:pPr>
      <w:r w:rsidRPr="005E6905">
        <w:rPr>
          <w:rFonts w:ascii="Arial" w:hAnsi="Arial" w:cs="Arial"/>
          <w:lang w:val="en-IN"/>
        </w:rPr>
        <w:t>Digital Transformation: It isn’t just efficiency alone that investing in digital banking will bring but also it will meet customers with their increasingly changing expectations thereby providing potential areas of revenue streams (</w:t>
      </w:r>
      <w:r w:rsidRPr="005E6905">
        <w:rPr>
          <w:rFonts w:ascii="Arial" w:hAnsi="Arial" w:cs="Arial"/>
          <w:shd w:val="clear" w:color="auto" w:fill="FFFFFF"/>
        </w:rPr>
        <w:t>Vial, 2021).</w:t>
      </w:r>
    </w:p>
    <w:p w14:paraId="49D247AE" w14:textId="77777777" w:rsidR="001529FD" w:rsidRPr="005E6905" w:rsidRDefault="001529FD" w:rsidP="005E6905">
      <w:pPr>
        <w:pStyle w:val="ListParagraph"/>
        <w:numPr>
          <w:ilvl w:val="0"/>
          <w:numId w:val="10"/>
        </w:numPr>
        <w:spacing w:before="120" w:after="120" w:line="360" w:lineRule="auto"/>
        <w:jc w:val="both"/>
        <w:rPr>
          <w:rFonts w:ascii="Arial" w:hAnsi="Arial" w:cs="Arial"/>
          <w:lang w:val="en-IN"/>
        </w:rPr>
      </w:pPr>
      <w:r w:rsidRPr="005E6905">
        <w:rPr>
          <w:rFonts w:ascii="Arial" w:hAnsi="Arial" w:cs="Arial"/>
          <w:lang w:val="en-IN"/>
        </w:rPr>
        <w:t>Sustainability and ESG Focus: Company policies, practices, and output can be altered in a way that will facilitate socially responsible investments and better public opinion and lead to improved financial performance in the long run (</w:t>
      </w:r>
      <w:r w:rsidRPr="005E6905">
        <w:rPr>
          <w:rFonts w:ascii="Arial" w:hAnsi="Arial" w:cs="Arial"/>
          <w:shd w:val="clear" w:color="auto" w:fill="FFFFFF"/>
        </w:rPr>
        <w:t>Maury, 2018).</w:t>
      </w:r>
    </w:p>
    <w:p w14:paraId="2314C23E"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Promoting Barclays' sound financial peculiarities requires a multidimensional process that should factor in both the pressing financial metrics and the company’s long-term strategy. By concentrating on liquidity, leverage, efficiency, and earnings alongside using the strategic market opportunities in technology, and sustainability, Barclays thus, can better its financial health and standing in the worldwide financial market.</w:t>
      </w:r>
    </w:p>
    <w:p w14:paraId="6E6C8ACE" w14:textId="77777777" w:rsidR="001529FD" w:rsidRPr="00790BC6" w:rsidRDefault="001529FD" w:rsidP="005E6905">
      <w:pPr>
        <w:pStyle w:val="Heading1"/>
        <w:spacing w:line="360" w:lineRule="auto"/>
        <w:jc w:val="both"/>
        <w:rPr>
          <w:rFonts w:ascii="Arial" w:hAnsi="Arial" w:cs="Arial"/>
          <w:b/>
          <w:bCs/>
          <w:color w:val="auto"/>
          <w:sz w:val="22"/>
          <w:szCs w:val="22"/>
          <w:lang w:val="en-IN"/>
        </w:rPr>
      </w:pPr>
      <w:bookmarkStart w:id="10" w:name="_Toc160294895"/>
      <w:r w:rsidRPr="00790BC6">
        <w:rPr>
          <w:rFonts w:ascii="Arial" w:hAnsi="Arial" w:cs="Arial"/>
          <w:b/>
          <w:bCs/>
          <w:color w:val="auto"/>
          <w:sz w:val="22"/>
          <w:szCs w:val="22"/>
          <w:lang w:val="en-IN"/>
        </w:rPr>
        <w:t xml:space="preserve">Part </w:t>
      </w:r>
      <w:bookmarkEnd w:id="10"/>
      <w:r w:rsidRPr="00790BC6">
        <w:rPr>
          <w:rFonts w:ascii="Arial" w:hAnsi="Arial" w:cs="Arial"/>
          <w:b/>
          <w:bCs/>
          <w:color w:val="auto"/>
          <w:sz w:val="22"/>
          <w:szCs w:val="22"/>
          <w:lang w:val="en-IN"/>
        </w:rPr>
        <w:t>C</w:t>
      </w:r>
    </w:p>
    <w:p w14:paraId="5515E936" w14:textId="77777777" w:rsidR="001529FD" w:rsidRPr="00790BC6" w:rsidRDefault="001529FD" w:rsidP="005E6905">
      <w:pPr>
        <w:pStyle w:val="Heading2"/>
        <w:spacing w:line="360" w:lineRule="auto"/>
        <w:jc w:val="both"/>
        <w:rPr>
          <w:rFonts w:ascii="Arial" w:hAnsi="Arial" w:cs="Arial"/>
          <w:b/>
          <w:bCs/>
          <w:color w:val="auto"/>
          <w:sz w:val="22"/>
          <w:szCs w:val="22"/>
        </w:rPr>
      </w:pPr>
      <w:bookmarkStart w:id="11" w:name="_Toc160294896"/>
      <w:r w:rsidRPr="00790BC6">
        <w:rPr>
          <w:rFonts w:ascii="Arial" w:hAnsi="Arial" w:cs="Arial"/>
          <w:b/>
          <w:bCs/>
          <w:color w:val="auto"/>
          <w:sz w:val="22"/>
          <w:szCs w:val="22"/>
        </w:rPr>
        <w:t>Calculations</w:t>
      </w:r>
      <w:bookmarkEnd w:id="11"/>
    </w:p>
    <w:p w14:paraId="44A09781"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Payback Period (PBP):</w:t>
      </w:r>
    </w:p>
    <w:p w14:paraId="5FE1165D"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A:</w:t>
      </w:r>
    </w:p>
    <w:p w14:paraId="5923DA35" w14:textId="77777777" w:rsidR="001529FD" w:rsidRPr="005E6905" w:rsidRDefault="001529FD" w:rsidP="005E6905">
      <w:pPr>
        <w:pStyle w:val="ListParagraph"/>
        <w:numPr>
          <w:ilvl w:val="0"/>
          <w:numId w:val="13"/>
        </w:numPr>
        <w:spacing w:before="120" w:after="120" w:line="360" w:lineRule="auto"/>
        <w:jc w:val="both"/>
        <w:rPr>
          <w:rFonts w:ascii="Arial" w:hAnsi="Arial" w:cs="Arial"/>
          <w:lang w:val="en-IN"/>
        </w:rPr>
      </w:pPr>
      <w:r w:rsidRPr="005E6905">
        <w:rPr>
          <w:rFonts w:ascii="Arial" w:hAnsi="Arial" w:cs="Arial"/>
          <w:lang w:val="en-IN"/>
        </w:rPr>
        <w:t>Cumulative cash flow until year 1: -£5,000,000</w:t>
      </w:r>
    </w:p>
    <w:p w14:paraId="4F76F6B9" w14:textId="77777777" w:rsidR="001529FD" w:rsidRPr="005E6905" w:rsidRDefault="001529FD" w:rsidP="005E6905">
      <w:pPr>
        <w:pStyle w:val="ListParagraph"/>
        <w:numPr>
          <w:ilvl w:val="0"/>
          <w:numId w:val="13"/>
        </w:numPr>
        <w:spacing w:before="120" w:after="120" w:line="360" w:lineRule="auto"/>
        <w:jc w:val="both"/>
        <w:rPr>
          <w:rFonts w:ascii="Arial" w:hAnsi="Arial" w:cs="Arial"/>
          <w:lang w:val="en-IN"/>
        </w:rPr>
      </w:pPr>
      <w:r w:rsidRPr="005E6905">
        <w:rPr>
          <w:rFonts w:ascii="Arial" w:hAnsi="Arial" w:cs="Arial"/>
          <w:lang w:val="en-IN"/>
        </w:rPr>
        <w:t>Cash flow in year 2: £2,000,000</w:t>
      </w:r>
    </w:p>
    <w:p w14:paraId="21E3FE63" w14:textId="77777777" w:rsidR="001529FD" w:rsidRPr="005E6905" w:rsidRDefault="001529FD" w:rsidP="005E6905">
      <w:pPr>
        <w:pStyle w:val="ListParagraph"/>
        <w:numPr>
          <w:ilvl w:val="0"/>
          <w:numId w:val="13"/>
        </w:numPr>
        <w:spacing w:before="120" w:after="120" w:line="360" w:lineRule="auto"/>
        <w:jc w:val="both"/>
        <w:rPr>
          <w:rFonts w:ascii="Arial" w:hAnsi="Arial" w:cs="Arial"/>
          <w:lang w:val="en-IN"/>
        </w:rPr>
      </w:pPr>
      <w:r w:rsidRPr="005E6905">
        <w:rPr>
          <w:rFonts w:ascii="Arial" w:hAnsi="Arial" w:cs="Arial"/>
          <w:lang w:val="en-IN"/>
        </w:rPr>
        <w:t>PBP = Year 1 + (Initial investment needed to recover) / Cash flow in a year where payback is achieved</w:t>
      </w:r>
    </w:p>
    <w:p w14:paraId="42A2D403" w14:textId="77777777" w:rsidR="001529FD" w:rsidRPr="005E6905" w:rsidRDefault="001529FD" w:rsidP="005E6905">
      <w:pPr>
        <w:pStyle w:val="ListParagraph"/>
        <w:numPr>
          <w:ilvl w:val="0"/>
          <w:numId w:val="13"/>
        </w:numPr>
        <w:spacing w:before="120" w:after="120" w:line="360" w:lineRule="auto"/>
        <w:jc w:val="both"/>
        <w:rPr>
          <w:rFonts w:ascii="Arial" w:hAnsi="Arial" w:cs="Arial"/>
          <w:lang w:val="en-IN"/>
        </w:rPr>
      </w:pPr>
      <w:r w:rsidRPr="005E6905">
        <w:rPr>
          <w:rFonts w:ascii="Arial" w:hAnsi="Arial" w:cs="Arial"/>
          <w:lang w:val="en-IN"/>
        </w:rPr>
        <w:t>PBP = 1 + (£3,000,000 / £2,000,000) = 2.5 years</w:t>
      </w:r>
    </w:p>
    <w:p w14:paraId="7BAC4BD5"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B:</w:t>
      </w:r>
    </w:p>
    <w:p w14:paraId="1BE614EE" w14:textId="77777777" w:rsidR="001529FD" w:rsidRPr="005E6905" w:rsidRDefault="001529FD" w:rsidP="005E6905">
      <w:pPr>
        <w:pStyle w:val="ListParagraph"/>
        <w:numPr>
          <w:ilvl w:val="0"/>
          <w:numId w:val="14"/>
        </w:numPr>
        <w:spacing w:before="120" w:after="120" w:line="360" w:lineRule="auto"/>
        <w:jc w:val="both"/>
        <w:rPr>
          <w:rFonts w:ascii="Arial" w:hAnsi="Arial" w:cs="Arial"/>
          <w:lang w:val="en-IN"/>
        </w:rPr>
      </w:pPr>
      <w:r w:rsidRPr="005E6905">
        <w:rPr>
          <w:rFonts w:ascii="Arial" w:hAnsi="Arial" w:cs="Arial"/>
          <w:lang w:val="en-IN"/>
        </w:rPr>
        <w:t>Cumulative cash flow until year 1: -£1,000,000</w:t>
      </w:r>
    </w:p>
    <w:p w14:paraId="64BDAD53" w14:textId="77777777" w:rsidR="001529FD" w:rsidRPr="005E6905" w:rsidRDefault="001529FD" w:rsidP="005E6905">
      <w:pPr>
        <w:pStyle w:val="ListParagraph"/>
        <w:numPr>
          <w:ilvl w:val="0"/>
          <w:numId w:val="14"/>
        </w:numPr>
        <w:spacing w:before="120" w:after="120" w:line="360" w:lineRule="auto"/>
        <w:jc w:val="both"/>
        <w:rPr>
          <w:rFonts w:ascii="Arial" w:hAnsi="Arial" w:cs="Arial"/>
          <w:lang w:val="en-IN"/>
        </w:rPr>
      </w:pPr>
      <w:r w:rsidRPr="005E6905">
        <w:rPr>
          <w:rFonts w:ascii="Arial" w:hAnsi="Arial" w:cs="Arial"/>
          <w:lang w:val="en-IN"/>
        </w:rPr>
        <w:t>Cash flow in year 2: £1,000,000</w:t>
      </w:r>
    </w:p>
    <w:p w14:paraId="5BAF3233" w14:textId="77777777" w:rsidR="001529FD" w:rsidRPr="005E6905" w:rsidRDefault="001529FD" w:rsidP="005E6905">
      <w:pPr>
        <w:pStyle w:val="ListParagraph"/>
        <w:numPr>
          <w:ilvl w:val="0"/>
          <w:numId w:val="14"/>
        </w:numPr>
        <w:spacing w:before="120" w:after="120" w:line="360" w:lineRule="auto"/>
        <w:jc w:val="both"/>
        <w:rPr>
          <w:rFonts w:ascii="Arial" w:hAnsi="Arial" w:cs="Arial"/>
          <w:lang w:val="en-IN"/>
        </w:rPr>
      </w:pPr>
      <w:r w:rsidRPr="005E6905">
        <w:rPr>
          <w:rFonts w:ascii="Arial" w:hAnsi="Arial" w:cs="Arial"/>
          <w:lang w:val="en-IN"/>
        </w:rPr>
        <w:t>PBP = 1 + (£0 / £1,000,000) = 1 year</w:t>
      </w:r>
    </w:p>
    <w:p w14:paraId="6B25C1B1"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Accounting Rate of Return (ARR):</w:t>
      </w:r>
    </w:p>
    <w:p w14:paraId="2284841C"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A:</w:t>
      </w:r>
    </w:p>
    <w:p w14:paraId="50CCF3B9" w14:textId="77777777" w:rsidR="001529FD" w:rsidRPr="005E6905" w:rsidRDefault="001529FD" w:rsidP="005E6905">
      <w:pPr>
        <w:pStyle w:val="ListParagraph"/>
        <w:numPr>
          <w:ilvl w:val="0"/>
          <w:numId w:val="15"/>
        </w:numPr>
        <w:spacing w:before="120" w:after="120" w:line="360" w:lineRule="auto"/>
        <w:jc w:val="both"/>
        <w:rPr>
          <w:rFonts w:ascii="Arial" w:hAnsi="Arial" w:cs="Arial"/>
          <w:lang w:val="en-IN"/>
        </w:rPr>
      </w:pPr>
      <w:r w:rsidRPr="005E6905">
        <w:rPr>
          <w:rFonts w:ascii="Arial" w:hAnsi="Arial" w:cs="Arial"/>
          <w:lang w:val="en-IN"/>
        </w:rPr>
        <w:t>Average annual profit = (£2,500,000 + £2,000,000 + £1,000,000 + £442,000) / 4 = £1,485,500</w:t>
      </w:r>
    </w:p>
    <w:p w14:paraId="61AED9F8" w14:textId="77777777" w:rsidR="001529FD" w:rsidRPr="005E6905" w:rsidRDefault="001529FD" w:rsidP="005E6905">
      <w:pPr>
        <w:pStyle w:val="ListParagraph"/>
        <w:numPr>
          <w:ilvl w:val="0"/>
          <w:numId w:val="15"/>
        </w:numPr>
        <w:spacing w:before="120" w:after="120" w:line="360" w:lineRule="auto"/>
        <w:jc w:val="both"/>
        <w:rPr>
          <w:rFonts w:ascii="Arial" w:hAnsi="Arial" w:cs="Arial"/>
          <w:lang w:val="en-IN"/>
        </w:rPr>
      </w:pPr>
      <w:r w:rsidRPr="005E6905">
        <w:rPr>
          <w:rFonts w:ascii="Arial" w:hAnsi="Arial" w:cs="Arial"/>
          <w:lang w:val="en-IN"/>
        </w:rPr>
        <w:t>ARR = (Average annual profit / Initial investment) * 100%</w:t>
      </w:r>
    </w:p>
    <w:p w14:paraId="0BECF02A" w14:textId="77777777" w:rsidR="001529FD" w:rsidRPr="005E6905" w:rsidRDefault="001529FD" w:rsidP="005E6905">
      <w:pPr>
        <w:pStyle w:val="ListParagraph"/>
        <w:numPr>
          <w:ilvl w:val="0"/>
          <w:numId w:val="15"/>
        </w:numPr>
        <w:spacing w:before="120" w:after="120" w:line="360" w:lineRule="auto"/>
        <w:jc w:val="both"/>
        <w:rPr>
          <w:rFonts w:ascii="Arial" w:hAnsi="Arial" w:cs="Arial"/>
          <w:lang w:val="en-IN"/>
        </w:rPr>
      </w:pPr>
      <w:r w:rsidRPr="005E6905">
        <w:rPr>
          <w:rFonts w:ascii="Arial" w:hAnsi="Arial" w:cs="Arial"/>
          <w:lang w:val="en-IN"/>
        </w:rPr>
        <w:lastRenderedPageBreak/>
        <w:t>ARR = (£1,485,500 / £5,000,000) * 100% = 29.71%</w:t>
      </w:r>
    </w:p>
    <w:p w14:paraId="1BC63268"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B:</w:t>
      </w:r>
    </w:p>
    <w:p w14:paraId="1D888DA2" w14:textId="77777777" w:rsidR="001529FD" w:rsidRPr="005E6905" w:rsidRDefault="001529FD" w:rsidP="005E6905">
      <w:pPr>
        <w:pStyle w:val="ListParagraph"/>
        <w:numPr>
          <w:ilvl w:val="0"/>
          <w:numId w:val="16"/>
        </w:numPr>
        <w:spacing w:before="120" w:after="120" w:line="360" w:lineRule="auto"/>
        <w:jc w:val="both"/>
        <w:rPr>
          <w:rFonts w:ascii="Arial" w:hAnsi="Arial" w:cs="Arial"/>
          <w:lang w:val="en-IN"/>
        </w:rPr>
      </w:pPr>
      <w:r w:rsidRPr="005E6905">
        <w:rPr>
          <w:rFonts w:ascii="Arial" w:hAnsi="Arial" w:cs="Arial"/>
          <w:lang w:val="en-IN"/>
        </w:rPr>
        <w:t>Average annual profit = (£1,500,000 + £1,000,000 + £1,000,000 + £470,000) / 4 = £1,017,500</w:t>
      </w:r>
    </w:p>
    <w:p w14:paraId="1AAE4F21" w14:textId="77777777" w:rsidR="001529FD" w:rsidRPr="005E6905" w:rsidRDefault="001529FD" w:rsidP="005E6905">
      <w:pPr>
        <w:pStyle w:val="ListParagraph"/>
        <w:numPr>
          <w:ilvl w:val="0"/>
          <w:numId w:val="16"/>
        </w:numPr>
        <w:spacing w:before="120" w:after="120" w:line="360" w:lineRule="auto"/>
        <w:jc w:val="both"/>
        <w:rPr>
          <w:rFonts w:ascii="Arial" w:hAnsi="Arial" w:cs="Arial"/>
          <w:lang w:val="en-IN"/>
        </w:rPr>
      </w:pPr>
      <w:r w:rsidRPr="005E6905">
        <w:rPr>
          <w:rFonts w:ascii="Arial" w:hAnsi="Arial" w:cs="Arial"/>
          <w:lang w:val="en-IN"/>
        </w:rPr>
        <w:t>ARR = (£1,017,500 / £1,000,000) * 100% = 101.75%</w:t>
      </w:r>
    </w:p>
    <w:p w14:paraId="2C1E5F36"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Net Present Value (NPV):</w:t>
      </w:r>
    </w:p>
    <w:p w14:paraId="24375344"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Discount factor (r) = 0.75% or 0.0075</w:t>
      </w:r>
    </w:p>
    <w:p w14:paraId="79821777"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A:</w:t>
      </w:r>
    </w:p>
    <w:p w14:paraId="0ECB202D" w14:textId="77777777" w:rsidR="001529FD" w:rsidRPr="005E6905" w:rsidRDefault="001529FD" w:rsidP="005E6905">
      <w:pPr>
        <w:pStyle w:val="ListParagraph"/>
        <w:numPr>
          <w:ilvl w:val="0"/>
          <w:numId w:val="11"/>
        </w:numPr>
        <w:spacing w:before="120" w:after="120" w:line="360" w:lineRule="auto"/>
        <w:jc w:val="both"/>
        <w:rPr>
          <w:rFonts w:ascii="Arial" w:hAnsi="Arial" w:cs="Arial"/>
          <w:lang w:val="en-IN"/>
        </w:rPr>
      </w:pPr>
      <w:r w:rsidRPr="005E6905">
        <w:rPr>
          <w:rFonts w:ascii="Arial" w:hAnsi="Arial" w:cs="Arial"/>
          <w:lang w:val="en-IN"/>
        </w:rPr>
        <w:t xml:space="preserve">NPV = Year 0 cash flow + (Year 1 cash flow / (1 + r)) + (Year 2 cash flow / (1 + </w:t>
      </w:r>
      <w:proofErr w:type="gramStart"/>
      <w:r w:rsidRPr="005E6905">
        <w:rPr>
          <w:rFonts w:ascii="Arial" w:hAnsi="Arial" w:cs="Arial"/>
          <w:lang w:val="en-IN"/>
        </w:rPr>
        <w:t>r)^</w:t>
      </w:r>
      <w:proofErr w:type="gramEnd"/>
      <w:r w:rsidRPr="005E6905">
        <w:rPr>
          <w:rFonts w:ascii="Arial" w:hAnsi="Arial" w:cs="Arial"/>
          <w:lang w:val="en-IN"/>
        </w:rPr>
        <w:t>2) + ... + (Year 4 cash flow / (1 + r)^4)</w:t>
      </w:r>
    </w:p>
    <w:p w14:paraId="219E2036" w14:textId="77777777" w:rsidR="001529FD" w:rsidRPr="005E6905" w:rsidRDefault="001529FD" w:rsidP="005E6905">
      <w:pPr>
        <w:pStyle w:val="ListParagraph"/>
        <w:numPr>
          <w:ilvl w:val="0"/>
          <w:numId w:val="11"/>
        </w:numPr>
        <w:spacing w:before="120" w:after="120" w:line="360" w:lineRule="auto"/>
        <w:jc w:val="both"/>
        <w:rPr>
          <w:rFonts w:ascii="Arial" w:hAnsi="Arial" w:cs="Arial"/>
          <w:lang w:val="en-IN"/>
        </w:rPr>
      </w:pPr>
      <w:r w:rsidRPr="005E6905">
        <w:rPr>
          <w:rFonts w:ascii="Arial" w:hAnsi="Arial" w:cs="Arial"/>
          <w:lang w:val="en-IN"/>
        </w:rPr>
        <w:t>NPV = -£5,000,000 + (£2,500,000 / 1.0075) + (£2,000,000 / 1.015) + (£1,000,000 / 1.0225) + (£442,000 / 1.03)</w:t>
      </w:r>
    </w:p>
    <w:p w14:paraId="4A46847E" w14:textId="77777777" w:rsidR="001529FD" w:rsidRPr="005E6905" w:rsidRDefault="001529FD" w:rsidP="005E6905">
      <w:pPr>
        <w:pStyle w:val="ListParagraph"/>
        <w:numPr>
          <w:ilvl w:val="0"/>
          <w:numId w:val="11"/>
        </w:numPr>
        <w:spacing w:before="120" w:after="120" w:line="360" w:lineRule="auto"/>
        <w:jc w:val="both"/>
        <w:rPr>
          <w:rFonts w:ascii="Arial" w:hAnsi="Arial" w:cs="Arial"/>
          <w:lang w:val="en-IN"/>
        </w:rPr>
      </w:pPr>
      <w:r w:rsidRPr="005E6905">
        <w:rPr>
          <w:rFonts w:ascii="Arial" w:hAnsi="Arial" w:cs="Arial"/>
          <w:lang w:val="en-IN"/>
        </w:rPr>
        <w:t>NPV = £1,928,460.59</w:t>
      </w:r>
    </w:p>
    <w:p w14:paraId="0E55BD8D"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B:</w:t>
      </w:r>
    </w:p>
    <w:p w14:paraId="0A5593A8" w14:textId="77777777" w:rsidR="001529FD" w:rsidRPr="005E6905" w:rsidRDefault="001529FD" w:rsidP="005E6905">
      <w:pPr>
        <w:pStyle w:val="ListParagraph"/>
        <w:numPr>
          <w:ilvl w:val="0"/>
          <w:numId w:val="12"/>
        </w:numPr>
        <w:spacing w:before="120" w:after="120" w:line="360" w:lineRule="auto"/>
        <w:jc w:val="both"/>
        <w:rPr>
          <w:rFonts w:ascii="Arial" w:hAnsi="Arial" w:cs="Arial"/>
          <w:lang w:val="en-IN"/>
        </w:rPr>
      </w:pPr>
      <w:r w:rsidRPr="005E6905">
        <w:rPr>
          <w:rFonts w:ascii="Arial" w:hAnsi="Arial" w:cs="Arial"/>
          <w:lang w:val="en-IN"/>
        </w:rPr>
        <w:t>NPV = -£1,000,000 + (£1,500,000 / 1.0075) + (£1,000,000 / 1.015) + (£1,000,000 / 1.0225) + (£470,000 / 1.03)</w:t>
      </w:r>
    </w:p>
    <w:p w14:paraId="100E47CF" w14:textId="77777777" w:rsidR="001529FD" w:rsidRPr="005E6905" w:rsidRDefault="001529FD" w:rsidP="005E6905">
      <w:pPr>
        <w:pStyle w:val="ListParagraph"/>
        <w:numPr>
          <w:ilvl w:val="0"/>
          <w:numId w:val="12"/>
        </w:numPr>
        <w:spacing w:before="120" w:after="120" w:line="360" w:lineRule="auto"/>
        <w:jc w:val="both"/>
        <w:rPr>
          <w:rFonts w:ascii="Arial" w:hAnsi="Arial" w:cs="Arial"/>
          <w:lang w:val="en-IN"/>
        </w:rPr>
      </w:pPr>
      <w:r w:rsidRPr="005E6905">
        <w:rPr>
          <w:rFonts w:ascii="Arial" w:hAnsi="Arial" w:cs="Arial"/>
          <w:lang w:val="en-IN"/>
        </w:rPr>
        <w:t>NPV = £4,204,228.30</w:t>
      </w:r>
    </w:p>
    <w:p w14:paraId="0EE59762"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Evaluation and Recommendation</w:t>
      </w:r>
    </w:p>
    <w:p w14:paraId="18ED5382"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While Project A recovers the initial investment faster, Project B offers a more compelling overall financial picture for the following reasons:</w:t>
      </w:r>
    </w:p>
    <w:p w14:paraId="63A971F3"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Higher Discounted Cash Flow</w:t>
      </w:r>
      <w:r w:rsidRPr="005E6905">
        <w:rPr>
          <w:rFonts w:ascii="Arial" w:hAnsi="Arial" w:cs="Arial"/>
          <w:lang w:val="en-IN"/>
        </w:rPr>
        <w:t>: NPV incorporates the time value of money category which means it acknowledges that having money at this moment is more valuable than having the same amount of money later. A steep difference in the NPV between Project B and Project A, projected by the NPV inequality relationship (£4,204,228.30 and £1,928,460.59, respectively) shows that, while considering the cash flow discounting, Project B generates the much larger present value of these cash inflows compared to Project A. The higher NPV represents a relative net gain from the investment and brings about additional profits for Barclays.</w:t>
      </w:r>
    </w:p>
    <w:p w14:paraId="76855B4E"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Superior Long-Term Profitability</w:t>
      </w:r>
      <w:r w:rsidRPr="005E6905">
        <w:rPr>
          <w:rFonts w:ascii="Arial" w:hAnsi="Arial" w:cs="Arial"/>
          <w:lang w:val="en-IN"/>
        </w:rPr>
        <w:t>: This shows that Project B has an ARR (101.75%) that is much higher than Project A (29.71%) which means that the average. return of investment is significantly higher in the case of Project B for the period it's in between. It could be concluded that more profitability in the long run is the practicality of the project due to its reliability as an income stream for Barclays.</w:t>
      </w:r>
    </w:p>
    <w:p w14:paraId="750CABFB"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lastRenderedPageBreak/>
        <w:t>Alignment with Cost of Capital</w:t>
      </w:r>
      <w:r w:rsidRPr="005E6905">
        <w:rPr>
          <w:rFonts w:ascii="Arial" w:hAnsi="Arial" w:cs="Arial"/>
          <w:lang w:val="en-IN"/>
        </w:rPr>
        <w:t>: This means both projects have a positive ARR which is higher than the company’s capital costs (its cost of capital which equals 0.75%). However, on the other hand, Project B's ARR is significantly above the hurdle rate, which means that it generates returns that far exceed the minimum required yield, as opposed to when the hurdle rate is equal to or less than that achieved by Project B. In other words, this information indicates that Project B provides a better output of the company's invested capital compared to Project A.</w:t>
      </w:r>
    </w:p>
    <w:p w14:paraId="022EA4B6"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Risk Considerations</w:t>
      </w:r>
      <w:r w:rsidRPr="005E6905">
        <w:rPr>
          <w:rFonts w:ascii="Arial" w:hAnsi="Arial" w:cs="Arial"/>
          <w:lang w:val="en-IN"/>
        </w:rPr>
        <w:t xml:space="preserve">: The situation as such does not talk about the risk directly but it is a must to acknowledge that high yield most often implies increased risk. Certainly, for Barclays, a comprehensive risk assessment would be essential for both projects primarily </w:t>
      </w:r>
      <w:proofErr w:type="gramStart"/>
      <w:r w:rsidRPr="005E6905">
        <w:rPr>
          <w:rFonts w:ascii="Arial" w:hAnsi="Arial" w:cs="Arial"/>
          <w:lang w:val="en-IN"/>
        </w:rPr>
        <w:t>taking into account</w:t>
      </w:r>
      <w:proofErr w:type="gramEnd"/>
      <w:r w:rsidRPr="005E6905">
        <w:rPr>
          <w:rFonts w:ascii="Arial" w:hAnsi="Arial" w:cs="Arial"/>
          <w:lang w:val="en-IN"/>
        </w:rPr>
        <w:t xml:space="preserve"> such elements as market fluctuations, competition, and possible challenges in operational performance to make the final decision.</w:t>
      </w:r>
    </w:p>
    <w:p w14:paraId="52719C94"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Strategic Fit</w:t>
      </w:r>
      <w:r w:rsidRPr="005E6905">
        <w:rPr>
          <w:rFonts w:ascii="Arial" w:hAnsi="Arial" w:cs="Arial"/>
          <w:lang w:val="en-IN"/>
        </w:rPr>
        <w:t>: Being aware of how a certain project corresponds to the overall strategic objectives and risk budget of the bank is an important part of any successful project management. Fast payback period must not be the only criterion for evaluating the suitability of Project A. If Project A is not more conducive to the company's long-term vision and business strategy, then Project A is not the best choice even if it has a smaller payback period.</w:t>
      </w:r>
    </w:p>
    <w:p w14:paraId="6B90B807" w14:textId="77777777" w:rsidR="001529FD" w:rsidRPr="00790BC6" w:rsidRDefault="001529FD" w:rsidP="005E6905">
      <w:pPr>
        <w:pStyle w:val="Heading2"/>
        <w:spacing w:line="360" w:lineRule="auto"/>
        <w:jc w:val="both"/>
        <w:rPr>
          <w:rFonts w:ascii="Arial" w:hAnsi="Arial" w:cs="Arial"/>
          <w:b/>
          <w:bCs/>
          <w:color w:val="auto"/>
          <w:sz w:val="22"/>
          <w:szCs w:val="22"/>
        </w:rPr>
      </w:pPr>
      <w:bookmarkStart w:id="12" w:name="_Toc160294897"/>
      <w:r w:rsidRPr="00790BC6">
        <w:rPr>
          <w:rFonts w:ascii="Arial" w:hAnsi="Arial" w:cs="Arial"/>
          <w:b/>
          <w:bCs/>
          <w:color w:val="auto"/>
          <w:sz w:val="22"/>
          <w:szCs w:val="22"/>
        </w:rPr>
        <w:t>Re-calculation</w:t>
      </w:r>
      <w:bookmarkEnd w:id="12"/>
      <w:r w:rsidRPr="00790BC6">
        <w:rPr>
          <w:rFonts w:ascii="Arial" w:hAnsi="Arial" w:cs="Arial"/>
          <w:b/>
          <w:bCs/>
          <w:color w:val="auto"/>
          <w:sz w:val="22"/>
          <w:szCs w:val="22"/>
        </w:rPr>
        <w:t xml:space="preserve"> </w:t>
      </w:r>
    </w:p>
    <w:p w14:paraId="29F0C25B"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A:</w:t>
      </w:r>
    </w:p>
    <w:p w14:paraId="145CE06C" w14:textId="77777777" w:rsidR="001529FD" w:rsidRPr="005E6905" w:rsidRDefault="001529FD" w:rsidP="005E6905">
      <w:pPr>
        <w:pStyle w:val="ListParagraph"/>
        <w:numPr>
          <w:ilvl w:val="0"/>
          <w:numId w:val="18"/>
        </w:numPr>
        <w:spacing w:before="120" w:after="120" w:line="360" w:lineRule="auto"/>
        <w:jc w:val="both"/>
        <w:rPr>
          <w:rFonts w:ascii="Arial" w:hAnsi="Arial" w:cs="Arial"/>
          <w:lang w:val="en-IN"/>
        </w:rPr>
      </w:pPr>
      <w:r w:rsidRPr="005E6905">
        <w:rPr>
          <w:rFonts w:ascii="Arial" w:hAnsi="Arial" w:cs="Arial"/>
          <w:lang w:val="en-IN"/>
        </w:rPr>
        <w:t>Initial investment increase: 10% of £5,000,000 = £500,000</w:t>
      </w:r>
    </w:p>
    <w:p w14:paraId="4A1A4E06" w14:textId="77777777" w:rsidR="001529FD" w:rsidRPr="005E6905" w:rsidRDefault="001529FD" w:rsidP="005E6905">
      <w:pPr>
        <w:pStyle w:val="ListParagraph"/>
        <w:numPr>
          <w:ilvl w:val="0"/>
          <w:numId w:val="18"/>
        </w:numPr>
        <w:spacing w:before="120" w:after="120" w:line="360" w:lineRule="auto"/>
        <w:jc w:val="both"/>
        <w:rPr>
          <w:rFonts w:ascii="Arial" w:hAnsi="Arial" w:cs="Arial"/>
          <w:lang w:val="en-IN"/>
        </w:rPr>
      </w:pPr>
      <w:r w:rsidRPr="005E6905">
        <w:rPr>
          <w:rFonts w:ascii="Arial" w:hAnsi="Arial" w:cs="Arial"/>
          <w:lang w:val="en-IN"/>
        </w:rPr>
        <w:t>New initial investment: £5,000,000 + £500,000 = £5,500,000</w:t>
      </w:r>
    </w:p>
    <w:p w14:paraId="6E301E42" w14:textId="77777777" w:rsidR="001529FD" w:rsidRPr="005E6905" w:rsidRDefault="001529FD" w:rsidP="005E6905">
      <w:pPr>
        <w:pStyle w:val="ListParagraph"/>
        <w:numPr>
          <w:ilvl w:val="0"/>
          <w:numId w:val="18"/>
        </w:numPr>
        <w:spacing w:before="120" w:after="120" w:line="360" w:lineRule="auto"/>
        <w:jc w:val="both"/>
        <w:rPr>
          <w:rFonts w:ascii="Arial" w:hAnsi="Arial" w:cs="Arial"/>
          <w:lang w:val="en-IN"/>
        </w:rPr>
      </w:pPr>
      <w:r w:rsidRPr="005E6905">
        <w:rPr>
          <w:rFonts w:ascii="Arial" w:hAnsi="Arial" w:cs="Arial"/>
          <w:lang w:val="en-IN"/>
        </w:rPr>
        <w:t xml:space="preserve">Cash flow decrease: 10% across all </w:t>
      </w:r>
      <w:proofErr w:type="gramStart"/>
      <w:r w:rsidRPr="005E6905">
        <w:rPr>
          <w:rFonts w:ascii="Arial" w:hAnsi="Arial" w:cs="Arial"/>
          <w:lang w:val="en-IN"/>
        </w:rPr>
        <w:t>years</w:t>
      </w:r>
      <w:proofErr w:type="gramEnd"/>
    </w:p>
    <w:p w14:paraId="4705C143" w14:textId="77777777" w:rsidR="001529FD" w:rsidRPr="005E6905" w:rsidRDefault="001529FD" w:rsidP="005E6905">
      <w:pPr>
        <w:pStyle w:val="ListParagraph"/>
        <w:numPr>
          <w:ilvl w:val="0"/>
          <w:numId w:val="18"/>
        </w:numPr>
        <w:spacing w:before="120" w:after="120" w:line="360" w:lineRule="auto"/>
        <w:jc w:val="both"/>
        <w:rPr>
          <w:rFonts w:ascii="Arial" w:hAnsi="Arial" w:cs="Arial"/>
          <w:lang w:val="en-IN"/>
        </w:rPr>
      </w:pPr>
      <w:r w:rsidRPr="005E6905">
        <w:rPr>
          <w:rFonts w:ascii="Arial" w:hAnsi="Arial" w:cs="Arial"/>
          <w:lang w:val="en-IN"/>
        </w:rPr>
        <w:t xml:space="preserve">Recalculated NPV using the new parameters: </w:t>
      </w:r>
      <w:proofErr w:type="gramStart"/>
      <w:r w:rsidRPr="005E6905">
        <w:rPr>
          <w:rFonts w:ascii="Arial" w:hAnsi="Arial" w:cs="Arial"/>
          <w:lang w:val="en-IN"/>
        </w:rPr>
        <w:t>£923,922.73</w:t>
      </w:r>
      <w:proofErr w:type="gramEnd"/>
    </w:p>
    <w:p w14:paraId="42D407C6"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Project B:</w:t>
      </w:r>
    </w:p>
    <w:p w14:paraId="5B3B0800" w14:textId="77777777" w:rsidR="001529FD" w:rsidRPr="005E6905" w:rsidRDefault="001529FD" w:rsidP="005E6905">
      <w:pPr>
        <w:pStyle w:val="ListParagraph"/>
        <w:numPr>
          <w:ilvl w:val="0"/>
          <w:numId w:val="17"/>
        </w:numPr>
        <w:spacing w:before="120" w:after="120" w:line="360" w:lineRule="auto"/>
        <w:jc w:val="both"/>
        <w:rPr>
          <w:rFonts w:ascii="Arial" w:hAnsi="Arial" w:cs="Arial"/>
          <w:lang w:val="en-IN"/>
        </w:rPr>
      </w:pPr>
      <w:r w:rsidRPr="005E6905">
        <w:rPr>
          <w:rFonts w:ascii="Arial" w:hAnsi="Arial" w:cs="Arial"/>
          <w:lang w:val="en-IN"/>
        </w:rPr>
        <w:t>Initial investment increase: 10% of £1,000,000 = £100,000</w:t>
      </w:r>
    </w:p>
    <w:p w14:paraId="02AED660" w14:textId="77777777" w:rsidR="001529FD" w:rsidRPr="005E6905" w:rsidRDefault="001529FD" w:rsidP="005E6905">
      <w:pPr>
        <w:pStyle w:val="ListParagraph"/>
        <w:numPr>
          <w:ilvl w:val="0"/>
          <w:numId w:val="17"/>
        </w:numPr>
        <w:spacing w:before="120" w:after="120" w:line="360" w:lineRule="auto"/>
        <w:jc w:val="both"/>
        <w:rPr>
          <w:rFonts w:ascii="Arial" w:hAnsi="Arial" w:cs="Arial"/>
          <w:lang w:val="en-IN"/>
        </w:rPr>
      </w:pPr>
      <w:r w:rsidRPr="005E6905">
        <w:rPr>
          <w:rFonts w:ascii="Arial" w:hAnsi="Arial" w:cs="Arial"/>
          <w:lang w:val="en-IN"/>
        </w:rPr>
        <w:t>New initial investment: £1,000,000 + £100,000 = £1,100,000</w:t>
      </w:r>
    </w:p>
    <w:p w14:paraId="0862C359" w14:textId="77777777" w:rsidR="001529FD" w:rsidRPr="005E6905" w:rsidRDefault="001529FD" w:rsidP="005E6905">
      <w:pPr>
        <w:pStyle w:val="ListParagraph"/>
        <w:numPr>
          <w:ilvl w:val="0"/>
          <w:numId w:val="17"/>
        </w:numPr>
        <w:spacing w:before="120" w:after="120" w:line="360" w:lineRule="auto"/>
        <w:jc w:val="both"/>
        <w:rPr>
          <w:rFonts w:ascii="Arial" w:hAnsi="Arial" w:cs="Arial"/>
          <w:lang w:val="en-IN"/>
        </w:rPr>
      </w:pPr>
      <w:r w:rsidRPr="005E6905">
        <w:rPr>
          <w:rFonts w:ascii="Arial" w:hAnsi="Arial" w:cs="Arial"/>
          <w:lang w:val="en-IN"/>
        </w:rPr>
        <w:t xml:space="preserve">Cash flow decrease: 10% across all </w:t>
      </w:r>
      <w:proofErr w:type="gramStart"/>
      <w:r w:rsidRPr="005E6905">
        <w:rPr>
          <w:rFonts w:ascii="Arial" w:hAnsi="Arial" w:cs="Arial"/>
          <w:lang w:val="en-IN"/>
        </w:rPr>
        <w:t>years</w:t>
      </w:r>
      <w:proofErr w:type="gramEnd"/>
    </w:p>
    <w:p w14:paraId="4FECCFBA" w14:textId="77777777" w:rsidR="001529FD" w:rsidRPr="005E6905" w:rsidRDefault="001529FD" w:rsidP="005E6905">
      <w:pPr>
        <w:pStyle w:val="ListParagraph"/>
        <w:numPr>
          <w:ilvl w:val="0"/>
          <w:numId w:val="17"/>
        </w:numPr>
        <w:spacing w:before="120" w:after="120" w:line="360" w:lineRule="auto"/>
        <w:jc w:val="both"/>
        <w:rPr>
          <w:rFonts w:ascii="Arial" w:hAnsi="Arial" w:cs="Arial"/>
          <w:lang w:val="en-IN"/>
        </w:rPr>
      </w:pPr>
      <w:r w:rsidRPr="005E6905">
        <w:rPr>
          <w:rFonts w:ascii="Arial" w:hAnsi="Arial" w:cs="Arial"/>
          <w:lang w:val="en-IN"/>
        </w:rPr>
        <w:t xml:space="preserve">Recalculated NPV using the new parameters: </w:t>
      </w:r>
      <w:proofErr w:type="gramStart"/>
      <w:r w:rsidRPr="005E6905">
        <w:rPr>
          <w:rFonts w:ascii="Arial" w:hAnsi="Arial" w:cs="Arial"/>
          <w:lang w:val="en-IN"/>
        </w:rPr>
        <w:t>£3,243,802.47</w:t>
      </w:r>
      <w:proofErr w:type="gramEnd"/>
    </w:p>
    <w:p w14:paraId="4AE9EB5A"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Comments:</w:t>
      </w:r>
    </w:p>
    <w:p w14:paraId="0AF6AF9E"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It is no surprise that the NPVs of both projects are negatively affected by the high cap ex and low flows of cash. Nevertheless, the differences are less likely to alter the choices we make since project B is still the more favourable option. Here’s why:</w:t>
      </w:r>
    </w:p>
    <w:p w14:paraId="34BC04A9"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lastRenderedPageBreak/>
        <w:t>The magnitude of NPV difference</w:t>
      </w:r>
      <w:r w:rsidRPr="005E6905">
        <w:rPr>
          <w:rFonts w:ascii="Arial" w:hAnsi="Arial" w:cs="Arial"/>
          <w:lang w:val="en-IN"/>
        </w:rPr>
        <w:t>: Nevertheless, the decrease marks with Project “B” NPV (£3,243,802.47) are still ahead 3 and a half times as far as Project “A” (£923,922.73). The distinctiveness of this specification suggests a greater possibility of creating further added value for Barclays Plc.</w:t>
      </w:r>
    </w:p>
    <w:p w14:paraId="2C0B8D14"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Proportionate impact</w:t>
      </w:r>
      <w:r w:rsidRPr="005E6905">
        <w:rPr>
          <w:rFonts w:ascii="Arial" w:hAnsi="Arial" w:cs="Arial"/>
          <w:lang w:val="en-IN"/>
        </w:rPr>
        <w:t>: Two factors measuring the impact on initial investment and reduction, directly and proportionally influenced project income. However, in the case of Project B, despite the imposing large NCV, a relative decrease is larger since the initial cash flow is bigger. In this case, it holds a more favourable NPV than Project A resulting from a higher positive index.</w:t>
      </w:r>
    </w:p>
    <w:p w14:paraId="52300F42"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Thus, even after the amended notice, Project B of Barclays Plc earlier seems to be the recommended option due to its remarkable NPV. It just proves the fact that without any changes in procedures, all three methods prove once again that all three approaches are just the same.</w:t>
      </w:r>
    </w:p>
    <w:p w14:paraId="18C62C66" w14:textId="77777777" w:rsidR="001529FD" w:rsidRPr="005E6905" w:rsidRDefault="001529FD" w:rsidP="005E6905">
      <w:pPr>
        <w:pStyle w:val="Heading2"/>
        <w:spacing w:line="360" w:lineRule="auto"/>
        <w:jc w:val="both"/>
        <w:rPr>
          <w:rFonts w:ascii="Arial" w:hAnsi="Arial" w:cs="Arial"/>
          <w:b/>
          <w:bCs/>
          <w:color w:val="auto"/>
          <w:sz w:val="22"/>
          <w:szCs w:val="22"/>
        </w:rPr>
      </w:pPr>
      <w:bookmarkStart w:id="13" w:name="_Toc160294898"/>
      <w:r w:rsidRPr="005E6905">
        <w:rPr>
          <w:rFonts w:ascii="Arial" w:hAnsi="Arial" w:cs="Arial"/>
          <w:b/>
          <w:bCs/>
          <w:color w:val="auto"/>
          <w:sz w:val="22"/>
          <w:szCs w:val="22"/>
        </w:rPr>
        <w:t>Capital Budgeting Techniques: PBP, ARR, and NPV</w:t>
      </w:r>
      <w:bookmarkEnd w:id="13"/>
    </w:p>
    <w:p w14:paraId="05A1FB3B"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Payback Period (PBP):</w:t>
      </w:r>
    </w:p>
    <w:p w14:paraId="322FC66C" w14:textId="77777777" w:rsidR="001529FD" w:rsidRPr="005E6905" w:rsidRDefault="001529FD" w:rsidP="005E6905">
      <w:pPr>
        <w:spacing w:line="360" w:lineRule="auto"/>
        <w:jc w:val="both"/>
        <w:rPr>
          <w:rFonts w:ascii="Arial" w:hAnsi="Arial" w:cs="Arial"/>
          <w:b/>
          <w:bCs/>
          <w:lang w:val="en-IN"/>
        </w:rPr>
      </w:pPr>
      <w:r w:rsidRPr="005E6905">
        <w:rPr>
          <w:rFonts w:ascii="Arial" w:hAnsi="Arial" w:cs="Arial"/>
          <w:b/>
          <w:bCs/>
          <w:lang w:val="en-IN"/>
        </w:rPr>
        <w:t>Advantages:</w:t>
      </w:r>
    </w:p>
    <w:p w14:paraId="6DDBFBB7" w14:textId="77777777" w:rsidR="001529FD" w:rsidRPr="005E6905" w:rsidRDefault="001529FD" w:rsidP="005E6905">
      <w:pPr>
        <w:pStyle w:val="ListParagraph"/>
        <w:numPr>
          <w:ilvl w:val="0"/>
          <w:numId w:val="24"/>
        </w:numPr>
        <w:spacing w:before="120" w:after="120" w:line="360" w:lineRule="auto"/>
        <w:jc w:val="both"/>
        <w:rPr>
          <w:rFonts w:ascii="Arial" w:hAnsi="Arial" w:cs="Arial"/>
          <w:lang w:val="en-IN"/>
        </w:rPr>
      </w:pPr>
      <w:r w:rsidRPr="005E6905">
        <w:rPr>
          <w:rFonts w:ascii="Arial" w:hAnsi="Arial" w:cs="Arial"/>
          <w:lang w:val="en-IN"/>
        </w:rPr>
        <w:t>Focuses on liquidity: PBP prefers to fund initiatives that have faster cash flow recovery thereby, giving urgent short-term needs coverage (</w:t>
      </w:r>
      <w:r w:rsidRPr="005E6905">
        <w:rPr>
          <w:rFonts w:ascii="Arial" w:hAnsi="Arial" w:cs="Arial"/>
          <w:shd w:val="clear" w:color="auto" w:fill="FFFFFF"/>
        </w:rPr>
        <w:t>Alahmad et al., 2020).</w:t>
      </w:r>
    </w:p>
    <w:p w14:paraId="2B549D8F" w14:textId="77777777" w:rsidR="001529FD" w:rsidRPr="005E6905" w:rsidRDefault="001529FD" w:rsidP="005E6905">
      <w:pPr>
        <w:pStyle w:val="ListParagraph"/>
        <w:numPr>
          <w:ilvl w:val="0"/>
          <w:numId w:val="24"/>
        </w:numPr>
        <w:spacing w:before="120" w:after="120" w:line="360" w:lineRule="auto"/>
        <w:jc w:val="both"/>
        <w:rPr>
          <w:rFonts w:ascii="Arial" w:hAnsi="Arial" w:cs="Arial"/>
          <w:lang w:val="en-IN"/>
        </w:rPr>
      </w:pPr>
      <w:r w:rsidRPr="005E6905">
        <w:rPr>
          <w:rFonts w:ascii="Arial" w:hAnsi="Arial" w:cs="Arial"/>
          <w:lang w:val="en-IN"/>
        </w:rPr>
        <w:t>Risk aversion: Through faster recoveries, PBP analytics can be understood as an approach with a lower loss rate as uncertainties in future flows have less impact.</w:t>
      </w:r>
    </w:p>
    <w:p w14:paraId="682D3703"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Disadvantages</w:t>
      </w:r>
      <w:r w:rsidRPr="005E6905">
        <w:rPr>
          <w:rFonts w:ascii="Arial" w:hAnsi="Arial" w:cs="Arial"/>
          <w:lang w:val="en-IN"/>
        </w:rPr>
        <w:t>:</w:t>
      </w:r>
    </w:p>
    <w:p w14:paraId="29A4538B" w14:textId="77777777" w:rsidR="001529FD" w:rsidRPr="005E6905" w:rsidRDefault="001529FD" w:rsidP="005E6905">
      <w:pPr>
        <w:pStyle w:val="ListParagraph"/>
        <w:numPr>
          <w:ilvl w:val="0"/>
          <w:numId w:val="19"/>
        </w:numPr>
        <w:spacing w:before="120" w:after="120" w:line="360" w:lineRule="auto"/>
        <w:jc w:val="both"/>
        <w:rPr>
          <w:rFonts w:ascii="Arial" w:hAnsi="Arial" w:cs="Arial"/>
          <w:lang w:val="en-IN"/>
        </w:rPr>
      </w:pPr>
      <w:r w:rsidRPr="005E6905">
        <w:rPr>
          <w:rFonts w:ascii="Arial" w:hAnsi="Arial" w:cs="Arial"/>
          <w:lang w:val="en-IN"/>
        </w:rPr>
        <w:t xml:space="preserve">Ignores time value of money: PBP deals with cash flow observation in present terms, missing the future net present value. The power of a dollar extends beyond just the value of now; a dollar saved today will then be worth a lot more tomorrow, than the single dollar you put in. Project A, although quicker to start generating revenues than Project B would require a long payback </w:t>
      </w:r>
      <w:proofErr w:type="gramStart"/>
      <w:r w:rsidRPr="005E6905">
        <w:rPr>
          <w:rFonts w:ascii="Arial" w:hAnsi="Arial" w:cs="Arial"/>
          <w:lang w:val="en-IN"/>
        </w:rPr>
        <w:t>period, and</w:t>
      </w:r>
      <w:proofErr w:type="gramEnd"/>
      <w:r w:rsidRPr="005E6905">
        <w:rPr>
          <w:rFonts w:ascii="Arial" w:hAnsi="Arial" w:cs="Arial"/>
          <w:lang w:val="en-IN"/>
        </w:rPr>
        <w:t xml:space="preserve"> may at the same time entail creating less overall value view.</w:t>
      </w:r>
    </w:p>
    <w:p w14:paraId="2025D317" w14:textId="77777777" w:rsidR="001529FD" w:rsidRPr="005E6905" w:rsidRDefault="001529FD" w:rsidP="005E6905">
      <w:pPr>
        <w:pStyle w:val="ListParagraph"/>
        <w:numPr>
          <w:ilvl w:val="0"/>
          <w:numId w:val="19"/>
        </w:numPr>
        <w:spacing w:before="120" w:after="120" w:line="360" w:lineRule="auto"/>
        <w:jc w:val="both"/>
        <w:rPr>
          <w:rFonts w:ascii="Arial" w:hAnsi="Arial" w:cs="Arial"/>
          <w:lang w:val="en-IN"/>
        </w:rPr>
      </w:pPr>
      <w:r w:rsidRPr="005E6905">
        <w:rPr>
          <w:rFonts w:ascii="Arial" w:hAnsi="Arial" w:cs="Arial"/>
          <w:lang w:val="en-IN"/>
        </w:rPr>
        <w:t>Ignores cash flows after payback: PBB is reckoned purely up to the moment when the principal sum is paid. The projects with inflows that go beyond the payback period are risky in terms of full-price assessments.</w:t>
      </w:r>
    </w:p>
    <w:p w14:paraId="661FD9CB"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Accounting Rate of Return (ARR):</w:t>
      </w:r>
    </w:p>
    <w:p w14:paraId="6EF322AD"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Advantages</w:t>
      </w:r>
      <w:r w:rsidRPr="005E6905">
        <w:rPr>
          <w:rFonts w:ascii="Arial" w:hAnsi="Arial" w:cs="Arial"/>
          <w:lang w:val="en-IN"/>
        </w:rPr>
        <w:t>:</w:t>
      </w:r>
    </w:p>
    <w:p w14:paraId="00863033" w14:textId="77777777" w:rsidR="001529FD" w:rsidRPr="005E6905" w:rsidRDefault="001529FD" w:rsidP="005E6905">
      <w:pPr>
        <w:pStyle w:val="ListParagraph"/>
        <w:numPr>
          <w:ilvl w:val="0"/>
          <w:numId w:val="20"/>
        </w:numPr>
        <w:spacing w:before="120" w:after="120" w:line="360" w:lineRule="auto"/>
        <w:jc w:val="both"/>
        <w:rPr>
          <w:rFonts w:ascii="Arial" w:hAnsi="Arial" w:cs="Arial"/>
          <w:lang w:val="en-IN"/>
        </w:rPr>
      </w:pPr>
      <w:r w:rsidRPr="005E6905">
        <w:rPr>
          <w:rFonts w:ascii="Arial" w:hAnsi="Arial" w:cs="Arial"/>
          <w:lang w:val="en-IN"/>
        </w:rPr>
        <w:lastRenderedPageBreak/>
        <w:t>Percentage return: ARR uses a percentage for returns, which enables you to compare different projects with investments of diverse sizes.</w:t>
      </w:r>
    </w:p>
    <w:p w14:paraId="36F3D6FD" w14:textId="77777777" w:rsidR="001529FD" w:rsidRPr="005E6905" w:rsidRDefault="001529FD" w:rsidP="005E6905">
      <w:pPr>
        <w:pStyle w:val="ListParagraph"/>
        <w:numPr>
          <w:ilvl w:val="0"/>
          <w:numId w:val="20"/>
        </w:numPr>
        <w:spacing w:before="120" w:after="120" w:line="360" w:lineRule="auto"/>
        <w:jc w:val="both"/>
        <w:rPr>
          <w:rFonts w:ascii="Arial" w:hAnsi="Arial" w:cs="Arial"/>
          <w:lang w:val="en-IN"/>
        </w:rPr>
      </w:pPr>
      <w:r w:rsidRPr="005E6905">
        <w:rPr>
          <w:rFonts w:ascii="Arial" w:hAnsi="Arial" w:cs="Arial"/>
          <w:lang w:val="en-IN"/>
        </w:rPr>
        <w:t>Simple to calculate: ARR is not so complex to estimate return calculation utilizing average yearly profit and the initial budget (</w:t>
      </w:r>
      <w:proofErr w:type="spellStart"/>
      <w:r w:rsidRPr="005E6905">
        <w:rPr>
          <w:rFonts w:ascii="Arial" w:hAnsi="Arial" w:cs="Arial"/>
          <w:shd w:val="clear" w:color="auto" w:fill="FFFFFF"/>
        </w:rPr>
        <w:t>Imteaz</w:t>
      </w:r>
      <w:proofErr w:type="spellEnd"/>
      <w:r w:rsidRPr="005E6905">
        <w:rPr>
          <w:rFonts w:ascii="Arial" w:hAnsi="Arial" w:cs="Arial"/>
          <w:shd w:val="clear" w:color="auto" w:fill="FFFFFF"/>
        </w:rPr>
        <w:t xml:space="preserve">, </w:t>
      </w:r>
      <w:proofErr w:type="spellStart"/>
      <w:r w:rsidRPr="005E6905">
        <w:rPr>
          <w:rFonts w:ascii="Arial" w:hAnsi="Arial" w:cs="Arial"/>
          <w:shd w:val="clear" w:color="auto" w:fill="FFFFFF"/>
        </w:rPr>
        <w:t>Bayatvarkeshi</w:t>
      </w:r>
      <w:proofErr w:type="spellEnd"/>
      <w:r w:rsidRPr="005E6905">
        <w:rPr>
          <w:rFonts w:ascii="Arial" w:hAnsi="Arial" w:cs="Arial"/>
          <w:shd w:val="clear" w:color="auto" w:fill="FFFFFF"/>
        </w:rPr>
        <w:t>, and Karim, 2021).</w:t>
      </w:r>
    </w:p>
    <w:p w14:paraId="438B862C"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Disadvantages</w:t>
      </w:r>
      <w:r w:rsidRPr="005E6905">
        <w:rPr>
          <w:rFonts w:ascii="Arial" w:hAnsi="Arial" w:cs="Arial"/>
          <w:lang w:val="en-IN"/>
        </w:rPr>
        <w:t>:</w:t>
      </w:r>
    </w:p>
    <w:p w14:paraId="5AA71841" w14:textId="77777777" w:rsidR="001529FD" w:rsidRPr="005E6905" w:rsidRDefault="001529FD" w:rsidP="005E6905">
      <w:pPr>
        <w:pStyle w:val="ListParagraph"/>
        <w:numPr>
          <w:ilvl w:val="0"/>
          <w:numId w:val="21"/>
        </w:numPr>
        <w:spacing w:before="120" w:after="120" w:line="360" w:lineRule="auto"/>
        <w:jc w:val="both"/>
        <w:rPr>
          <w:rFonts w:ascii="Arial" w:hAnsi="Arial" w:cs="Arial"/>
          <w:lang w:val="en-IN"/>
        </w:rPr>
      </w:pPr>
      <w:r w:rsidRPr="005E6905">
        <w:rPr>
          <w:rFonts w:ascii="Arial" w:hAnsi="Arial" w:cs="Arial"/>
          <w:lang w:val="en-IN"/>
        </w:rPr>
        <w:t>Sensitive to depreciation methods: ARR depends on Accounting Income that can be affected by the selection of deprecation methods This implies that the book value approach may produce results that might not be correct for projects with considerable depreciation charges that occur in the initial years.</w:t>
      </w:r>
    </w:p>
    <w:p w14:paraId="575A6063" w14:textId="77777777" w:rsidR="001529FD" w:rsidRPr="005E6905" w:rsidRDefault="001529FD" w:rsidP="005E6905">
      <w:pPr>
        <w:pStyle w:val="ListParagraph"/>
        <w:numPr>
          <w:ilvl w:val="0"/>
          <w:numId w:val="21"/>
        </w:numPr>
        <w:spacing w:before="120" w:after="120" w:line="360" w:lineRule="auto"/>
        <w:jc w:val="both"/>
        <w:rPr>
          <w:rFonts w:ascii="Arial" w:hAnsi="Arial" w:cs="Arial"/>
          <w:lang w:val="en-IN"/>
        </w:rPr>
      </w:pPr>
      <w:r w:rsidRPr="005E6905">
        <w:rPr>
          <w:rFonts w:ascii="Arial" w:hAnsi="Arial" w:cs="Arial"/>
          <w:lang w:val="en-IN"/>
        </w:rPr>
        <w:t>Doesn't consider risk: However, ARR fails to encompass the risk associated with potential cash flow-ins compared to ARR.</w:t>
      </w:r>
    </w:p>
    <w:p w14:paraId="41308996"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Net Present Value (NPV)</w:t>
      </w:r>
      <w:r w:rsidRPr="005E6905">
        <w:rPr>
          <w:rFonts w:ascii="Arial" w:hAnsi="Arial" w:cs="Arial"/>
          <w:lang w:val="en-IN"/>
        </w:rPr>
        <w:t>:</w:t>
      </w:r>
    </w:p>
    <w:p w14:paraId="7E1B0E3D"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Advantages</w:t>
      </w:r>
      <w:r w:rsidRPr="005E6905">
        <w:rPr>
          <w:rFonts w:ascii="Arial" w:hAnsi="Arial" w:cs="Arial"/>
          <w:lang w:val="en-IN"/>
        </w:rPr>
        <w:t>:</w:t>
      </w:r>
    </w:p>
    <w:p w14:paraId="6EFE36B0" w14:textId="77777777" w:rsidR="001529FD" w:rsidRPr="005E6905" w:rsidRDefault="001529FD" w:rsidP="005E6905">
      <w:pPr>
        <w:pStyle w:val="ListParagraph"/>
        <w:numPr>
          <w:ilvl w:val="0"/>
          <w:numId w:val="22"/>
        </w:numPr>
        <w:spacing w:before="120" w:after="120" w:line="360" w:lineRule="auto"/>
        <w:jc w:val="both"/>
        <w:rPr>
          <w:rFonts w:ascii="Arial" w:hAnsi="Arial" w:cs="Arial"/>
          <w:lang w:val="en-IN"/>
        </w:rPr>
      </w:pPr>
      <w:r w:rsidRPr="005E6905">
        <w:rPr>
          <w:rFonts w:ascii="Arial" w:hAnsi="Arial" w:cs="Arial"/>
          <w:lang w:val="en-IN"/>
        </w:rPr>
        <w:t>Considers time value of money: NPV, the core of the present-value method, includes the ability to deal with the time value of money by taking the present-day worth of future cash flows. This depicts a correct illustration from a different angle, of the total scope (</w:t>
      </w:r>
      <w:r w:rsidRPr="005E6905">
        <w:rPr>
          <w:rFonts w:ascii="Arial" w:hAnsi="Arial" w:cs="Arial"/>
          <w:shd w:val="clear" w:color="auto" w:fill="FFFFFF"/>
        </w:rPr>
        <w:t>Illés, 2020).</w:t>
      </w:r>
    </w:p>
    <w:p w14:paraId="2984F9F2" w14:textId="77777777" w:rsidR="001529FD" w:rsidRPr="005E6905" w:rsidRDefault="001529FD" w:rsidP="005E6905">
      <w:pPr>
        <w:pStyle w:val="ListParagraph"/>
        <w:numPr>
          <w:ilvl w:val="0"/>
          <w:numId w:val="22"/>
        </w:numPr>
        <w:spacing w:before="120" w:after="120" w:line="360" w:lineRule="auto"/>
        <w:jc w:val="both"/>
        <w:rPr>
          <w:rFonts w:ascii="Arial" w:hAnsi="Arial" w:cs="Arial"/>
          <w:lang w:val="en-IN"/>
        </w:rPr>
      </w:pPr>
      <w:r w:rsidRPr="005E6905">
        <w:rPr>
          <w:rFonts w:ascii="Arial" w:hAnsi="Arial" w:cs="Arial"/>
          <w:lang w:val="en-IN"/>
        </w:rPr>
        <w:t>Compares project sizes: DNP compares two projects with variable initial costs using the comparable present value of their future cash flows.</w:t>
      </w:r>
    </w:p>
    <w:p w14:paraId="6D758411" w14:textId="77777777" w:rsidR="001529FD" w:rsidRPr="005E6905" w:rsidRDefault="001529FD" w:rsidP="005E6905">
      <w:pPr>
        <w:spacing w:line="360" w:lineRule="auto"/>
        <w:jc w:val="both"/>
        <w:rPr>
          <w:rFonts w:ascii="Arial" w:hAnsi="Arial" w:cs="Arial"/>
          <w:lang w:val="en-IN"/>
        </w:rPr>
      </w:pPr>
      <w:r w:rsidRPr="005E6905">
        <w:rPr>
          <w:rFonts w:ascii="Arial" w:hAnsi="Arial" w:cs="Arial"/>
          <w:b/>
          <w:bCs/>
          <w:lang w:val="en-IN"/>
        </w:rPr>
        <w:t>Disadvantages</w:t>
      </w:r>
      <w:r w:rsidRPr="005E6905">
        <w:rPr>
          <w:rFonts w:ascii="Arial" w:hAnsi="Arial" w:cs="Arial"/>
          <w:lang w:val="en-IN"/>
        </w:rPr>
        <w:t>:</w:t>
      </w:r>
    </w:p>
    <w:p w14:paraId="50586122" w14:textId="77777777" w:rsidR="001529FD" w:rsidRPr="005E6905" w:rsidRDefault="001529FD" w:rsidP="005E6905">
      <w:pPr>
        <w:pStyle w:val="ListParagraph"/>
        <w:numPr>
          <w:ilvl w:val="0"/>
          <w:numId w:val="23"/>
        </w:numPr>
        <w:spacing w:before="120" w:after="120" w:line="360" w:lineRule="auto"/>
        <w:jc w:val="both"/>
        <w:rPr>
          <w:rFonts w:ascii="Arial" w:hAnsi="Arial" w:cs="Arial"/>
          <w:lang w:val="en-IN"/>
        </w:rPr>
      </w:pPr>
      <w:r w:rsidRPr="005E6905">
        <w:rPr>
          <w:rFonts w:ascii="Arial" w:hAnsi="Arial" w:cs="Arial"/>
          <w:lang w:val="en-IN"/>
        </w:rPr>
        <w:t>Reliance on discount rate: NPV accuracy is seldom ensured because of discount rate choice. The wrong discount rate can cause drawbacks in investment decisions (</w:t>
      </w:r>
      <w:r w:rsidRPr="005E6905">
        <w:rPr>
          <w:rFonts w:ascii="Arial" w:hAnsi="Arial" w:cs="Arial"/>
          <w:shd w:val="clear" w:color="auto" w:fill="FFFFFF"/>
        </w:rPr>
        <w:t xml:space="preserve">Christodoulou, Clubb, and </w:t>
      </w:r>
      <w:proofErr w:type="spellStart"/>
      <w:r w:rsidRPr="005E6905">
        <w:rPr>
          <w:rFonts w:ascii="Arial" w:hAnsi="Arial" w:cs="Arial"/>
          <w:shd w:val="clear" w:color="auto" w:fill="FFFFFF"/>
        </w:rPr>
        <w:t>Mcleay</w:t>
      </w:r>
      <w:proofErr w:type="spellEnd"/>
      <w:r w:rsidRPr="005E6905">
        <w:rPr>
          <w:rFonts w:ascii="Arial" w:hAnsi="Arial" w:cs="Arial"/>
          <w:shd w:val="clear" w:color="auto" w:fill="FFFFFF"/>
        </w:rPr>
        <w:t>, 2016).</w:t>
      </w:r>
    </w:p>
    <w:p w14:paraId="699330FD" w14:textId="77777777" w:rsidR="001529FD" w:rsidRPr="005E6905" w:rsidRDefault="001529FD" w:rsidP="005E6905">
      <w:pPr>
        <w:pStyle w:val="ListParagraph"/>
        <w:numPr>
          <w:ilvl w:val="0"/>
          <w:numId w:val="23"/>
        </w:numPr>
        <w:spacing w:before="120" w:after="120" w:line="360" w:lineRule="auto"/>
        <w:jc w:val="both"/>
        <w:rPr>
          <w:rFonts w:ascii="Arial" w:hAnsi="Arial" w:cs="Arial"/>
          <w:lang w:val="en-IN"/>
        </w:rPr>
      </w:pPr>
      <w:r w:rsidRPr="005E6905">
        <w:rPr>
          <w:rFonts w:ascii="Arial" w:hAnsi="Arial" w:cs="Arial"/>
          <w:lang w:val="en-IN"/>
        </w:rPr>
        <w:t>Limited consideration of non-financial factors: NPV completely ignores the possible competitive or substitute edges of a project hence it focuses only on the financial returns of the project.</w:t>
      </w:r>
    </w:p>
    <w:p w14:paraId="4ECB395E" w14:textId="77777777" w:rsidR="001529FD" w:rsidRPr="00790BC6" w:rsidRDefault="001529FD" w:rsidP="005E6905">
      <w:pPr>
        <w:pStyle w:val="Heading2"/>
        <w:spacing w:line="360" w:lineRule="auto"/>
        <w:jc w:val="both"/>
        <w:rPr>
          <w:rFonts w:ascii="Arial" w:hAnsi="Arial" w:cs="Arial"/>
          <w:b/>
          <w:bCs/>
          <w:color w:val="auto"/>
          <w:sz w:val="24"/>
          <w:szCs w:val="24"/>
        </w:rPr>
      </w:pPr>
      <w:bookmarkStart w:id="14" w:name="_Toc160294899"/>
      <w:r w:rsidRPr="00790BC6">
        <w:rPr>
          <w:rFonts w:ascii="Arial" w:hAnsi="Arial" w:cs="Arial"/>
          <w:b/>
          <w:bCs/>
          <w:color w:val="auto"/>
          <w:sz w:val="24"/>
          <w:szCs w:val="24"/>
        </w:rPr>
        <w:t xml:space="preserve">Non-financial factors need to </w:t>
      </w:r>
      <w:proofErr w:type="gramStart"/>
      <w:r w:rsidRPr="00790BC6">
        <w:rPr>
          <w:rFonts w:ascii="Arial" w:hAnsi="Arial" w:cs="Arial"/>
          <w:b/>
          <w:bCs/>
          <w:color w:val="auto"/>
          <w:sz w:val="24"/>
          <w:szCs w:val="24"/>
        </w:rPr>
        <w:t>consider</w:t>
      </w:r>
      <w:bookmarkEnd w:id="14"/>
      <w:proofErr w:type="gramEnd"/>
    </w:p>
    <w:p w14:paraId="6564B4B8"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Although financial metrics such as NPV, IRR and PBP are fundamental to capital budgeting, management should also consider some non-financial factors if they are to make the best decision. Such an important impact can influence a project’s result and even its long-term sustainability. Here are some key non-financial aspects to consider (</w:t>
      </w:r>
      <w:r w:rsidRPr="005E6905">
        <w:rPr>
          <w:rFonts w:ascii="Arial" w:hAnsi="Arial" w:cs="Arial"/>
          <w:shd w:val="clear" w:color="auto" w:fill="FFFFFF"/>
        </w:rPr>
        <w:t>Almansour, Almansour, and Almansour, 2019).</w:t>
      </w:r>
    </w:p>
    <w:p w14:paraId="6375F46C"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1. Strategic Alignment:</w:t>
      </w:r>
    </w:p>
    <w:p w14:paraId="3F2EBD8F" w14:textId="77777777" w:rsidR="001529FD" w:rsidRPr="005E6905" w:rsidRDefault="001529FD" w:rsidP="005E6905">
      <w:pPr>
        <w:pStyle w:val="ListParagraph"/>
        <w:numPr>
          <w:ilvl w:val="0"/>
          <w:numId w:val="25"/>
        </w:numPr>
        <w:spacing w:before="120" w:after="120" w:line="360" w:lineRule="auto"/>
        <w:jc w:val="both"/>
        <w:rPr>
          <w:rFonts w:ascii="Arial" w:hAnsi="Arial" w:cs="Arial"/>
          <w:lang w:val="en-IN"/>
        </w:rPr>
      </w:pPr>
      <w:r w:rsidRPr="005E6905">
        <w:rPr>
          <w:rFonts w:ascii="Arial" w:hAnsi="Arial" w:cs="Arial"/>
          <w:lang w:val="en-IN"/>
        </w:rPr>
        <w:lastRenderedPageBreak/>
        <w:t>Is the project part of the company's broader strategy and vision, and is it consequent with them?</w:t>
      </w:r>
    </w:p>
    <w:p w14:paraId="7F2AE71E" w14:textId="77777777" w:rsidR="001529FD" w:rsidRPr="005E6905" w:rsidRDefault="001529FD" w:rsidP="005E6905">
      <w:pPr>
        <w:pStyle w:val="ListParagraph"/>
        <w:numPr>
          <w:ilvl w:val="0"/>
          <w:numId w:val="25"/>
        </w:numPr>
        <w:spacing w:before="120" w:after="120" w:line="360" w:lineRule="auto"/>
        <w:jc w:val="both"/>
        <w:rPr>
          <w:rFonts w:ascii="Arial" w:hAnsi="Arial" w:cs="Arial"/>
          <w:lang w:val="en-IN"/>
        </w:rPr>
      </w:pPr>
      <w:r w:rsidRPr="005E6905">
        <w:rPr>
          <w:rFonts w:ascii="Arial" w:hAnsi="Arial" w:cs="Arial"/>
          <w:lang w:val="en-IN"/>
        </w:rPr>
        <w:t>Is it part of the competitiveness based on the mechanism of participating in the specialization process?</w:t>
      </w:r>
    </w:p>
    <w:p w14:paraId="2BF177BD" w14:textId="77777777" w:rsidR="001529FD" w:rsidRPr="005E6905" w:rsidRDefault="001529FD" w:rsidP="005E6905">
      <w:pPr>
        <w:pStyle w:val="ListParagraph"/>
        <w:numPr>
          <w:ilvl w:val="0"/>
          <w:numId w:val="25"/>
        </w:numPr>
        <w:spacing w:before="120" w:after="120" w:line="360" w:lineRule="auto"/>
        <w:jc w:val="both"/>
        <w:rPr>
          <w:rFonts w:ascii="Arial" w:hAnsi="Arial" w:cs="Arial"/>
          <w:lang w:val="en-IN"/>
        </w:rPr>
      </w:pPr>
      <w:r w:rsidRPr="005E6905">
        <w:rPr>
          <w:rFonts w:ascii="Arial" w:hAnsi="Arial" w:cs="Arial"/>
          <w:lang w:val="en-IN"/>
        </w:rPr>
        <w:t>Will it keep up the firm's market shares and make it stronger?</w:t>
      </w:r>
    </w:p>
    <w:p w14:paraId="698B61A7"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2. Operational Feasibility:</w:t>
      </w:r>
    </w:p>
    <w:p w14:paraId="232E3543" w14:textId="77777777" w:rsidR="001529FD" w:rsidRPr="005E6905" w:rsidRDefault="001529FD" w:rsidP="005E6905">
      <w:pPr>
        <w:pStyle w:val="ListParagraph"/>
        <w:numPr>
          <w:ilvl w:val="0"/>
          <w:numId w:val="28"/>
        </w:numPr>
        <w:spacing w:before="120" w:after="120" w:line="360" w:lineRule="auto"/>
        <w:jc w:val="both"/>
        <w:rPr>
          <w:rFonts w:ascii="Arial" w:hAnsi="Arial" w:cs="Arial"/>
          <w:lang w:val="en-IN"/>
        </w:rPr>
      </w:pPr>
      <w:r w:rsidRPr="005E6905">
        <w:rPr>
          <w:rFonts w:ascii="Arial" w:hAnsi="Arial" w:cs="Arial"/>
          <w:lang w:val="en-IN"/>
        </w:rPr>
        <w:t xml:space="preserve">Does the required resource, </w:t>
      </w:r>
      <w:proofErr w:type="gramStart"/>
      <w:r w:rsidRPr="005E6905">
        <w:rPr>
          <w:rFonts w:ascii="Arial" w:hAnsi="Arial" w:cs="Arial"/>
          <w:lang w:val="en-IN"/>
        </w:rPr>
        <w:t>skills</w:t>
      </w:r>
      <w:proofErr w:type="gramEnd"/>
      <w:r w:rsidRPr="005E6905">
        <w:rPr>
          <w:rFonts w:ascii="Arial" w:hAnsi="Arial" w:cs="Arial"/>
          <w:lang w:val="en-IN"/>
        </w:rPr>
        <w:t xml:space="preserve"> and expertise line up with the company, including the desirable level of attributes to be able to finish the project by the target completion date?</w:t>
      </w:r>
    </w:p>
    <w:p w14:paraId="3EBE0CE7" w14:textId="77777777" w:rsidR="001529FD" w:rsidRPr="005E6905" w:rsidRDefault="001529FD" w:rsidP="005E6905">
      <w:pPr>
        <w:pStyle w:val="ListParagraph"/>
        <w:numPr>
          <w:ilvl w:val="0"/>
          <w:numId w:val="28"/>
        </w:numPr>
        <w:spacing w:before="120" w:after="120" w:line="360" w:lineRule="auto"/>
        <w:jc w:val="both"/>
        <w:rPr>
          <w:rFonts w:ascii="Arial" w:hAnsi="Arial" w:cs="Arial"/>
          <w:lang w:val="en-IN"/>
        </w:rPr>
      </w:pPr>
      <w:r w:rsidRPr="005E6905">
        <w:rPr>
          <w:rFonts w:ascii="Arial" w:hAnsi="Arial" w:cs="Arial"/>
          <w:lang w:val="en-IN"/>
        </w:rPr>
        <w:t>Could there be any laggards or dispersion of the project that will halt its success?</w:t>
      </w:r>
    </w:p>
    <w:p w14:paraId="1C01D149" w14:textId="77777777" w:rsidR="001529FD" w:rsidRPr="005E6905" w:rsidRDefault="001529FD" w:rsidP="005E6905">
      <w:pPr>
        <w:pStyle w:val="ListParagraph"/>
        <w:numPr>
          <w:ilvl w:val="0"/>
          <w:numId w:val="28"/>
        </w:numPr>
        <w:spacing w:before="120" w:after="120" w:line="360" w:lineRule="auto"/>
        <w:jc w:val="both"/>
        <w:rPr>
          <w:rFonts w:ascii="Arial" w:hAnsi="Arial" w:cs="Arial"/>
          <w:lang w:val="en-IN"/>
        </w:rPr>
      </w:pPr>
      <w:r w:rsidRPr="005E6905">
        <w:rPr>
          <w:rFonts w:ascii="Arial" w:hAnsi="Arial" w:cs="Arial"/>
          <w:lang w:val="en-IN"/>
        </w:rPr>
        <w:t>Is there going to be any damage to the environment and society from the undertaking?</w:t>
      </w:r>
    </w:p>
    <w:p w14:paraId="0CC6AF6B"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3. Risk Management:</w:t>
      </w:r>
    </w:p>
    <w:p w14:paraId="3D4463CE" w14:textId="77777777" w:rsidR="001529FD" w:rsidRPr="005E6905" w:rsidRDefault="001529FD" w:rsidP="005E6905">
      <w:pPr>
        <w:pStyle w:val="ListParagraph"/>
        <w:numPr>
          <w:ilvl w:val="0"/>
          <w:numId w:val="27"/>
        </w:numPr>
        <w:spacing w:before="120" w:after="120" w:line="360" w:lineRule="auto"/>
        <w:jc w:val="both"/>
        <w:rPr>
          <w:rFonts w:ascii="Arial" w:hAnsi="Arial" w:cs="Arial"/>
          <w:lang w:val="en-IN"/>
        </w:rPr>
      </w:pPr>
      <w:r w:rsidRPr="005E6905">
        <w:rPr>
          <w:rFonts w:ascii="Arial" w:hAnsi="Arial" w:cs="Arial"/>
          <w:lang w:val="en-IN"/>
        </w:rPr>
        <w:t>What risks might affect the sentence (e.g. technical challenges, market fluctuations; regulatory changes?)</w:t>
      </w:r>
    </w:p>
    <w:p w14:paraId="03B597B4" w14:textId="77777777" w:rsidR="001529FD" w:rsidRPr="005E6905" w:rsidRDefault="001529FD" w:rsidP="005E6905">
      <w:pPr>
        <w:pStyle w:val="ListParagraph"/>
        <w:numPr>
          <w:ilvl w:val="0"/>
          <w:numId w:val="27"/>
        </w:numPr>
        <w:spacing w:before="120" w:after="120" w:line="360" w:lineRule="auto"/>
        <w:jc w:val="both"/>
        <w:rPr>
          <w:rFonts w:ascii="Arial" w:hAnsi="Arial" w:cs="Arial"/>
          <w:lang w:val="en-IN"/>
        </w:rPr>
      </w:pPr>
      <w:r w:rsidRPr="005E6905">
        <w:rPr>
          <w:rFonts w:ascii="Arial" w:hAnsi="Arial" w:cs="Arial"/>
          <w:lang w:val="en-IN"/>
        </w:rPr>
        <w:t>Are there measures that could put it off and more importantly diminish the negative effects that may be caused by them?</w:t>
      </w:r>
    </w:p>
    <w:p w14:paraId="68897AE7" w14:textId="77777777" w:rsidR="001529FD" w:rsidRPr="005E6905" w:rsidRDefault="001529FD" w:rsidP="005E6905">
      <w:pPr>
        <w:pStyle w:val="ListParagraph"/>
        <w:numPr>
          <w:ilvl w:val="0"/>
          <w:numId w:val="27"/>
        </w:numPr>
        <w:spacing w:before="120" w:after="120" w:line="360" w:lineRule="auto"/>
        <w:jc w:val="both"/>
        <w:rPr>
          <w:rFonts w:ascii="Arial" w:hAnsi="Arial" w:cs="Arial"/>
          <w:lang w:val="en-IN"/>
        </w:rPr>
      </w:pPr>
      <w:r w:rsidRPr="005E6905">
        <w:rPr>
          <w:rFonts w:ascii="Arial" w:hAnsi="Arial" w:cs="Arial"/>
          <w:lang w:val="en-IN"/>
        </w:rPr>
        <w:t>What is the backup plan for project operations to deal with unforeseen situations?</w:t>
      </w:r>
    </w:p>
    <w:p w14:paraId="7D3CD7B1"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4. Stakeholder Engagement:</w:t>
      </w:r>
    </w:p>
    <w:p w14:paraId="222B9119" w14:textId="77777777" w:rsidR="001529FD" w:rsidRPr="005E6905" w:rsidRDefault="001529FD" w:rsidP="005E6905">
      <w:pPr>
        <w:pStyle w:val="ListParagraph"/>
        <w:numPr>
          <w:ilvl w:val="0"/>
          <w:numId w:val="26"/>
        </w:numPr>
        <w:spacing w:before="120" w:after="120" w:line="360" w:lineRule="auto"/>
        <w:jc w:val="both"/>
        <w:rPr>
          <w:rFonts w:ascii="Arial" w:hAnsi="Arial" w:cs="Arial"/>
          <w:lang w:val="en-IN"/>
        </w:rPr>
      </w:pPr>
      <w:r w:rsidRPr="005E6905">
        <w:rPr>
          <w:rFonts w:ascii="Arial" w:hAnsi="Arial" w:cs="Arial"/>
          <w:lang w:val="en-IN"/>
        </w:rPr>
        <w:t>However, you should also identify those who are most affected by the project (for example, employees, customers, or local communities) (</w:t>
      </w:r>
      <w:r w:rsidRPr="005E6905">
        <w:rPr>
          <w:rFonts w:ascii="Arial" w:hAnsi="Arial" w:cs="Arial"/>
          <w:shd w:val="clear" w:color="auto" w:fill="FFFFFF"/>
        </w:rPr>
        <w:t>Kujala et al., 2022).</w:t>
      </w:r>
    </w:p>
    <w:p w14:paraId="7C6A1FDB" w14:textId="77777777" w:rsidR="001529FD" w:rsidRPr="005E6905" w:rsidRDefault="001529FD" w:rsidP="005E6905">
      <w:pPr>
        <w:pStyle w:val="ListParagraph"/>
        <w:numPr>
          <w:ilvl w:val="0"/>
          <w:numId w:val="26"/>
        </w:numPr>
        <w:spacing w:before="120" w:after="120" w:line="360" w:lineRule="auto"/>
        <w:jc w:val="both"/>
        <w:rPr>
          <w:rFonts w:ascii="Arial" w:hAnsi="Arial" w:cs="Arial"/>
          <w:lang w:val="en-IN"/>
        </w:rPr>
      </w:pPr>
      <w:r w:rsidRPr="005E6905">
        <w:rPr>
          <w:rFonts w:ascii="Arial" w:hAnsi="Arial" w:cs="Arial"/>
          <w:lang w:val="en-IN"/>
        </w:rPr>
        <w:t>What is the effect of the project on these remaining parties?</w:t>
      </w:r>
    </w:p>
    <w:p w14:paraId="0E55021B" w14:textId="77777777" w:rsidR="001529FD" w:rsidRPr="005E6905" w:rsidRDefault="001529FD" w:rsidP="005E6905">
      <w:pPr>
        <w:pStyle w:val="ListParagraph"/>
        <w:numPr>
          <w:ilvl w:val="0"/>
          <w:numId w:val="26"/>
        </w:numPr>
        <w:spacing w:before="120" w:after="120" w:line="360" w:lineRule="auto"/>
        <w:jc w:val="both"/>
        <w:rPr>
          <w:rFonts w:ascii="Arial" w:hAnsi="Arial" w:cs="Arial"/>
          <w:lang w:val="en-IN"/>
        </w:rPr>
      </w:pPr>
      <w:r w:rsidRPr="005E6905">
        <w:rPr>
          <w:rFonts w:ascii="Arial" w:hAnsi="Arial" w:cs="Arial"/>
          <w:lang w:val="en-IN"/>
        </w:rPr>
        <w:t xml:space="preserve">Are the stakeholders sufficiently involved in consultations and engagement that have been done </w:t>
      </w:r>
      <w:proofErr w:type="gramStart"/>
      <w:r w:rsidRPr="005E6905">
        <w:rPr>
          <w:rFonts w:ascii="Arial" w:hAnsi="Arial" w:cs="Arial"/>
          <w:lang w:val="en-IN"/>
        </w:rPr>
        <w:t>in the course of</w:t>
      </w:r>
      <w:proofErr w:type="gramEnd"/>
      <w:r w:rsidRPr="005E6905">
        <w:rPr>
          <w:rFonts w:ascii="Arial" w:hAnsi="Arial" w:cs="Arial"/>
          <w:lang w:val="en-IN"/>
        </w:rPr>
        <w:t xml:space="preserve"> the decision-making process?</w:t>
      </w:r>
    </w:p>
    <w:p w14:paraId="6E3E8EDC"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br w:type="page"/>
      </w:r>
    </w:p>
    <w:p w14:paraId="70FB91F1" w14:textId="77777777" w:rsidR="001529FD" w:rsidRPr="005E6905" w:rsidRDefault="001529FD" w:rsidP="005E6905">
      <w:pPr>
        <w:pStyle w:val="Heading1"/>
        <w:spacing w:line="360" w:lineRule="auto"/>
        <w:jc w:val="both"/>
        <w:rPr>
          <w:rFonts w:ascii="Arial" w:hAnsi="Arial" w:cs="Arial"/>
          <w:b/>
          <w:bCs/>
          <w:sz w:val="24"/>
          <w:szCs w:val="24"/>
          <w:lang w:val="en-IN"/>
        </w:rPr>
      </w:pPr>
      <w:bookmarkStart w:id="15" w:name="_Toc160294900"/>
      <w:r w:rsidRPr="005E6905">
        <w:rPr>
          <w:rFonts w:ascii="Arial" w:hAnsi="Arial" w:cs="Arial"/>
          <w:b/>
          <w:bCs/>
          <w:color w:val="auto"/>
          <w:sz w:val="24"/>
          <w:szCs w:val="24"/>
          <w:lang w:val="en-IN"/>
        </w:rPr>
        <w:lastRenderedPageBreak/>
        <w:t>Conclusion</w:t>
      </w:r>
      <w:bookmarkEnd w:id="15"/>
      <w:r w:rsidRPr="005E6905">
        <w:rPr>
          <w:rFonts w:ascii="Arial" w:hAnsi="Arial" w:cs="Arial"/>
          <w:b/>
          <w:bCs/>
          <w:sz w:val="24"/>
          <w:szCs w:val="24"/>
          <w:lang w:val="en-IN"/>
        </w:rPr>
        <w:t xml:space="preserve"> </w:t>
      </w:r>
    </w:p>
    <w:p w14:paraId="7E1ACCD9" w14:textId="77777777" w:rsidR="001529FD" w:rsidRPr="005E6905" w:rsidRDefault="001529FD" w:rsidP="005E6905">
      <w:pPr>
        <w:spacing w:line="360" w:lineRule="auto"/>
        <w:jc w:val="both"/>
        <w:rPr>
          <w:rFonts w:ascii="Arial" w:hAnsi="Arial" w:cs="Arial"/>
          <w:lang w:val="en-IN"/>
        </w:rPr>
      </w:pPr>
      <w:r w:rsidRPr="005E6905">
        <w:rPr>
          <w:rFonts w:ascii="Arial" w:hAnsi="Arial" w:cs="Arial"/>
          <w:lang w:val="en-IN"/>
        </w:rPr>
        <w:t>The review of Barclays regardless of whether it is good or bad, lets us discover the central pillars of its operations, management, and strategy. A good example of this is Barclays, which amidst so many challenges which may affect its operations like legal issues, volatility in the market and the impacts of global events such as the current COVID-19 pandemic, has shown its strength and ability to evolve. The strategic restructuring, investments in digital transformation and emphasis on sustainability have enabled the organisation to thrive despite the rapidly evolving landscape of the global financial services sector. The financial illustration pinpoints the developed fairness issues, through which one could identify profitability locations. The analysis also reveals liquidity and leverage issues in its operation. Another element that shows up Barclays' efforts to develop and capitalize on its resources is the assessment of new investment opportunities which invariably indicates the Bank's proactive efforts in the direction of growth and value creation. Such measures are meant to give the bank financial management enhancing the bank’s abilities in maximizing risk, innovation and strategic investments while equally ensuring bank stability and success within the global economy.</w:t>
      </w:r>
    </w:p>
    <w:p w14:paraId="4CB63FB7" w14:textId="1206A53E" w:rsidR="001529FD" w:rsidRPr="005E6905" w:rsidRDefault="001529FD" w:rsidP="005E6905">
      <w:pPr>
        <w:spacing w:line="360" w:lineRule="auto"/>
        <w:jc w:val="both"/>
        <w:rPr>
          <w:rFonts w:ascii="Arial" w:hAnsi="Arial" w:cs="Arial"/>
        </w:rPr>
      </w:pPr>
      <w:r w:rsidRPr="005E6905">
        <w:rPr>
          <w:rFonts w:ascii="Arial" w:hAnsi="Arial" w:cs="Arial"/>
          <w:lang w:val="en-IN"/>
        </w:rPr>
        <w:br w:type="page"/>
      </w:r>
    </w:p>
    <w:p w14:paraId="2089A1A3" w14:textId="0EFCC462" w:rsidR="00BE64FB" w:rsidRPr="005E6905" w:rsidRDefault="001529FD" w:rsidP="005E6905">
      <w:pPr>
        <w:spacing w:line="360" w:lineRule="auto"/>
        <w:jc w:val="both"/>
        <w:rPr>
          <w:rFonts w:ascii="Arial" w:hAnsi="Arial" w:cs="Arial"/>
        </w:rPr>
      </w:pPr>
      <w:r w:rsidRPr="005E6905">
        <w:rPr>
          <w:rFonts w:ascii="Arial" w:hAnsi="Arial" w:cs="Arial"/>
          <w:noProof/>
        </w:rPr>
        <w:lastRenderedPageBreak/>
        <w:t xml:space="preserve">      </w:t>
      </w:r>
    </w:p>
    <w:sectPr w:rsidR="00BE64FB" w:rsidRPr="005E6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E485B"/>
    <w:multiLevelType w:val="hybridMultilevel"/>
    <w:tmpl w:val="123250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AC21F3"/>
    <w:multiLevelType w:val="hybridMultilevel"/>
    <w:tmpl w:val="4920C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8C7EDA"/>
    <w:multiLevelType w:val="hybridMultilevel"/>
    <w:tmpl w:val="A88C7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5F325C"/>
    <w:multiLevelType w:val="hybridMultilevel"/>
    <w:tmpl w:val="1840C2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81407D"/>
    <w:multiLevelType w:val="hybridMultilevel"/>
    <w:tmpl w:val="560EC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9E11A9"/>
    <w:multiLevelType w:val="hybridMultilevel"/>
    <w:tmpl w:val="A4748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585C6D"/>
    <w:multiLevelType w:val="hybridMultilevel"/>
    <w:tmpl w:val="0E5AEA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7028E8"/>
    <w:multiLevelType w:val="hybridMultilevel"/>
    <w:tmpl w:val="15A81A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09E7264"/>
    <w:multiLevelType w:val="hybridMultilevel"/>
    <w:tmpl w:val="61AC7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34535B7"/>
    <w:multiLevelType w:val="hybridMultilevel"/>
    <w:tmpl w:val="F5AC5E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942531"/>
    <w:multiLevelType w:val="hybridMultilevel"/>
    <w:tmpl w:val="05EA2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3910E6A"/>
    <w:multiLevelType w:val="hybridMultilevel"/>
    <w:tmpl w:val="78CA72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72F3F82"/>
    <w:multiLevelType w:val="hybridMultilevel"/>
    <w:tmpl w:val="558646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BD46E3B"/>
    <w:multiLevelType w:val="hybridMultilevel"/>
    <w:tmpl w:val="558C72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D0A70C4"/>
    <w:multiLevelType w:val="hybridMultilevel"/>
    <w:tmpl w:val="D1A2A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EF613A1"/>
    <w:multiLevelType w:val="hybridMultilevel"/>
    <w:tmpl w:val="5F90AC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0276682"/>
    <w:multiLevelType w:val="hybridMultilevel"/>
    <w:tmpl w:val="8746F8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08164D8"/>
    <w:multiLevelType w:val="hybridMultilevel"/>
    <w:tmpl w:val="2410FF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8854EE5"/>
    <w:multiLevelType w:val="hybridMultilevel"/>
    <w:tmpl w:val="C54CA5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E81566"/>
    <w:multiLevelType w:val="hybridMultilevel"/>
    <w:tmpl w:val="38324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0AD4361"/>
    <w:multiLevelType w:val="hybridMultilevel"/>
    <w:tmpl w:val="64D225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2F24D0E"/>
    <w:multiLevelType w:val="hybridMultilevel"/>
    <w:tmpl w:val="C6149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4493820"/>
    <w:multiLevelType w:val="hybridMultilevel"/>
    <w:tmpl w:val="D0D044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5630F2B"/>
    <w:multiLevelType w:val="hybridMultilevel"/>
    <w:tmpl w:val="4D564D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B7D2331"/>
    <w:multiLevelType w:val="hybridMultilevel"/>
    <w:tmpl w:val="B4B87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CEA573F"/>
    <w:multiLevelType w:val="hybridMultilevel"/>
    <w:tmpl w:val="872AE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2A75FF4"/>
    <w:multiLevelType w:val="hybridMultilevel"/>
    <w:tmpl w:val="CB4CB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60C1ADD"/>
    <w:multiLevelType w:val="hybridMultilevel"/>
    <w:tmpl w:val="AFD4EF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7831455">
    <w:abstractNumId w:val="12"/>
  </w:num>
  <w:num w:numId="2" w16cid:durableId="1615556702">
    <w:abstractNumId w:val="9"/>
  </w:num>
  <w:num w:numId="3" w16cid:durableId="1672944788">
    <w:abstractNumId w:val="3"/>
  </w:num>
  <w:num w:numId="4" w16cid:durableId="337853321">
    <w:abstractNumId w:val="19"/>
  </w:num>
  <w:num w:numId="5" w16cid:durableId="272633733">
    <w:abstractNumId w:val="5"/>
  </w:num>
  <w:num w:numId="6" w16cid:durableId="254094099">
    <w:abstractNumId w:val="15"/>
  </w:num>
  <w:num w:numId="7" w16cid:durableId="1447500592">
    <w:abstractNumId w:val="10"/>
  </w:num>
  <w:num w:numId="8" w16cid:durableId="1161889952">
    <w:abstractNumId w:val="6"/>
  </w:num>
  <w:num w:numId="9" w16cid:durableId="1790318795">
    <w:abstractNumId w:val="22"/>
  </w:num>
  <w:num w:numId="10" w16cid:durableId="1807041358">
    <w:abstractNumId w:val="23"/>
  </w:num>
  <w:num w:numId="11" w16cid:durableId="894314921">
    <w:abstractNumId w:val="26"/>
  </w:num>
  <w:num w:numId="12" w16cid:durableId="733896293">
    <w:abstractNumId w:val="7"/>
  </w:num>
  <w:num w:numId="13" w16cid:durableId="1193497166">
    <w:abstractNumId w:val="14"/>
  </w:num>
  <w:num w:numId="14" w16cid:durableId="1402095074">
    <w:abstractNumId w:val="13"/>
  </w:num>
  <w:num w:numId="15" w16cid:durableId="868102669">
    <w:abstractNumId w:val="27"/>
  </w:num>
  <w:num w:numId="16" w16cid:durableId="867718908">
    <w:abstractNumId w:val="20"/>
  </w:num>
  <w:num w:numId="17" w16cid:durableId="286280207">
    <w:abstractNumId w:val="24"/>
  </w:num>
  <w:num w:numId="18" w16cid:durableId="520821958">
    <w:abstractNumId w:val="8"/>
  </w:num>
  <w:num w:numId="19" w16cid:durableId="515772371">
    <w:abstractNumId w:val="17"/>
  </w:num>
  <w:num w:numId="20" w16cid:durableId="2105566797">
    <w:abstractNumId w:val="21"/>
  </w:num>
  <w:num w:numId="21" w16cid:durableId="1486387195">
    <w:abstractNumId w:val="4"/>
  </w:num>
  <w:num w:numId="22" w16cid:durableId="1365448543">
    <w:abstractNumId w:val="16"/>
  </w:num>
  <w:num w:numId="23" w16cid:durableId="1338121860">
    <w:abstractNumId w:val="25"/>
  </w:num>
  <w:num w:numId="24" w16cid:durableId="375397235">
    <w:abstractNumId w:val="18"/>
  </w:num>
  <w:num w:numId="25" w16cid:durableId="2055693828">
    <w:abstractNumId w:val="0"/>
  </w:num>
  <w:num w:numId="26" w16cid:durableId="1712653465">
    <w:abstractNumId w:val="2"/>
  </w:num>
  <w:num w:numId="27" w16cid:durableId="1271091111">
    <w:abstractNumId w:val="1"/>
  </w:num>
  <w:num w:numId="28" w16cid:durableId="15731958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9FD"/>
    <w:rsid w:val="000C6230"/>
    <w:rsid w:val="001529FD"/>
    <w:rsid w:val="005E6905"/>
    <w:rsid w:val="00654273"/>
    <w:rsid w:val="00790BC6"/>
    <w:rsid w:val="007D5508"/>
    <w:rsid w:val="00933304"/>
    <w:rsid w:val="00BE64FB"/>
    <w:rsid w:val="00C83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81329"/>
  <w15:chartTrackingRefBased/>
  <w15:docId w15:val="{7D7A93E5-911E-4CF3-A7EE-013BCF7C6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2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2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9FD"/>
    <w:rPr>
      <w:rFonts w:eastAsiaTheme="majorEastAsia" w:cstheme="majorBidi"/>
      <w:color w:val="272727" w:themeColor="text1" w:themeTint="D8"/>
    </w:rPr>
  </w:style>
  <w:style w:type="paragraph" w:styleId="Title">
    <w:name w:val="Title"/>
    <w:basedOn w:val="Normal"/>
    <w:next w:val="Normal"/>
    <w:link w:val="TitleChar"/>
    <w:uiPriority w:val="10"/>
    <w:qFormat/>
    <w:rsid w:val="00152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9FD"/>
    <w:pPr>
      <w:spacing w:before="160"/>
      <w:jc w:val="center"/>
    </w:pPr>
    <w:rPr>
      <w:i/>
      <w:iCs/>
      <w:color w:val="404040" w:themeColor="text1" w:themeTint="BF"/>
    </w:rPr>
  </w:style>
  <w:style w:type="character" w:customStyle="1" w:styleId="QuoteChar">
    <w:name w:val="Quote Char"/>
    <w:basedOn w:val="DefaultParagraphFont"/>
    <w:link w:val="Quote"/>
    <w:uiPriority w:val="29"/>
    <w:rsid w:val="001529FD"/>
    <w:rPr>
      <w:i/>
      <w:iCs/>
      <w:color w:val="404040" w:themeColor="text1" w:themeTint="BF"/>
    </w:rPr>
  </w:style>
  <w:style w:type="paragraph" w:styleId="ListParagraph">
    <w:name w:val="List Paragraph"/>
    <w:basedOn w:val="Normal"/>
    <w:uiPriority w:val="34"/>
    <w:qFormat/>
    <w:rsid w:val="001529FD"/>
    <w:pPr>
      <w:ind w:left="720"/>
      <w:contextualSpacing/>
    </w:pPr>
  </w:style>
  <w:style w:type="character" w:styleId="IntenseEmphasis">
    <w:name w:val="Intense Emphasis"/>
    <w:basedOn w:val="DefaultParagraphFont"/>
    <w:uiPriority w:val="21"/>
    <w:qFormat/>
    <w:rsid w:val="001529FD"/>
    <w:rPr>
      <w:i/>
      <w:iCs/>
      <w:color w:val="0F4761" w:themeColor="accent1" w:themeShade="BF"/>
    </w:rPr>
  </w:style>
  <w:style w:type="paragraph" w:styleId="IntenseQuote">
    <w:name w:val="Intense Quote"/>
    <w:basedOn w:val="Normal"/>
    <w:next w:val="Normal"/>
    <w:link w:val="IntenseQuoteChar"/>
    <w:uiPriority w:val="30"/>
    <w:qFormat/>
    <w:rsid w:val="00152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9FD"/>
    <w:rPr>
      <w:i/>
      <w:iCs/>
      <w:color w:val="0F4761" w:themeColor="accent1" w:themeShade="BF"/>
    </w:rPr>
  </w:style>
  <w:style w:type="character" w:styleId="IntenseReference">
    <w:name w:val="Intense Reference"/>
    <w:basedOn w:val="DefaultParagraphFont"/>
    <w:uiPriority w:val="32"/>
    <w:qFormat/>
    <w:rsid w:val="001529FD"/>
    <w:rPr>
      <w:b/>
      <w:bCs/>
      <w:smallCaps/>
      <w:color w:val="0F4761" w:themeColor="accent1" w:themeShade="BF"/>
      <w:spacing w:val="5"/>
    </w:rPr>
  </w:style>
  <w:style w:type="table" w:styleId="TableGrid">
    <w:name w:val="Table Grid"/>
    <w:basedOn w:val="TableNormal"/>
    <w:uiPriority w:val="39"/>
    <w:rsid w:val="001529FD"/>
    <w:pPr>
      <w:spacing w:after="0" w:line="240" w:lineRule="auto"/>
      <w:jc w:val="both"/>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29FD"/>
    <w:pPr>
      <w:spacing w:before="240" w:after="0"/>
      <w:outlineLvl w:val="9"/>
    </w:pPr>
    <w:rPr>
      <w:sz w:val="32"/>
      <w:szCs w:val="32"/>
      <w:lang w:val="en-US"/>
    </w:rPr>
  </w:style>
  <w:style w:type="paragraph" w:styleId="TOC1">
    <w:name w:val="toc 1"/>
    <w:basedOn w:val="Normal"/>
    <w:next w:val="Normal"/>
    <w:autoRedefine/>
    <w:uiPriority w:val="39"/>
    <w:unhideWhenUsed/>
    <w:rsid w:val="001529FD"/>
    <w:pPr>
      <w:spacing w:before="120" w:after="100" w:line="360" w:lineRule="auto"/>
      <w:jc w:val="both"/>
    </w:pPr>
    <w:rPr>
      <w:rFonts w:ascii="Times New Roman" w:eastAsia="Times New Roman" w:hAnsi="Times New Roman" w:cs="Times New Roman"/>
      <w:color w:val="000000" w:themeColor="text1"/>
      <w:sz w:val="24"/>
      <w:szCs w:val="20"/>
      <w:lang w:eastAsia="en-GB"/>
    </w:rPr>
  </w:style>
  <w:style w:type="paragraph" w:styleId="TOC2">
    <w:name w:val="toc 2"/>
    <w:basedOn w:val="Normal"/>
    <w:next w:val="Normal"/>
    <w:autoRedefine/>
    <w:uiPriority w:val="39"/>
    <w:unhideWhenUsed/>
    <w:rsid w:val="001529FD"/>
    <w:pPr>
      <w:spacing w:before="120" w:after="100" w:line="360" w:lineRule="auto"/>
      <w:ind w:left="240"/>
      <w:jc w:val="both"/>
    </w:pPr>
    <w:rPr>
      <w:rFonts w:ascii="Times New Roman" w:eastAsia="Times New Roman" w:hAnsi="Times New Roman" w:cs="Times New Roman"/>
      <w:color w:val="000000" w:themeColor="text1"/>
      <w:sz w:val="24"/>
      <w:szCs w:val="20"/>
      <w:lang w:eastAsia="en-GB"/>
    </w:rPr>
  </w:style>
  <w:style w:type="character" w:styleId="Hyperlink">
    <w:name w:val="Hyperlink"/>
    <w:basedOn w:val="DefaultParagraphFont"/>
    <w:uiPriority w:val="99"/>
    <w:unhideWhenUsed/>
    <w:rsid w:val="001529FD"/>
    <w:rPr>
      <w:color w:val="467886" w:themeColor="hyperlink"/>
      <w:u w:val="single"/>
    </w:rPr>
  </w:style>
  <w:style w:type="paragraph" w:styleId="TableofFigures">
    <w:name w:val="table of figures"/>
    <w:basedOn w:val="Normal"/>
    <w:next w:val="Normal"/>
    <w:uiPriority w:val="99"/>
    <w:unhideWhenUsed/>
    <w:rsid w:val="001529FD"/>
    <w:pPr>
      <w:spacing w:before="120" w:after="0" w:line="360" w:lineRule="auto"/>
      <w:jc w:val="both"/>
    </w:pPr>
    <w:rPr>
      <w:rFonts w:ascii="Times New Roman" w:eastAsia="Times New Roman" w:hAnsi="Times New Roman" w:cs="Times New Roman"/>
      <w:color w:val="000000" w:themeColor="text1"/>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19</Pages>
  <Words>5067</Words>
  <Characters>28884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 Erinosho (2008390)</dc:creator>
  <cp:keywords/>
  <dc:description/>
  <cp:lastModifiedBy>Olamide Bobby Erinosho (2008390)</cp:lastModifiedBy>
  <cp:revision>6</cp:revision>
  <dcterms:created xsi:type="dcterms:W3CDTF">2024-03-18T14:20:00Z</dcterms:created>
  <dcterms:modified xsi:type="dcterms:W3CDTF">2024-03-19T15:49:00Z</dcterms:modified>
</cp:coreProperties>
</file>