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F167BE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5222F">
              <w:rPr>
                <w:rFonts w:ascii="Times New Roman" w:hAnsi="Times New Roman" w:cs="Times New Roman"/>
                <w:b/>
                <w:color w:val="auto"/>
                <w:sz w:val="48"/>
              </w:rPr>
              <w:t>Cas Metcalf</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Pr="004132DD" w:rsidRDefault="00EB695F" w:rsidP="004132DD">
      <w:pPr>
        <w:spacing w:line="360" w:lineRule="auto"/>
        <w:jc w:val="both"/>
        <w:rPr>
          <w:color w:val="000000" w:themeColor="text1"/>
          <w:sz w:val="24"/>
          <w:szCs w:val="24"/>
        </w:rPr>
      </w:pPr>
    </w:p>
    <w:p w14:paraId="42DD91F4"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color w:val="000000" w:themeColor="text1"/>
          <w:sz w:val="24"/>
          <w:szCs w:val="24"/>
        </w:rPr>
        <w:t xml:space="preserve">British Association of Social Workers (2021) </w:t>
      </w:r>
      <w:r w:rsidRPr="004132DD">
        <w:rPr>
          <w:rFonts w:eastAsia="Arial"/>
          <w:i/>
          <w:iCs/>
          <w:color w:val="000000" w:themeColor="text1"/>
          <w:sz w:val="24"/>
          <w:szCs w:val="24"/>
        </w:rPr>
        <w:t>The Code of Ethics for Social Work</w:t>
      </w:r>
      <w:r w:rsidRPr="004132DD">
        <w:rPr>
          <w:rFonts w:eastAsia="Arial"/>
          <w:color w:val="000000" w:themeColor="text1"/>
          <w:sz w:val="24"/>
          <w:szCs w:val="24"/>
        </w:rPr>
        <w:t xml:space="preserve">   Available at: https://basw.co.uk/policy-practice/standards/code-ethics (Accessed 03 August 2025)</w:t>
      </w:r>
    </w:p>
    <w:p w14:paraId="493511DC"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i/>
          <w:iCs/>
          <w:color w:val="000000" w:themeColor="text1"/>
          <w:sz w:val="24"/>
          <w:szCs w:val="24"/>
        </w:rPr>
        <w:t>Children Act 1989</w:t>
      </w:r>
      <w:r w:rsidRPr="004132DD">
        <w:rPr>
          <w:rFonts w:eastAsia="Arial"/>
          <w:color w:val="000000" w:themeColor="text1"/>
          <w:sz w:val="24"/>
          <w:szCs w:val="24"/>
        </w:rPr>
        <w:t xml:space="preserve">, c. 41. Available </w:t>
      </w:r>
      <w:proofErr w:type="gramStart"/>
      <w:r w:rsidRPr="004132DD">
        <w:rPr>
          <w:rFonts w:eastAsia="Arial"/>
          <w:color w:val="000000" w:themeColor="text1"/>
          <w:sz w:val="24"/>
          <w:szCs w:val="24"/>
        </w:rPr>
        <w:t>at :</w:t>
      </w:r>
      <w:proofErr w:type="gramEnd"/>
      <w:r w:rsidRPr="004132DD">
        <w:rPr>
          <w:rFonts w:eastAsia="Arial"/>
          <w:color w:val="000000" w:themeColor="text1"/>
          <w:sz w:val="24"/>
          <w:szCs w:val="24"/>
        </w:rPr>
        <w:t xml:space="preserve"> https://www.legislation.gov.uk/ukpga/1989/41/contents (Accessed 2 October 2025)</w:t>
      </w:r>
    </w:p>
    <w:p w14:paraId="13FB050F"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i/>
          <w:iCs/>
          <w:color w:val="000000" w:themeColor="text1"/>
          <w:sz w:val="24"/>
          <w:szCs w:val="24"/>
        </w:rPr>
        <w:t>Children Act</w:t>
      </w:r>
      <w:r w:rsidRPr="004132DD">
        <w:rPr>
          <w:rFonts w:eastAsia="Arial"/>
          <w:color w:val="000000" w:themeColor="text1"/>
          <w:sz w:val="24"/>
          <w:szCs w:val="24"/>
        </w:rPr>
        <w:t xml:space="preserve"> 2005, c. 31. Available at: http://www.legislation.gov.uk/ukpga/2004/31/contents (Accessed 3 October 2025)</w:t>
      </w:r>
    </w:p>
    <w:p w14:paraId="1FFDC5A7"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color w:val="000000" w:themeColor="text1"/>
          <w:sz w:val="24"/>
          <w:szCs w:val="24"/>
        </w:rPr>
        <w:t xml:space="preserve">Community Care Inform (2021) </w:t>
      </w:r>
      <w:r w:rsidRPr="004132DD">
        <w:rPr>
          <w:rFonts w:eastAsia="Arial"/>
          <w:i/>
          <w:iCs/>
          <w:color w:val="000000" w:themeColor="text1"/>
          <w:sz w:val="24"/>
          <w:szCs w:val="24"/>
        </w:rPr>
        <w:t xml:space="preserve">Supporting Social Workers in 2021. </w:t>
      </w:r>
      <w:r w:rsidRPr="004132DD">
        <w:rPr>
          <w:rFonts w:eastAsia="Arial"/>
          <w:color w:val="000000" w:themeColor="text1"/>
          <w:sz w:val="24"/>
          <w:szCs w:val="24"/>
        </w:rPr>
        <w:t>Available at: https://cci.mydigitalpublication.co.uk/articles/stress-management (Accessed 14 September 2025)</w:t>
      </w:r>
    </w:p>
    <w:p w14:paraId="659449CB"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color w:val="000000" w:themeColor="text1"/>
          <w:sz w:val="24"/>
          <w:szCs w:val="24"/>
        </w:rPr>
        <w:t xml:space="preserve">Coventry City Council (2024) </w:t>
      </w:r>
      <w:r w:rsidRPr="004132DD">
        <w:rPr>
          <w:rFonts w:eastAsia="Arial"/>
          <w:i/>
          <w:iCs/>
          <w:color w:val="000000" w:themeColor="text1"/>
          <w:sz w:val="24"/>
          <w:szCs w:val="24"/>
        </w:rPr>
        <w:t xml:space="preserve">Direct Work Toolkit. </w:t>
      </w:r>
      <w:r w:rsidRPr="004132DD">
        <w:rPr>
          <w:rFonts w:eastAsia="Arial"/>
          <w:color w:val="000000" w:themeColor="text1"/>
          <w:sz w:val="24"/>
          <w:szCs w:val="24"/>
        </w:rPr>
        <w:t>Available at: https://www.coventry.gov.uk/direct-work-toolkit (Accessed 21 August 2025)</w:t>
      </w:r>
    </w:p>
    <w:p w14:paraId="04DFDE72" w14:textId="77777777" w:rsidR="004132DD" w:rsidRPr="004132DD" w:rsidRDefault="004132DD" w:rsidP="004132DD">
      <w:pPr>
        <w:spacing w:after="240" w:line="360" w:lineRule="auto"/>
        <w:ind w:left="720" w:hanging="720"/>
        <w:rPr>
          <w:rFonts w:eastAsia="Arial"/>
          <w:color w:val="000000" w:themeColor="text1"/>
          <w:sz w:val="24"/>
          <w:szCs w:val="24"/>
          <w:lang w:val="fr-FR"/>
        </w:rPr>
      </w:pPr>
      <w:r w:rsidRPr="004132DD">
        <w:rPr>
          <w:rFonts w:eastAsia="Arial"/>
          <w:color w:val="000000" w:themeColor="text1"/>
          <w:sz w:val="24"/>
          <w:szCs w:val="24"/>
        </w:rPr>
        <w:t xml:space="preserve">Department for Constitutional Affairs (2007) </w:t>
      </w:r>
      <w:r w:rsidRPr="004132DD">
        <w:rPr>
          <w:rFonts w:eastAsia="Arial"/>
          <w:i/>
          <w:iCs/>
          <w:color w:val="000000" w:themeColor="text1"/>
          <w:sz w:val="24"/>
          <w:szCs w:val="24"/>
        </w:rPr>
        <w:t>Mental Capacity Act 2005: Code of Practice.</w:t>
      </w:r>
      <w:r w:rsidRPr="004132DD">
        <w:rPr>
          <w:rFonts w:eastAsia="Arial"/>
          <w:color w:val="000000" w:themeColor="text1"/>
          <w:sz w:val="24"/>
          <w:szCs w:val="24"/>
        </w:rPr>
        <w:t> </w:t>
      </w:r>
      <w:proofErr w:type="spellStart"/>
      <w:r w:rsidRPr="004132DD">
        <w:rPr>
          <w:rFonts w:eastAsia="Arial"/>
          <w:color w:val="000000" w:themeColor="text1"/>
          <w:sz w:val="24"/>
          <w:szCs w:val="24"/>
          <w:lang w:val="fr-FR"/>
        </w:rPr>
        <w:t>Available</w:t>
      </w:r>
      <w:proofErr w:type="spellEnd"/>
      <w:r w:rsidRPr="004132DD">
        <w:rPr>
          <w:rFonts w:eastAsia="Arial"/>
          <w:color w:val="000000" w:themeColor="text1"/>
          <w:sz w:val="24"/>
          <w:szCs w:val="24"/>
          <w:lang w:val="fr-FR"/>
        </w:rPr>
        <w:t xml:space="preserve"> </w:t>
      </w:r>
      <w:proofErr w:type="gramStart"/>
      <w:r w:rsidRPr="004132DD">
        <w:rPr>
          <w:rFonts w:eastAsia="Arial"/>
          <w:color w:val="000000" w:themeColor="text1"/>
          <w:sz w:val="24"/>
          <w:szCs w:val="24"/>
          <w:lang w:val="fr-FR"/>
        </w:rPr>
        <w:t>at:</w:t>
      </w:r>
      <w:proofErr w:type="gramEnd"/>
      <w:r w:rsidRPr="004132DD">
        <w:rPr>
          <w:rFonts w:eastAsia="Arial"/>
          <w:color w:val="000000" w:themeColor="text1"/>
          <w:sz w:val="24"/>
          <w:szCs w:val="24"/>
          <w:lang w:val="fr-FR"/>
        </w:rPr>
        <w:t> https://www.gov.uk/government/publications/mental-capacity-act-code-of-practice</w:t>
      </w:r>
    </w:p>
    <w:p w14:paraId="1B656BE5"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color w:val="000000" w:themeColor="text1"/>
          <w:sz w:val="24"/>
          <w:szCs w:val="24"/>
        </w:rPr>
        <w:t xml:space="preserve">Driscoll J. (1994). ‘Reflective practice for practise’. </w:t>
      </w:r>
      <w:r w:rsidRPr="004132DD">
        <w:rPr>
          <w:rFonts w:eastAsia="Arial"/>
          <w:i/>
          <w:iCs/>
          <w:color w:val="000000" w:themeColor="text1"/>
          <w:sz w:val="24"/>
          <w:szCs w:val="24"/>
        </w:rPr>
        <w:t>Senior Nurse</w:t>
      </w:r>
      <w:r w:rsidRPr="004132DD">
        <w:rPr>
          <w:rFonts w:eastAsia="Arial"/>
          <w:color w:val="000000" w:themeColor="text1"/>
          <w:sz w:val="24"/>
          <w:szCs w:val="24"/>
        </w:rPr>
        <w:t>, 13, pp. 47 –50</w:t>
      </w:r>
    </w:p>
    <w:p w14:paraId="1CE8F7AD"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color w:val="000000" w:themeColor="text1"/>
          <w:sz w:val="24"/>
          <w:szCs w:val="24"/>
        </w:rPr>
        <w:t xml:space="preserve">Hatton N., and Smith D. (1995). ‘Reflection in Teacher Education: Towards Definition and Implementation’. </w:t>
      </w:r>
      <w:r w:rsidRPr="004132DD">
        <w:rPr>
          <w:rFonts w:eastAsia="Arial"/>
          <w:i/>
          <w:iCs/>
          <w:color w:val="000000" w:themeColor="text1"/>
          <w:sz w:val="24"/>
          <w:szCs w:val="24"/>
        </w:rPr>
        <w:t xml:space="preserve">Teaching and Teacher Education, </w:t>
      </w:r>
      <w:r w:rsidRPr="004132DD">
        <w:rPr>
          <w:rFonts w:eastAsia="Arial"/>
          <w:color w:val="000000" w:themeColor="text1"/>
          <w:sz w:val="24"/>
          <w:szCs w:val="24"/>
        </w:rPr>
        <w:t>11(1), pp. 33-49. Available at: https://doi.org/10.1016/0742-051X(94)00012-U (Accessed 9 September 2025)</w:t>
      </w:r>
    </w:p>
    <w:p w14:paraId="30726644" w14:textId="77777777" w:rsidR="004132DD" w:rsidRPr="004132DD" w:rsidRDefault="004132DD" w:rsidP="004132DD">
      <w:pPr>
        <w:spacing w:before="240" w:after="240" w:line="360" w:lineRule="auto"/>
        <w:ind w:left="720" w:hanging="720"/>
        <w:rPr>
          <w:rFonts w:eastAsia="Arial"/>
          <w:color w:val="000000" w:themeColor="text1"/>
          <w:sz w:val="24"/>
          <w:szCs w:val="24"/>
        </w:rPr>
      </w:pPr>
      <w:r w:rsidRPr="004132DD">
        <w:rPr>
          <w:rFonts w:eastAsia="Arial"/>
          <w:color w:val="000000" w:themeColor="text1"/>
          <w:sz w:val="24"/>
          <w:szCs w:val="24"/>
        </w:rPr>
        <w:t>Hernon, J., Brandon, M., Cossar J. and Shakespeare, T</w:t>
      </w:r>
      <w:r w:rsidRPr="004132DD">
        <w:rPr>
          <w:rFonts w:eastAsia="Arial"/>
          <w:i/>
          <w:iCs/>
          <w:color w:val="000000" w:themeColor="text1"/>
          <w:sz w:val="24"/>
          <w:szCs w:val="24"/>
        </w:rPr>
        <w:t xml:space="preserve"> (2013). ‘</w:t>
      </w:r>
      <w:r w:rsidRPr="004132DD">
        <w:rPr>
          <w:rFonts w:eastAsia="Arial"/>
          <w:color w:val="000000" w:themeColor="text1"/>
          <w:sz w:val="24"/>
          <w:szCs w:val="24"/>
        </w:rPr>
        <w:t>Recognising and Responding to the maltreatment of disabled children: A Children’s Rights approach</w:t>
      </w:r>
      <w:r w:rsidRPr="004132DD">
        <w:rPr>
          <w:rFonts w:eastAsia="Arial"/>
          <w:i/>
          <w:iCs/>
          <w:color w:val="000000" w:themeColor="text1"/>
          <w:sz w:val="24"/>
          <w:szCs w:val="24"/>
        </w:rPr>
        <w:t>’.  Social Work and Social Sciences Review</w:t>
      </w:r>
      <w:r w:rsidRPr="004132DD">
        <w:rPr>
          <w:rFonts w:eastAsia="Arial"/>
          <w:color w:val="000000" w:themeColor="text1"/>
          <w:sz w:val="24"/>
          <w:szCs w:val="24"/>
        </w:rPr>
        <w:t xml:space="preserve">, Special Issue. Available at: </w:t>
      </w:r>
      <w:r w:rsidRPr="004132DD">
        <w:rPr>
          <w:rFonts w:eastAsia="Arial"/>
          <w:color w:val="000000" w:themeColor="text1"/>
          <w:sz w:val="24"/>
          <w:szCs w:val="24"/>
        </w:rPr>
        <w:lastRenderedPageBreak/>
        <w:t>https://ueaeprints.uea.ac.uk/id/eprint/56658/1/Hernon_et_al_Recognising_and_Responding_to_the_Maltreatment_of_Disabled_Children_FINAL.pdf (Accessed 1 October 2025)</w:t>
      </w:r>
    </w:p>
    <w:p w14:paraId="2FC9FDF2"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color w:val="000000" w:themeColor="text1"/>
          <w:sz w:val="24"/>
          <w:szCs w:val="24"/>
        </w:rPr>
        <w:t xml:space="preserve">Holmes, D. (2018) </w:t>
      </w:r>
      <w:r w:rsidRPr="004132DD">
        <w:rPr>
          <w:rFonts w:eastAsia="Arial"/>
          <w:i/>
          <w:iCs/>
          <w:color w:val="000000" w:themeColor="text1"/>
          <w:sz w:val="24"/>
          <w:szCs w:val="24"/>
        </w:rPr>
        <w:t xml:space="preserve">Transitional Safeguarding from adolescence to adulthood. </w:t>
      </w:r>
      <w:r w:rsidRPr="004132DD">
        <w:rPr>
          <w:rFonts w:eastAsia="Arial"/>
          <w:color w:val="000000" w:themeColor="text1"/>
          <w:sz w:val="24"/>
          <w:szCs w:val="24"/>
        </w:rPr>
        <w:t>Research in Practice. Available at: https://www.researchinpractice.org.uk/all/news-views/2018/august/transitional-safeguarding-from-adolescence-to-adulthood/</w:t>
      </w:r>
    </w:p>
    <w:p w14:paraId="731FEC13"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i/>
          <w:iCs/>
          <w:color w:val="000000" w:themeColor="text1"/>
          <w:sz w:val="24"/>
          <w:szCs w:val="24"/>
        </w:rPr>
        <w:t xml:space="preserve">Human Rights Act 1998, c42 </w:t>
      </w:r>
      <w:r w:rsidRPr="004132DD">
        <w:rPr>
          <w:rFonts w:eastAsia="Arial"/>
          <w:color w:val="000000" w:themeColor="text1"/>
          <w:sz w:val="24"/>
          <w:szCs w:val="24"/>
        </w:rPr>
        <w:t>Available at: https://www.legislation.gov.uk/ukpga/1998/42 (Accessed 21 September 2025)</w:t>
      </w:r>
    </w:p>
    <w:p w14:paraId="2AB099D4"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i/>
          <w:iCs/>
          <w:color w:val="000000" w:themeColor="text1"/>
          <w:sz w:val="24"/>
          <w:szCs w:val="24"/>
        </w:rPr>
        <w:t>Mental Capacity Act 2005,</w:t>
      </w:r>
      <w:r w:rsidRPr="004132DD">
        <w:rPr>
          <w:rFonts w:eastAsia="Arial"/>
          <w:color w:val="000000" w:themeColor="text1"/>
          <w:sz w:val="24"/>
          <w:szCs w:val="24"/>
        </w:rPr>
        <w:t xml:space="preserve"> c. 9. [online] Available at: https://www.legislation.gov.uk/ukpga/2005/9/contents (Accessed 19 August 2025).</w:t>
      </w:r>
    </w:p>
    <w:p w14:paraId="540A167B"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color w:val="000000" w:themeColor="text1"/>
          <w:sz w:val="24"/>
          <w:szCs w:val="24"/>
        </w:rPr>
        <w:t xml:space="preserve"> Rice, G.</w:t>
      </w:r>
      <w:proofErr w:type="gramStart"/>
      <w:r w:rsidRPr="004132DD">
        <w:rPr>
          <w:rFonts w:eastAsia="Arial"/>
          <w:color w:val="000000" w:themeColor="text1"/>
          <w:sz w:val="24"/>
          <w:szCs w:val="24"/>
        </w:rPr>
        <w:t>,  Cruickshank</w:t>
      </w:r>
      <w:proofErr w:type="gramEnd"/>
      <w:r w:rsidRPr="004132DD">
        <w:rPr>
          <w:rFonts w:eastAsia="Arial"/>
          <w:color w:val="000000" w:themeColor="text1"/>
          <w:sz w:val="24"/>
          <w:szCs w:val="24"/>
        </w:rPr>
        <w:t>, L.</w:t>
      </w:r>
      <w:proofErr w:type="gramStart"/>
      <w:r w:rsidRPr="004132DD">
        <w:rPr>
          <w:rFonts w:eastAsia="Arial"/>
          <w:color w:val="000000" w:themeColor="text1"/>
          <w:sz w:val="24"/>
          <w:szCs w:val="24"/>
        </w:rPr>
        <w:t>,  Whitham</w:t>
      </w:r>
      <w:proofErr w:type="gramEnd"/>
      <w:r w:rsidRPr="004132DD">
        <w:rPr>
          <w:rFonts w:eastAsia="Arial"/>
          <w:color w:val="000000" w:themeColor="text1"/>
          <w:sz w:val="24"/>
          <w:szCs w:val="24"/>
        </w:rPr>
        <w:t>, R., Alter, H., and Vallely, J. (2016) Us</w:t>
      </w:r>
      <w:r w:rsidRPr="004132DD">
        <w:rPr>
          <w:rFonts w:eastAsia="Arial"/>
          <w:i/>
          <w:iCs/>
          <w:color w:val="000000" w:themeColor="text1"/>
          <w:sz w:val="24"/>
          <w:szCs w:val="24"/>
        </w:rPr>
        <w:t xml:space="preserve">ing tools to enhance engagement in social services. </w:t>
      </w:r>
      <w:r w:rsidRPr="004132DD">
        <w:rPr>
          <w:rFonts w:eastAsia="Arial"/>
          <w:color w:val="000000" w:themeColor="text1"/>
          <w:sz w:val="24"/>
          <w:szCs w:val="24"/>
        </w:rPr>
        <w:t>Available at: https://www.iriss.org.uk/resources/irisson/using-tools-enhance-engagement-social-services. (Accessed 09 September 2025)</w:t>
      </w:r>
    </w:p>
    <w:p w14:paraId="220D5CEE"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color w:val="000000" w:themeColor="text1"/>
          <w:sz w:val="24"/>
          <w:szCs w:val="24"/>
        </w:rPr>
        <w:t xml:space="preserve">Social Care Wales. (2017) </w:t>
      </w:r>
      <w:r w:rsidRPr="004132DD">
        <w:rPr>
          <w:rFonts w:eastAsia="Arial"/>
          <w:i/>
          <w:iCs/>
          <w:color w:val="000000" w:themeColor="text1"/>
          <w:sz w:val="24"/>
          <w:szCs w:val="24"/>
        </w:rPr>
        <w:t xml:space="preserve">Code of Professional Practice. </w:t>
      </w:r>
      <w:r w:rsidRPr="004132DD">
        <w:rPr>
          <w:rFonts w:eastAsia="Arial"/>
          <w:color w:val="000000" w:themeColor="text1"/>
          <w:sz w:val="24"/>
          <w:szCs w:val="24"/>
        </w:rPr>
        <w:t>Available at: https://socialcare.wales/cms-assets/documents/Code-of-Professional-Practice-for-Social-Care-web-version.pdf (Accessed 03 October 2025)</w:t>
      </w:r>
    </w:p>
    <w:p w14:paraId="75B2CDAE"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color w:val="000000" w:themeColor="text1"/>
          <w:sz w:val="24"/>
          <w:szCs w:val="24"/>
        </w:rPr>
        <w:t xml:space="preserve">Social Care Wales. (2019) </w:t>
      </w:r>
      <w:r w:rsidRPr="004132DD">
        <w:rPr>
          <w:rFonts w:eastAsia="Arial"/>
          <w:i/>
          <w:iCs/>
          <w:color w:val="000000" w:themeColor="text1"/>
          <w:sz w:val="24"/>
          <w:szCs w:val="24"/>
        </w:rPr>
        <w:t xml:space="preserve">Wales Safeguarding Procedures. </w:t>
      </w:r>
      <w:r w:rsidRPr="004132DD">
        <w:rPr>
          <w:rFonts w:eastAsia="Arial"/>
          <w:color w:val="000000" w:themeColor="text1"/>
          <w:sz w:val="24"/>
          <w:szCs w:val="24"/>
        </w:rPr>
        <w:t>Available at https://safeguarding.wales/en/. (Accessed 28 September 2025)</w:t>
      </w:r>
    </w:p>
    <w:p w14:paraId="67898764"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i/>
          <w:iCs/>
          <w:color w:val="000000" w:themeColor="text1"/>
          <w:sz w:val="24"/>
          <w:szCs w:val="24"/>
        </w:rPr>
        <w:t xml:space="preserve">Social Services and Wellbeing (Wales) Act 2014, </w:t>
      </w:r>
      <w:proofErr w:type="spellStart"/>
      <w:r w:rsidRPr="004132DD">
        <w:rPr>
          <w:rFonts w:eastAsia="Arial"/>
          <w:color w:val="000000" w:themeColor="text1"/>
          <w:sz w:val="24"/>
          <w:szCs w:val="24"/>
        </w:rPr>
        <w:t>anaw</w:t>
      </w:r>
      <w:proofErr w:type="spellEnd"/>
      <w:r w:rsidRPr="004132DD">
        <w:rPr>
          <w:rFonts w:eastAsia="Arial"/>
          <w:color w:val="000000" w:themeColor="text1"/>
          <w:sz w:val="24"/>
          <w:szCs w:val="24"/>
        </w:rPr>
        <w:t xml:space="preserve"> 4. Available at: Social Services and Well-being (Wales) Act 2014 (Accessed 6 October 2025)</w:t>
      </w:r>
    </w:p>
    <w:p w14:paraId="221BF8D9"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color w:val="000000" w:themeColor="text1"/>
          <w:sz w:val="24"/>
          <w:szCs w:val="24"/>
        </w:rPr>
        <w:t>Turnell, A. and Edwards, S. (1999</w:t>
      </w:r>
      <w:proofErr w:type="gramStart"/>
      <w:r w:rsidRPr="004132DD">
        <w:rPr>
          <w:rFonts w:eastAsia="Arial"/>
          <w:color w:val="000000" w:themeColor="text1"/>
          <w:sz w:val="24"/>
          <w:szCs w:val="24"/>
        </w:rPr>
        <w:t>) .</w:t>
      </w:r>
      <w:proofErr w:type="gramEnd"/>
      <w:r w:rsidRPr="004132DD">
        <w:rPr>
          <w:rFonts w:eastAsia="Arial"/>
          <w:color w:val="000000" w:themeColor="text1"/>
          <w:sz w:val="24"/>
          <w:szCs w:val="24"/>
        </w:rPr>
        <w:t xml:space="preserve"> </w:t>
      </w:r>
      <w:r w:rsidRPr="004132DD">
        <w:rPr>
          <w:rFonts w:eastAsia="Arial"/>
          <w:i/>
          <w:iCs/>
          <w:color w:val="000000" w:themeColor="text1"/>
          <w:sz w:val="24"/>
          <w:szCs w:val="24"/>
        </w:rPr>
        <w:t>Signs of Safety: A Solution and Safety Oriented Approach to Child Protection Casework</w:t>
      </w:r>
      <w:r w:rsidRPr="004132DD">
        <w:rPr>
          <w:rFonts w:eastAsia="Arial"/>
          <w:color w:val="000000" w:themeColor="text1"/>
          <w:sz w:val="24"/>
          <w:szCs w:val="24"/>
        </w:rPr>
        <w:t>. New York: Norton.</w:t>
      </w:r>
    </w:p>
    <w:p w14:paraId="2626576E"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color w:val="000000" w:themeColor="text1"/>
          <w:sz w:val="24"/>
          <w:szCs w:val="24"/>
        </w:rPr>
        <w:t xml:space="preserve">Walker, S. </w:t>
      </w:r>
      <w:proofErr w:type="gramStart"/>
      <w:r w:rsidRPr="004132DD">
        <w:rPr>
          <w:rFonts w:eastAsia="Arial"/>
          <w:color w:val="000000" w:themeColor="text1"/>
          <w:sz w:val="24"/>
          <w:szCs w:val="24"/>
        </w:rPr>
        <w:t>( 2012</w:t>
      </w:r>
      <w:r w:rsidRPr="004132DD">
        <w:rPr>
          <w:rFonts w:eastAsia="Arial"/>
          <w:i/>
          <w:iCs/>
          <w:color w:val="000000" w:themeColor="text1"/>
          <w:sz w:val="24"/>
          <w:szCs w:val="24"/>
        </w:rPr>
        <w:t>)  Effective</w:t>
      </w:r>
      <w:proofErr w:type="gramEnd"/>
      <w:r w:rsidRPr="004132DD">
        <w:rPr>
          <w:rFonts w:eastAsia="Arial"/>
          <w:i/>
          <w:iCs/>
          <w:color w:val="000000" w:themeColor="text1"/>
          <w:sz w:val="24"/>
          <w:szCs w:val="24"/>
        </w:rPr>
        <w:t xml:space="preserve"> Social Work with Children, Young People and Families: Putting Systems Theory into Practice</w:t>
      </w:r>
      <w:r w:rsidRPr="004132DD">
        <w:rPr>
          <w:rFonts w:eastAsia="Arial"/>
          <w:color w:val="000000" w:themeColor="text1"/>
          <w:sz w:val="24"/>
          <w:szCs w:val="24"/>
        </w:rPr>
        <w:t>. London: SAGE Publications Ltd. Available at: https://doi.org/10.4135/9781446270141. (Accessed 12 Oct 2025).</w:t>
      </w:r>
    </w:p>
    <w:p w14:paraId="27F4CC16"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color w:val="000000" w:themeColor="text1"/>
          <w:sz w:val="24"/>
          <w:szCs w:val="24"/>
        </w:rPr>
        <w:lastRenderedPageBreak/>
        <w:t xml:space="preserve">Welsh Government (2019a). </w:t>
      </w:r>
      <w:r w:rsidRPr="004132DD">
        <w:rPr>
          <w:rFonts w:eastAsia="Arial"/>
          <w:i/>
          <w:iCs/>
          <w:color w:val="000000" w:themeColor="text1"/>
          <w:sz w:val="24"/>
          <w:szCs w:val="24"/>
        </w:rPr>
        <w:t>Social Services and Well-being (Wales) Act 2014 Code of Practice Part 3: Assessing the Needs of Individuals</w:t>
      </w:r>
      <w:r w:rsidRPr="004132DD">
        <w:rPr>
          <w:rFonts w:eastAsia="Arial"/>
          <w:color w:val="000000" w:themeColor="text1"/>
          <w:sz w:val="24"/>
          <w:szCs w:val="24"/>
        </w:rPr>
        <w:t>. Available at: https://www.gov.wales/sites/default/files/publications/2019-05/part-3-code-of-practice-assessing-the-needs-of-individuals.pdf (Accessed: [29 August 2025])</w:t>
      </w:r>
    </w:p>
    <w:p w14:paraId="75463983"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color w:val="000000" w:themeColor="text1"/>
          <w:sz w:val="24"/>
          <w:szCs w:val="24"/>
        </w:rPr>
        <w:t xml:space="preserve">Welsh Government (2019b). </w:t>
      </w:r>
      <w:r w:rsidRPr="004132DD">
        <w:rPr>
          <w:rFonts w:eastAsia="Arial"/>
          <w:i/>
          <w:iCs/>
          <w:color w:val="000000" w:themeColor="text1"/>
          <w:sz w:val="24"/>
          <w:szCs w:val="24"/>
        </w:rPr>
        <w:t xml:space="preserve">Working Together to Safeguard People Volume 5 – Handling Individual Cases to Protect Children at Risk. </w:t>
      </w:r>
      <w:r w:rsidRPr="004132DD">
        <w:rPr>
          <w:rFonts w:eastAsia="Arial"/>
          <w:color w:val="000000" w:themeColor="text1"/>
          <w:sz w:val="24"/>
          <w:szCs w:val="24"/>
        </w:rPr>
        <w:t>Available at: https://www.gov.wales/sites/default/files/publications/2019-05/working-together-to-safeguard-people-volume-5-handling-individual-cases-to-protect-children-at-risk.pdf (Accessed 30 September 2025)</w:t>
      </w:r>
    </w:p>
    <w:p w14:paraId="22194868"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color w:val="000000" w:themeColor="text1"/>
          <w:sz w:val="24"/>
          <w:szCs w:val="24"/>
        </w:rPr>
        <w:t>Welsh Government. (2019c).</w:t>
      </w:r>
      <w:r w:rsidRPr="004132DD">
        <w:rPr>
          <w:rFonts w:eastAsia="Arial"/>
          <w:i/>
          <w:iCs/>
          <w:color w:val="000000" w:themeColor="text1"/>
          <w:sz w:val="24"/>
          <w:szCs w:val="24"/>
        </w:rPr>
        <w:t xml:space="preserve"> Working Together to Safeguard People Volume 6 – Handling Individual Cases to Protect Adults at Risk</w:t>
      </w:r>
      <w:r w:rsidRPr="004132DD">
        <w:rPr>
          <w:rFonts w:eastAsia="Arial"/>
          <w:color w:val="000000" w:themeColor="text1"/>
          <w:sz w:val="24"/>
          <w:szCs w:val="24"/>
        </w:rPr>
        <w:t xml:space="preserve">. Available </w:t>
      </w:r>
      <w:proofErr w:type="gramStart"/>
      <w:r w:rsidRPr="004132DD">
        <w:rPr>
          <w:rFonts w:eastAsia="Arial"/>
          <w:color w:val="000000" w:themeColor="text1"/>
          <w:sz w:val="24"/>
          <w:szCs w:val="24"/>
        </w:rPr>
        <w:t>at :</w:t>
      </w:r>
      <w:proofErr w:type="gramEnd"/>
      <w:r w:rsidRPr="004132DD">
        <w:rPr>
          <w:rFonts w:eastAsia="Arial"/>
          <w:color w:val="000000" w:themeColor="text1"/>
          <w:sz w:val="24"/>
          <w:szCs w:val="24"/>
        </w:rPr>
        <w:t xml:space="preserve"> https://www.gov.wales/sites/default/files/publications/2019-06/volume-6-handling-individual-cases-to-protect-adults-at-risk.pdf (Accessed 30 September 2025)</w:t>
      </w:r>
    </w:p>
    <w:p w14:paraId="3EFB9453"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color w:val="000000" w:themeColor="text1"/>
          <w:sz w:val="24"/>
          <w:szCs w:val="24"/>
        </w:rPr>
        <w:t xml:space="preserve">Welsh Government (2022a): More than Just words: </w:t>
      </w:r>
      <w:proofErr w:type="gramStart"/>
      <w:r w:rsidRPr="004132DD">
        <w:rPr>
          <w:rFonts w:eastAsia="Arial"/>
          <w:color w:val="000000" w:themeColor="text1"/>
          <w:sz w:val="24"/>
          <w:szCs w:val="24"/>
        </w:rPr>
        <w:t>Five year</w:t>
      </w:r>
      <w:proofErr w:type="gramEnd"/>
      <w:r w:rsidRPr="004132DD">
        <w:rPr>
          <w:rFonts w:eastAsia="Arial"/>
          <w:color w:val="000000" w:themeColor="text1"/>
          <w:sz w:val="24"/>
          <w:szCs w:val="24"/>
        </w:rPr>
        <w:t xml:space="preserve"> Plan 2022- 2027. Available at: https://www.gov.wales/sites/default/files/publications/2022-07/more-than-just-words-action-plan-2022-2027.pdf. (Accessed 18 September 2025)</w:t>
      </w:r>
    </w:p>
    <w:p w14:paraId="5476061F"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color w:val="000000" w:themeColor="text1"/>
          <w:sz w:val="24"/>
          <w:szCs w:val="24"/>
        </w:rPr>
        <w:t xml:space="preserve">Welsh Government. 2022b. </w:t>
      </w:r>
      <w:r w:rsidRPr="004132DD">
        <w:rPr>
          <w:rFonts w:eastAsia="Arial"/>
          <w:i/>
          <w:iCs/>
          <w:color w:val="000000" w:themeColor="text1"/>
          <w:sz w:val="24"/>
          <w:szCs w:val="24"/>
        </w:rPr>
        <w:t xml:space="preserve">The Transition and Handover Guidance. </w:t>
      </w:r>
      <w:r w:rsidRPr="004132DD">
        <w:rPr>
          <w:rFonts w:eastAsia="Arial"/>
          <w:color w:val="000000" w:themeColor="text1"/>
          <w:sz w:val="24"/>
          <w:szCs w:val="24"/>
        </w:rPr>
        <w:t>Available at:</w:t>
      </w:r>
      <w:r w:rsidRPr="004132DD">
        <w:rPr>
          <w:rFonts w:eastAsia="Arial"/>
          <w:i/>
          <w:iCs/>
          <w:color w:val="000000" w:themeColor="text1"/>
          <w:sz w:val="24"/>
          <w:szCs w:val="24"/>
        </w:rPr>
        <w:t xml:space="preserve"> </w:t>
      </w:r>
      <w:r w:rsidRPr="004132DD">
        <w:rPr>
          <w:rFonts w:eastAsia="Arial"/>
          <w:color w:val="000000" w:themeColor="text1"/>
          <w:sz w:val="24"/>
          <w:szCs w:val="24"/>
        </w:rPr>
        <w:t>https://www.gov.wales/sites/default/files/publications/2022-02/transition-handover-guidance-children-adult-services_2.pdf (Accessed 12 September 2025)</w:t>
      </w:r>
    </w:p>
    <w:p w14:paraId="4ED5C886"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i/>
          <w:iCs/>
          <w:color w:val="000000" w:themeColor="text1"/>
          <w:sz w:val="24"/>
          <w:szCs w:val="24"/>
        </w:rPr>
        <w:t xml:space="preserve">Welsh Language (Wales) </w:t>
      </w:r>
      <w:proofErr w:type="gramStart"/>
      <w:r w:rsidRPr="004132DD">
        <w:rPr>
          <w:rFonts w:eastAsia="Arial"/>
          <w:i/>
          <w:iCs/>
          <w:color w:val="000000" w:themeColor="text1"/>
          <w:sz w:val="24"/>
          <w:szCs w:val="24"/>
        </w:rPr>
        <w:t xml:space="preserve">Measure </w:t>
      </w:r>
      <w:r w:rsidRPr="004132DD">
        <w:rPr>
          <w:rFonts w:eastAsia="Arial"/>
          <w:color w:val="000000" w:themeColor="text1"/>
          <w:sz w:val="24"/>
          <w:szCs w:val="24"/>
        </w:rPr>
        <w:t xml:space="preserve"> </w:t>
      </w:r>
      <w:r w:rsidRPr="004132DD">
        <w:rPr>
          <w:rFonts w:eastAsia="Arial"/>
          <w:i/>
          <w:iCs/>
          <w:color w:val="000000" w:themeColor="text1"/>
          <w:sz w:val="24"/>
          <w:szCs w:val="24"/>
        </w:rPr>
        <w:t>2011</w:t>
      </w:r>
      <w:proofErr w:type="gramEnd"/>
      <w:r w:rsidRPr="004132DD">
        <w:rPr>
          <w:rFonts w:eastAsia="Arial"/>
          <w:i/>
          <w:iCs/>
          <w:color w:val="000000" w:themeColor="text1"/>
          <w:sz w:val="24"/>
          <w:szCs w:val="24"/>
        </w:rPr>
        <w:t>,</w:t>
      </w:r>
      <w:r w:rsidRPr="004132DD">
        <w:rPr>
          <w:rFonts w:eastAsia="Arial"/>
          <w:color w:val="000000" w:themeColor="text1"/>
          <w:sz w:val="24"/>
          <w:szCs w:val="24"/>
        </w:rPr>
        <w:t xml:space="preserve"> </w:t>
      </w:r>
      <w:proofErr w:type="spellStart"/>
      <w:r w:rsidRPr="004132DD">
        <w:rPr>
          <w:rFonts w:eastAsia="Arial"/>
          <w:color w:val="000000" w:themeColor="text1"/>
          <w:sz w:val="24"/>
          <w:szCs w:val="24"/>
        </w:rPr>
        <w:t>nawm</w:t>
      </w:r>
      <w:proofErr w:type="spellEnd"/>
      <w:r w:rsidRPr="004132DD">
        <w:rPr>
          <w:rFonts w:eastAsia="Arial"/>
          <w:color w:val="000000" w:themeColor="text1"/>
          <w:sz w:val="24"/>
          <w:szCs w:val="24"/>
        </w:rPr>
        <w:t xml:space="preserve"> 1. Available at: https://www.legislation.gov.uk/mwa/2011/1/contents (Accessed 18 August 2025)</w:t>
      </w:r>
    </w:p>
    <w:p w14:paraId="7A7AA0C8" w14:textId="77777777" w:rsidR="004132DD" w:rsidRPr="004132DD" w:rsidRDefault="004132DD" w:rsidP="004132DD">
      <w:pPr>
        <w:spacing w:after="240" w:line="360" w:lineRule="auto"/>
        <w:ind w:left="720" w:hanging="720"/>
        <w:rPr>
          <w:rFonts w:eastAsia="Arial"/>
          <w:color w:val="000000" w:themeColor="text1"/>
          <w:sz w:val="24"/>
          <w:szCs w:val="24"/>
        </w:rPr>
      </w:pPr>
      <w:r w:rsidRPr="004132DD">
        <w:rPr>
          <w:rFonts w:eastAsia="Arial"/>
          <w:color w:val="000000" w:themeColor="text1"/>
          <w:sz w:val="24"/>
          <w:szCs w:val="24"/>
        </w:rPr>
        <w:t>XXX Council (2024). Welsh Language. Available at: https://XXX.gov.uk/xxx (Accessed 19 July 2025)</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1CAC268E" w:rsidR="00E559CE" w:rsidRPr="00B17FA0" w:rsidRDefault="00B57E0A" w:rsidP="00B94443">
            <w:pPr>
              <w:jc w:val="both"/>
              <w:rPr>
                <w:sz w:val="24"/>
                <w:szCs w:val="24"/>
              </w:rPr>
            </w:pPr>
            <w:r>
              <w:rPr>
                <w:sz w:val="24"/>
                <w:szCs w:val="24"/>
              </w:rPr>
              <w:t>20/11/24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596518D" w:rsidR="00E559CE" w:rsidRPr="00B17FA0" w:rsidRDefault="00B57E0A" w:rsidP="00B94443">
            <w:pPr>
              <w:jc w:val="both"/>
              <w:rPr>
                <w:sz w:val="24"/>
                <w:szCs w:val="24"/>
              </w:rPr>
            </w:pPr>
            <w:r>
              <w:rPr>
                <w:sz w:val="24"/>
                <w:szCs w:val="24"/>
              </w:rPr>
              <w:t>11/02/25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2FBCCEC" w:rsidR="00E559CE" w:rsidRPr="00B17FA0" w:rsidRDefault="00B57E0A" w:rsidP="00B94443">
            <w:pPr>
              <w:jc w:val="both"/>
              <w:rPr>
                <w:sz w:val="24"/>
                <w:szCs w:val="24"/>
              </w:rPr>
            </w:pPr>
            <w:r>
              <w:rPr>
                <w:sz w:val="24"/>
                <w:szCs w:val="24"/>
              </w:rPr>
              <w:t>08/04/25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0F16E66" w:rsidR="00E559CE" w:rsidRPr="00B17FA0" w:rsidRDefault="00B57E0A" w:rsidP="00B94443">
            <w:pPr>
              <w:jc w:val="both"/>
              <w:rPr>
                <w:sz w:val="24"/>
                <w:szCs w:val="24"/>
              </w:rPr>
            </w:pPr>
            <w:r>
              <w:rPr>
                <w:sz w:val="24"/>
                <w:szCs w:val="24"/>
              </w:rPr>
              <w:t>08/07/25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B33B1D" w:rsidRPr="008B28E7" w14:paraId="3DA641F0" w14:textId="77777777" w:rsidTr="00D3203C">
        <w:tc>
          <w:tcPr>
            <w:tcW w:w="10070" w:type="dxa"/>
          </w:tcPr>
          <w:p w14:paraId="7FB06824" w14:textId="005BABE9" w:rsidR="00B33B1D" w:rsidRPr="00082307" w:rsidRDefault="00B33B1D" w:rsidP="00CA347C">
            <w:pPr>
              <w:jc w:val="both"/>
              <w:rPr>
                <w:rFonts w:asciiTheme="minorHAnsi" w:hAnsiTheme="minorHAnsi" w:cstheme="minorHAnsi"/>
                <w:sz w:val="24"/>
                <w:szCs w:val="24"/>
              </w:rPr>
            </w:pPr>
            <w:r w:rsidRPr="00082307">
              <w:rPr>
                <w:rFonts w:asciiTheme="minorHAnsi" w:hAnsiTheme="minorHAnsi" w:cstheme="minorHAnsi"/>
                <w:sz w:val="24"/>
                <w:szCs w:val="24"/>
              </w:rPr>
              <w:t xml:space="preserve">  </w:t>
            </w:r>
          </w:p>
          <w:p w14:paraId="27FC908D" w14:textId="77777777" w:rsidR="005735F1" w:rsidRPr="00082307" w:rsidRDefault="00B33B1D" w:rsidP="005735F1">
            <w:pPr>
              <w:rPr>
                <w:rFonts w:asciiTheme="minorHAnsi" w:eastAsia="Calibri" w:hAnsiTheme="minorHAnsi" w:cstheme="minorHAnsi"/>
                <w:sz w:val="24"/>
                <w:szCs w:val="24"/>
              </w:rPr>
            </w:pPr>
            <w:r w:rsidRPr="00082307">
              <w:rPr>
                <w:rFonts w:asciiTheme="minorHAnsi" w:hAnsiTheme="minorHAnsi" w:cstheme="minorHAnsi"/>
                <w:sz w:val="24"/>
                <w:szCs w:val="24"/>
              </w:rPr>
              <w:t> </w:t>
            </w:r>
          </w:p>
          <w:p w14:paraId="1F422EE4" w14:textId="77777777" w:rsidR="005735F1" w:rsidRPr="00082307" w:rsidRDefault="005735F1" w:rsidP="005735F1">
            <w:pPr>
              <w:rPr>
                <w:rFonts w:asciiTheme="minorHAnsi" w:eastAsia="Calibri" w:hAnsiTheme="minorHAnsi" w:cstheme="minorHAnsi"/>
                <w:b/>
                <w:sz w:val="24"/>
                <w:szCs w:val="24"/>
              </w:rPr>
            </w:pPr>
            <w:r w:rsidRPr="00082307">
              <w:rPr>
                <w:rFonts w:asciiTheme="minorHAnsi" w:eastAsia="Calibri" w:hAnsiTheme="minorHAnsi" w:cstheme="minorHAnsi"/>
                <w:b/>
                <w:sz w:val="24"/>
                <w:szCs w:val="24"/>
              </w:rPr>
              <w:t>Learning outcome 1</w:t>
            </w:r>
            <w:r w:rsidRPr="00082307">
              <w:rPr>
                <w:rFonts w:asciiTheme="minorHAnsi" w:eastAsia="Calibri" w:hAnsiTheme="minorHAnsi" w:cstheme="minorHAnsi"/>
                <w:sz w:val="24"/>
                <w:szCs w:val="24"/>
              </w:rPr>
              <w:t xml:space="preserve">: </w:t>
            </w:r>
            <w:r w:rsidRPr="00082307">
              <w:rPr>
                <w:rFonts w:asciiTheme="minorHAnsi" w:eastAsia="Calibri" w:hAnsiTheme="minorHAnsi" w:cstheme="minorHAnsi"/>
                <w:b/>
                <w:sz w:val="24"/>
                <w:szCs w:val="24"/>
              </w:rPr>
              <w:t>Applying analysis in assessment to inform intervention</w:t>
            </w:r>
          </w:p>
          <w:p w14:paraId="490DA71C" w14:textId="0E87FBED" w:rsidR="005735F1" w:rsidRPr="00082307" w:rsidRDefault="005735F1" w:rsidP="005735F1">
            <w:pPr>
              <w:rPr>
                <w:rFonts w:asciiTheme="minorHAnsi" w:eastAsia="Calibri" w:hAnsiTheme="minorHAnsi" w:cstheme="minorHAnsi"/>
                <w:sz w:val="24"/>
                <w:szCs w:val="24"/>
              </w:rPr>
            </w:pPr>
            <w:r w:rsidRPr="00082307">
              <w:rPr>
                <w:rFonts w:asciiTheme="minorHAnsi" w:eastAsia="Calibri" w:hAnsiTheme="minorHAnsi" w:cstheme="minorHAnsi"/>
                <w:sz w:val="24"/>
                <w:szCs w:val="24"/>
              </w:rPr>
              <w:t>Cas has assumed a position as a Transition Social Worker within a highly skilled and demanding team. In this capacity, Cas balances the concerns and needs of families and carers with those of the young people transitioning from childhood to adulthood. This requires significant skill and emotional intelligence, enabling Cas to ensure that individual outcomes are achieved, reflective practice is maintained, and analysis and research inform their work continuously.</w:t>
            </w:r>
          </w:p>
          <w:p w14:paraId="2BD0C58C" w14:textId="77777777" w:rsidR="005735F1" w:rsidRPr="00082307" w:rsidRDefault="005735F1" w:rsidP="005735F1">
            <w:pPr>
              <w:rPr>
                <w:rFonts w:asciiTheme="minorHAnsi" w:eastAsia="Calibri" w:hAnsiTheme="minorHAnsi" w:cstheme="minorHAnsi"/>
                <w:sz w:val="24"/>
                <w:szCs w:val="24"/>
              </w:rPr>
            </w:pPr>
            <w:r w:rsidRPr="00082307">
              <w:rPr>
                <w:rFonts w:asciiTheme="minorHAnsi" w:eastAsia="Calibri" w:hAnsiTheme="minorHAnsi" w:cstheme="minorHAnsi"/>
                <w:sz w:val="24"/>
                <w:szCs w:val="24"/>
              </w:rPr>
              <w:t>Throughout the year, Cas has demonstrated ongoing development in their knowledge and understanding of service provisions and processes. They have established robust networks with various services and professionals, enhancing collaborative working for the benefit of both young people and their families. Such collaboration is essential to supporting individuals moving from education and children’s services into adult and community-based resources.</w:t>
            </w:r>
          </w:p>
          <w:p w14:paraId="033766AD" w14:textId="77777777" w:rsidR="005735F1" w:rsidRPr="00082307" w:rsidRDefault="005735F1" w:rsidP="005735F1">
            <w:pPr>
              <w:rPr>
                <w:rFonts w:asciiTheme="minorHAnsi" w:eastAsia="Calibri" w:hAnsiTheme="minorHAnsi" w:cstheme="minorHAnsi"/>
                <w:sz w:val="24"/>
                <w:szCs w:val="24"/>
              </w:rPr>
            </w:pPr>
            <w:r w:rsidRPr="00082307">
              <w:rPr>
                <w:rFonts w:asciiTheme="minorHAnsi" w:eastAsia="Calibri" w:hAnsiTheme="minorHAnsi" w:cstheme="minorHAnsi"/>
                <w:sz w:val="24"/>
                <w:szCs w:val="24"/>
              </w:rPr>
              <w:t>The complexity and demands of Cas’s caseload have increased over the past year. Cas has grown in confidence when working with individuals, often during crisis situations. Their person-centred approach and commitment to collaborative communication have strengthened, ensuring individuals remain central to decision-making processes—promoting a model of doing things with, rather than for, them.</w:t>
            </w:r>
          </w:p>
          <w:p w14:paraId="7F6AB404" w14:textId="06FE2815" w:rsidR="005735F1" w:rsidRPr="00082307" w:rsidRDefault="005735F1" w:rsidP="005735F1">
            <w:pPr>
              <w:rPr>
                <w:rFonts w:asciiTheme="minorHAnsi" w:eastAsia="Calibri" w:hAnsiTheme="minorHAnsi" w:cstheme="minorHAnsi"/>
                <w:sz w:val="24"/>
                <w:szCs w:val="24"/>
              </w:rPr>
            </w:pPr>
            <w:r w:rsidRPr="00082307">
              <w:rPr>
                <w:rFonts w:asciiTheme="minorHAnsi" w:eastAsia="Calibri" w:hAnsiTheme="minorHAnsi" w:cstheme="minorHAnsi"/>
                <w:sz w:val="24"/>
                <w:szCs w:val="24"/>
              </w:rPr>
              <w:t xml:space="preserve">Cas has empowered individuals and carers to articulate their views and concerns across a range of agencies. Their assessments consider the needs of people with complex requirements, ensuring that </w:t>
            </w:r>
            <w:r w:rsidRPr="00082307">
              <w:rPr>
                <w:rFonts w:asciiTheme="minorHAnsi" w:eastAsia="Calibri" w:hAnsiTheme="minorHAnsi" w:cstheme="minorHAnsi"/>
                <w:sz w:val="24"/>
                <w:szCs w:val="24"/>
              </w:rPr>
              <w:lastRenderedPageBreak/>
              <w:t xml:space="preserve">communication methods and support are inclusive and tailored. Whether utilising PECS/Sign Along </w:t>
            </w:r>
            <w:r w:rsidR="00523E5F" w:rsidRPr="00082307">
              <w:rPr>
                <w:rFonts w:asciiTheme="minorHAnsi" w:eastAsia="Calibri" w:hAnsiTheme="minorHAnsi" w:cstheme="minorHAnsi"/>
                <w:sz w:val="24"/>
                <w:szCs w:val="24"/>
              </w:rPr>
              <w:t>, v</w:t>
            </w:r>
            <w:r w:rsidR="008B1FBB" w:rsidRPr="00082307">
              <w:rPr>
                <w:rFonts w:asciiTheme="minorHAnsi" w:eastAsia="Calibri" w:hAnsiTheme="minorHAnsi" w:cstheme="minorHAnsi"/>
                <w:sz w:val="24"/>
                <w:szCs w:val="24"/>
              </w:rPr>
              <w:t xml:space="preserve">ideos and sound recordings, sensory stories </w:t>
            </w:r>
            <w:r w:rsidRPr="00082307">
              <w:rPr>
                <w:rFonts w:asciiTheme="minorHAnsi" w:eastAsia="Calibri" w:hAnsiTheme="minorHAnsi" w:cstheme="minorHAnsi"/>
                <w:sz w:val="24"/>
                <w:szCs w:val="24"/>
              </w:rPr>
              <w:t>or advocating for those whose voices are not being heard by family, Cas delivers comprehensive assessments and care plans prioritising what matters most to the individual and making their voice central to all planned outcomes.</w:t>
            </w:r>
          </w:p>
          <w:p w14:paraId="3B88EE00" w14:textId="77777777" w:rsidR="005735F1" w:rsidRPr="00082307" w:rsidRDefault="005735F1" w:rsidP="005735F1">
            <w:pPr>
              <w:rPr>
                <w:rFonts w:asciiTheme="minorHAnsi" w:eastAsia="Calibri" w:hAnsiTheme="minorHAnsi" w:cstheme="minorHAnsi"/>
                <w:sz w:val="24"/>
                <w:szCs w:val="24"/>
              </w:rPr>
            </w:pPr>
            <w:r w:rsidRPr="00082307">
              <w:rPr>
                <w:rFonts w:asciiTheme="minorHAnsi" w:eastAsia="Calibri" w:hAnsiTheme="minorHAnsi" w:cstheme="minorHAnsi"/>
                <w:sz w:val="24"/>
                <w:szCs w:val="24"/>
              </w:rPr>
              <w:t>Cas’s practice is firmly grounded in the values outlined by the SSWBA. They have developed expertise in the Mental Capacity Act (MCA), consistently ensuring that individuals’ best interests are paramount in all collaborative decisions. Through training and application of Court of Protection (COP) procedures regarding Deprivation of Liberty Safeguards (DoLS) in the community, Cas has completed robust MCA capacity assessments, coordinated Best Interest meetings, and facilitated appropriate, least restrictive support for young people in challenging circumstances.</w:t>
            </w:r>
          </w:p>
          <w:p w14:paraId="0F1F39D0" w14:textId="77777777" w:rsidR="005735F1" w:rsidRPr="00082307" w:rsidRDefault="005735F1" w:rsidP="005735F1">
            <w:pPr>
              <w:rPr>
                <w:rFonts w:asciiTheme="minorHAnsi" w:eastAsia="Calibri" w:hAnsiTheme="minorHAnsi" w:cstheme="minorHAnsi"/>
                <w:sz w:val="24"/>
                <w:szCs w:val="24"/>
              </w:rPr>
            </w:pPr>
            <w:r w:rsidRPr="00082307">
              <w:rPr>
                <w:rFonts w:asciiTheme="minorHAnsi" w:eastAsia="Calibri" w:hAnsiTheme="minorHAnsi" w:cstheme="minorHAnsi"/>
                <w:sz w:val="24"/>
                <w:szCs w:val="24"/>
              </w:rPr>
              <w:t>Recognising the importance of advocacy, Cas ensures that when it is not appropriate for them to act directly, individuals still have their voices heard through external advocates. This has included facilitating challenges to educational decisions, involving legal advocates for safeguarding concerns, and engaging domestic violence agencies where safeguarding support was necessary.</w:t>
            </w:r>
          </w:p>
          <w:p w14:paraId="3BF9A2CD" w14:textId="5F151169" w:rsidR="005735F1" w:rsidRPr="00082307" w:rsidRDefault="005735F1" w:rsidP="005735F1">
            <w:pPr>
              <w:rPr>
                <w:rFonts w:asciiTheme="minorHAnsi" w:eastAsia="Calibri" w:hAnsiTheme="minorHAnsi" w:cstheme="minorHAnsi"/>
                <w:sz w:val="24"/>
                <w:szCs w:val="24"/>
              </w:rPr>
            </w:pPr>
            <w:r w:rsidRPr="00082307">
              <w:rPr>
                <w:rFonts w:asciiTheme="minorHAnsi" w:eastAsia="Calibri" w:hAnsiTheme="minorHAnsi" w:cstheme="minorHAnsi"/>
                <w:sz w:val="24"/>
                <w:szCs w:val="24"/>
              </w:rPr>
              <w:t xml:space="preserve">In managing a particularly challenging case involving domestic abuse, Cas proactively sought input from multiple parties and devised a safeguarding plan and risk assessment to support both the young person and her mother. Upon reflection, Cas recognised the need for deeper consideration before implementing safeguards and acknowledged the importance of empowering the mother and involving her collaboratively in </w:t>
            </w:r>
            <w:r w:rsidR="00A07F99" w:rsidRPr="00082307">
              <w:rPr>
                <w:rFonts w:asciiTheme="minorHAnsi" w:eastAsia="Calibri" w:hAnsiTheme="minorHAnsi" w:cstheme="minorHAnsi"/>
                <w:sz w:val="24"/>
                <w:szCs w:val="24"/>
              </w:rPr>
              <w:t>planning. Cas</w:t>
            </w:r>
            <w:r w:rsidR="002852A8" w:rsidRPr="00082307">
              <w:rPr>
                <w:rFonts w:asciiTheme="minorHAnsi" w:eastAsia="Calibri" w:hAnsiTheme="minorHAnsi" w:cstheme="minorHAnsi"/>
                <w:sz w:val="24"/>
                <w:szCs w:val="24"/>
              </w:rPr>
              <w:t xml:space="preserve"> </w:t>
            </w:r>
            <w:r w:rsidR="006D50A1" w:rsidRPr="00082307">
              <w:rPr>
                <w:rFonts w:asciiTheme="minorHAnsi" w:eastAsia="Calibri" w:hAnsiTheme="minorHAnsi" w:cstheme="minorHAnsi"/>
                <w:sz w:val="24"/>
                <w:szCs w:val="24"/>
              </w:rPr>
              <w:t>has reflected</w:t>
            </w:r>
            <w:r w:rsidR="002852A8" w:rsidRPr="00082307">
              <w:rPr>
                <w:rFonts w:asciiTheme="minorHAnsi" w:eastAsia="Calibri" w:hAnsiTheme="minorHAnsi" w:cstheme="minorHAnsi"/>
                <w:sz w:val="24"/>
                <w:szCs w:val="24"/>
              </w:rPr>
              <w:t xml:space="preserve"> this in her Task 1 </w:t>
            </w:r>
            <w:r w:rsidR="006D50A1" w:rsidRPr="00082307">
              <w:rPr>
                <w:rFonts w:asciiTheme="minorHAnsi" w:eastAsia="Calibri" w:hAnsiTheme="minorHAnsi" w:cstheme="minorHAnsi"/>
                <w:sz w:val="24"/>
                <w:szCs w:val="24"/>
              </w:rPr>
              <w:t>report</w:t>
            </w:r>
            <w:r w:rsidR="00A07F99" w:rsidRPr="00082307">
              <w:rPr>
                <w:rFonts w:asciiTheme="minorHAnsi" w:eastAsia="Calibri" w:hAnsiTheme="minorHAnsi" w:cstheme="minorHAnsi"/>
                <w:sz w:val="24"/>
                <w:szCs w:val="24"/>
              </w:rPr>
              <w:t xml:space="preserve"> and was explored in both supervision and coaching sessions, with a positive understanding from Cas. </w:t>
            </w:r>
          </w:p>
          <w:p w14:paraId="72E75BD3" w14:textId="77777777" w:rsidR="005735F1" w:rsidRPr="00082307" w:rsidRDefault="005735F1" w:rsidP="005735F1">
            <w:pPr>
              <w:rPr>
                <w:rFonts w:asciiTheme="minorHAnsi" w:hAnsiTheme="minorHAnsi" w:cstheme="minorHAnsi"/>
                <w:sz w:val="24"/>
                <w:szCs w:val="24"/>
              </w:rPr>
            </w:pPr>
            <w:r w:rsidRPr="00082307">
              <w:rPr>
                <w:rFonts w:asciiTheme="minorHAnsi" w:eastAsia="Calibri" w:hAnsiTheme="minorHAnsi" w:cstheme="minorHAnsi"/>
                <w:sz w:val="24"/>
                <w:szCs w:val="24"/>
              </w:rPr>
              <w:t>Overall, Cas demonstrates the ability to assess each case individually, applying person-centred principles. By integrating legislative knowledge, available resources, and theoretical frameworks, Cas ensures the most appropriate outcomes for those they support as a qualified social worker.</w:t>
            </w:r>
          </w:p>
          <w:p w14:paraId="2D982531" w14:textId="30BAA730" w:rsidR="00B33B1D" w:rsidRPr="00082307" w:rsidRDefault="00B33B1D" w:rsidP="00B33B1D">
            <w:pPr>
              <w:rPr>
                <w:rFonts w:asciiTheme="minorHAnsi" w:hAnsiTheme="minorHAnsi" w:cstheme="minorHAnsi"/>
                <w:sz w:val="24"/>
                <w:szCs w:val="24"/>
              </w:rPr>
            </w:pPr>
          </w:p>
          <w:p w14:paraId="08B1A8BD" w14:textId="77777777" w:rsidR="00082307" w:rsidRPr="00082307" w:rsidRDefault="00B33B1D" w:rsidP="00082307">
            <w:pPr>
              <w:rPr>
                <w:rFonts w:asciiTheme="minorHAnsi" w:eastAsia="Calibri" w:hAnsiTheme="minorHAnsi" w:cstheme="minorHAnsi"/>
                <w:b/>
                <w:sz w:val="24"/>
                <w:szCs w:val="24"/>
              </w:rPr>
            </w:pPr>
            <w:r w:rsidRPr="00082307">
              <w:rPr>
                <w:rFonts w:asciiTheme="minorHAnsi" w:hAnsiTheme="minorHAnsi" w:cstheme="minorHAnsi"/>
                <w:sz w:val="24"/>
                <w:szCs w:val="24"/>
              </w:rPr>
              <w:t> </w:t>
            </w:r>
            <w:r w:rsidR="00082307" w:rsidRPr="00082307">
              <w:rPr>
                <w:rFonts w:asciiTheme="minorHAnsi" w:eastAsia="Calibri" w:hAnsiTheme="minorHAnsi" w:cstheme="minorHAnsi"/>
                <w:b/>
                <w:sz w:val="24"/>
                <w:szCs w:val="24"/>
              </w:rPr>
              <w:t>Learning outcome 2</w:t>
            </w:r>
            <w:r w:rsidR="00082307" w:rsidRPr="00082307">
              <w:rPr>
                <w:rFonts w:asciiTheme="minorHAnsi" w:eastAsia="Calibri" w:hAnsiTheme="minorHAnsi" w:cstheme="minorHAnsi"/>
                <w:sz w:val="24"/>
                <w:szCs w:val="24"/>
              </w:rPr>
              <w:t xml:space="preserve">: </w:t>
            </w:r>
            <w:r w:rsidR="00082307" w:rsidRPr="00082307">
              <w:rPr>
                <w:rFonts w:asciiTheme="minorHAnsi" w:eastAsia="Calibri" w:hAnsiTheme="minorHAnsi" w:cstheme="minorHAnsi"/>
                <w:b/>
                <w:sz w:val="24"/>
                <w:szCs w:val="24"/>
              </w:rPr>
              <w:t xml:space="preserve">working collaboratively with people in need of care and support, their </w:t>
            </w:r>
            <w:proofErr w:type="spellStart"/>
            <w:r w:rsidR="00082307" w:rsidRPr="00082307">
              <w:rPr>
                <w:rFonts w:asciiTheme="minorHAnsi" w:eastAsia="Calibri" w:hAnsiTheme="minorHAnsi" w:cstheme="minorHAnsi"/>
                <w:b/>
                <w:sz w:val="24"/>
                <w:szCs w:val="24"/>
              </w:rPr>
              <w:t>carers</w:t>
            </w:r>
            <w:proofErr w:type="spellEnd"/>
            <w:r w:rsidR="00082307" w:rsidRPr="00082307">
              <w:rPr>
                <w:rFonts w:asciiTheme="minorHAnsi" w:eastAsia="Calibri" w:hAnsiTheme="minorHAnsi" w:cstheme="minorHAnsi"/>
                <w:b/>
                <w:sz w:val="24"/>
                <w:szCs w:val="24"/>
              </w:rPr>
              <w:t>, and other professions</w:t>
            </w:r>
          </w:p>
          <w:p w14:paraId="22A30034" w14:textId="77777777" w:rsidR="00082307" w:rsidRPr="00082307" w:rsidRDefault="00082307" w:rsidP="00082307">
            <w:pPr>
              <w:rPr>
                <w:rFonts w:asciiTheme="minorHAnsi" w:eastAsia="Calibri" w:hAnsiTheme="minorHAnsi" w:cstheme="minorHAnsi"/>
                <w:sz w:val="24"/>
                <w:szCs w:val="24"/>
              </w:rPr>
            </w:pPr>
            <w:r w:rsidRPr="00082307">
              <w:rPr>
                <w:rFonts w:asciiTheme="minorHAnsi" w:eastAsia="Calibri" w:hAnsiTheme="minorHAnsi" w:cstheme="minorHAnsi"/>
                <w:sz w:val="24"/>
                <w:szCs w:val="24"/>
              </w:rPr>
              <w:t>Cas has engaged in collaborative working practices with individuals by assessing their needs and focusing assessments on strengths, required outcomes in agreed Adult Assessment and Care &amp; Support plans, and ensuring that the individual's perspective is central to decision-making and aligns with their best interest.</w:t>
            </w:r>
          </w:p>
          <w:p w14:paraId="624B7E71" w14:textId="77777777" w:rsidR="00082307" w:rsidRPr="00082307" w:rsidRDefault="00082307" w:rsidP="00082307">
            <w:pPr>
              <w:rPr>
                <w:rFonts w:asciiTheme="minorHAnsi" w:eastAsia="Calibri" w:hAnsiTheme="minorHAnsi" w:cstheme="minorHAnsi"/>
                <w:sz w:val="24"/>
                <w:szCs w:val="24"/>
              </w:rPr>
            </w:pPr>
            <w:r w:rsidRPr="00082307">
              <w:rPr>
                <w:rFonts w:asciiTheme="minorHAnsi" w:eastAsia="Calibri" w:hAnsiTheme="minorHAnsi" w:cstheme="minorHAnsi"/>
                <w:sz w:val="24"/>
                <w:szCs w:val="24"/>
              </w:rPr>
              <w:t xml:space="preserve">In one instance, Cas considered the effects of crisis, change, and loss on a person and their </w:t>
            </w:r>
            <w:proofErr w:type="spellStart"/>
            <w:r w:rsidRPr="00082307">
              <w:rPr>
                <w:rFonts w:asciiTheme="minorHAnsi" w:eastAsia="Calibri" w:hAnsiTheme="minorHAnsi" w:cstheme="minorHAnsi"/>
                <w:sz w:val="24"/>
                <w:szCs w:val="24"/>
              </w:rPr>
              <w:t>carers</w:t>
            </w:r>
            <w:proofErr w:type="spellEnd"/>
            <w:r w:rsidRPr="00082307">
              <w:rPr>
                <w:rFonts w:asciiTheme="minorHAnsi" w:eastAsia="Calibri" w:hAnsiTheme="minorHAnsi" w:cstheme="minorHAnsi"/>
                <w:sz w:val="24"/>
                <w:szCs w:val="24"/>
              </w:rPr>
              <w:t xml:space="preserve">. Child Protection Plans highlighted concerns about neglect and lack of support for a young man with learning disabilities and Autism. Instead of implementing restrictive measures, Cas worked collaboratively with the family to find outcome-focused solutions consistent with Article 8 of the Human Rights Act. Cas ensured the young person had an independent advocate and developed a care plan supporting a move to supported living with suitable assistance. The views and needs of the parents were also </w:t>
            </w:r>
            <w:proofErr w:type="gramStart"/>
            <w:r w:rsidRPr="00082307">
              <w:rPr>
                <w:rFonts w:asciiTheme="minorHAnsi" w:eastAsia="Calibri" w:hAnsiTheme="minorHAnsi" w:cstheme="minorHAnsi"/>
                <w:sz w:val="24"/>
                <w:szCs w:val="24"/>
              </w:rPr>
              <w:t>taken into account</w:t>
            </w:r>
            <w:proofErr w:type="gramEnd"/>
            <w:r w:rsidRPr="00082307">
              <w:rPr>
                <w:rFonts w:asciiTheme="minorHAnsi" w:eastAsia="Calibri" w:hAnsiTheme="minorHAnsi" w:cstheme="minorHAnsi"/>
                <w:sz w:val="24"/>
                <w:szCs w:val="24"/>
              </w:rPr>
              <w:t xml:space="preserve"> and addressed, including a Carers assessment and arranging the use of Direct Payments to support the family through the stage of Transition from family to arranged accommodation. This approach resulted in an agreed outcome for both the family and the individual, with all parties involved in decision-making processes rather than pursuing litigation through the Court of Protection.</w:t>
            </w:r>
          </w:p>
          <w:p w14:paraId="053E8DB2" w14:textId="77777777" w:rsidR="00082307" w:rsidRDefault="00082307" w:rsidP="00082307">
            <w:pPr>
              <w:rPr>
                <w:rFonts w:asciiTheme="minorHAnsi" w:eastAsia="Calibri" w:hAnsiTheme="minorHAnsi" w:cstheme="minorHAnsi"/>
                <w:sz w:val="24"/>
                <w:szCs w:val="24"/>
              </w:rPr>
            </w:pPr>
            <w:r w:rsidRPr="00082307">
              <w:rPr>
                <w:rFonts w:asciiTheme="minorHAnsi" w:eastAsia="Calibri" w:hAnsiTheme="minorHAnsi" w:cstheme="minorHAnsi"/>
                <w:sz w:val="24"/>
                <w:szCs w:val="24"/>
              </w:rPr>
              <w:t xml:space="preserve">In another scenario involving safeguarding concerns about potential financial exploitation of a young person by a family member, Cas applied a balanced, person-centred method to analyse the circumstances and collaborated with the individual to enhance self-protection. Cas assessed the </w:t>
            </w:r>
            <w:r w:rsidRPr="00082307">
              <w:rPr>
                <w:rFonts w:asciiTheme="minorHAnsi" w:eastAsia="Calibri" w:hAnsiTheme="minorHAnsi" w:cstheme="minorHAnsi"/>
                <w:sz w:val="24"/>
                <w:szCs w:val="24"/>
              </w:rPr>
              <w:lastRenderedPageBreak/>
              <w:t>individual's capacity to manage personal finances under the Mental Capacity Act (MCA) and provided evidence supporting independent financial management. Consequently, the family member acting as appointee stepped down, and the individual now manages their own DWP benefits with agency support.</w:t>
            </w:r>
          </w:p>
          <w:p w14:paraId="3F008119" w14:textId="77777777" w:rsidR="00082307" w:rsidRDefault="00082307" w:rsidP="00082307">
            <w:pPr>
              <w:rPr>
                <w:rFonts w:asciiTheme="minorHAnsi" w:eastAsia="Calibri" w:hAnsiTheme="minorHAnsi" w:cstheme="minorHAnsi"/>
                <w:sz w:val="24"/>
                <w:szCs w:val="24"/>
              </w:rPr>
            </w:pPr>
          </w:p>
          <w:p w14:paraId="705AF449" w14:textId="77777777" w:rsidR="00852169" w:rsidRPr="004867AA" w:rsidRDefault="00852169" w:rsidP="00852169">
            <w:pPr>
              <w:rPr>
                <w:rFonts w:eastAsia="Calibri"/>
                <w:b/>
                <w:sz w:val="24"/>
                <w:szCs w:val="24"/>
              </w:rPr>
            </w:pPr>
            <w:r w:rsidRPr="004867AA">
              <w:rPr>
                <w:rFonts w:eastAsia="Calibri"/>
                <w:b/>
                <w:sz w:val="24"/>
                <w:szCs w:val="24"/>
              </w:rPr>
              <w:t>Learning Outcome 3: Professional Judgement in Increasingly Complex Situations</w:t>
            </w:r>
          </w:p>
          <w:p w14:paraId="6C5A7E64" w14:textId="77777777" w:rsidR="00852169" w:rsidRPr="004867AA" w:rsidRDefault="00852169" w:rsidP="00852169">
            <w:pPr>
              <w:rPr>
                <w:rFonts w:eastAsia="Calibri"/>
                <w:sz w:val="24"/>
                <w:szCs w:val="24"/>
              </w:rPr>
            </w:pPr>
            <w:r w:rsidRPr="004867AA">
              <w:rPr>
                <w:rFonts w:eastAsia="Calibri"/>
                <w:sz w:val="24"/>
                <w:szCs w:val="24"/>
              </w:rPr>
              <w:t>Cas has consistently advanced their casework within the team, developing substantial experience over time. They have provided intervention and support to individuals across a wide spectrum of circumstances, many of which are notably complex and challenging. As Cas has grown into their role, they have taken on increasingly demanding cases.</w:t>
            </w:r>
          </w:p>
          <w:p w14:paraId="66AFB57E" w14:textId="77777777" w:rsidR="00852169" w:rsidRPr="004867AA" w:rsidRDefault="00852169" w:rsidP="00852169">
            <w:pPr>
              <w:rPr>
                <w:rFonts w:eastAsia="Calibri"/>
                <w:sz w:val="24"/>
                <w:szCs w:val="24"/>
              </w:rPr>
            </w:pPr>
            <w:r w:rsidRPr="004867AA">
              <w:rPr>
                <w:rFonts w:eastAsia="Calibri"/>
                <w:sz w:val="24"/>
                <w:szCs w:val="24"/>
              </w:rPr>
              <w:t>Their reflective practice and strong theoretical and legislative foundations are evident in caseload management. This is demonstrated through supervision meetings and active participation in peer support sessions, where Cas reflects on intricate work with individuals and offers guidance and support to colleagues managing similarly complex cases.</w:t>
            </w:r>
          </w:p>
          <w:p w14:paraId="7DD283A7" w14:textId="77777777" w:rsidR="00852169" w:rsidRPr="004867AA" w:rsidRDefault="00852169" w:rsidP="00852169">
            <w:pPr>
              <w:rPr>
                <w:rFonts w:eastAsia="Calibri"/>
                <w:sz w:val="24"/>
                <w:szCs w:val="24"/>
              </w:rPr>
            </w:pPr>
            <w:r w:rsidRPr="004867AA">
              <w:rPr>
                <w:rFonts w:eastAsia="Calibri"/>
                <w:sz w:val="24"/>
                <w:szCs w:val="24"/>
              </w:rPr>
              <w:t>Cas has become a valuable source of advice and information for the team, frequently sharing updates on legislation, research, and newly available services via Teams and email communications. Additionally, they represent both Social Work and the LGBTQ+ community within Unison, serving as a positive role model for team members and partners from other agencies.</w:t>
            </w:r>
          </w:p>
          <w:p w14:paraId="1011988E" w14:textId="77777777" w:rsidR="00852169" w:rsidRPr="004867AA" w:rsidRDefault="00852169" w:rsidP="00852169">
            <w:pPr>
              <w:rPr>
                <w:rFonts w:eastAsia="Calibri"/>
                <w:sz w:val="24"/>
                <w:szCs w:val="24"/>
              </w:rPr>
            </w:pPr>
            <w:r w:rsidRPr="004867AA">
              <w:rPr>
                <w:rFonts w:eastAsia="Calibri"/>
                <w:sz w:val="24"/>
                <w:szCs w:val="24"/>
              </w:rPr>
              <w:t>The high standard of work and values that Cas upholds as a Transition Social Worker within CLDT has been acknowledged by managers and colleagues. Cas consistently produces assessments and referrals that contain well-considered information and solutions, contributing to informed decisions about resource allocation and supporting optimal outcomes for those they serve.</w:t>
            </w:r>
          </w:p>
          <w:p w14:paraId="0E162EDE" w14:textId="77777777" w:rsidR="00852169" w:rsidRPr="004867AA" w:rsidRDefault="00852169" w:rsidP="00852169">
            <w:pPr>
              <w:rPr>
                <w:sz w:val="24"/>
                <w:szCs w:val="24"/>
              </w:rPr>
            </w:pPr>
            <w:r w:rsidRPr="004867AA">
              <w:rPr>
                <w:rFonts w:eastAsia="Calibri"/>
                <w:sz w:val="24"/>
                <w:szCs w:val="24"/>
              </w:rPr>
              <w:t>Cas continues to demonstrate growth in confidence and skill, gradually building a caseload that reflects their capability to manage more sophisticated work and responsibilities. They routinely reflect on previous cases and remain mindful of the impact of their interventions, recognising the significance of their role in shaping the future of vulnerable individuals. Cas utilises supervision and team meetings to review cases and ensure best practice when faced with uncertainties. Their actions are guided by the best interests of the individual, while also appreciating the influence of familial and social networks in securing the most favourable outcomes for young people.</w:t>
            </w:r>
          </w:p>
          <w:p w14:paraId="2DB23575" w14:textId="6B1ED076" w:rsidR="00B33B1D" w:rsidRPr="00082307" w:rsidRDefault="00B33B1D" w:rsidP="00572367">
            <w:pPr>
              <w:jc w:val="both"/>
              <w:rPr>
                <w:rFonts w:asciiTheme="minorHAnsi" w:hAnsiTheme="minorHAnsi" w:cstheme="minorHAnsi"/>
                <w:sz w:val="24"/>
                <w:szCs w:val="24"/>
              </w:rPr>
            </w:pPr>
            <w:r w:rsidRPr="00082307">
              <w:rPr>
                <w:rFonts w:asciiTheme="minorHAnsi" w:hAnsiTheme="minorHAnsi" w:cstheme="minorHAnsi"/>
                <w:sz w:val="24"/>
                <w:szCs w:val="24"/>
              </w:rPr>
              <w:t> </w:t>
            </w:r>
          </w:p>
          <w:p w14:paraId="28B9A61E" w14:textId="77777777" w:rsidR="00B33B1D" w:rsidRPr="00082307" w:rsidRDefault="00B33B1D" w:rsidP="00B33B1D">
            <w:pPr>
              <w:jc w:val="both"/>
              <w:rPr>
                <w:rFonts w:asciiTheme="minorHAnsi" w:hAnsiTheme="minorHAnsi" w:cstheme="minorHAnsi"/>
                <w:sz w:val="24"/>
                <w:szCs w:val="24"/>
              </w:rPr>
            </w:pPr>
          </w:p>
          <w:p w14:paraId="752693DA" w14:textId="77777777" w:rsidR="00B33B1D" w:rsidRPr="00082307" w:rsidRDefault="00B33B1D" w:rsidP="00B33B1D">
            <w:pPr>
              <w:jc w:val="both"/>
              <w:rPr>
                <w:rFonts w:asciiTheme="minorHAnsi" w:hAnsiTheme="minorHAnsi" w:cstheme="minorHAnsi"/>
                <w:sz w:val="24"/>
                <w:szCs w:val="24"/>
              </w:rPr>
            </w:pPr>
            <w:r w:rsidRPr="00082307">
              <w:rPr>
                <w:rFonts w:asciiTheme="minorHAnsi" w:hAnsiTheme="minorHAnsi" w:cstheme="minorHAnsi"/>
                <w:sz w:val="24"/>
                <w:szCs w:val="24"/>
              </w:rPr>
              <w:t> </w:t>
            </w:r>
          </w:p>
          <w:p w14:paraId="737A80A5" w14:textId="640312EC" w:rsidR="00B33B1D" w:rsidRPr="00082307" w:rsidRDefault="00B33B1D" w:rsidP="00B33B1D">
            <w:pPr>
              <w:jc w:val="both"/>
              <w:rPr>
                <w:rFonts w:asciiTheme="minorHAnsi" w:hAnsiTheme="minorHAnsi" w:cstheme="minorHAnsi"/>
                <w:color w:val="auto"/>
                <w:sz w:val="24"/>
                <w:szCs w:val="24"/>
              </w:rPr>
            </w:pPr>
            <w:r w:rsidRPr="00082307">
              <w:rPr>
                <w:rFonts w:asciiTheme="minorHAnsi" w:hAnsiTheme="minorHAnsi" w:cstheme="minorHAnsi"/>
                <w:sz w:val="24"/>
                <w:szCs w:val="24"/>
              </w:rPr>
              <w:t> </w:t>
            </w:r>
          </w:p>
        </w:tc>
      </w:tr>
      <w:tr w:rsidR="00B33B1D" w:rsidRPr="008B28E7" w14:paraId="4978C34C" w14:textId="77777777" w:rsidTr="00D3203C">
        <w:tc>
          <w:tcPr>
            <w:tcW w:w="10070" w:type="dxa"/>
          </w:tcPr>
          <w:p w14:paraId="00940462" w14:textId="38E90E15" w:rsidR="00B33B1D" w:rsidRDefault="00B33B1D" w:rsidP="00B33B1D">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BA1E7B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DF4CE5">
        <w:rPr>
          <w:b/>
          <w:sz w:val="24"/>
          <w:szCs w:val="24"/>
        </w:rPr>
        <w:t xml:space="preserve"> Cas Metcalf</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BE1EA3E"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DF4CE5">
        <w:rPr>
          <w:b/>
          <w:sz w:val="24"/>
          <w:szCs w:val="24"/>
        </w:rPr>
        <w:t xml:space="preserve"> 2322834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5E6A5C3" w14:textId="77777777" w:rsidR="00DF4CE5"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DF4CE5">
        <w:rPr>
          <w:b/>
          <w:sz w:val="24"/>
          <w:szCs w:val="24"/>
        </w:rPr>
        <w:t xml:space="preserve"> </w:t>
      </w:r>
    </w:p>
    <w:p w14:paraId="7DD1E0BA" w14:textId="6C5076B3" w:rsidR="004923DA" w:rsidRPr="008B28E7" w:rsidRDefault="00DF4CE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2 Colbourne Terrace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E277F6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DF4CE5">
        <w:rPr>
          <w:b/>
          <w:sz w:val="24"/>
          <w:szCs w:val="24"/>
        </w:rPr>
        <w:t xml:space="preserve"> 07470 573584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3276FD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DF4CE5">
        <w:rPr>
          <w:b/>
          <w:sz w:val="24"/>
          <w:szCs w:val="24"/>
        </w:rPr>
        <w:t xml:space="preserve"> cas.metcalf1@gmail.com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9D562A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DF4CE5">
        <w:rPr>
          <w:b/>
          <w:sz w:val="24"/>
          <w:szCs w:val="24"/>
        </w:rPr>
        <w:t>04/09/2023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CE75B4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DF4CE5">
        <w:rPr>
          <w:b/>
          <w:sz w:val="24"/>
          <w:szCs w:val="24"/>
        </w:rPr>
        <w:t xml:space="preserve"> </w:t>
      </w:r>
      <w:r w:rsidR="00DF4CE5" w:rsidRPr="00DF4CE5">
        <w:rPr>
          <w:b/>
          <w:bCs/>
          <w:sz w:val="24"/>
          <w:szCs w:val="24"/>
        </w:rPr>
        <w:t>24/10/2023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5F90E56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4132DD">
        <w:rPr>
          <w:b/>
          <w:sz w:val="24"/>
          <w:szCs w:val="24"/>
        </w:rPr>
        <w:t xml:space="preserve"> Community Learning Disability Team</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CBFDF7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57E0A">
        <w:rPr>
          <w:b/>
          <w:sz w:val="24"/>
          <w:szCs w:val="24"/>
        </w:rPr>
        <w:t xml:space="preserve"> City and County of Swansea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5E1300E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B57E0A">
        <w:rPr>
          <w:b/>
          <w:sz w:val="24"/>
          <w:szCs w:val="24"/>
        </w:rPr>
        <w:t xml:space="preserve"> </w:t>
      </w:r>
      <w:r w:rsidR="004132DD">
        <w:rPr>
          <w:b/>
          <w:sz w:val="24"/>
          <w:szCs w:val="24"/>
        </w:rPr>
        <w:t xml:space="preserve"> Guildhall, Swansea</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4DF72D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132DD">
        <w:rPr>
          <w:b/>
          <w:sz w:val="24"/>
          <w:szCs w:val="24"/>
        </w:rPr>
        <w:t xml:space="preserve"> 01792 614100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4BAB513"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4132DD">
        <w:rPr>
          <w:b/>
          <w:sz w:val="24"/>
          <w:szCs w:val="24"/>
        </w:rPr>
        <w:t>cas.metcalf@swansea.gov.uk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0C30C3C"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EB357C">
        <w:rPr>
          <w:b/>
          <w:sz w:val="24"/>
          <w:szCs w:val="24"/>
        </w:rPr>
        <w:t>x</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BB808DF" w:rsidR="004923DA" w:rsidRPr="008B28E7" w:rsidRDefault="00C202FE"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Phil</w:t>
      </w:r>
      <w:r w:rsidR="00EB357C">
        <w:rPr>
          <w:b/>
          <w:sz w:val="24"/>
          <w:szCs w:val="24"/>
        </w:rPr>
        <w:t xml:space="preserve"> Davies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001ABA1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EB357C">
        <w:rPr>
          <w:b/>
          <w:sz w:val="24"/>
          <w:szCs w:val="24"/>
        </w:rPr>
        <w:t xml:space="preserve"> CLDT (</w:t>
      </w:r>
      <w:proofErr w:type="spellStart"/>
      <w:r w:rsidR="00EB357C">
        <w:rPr>
          <w:b/>
          <w:sz w:val="24"/>
          <w:szCs w:val="24"/>
        </w:rPr>
        <w:t>CoS</w:t>
      </w:r>
      <w:proofErr w:type="spellEnd"/>
      <w:r w:rsidR="00EB357C">
        <w:rPr>
          <w:b/>
          <w:sz w:val="24"/>
          <w:szCs w:val="24"/>
        </w:rPr>
        <w:t xml:space="preserve">)  </w:t>
      </w:r>
    </w:p>
    <w:p w14:paraId="4E7F29FB" w14:textId="46F63ACB" w:rsidR="00EB357C" w:rsidRDefault="00EB357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Guildhall </w:t>
      </w:r>
    </w:p>
    <w:p w14:paraId="0823F750" w14:textId="67E51C0E" w:rsidR="00EB357C" w:rsidRPr="008B28E7" w:rsidRDefault="00EB357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F8835B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EB357C">
        <w:rPr>
          <w:b/>
          <w:sz w:val="24"/>
          <w:szCs w:val="24"/>
        </w:rPr>
        <w:t>01792 614100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78A42A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EB357C">
        <w:rPr>
          <w:b/>
          <w:sz w:val="24"/>
          <w:szCs w:val="24"/>
        </w:rPr>
        <w:t>phil.davies@swansea.gov.uk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74AF99C" w:rsidR="004923DA" w:rsidRDefault="004923DA" w:rsidP="00FF7EBB">
            <w:pPr>
              <w:jc w:val="both"/>
              <w:rPr>
                <w:b/>
                <w:sz w:val="24"/>
                <w:szCs w:val="24"/>
              </w:rPr>
            </w:pPr>
            <w:r w:rsidRPr="008B28E7">
              <w:rPr>
                <w:b/>
                <w:sz w:val="24"/>
                <w:szCs w:val="24"/>
              </w:rPr>
              <w:t>Name:</w:t>
            </w:r>
            <w:r w:rsidR="00B57E0A">
              <w:rPr>
                <w:b/>
                <w:sz w:val="24"/>
                <w:szCs w:val="24"/>
              </w:rPr>
              <w:t xml:space="preserve"> Jacqui Griffiths </w:t>
            </w:r>
          </w:p>
          <w:p w14:paraId="4EF4A770" w14:textId="77777777" w:rsidR="004923DA" w:rsidRPr="008B28E7" w:rsidRDefault="004923DA" w:rsidP="00FF7EBB">
            <w:pPr>
              <w:jc w:val="both"/>
              <w:rPr>
                <w:b/>
                <w:sz w:val="24"/>
                <w:szCs w:val="24"/>
              </w:rPr>
            </w:pPr>
          </w:p>
          <w:p w14:paraId="1AC8522D" w14:textId="6F57A779" w:rsidR="004923DA" w:rsidRDefault="004923DA" w:rsidP="00FF7EBB">
            <w:pPr>
              <w:jc w:val="both"/>
              <w:rPr>
                <w:b/>
                <w:sz w:val="24"/>
                <w:szCs w:val="24"/>
              </w:rPr>
            </w:pPr>
            <w:r w:rsidRPr="008B28E7">
              <w:rPr>
                <w:b/>
                <w:sz w:val="24"/>
                <w:szCs w:val="24"/>
              </w:rPr>
              <w:t xml:space="preserve">Work Address: </w:t>
            </w:r>
            <w:r w:rsidR="00B57E0A">
              <w:rPr>
                <w:b/>
                <w:sz w:val="24"/>
                <w:szCs w:val="24"/>
              </w:rPr>
              <w:t xml:space="preserve">Guildhall </w:t>
            </w:r>
          </w:p>
          <w:p w14:paraId="4FB96D92" w14:textId="7CAF8719" w:rsidR="00B57E0A" w:rsidRDefault="00B57E0A" w:rsidP="00FF7EBB">
            <w:pPr>
              <w:jc w:val="both"/>
              <w:rPr>
                <w:b/>
                <w:sz w:val="24"/>
                <w:szCs w:val="24"/>
              </w:rPr>
            </w:pPr>
            <w:r>
              <w:rPr>
                <w:b/>
                <w:sz w:val="24"/>
                <w:szCs w:val="24"/>
              </w:rPr>
              <w:t xml:space="preserve">Swansea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001BB8B3" w:rsidR="004923DA" w:rsidRPr="008B28E7" w:rsidRDefault="004923DA" w:rsidP="00FF7EBB">
            <w:pPr>
              <w:jc w:val="both"/>
              <w:rPr>
                <w:b/>
                <w:sz w:val="24"/>
                <w:szCs w:val="24"/>
              </w:rPr>
            </w:pPr>
            <w:r w:rsidRPr="008B28E7">
              <w:rPr>
                <w:b/>
                <w:sz w:val="24"/>
                <w:szCs w:val="24"/>
              </w:rPr>
              <w:t>Professional Qualification and date of qualification:</w:t>
            </w:r>
            <w:r w:rsidR="00B57E0A">
              <w:rPr>
                <w:b/>
                <w:sz w:val="24"/>
                <w:szCs w:val="24"/>
              </w:rPr>
              <w:t xml:space="preserve"> Diploma of Social Work- 2004</w:t>
            </w:r>
          </w:p>
          <w:p w14:paraId="5F68A3CF" w14:textId="77777777" w:rsidR="004923DA" w:rsidRDefault="004923DA" w:rsidP="00FF7EBB">
            <w:pPr>
              <w:jc w:val="both"/>
              <w:rPr>
                <w:b/>
                <w:sz w:val="24"/>
                <w:szCs w:val="24"/>
              </w:rPr>
            </w:pPr>
          </w:p>
          <w:p w14:paraId="4C6113F1" w14:textId="05630E29" w:rsidR="004923DA" w:rsidRDefault="009D59C2" w:rsidP="00FF7EBB">
            <w:pPr>
              <w:jc w:val="both"/>
              <w:rPr>
                <w:b/>
                <w:sz w:val="24"/>
                <w:szCs w:val="24"/>
              </w:rPr>
            </w:pPr>
            <w:r>
              <w:rPr>
                <w:b/>
                <w:sz w:val="24"/>
                <w:szCs w:val="24"/>
              </w:rPr>
              <w:t>T</w:t>
            </w:r>
            <w:r w:rsidR="004923DA" w:rsidRPr="008B28E7">
              <w:rPr>
                <w:b/>
                <w:sz w:val="24"/>
                <w:szCs w:val="24"/>
              </w:rPr>
              <w:t>elephone number:</w:t>
            </w:r>
            <w:r w:rsidR="00B57E0A">
              <w:rPr>
                <w:b/>
                <w:sz w:val="24"/>
                <w:szCs w:val="24"/>
              </w:rPr>
              <w:t xml:space="preserve"> 01792 614100</w:t>
            </w:r>
          </w:p>
          <w:p w14:paraId="0BB87919" w14:textId="548A11EF" w:rsidR="009D59C2" w:rsidRDefault="009D59C2" w:rsidP="00FF7EBB">
            <w:pPr>
              <w:jc w:val="both"/>
              <w:rPr>
                <w:b/>
                <w:sz w:val="24"/>
                <w:szCs w:val="24"/>
              </w:rPr>
            </w:pPr>
          </w:p>
          <w:p w14:paraId="4FDEE73F" w14:textId="4C5E11D0" w:rsidR="009D59C2" w:rsidRPr="008B28E7" w:rsidRDefault="009D59C2" w:rsidP="00FF7EBB">
            <w:pPr>
              <w:jc w:val="both"/>
              <w:rPr>
                <w:b/>
                <w:sz w:val="24"/>
                <w:szCs w:val="24"/>
              </w:rPr>
            </w:pPr>
            <w:r>
              <w:rPr>
                <w:b/>
                <w:sz w:val="24"/>
                <w:szCs w:val="24"/>
              </w:rPr>
              <w:t>Email address:</w:t>
            </w:r>
            <w:r w:rsidR="00B57E0A">
              <w:rPr>
                <w:b/>
                <w:sz w:val="24"/>
                <w:szCs w:val="24"/>
              </w:rPr>
              <w:t xml:space="preserve"> Jacqui.griffiths@swansea.gov.uk</w:t>
            </w:r>
          </w:p>
          <w:p w14:paraId="4346D2ED" w14:textId="0C25186B"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750D9C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w:t>
      </w:r>
      <w:r w:rsidR="00B57E0A" w:rsidRPr="00B57E0A">
        <w:rPr>
          <w:noProof/>
          <w:sz w:val="24"/>
          <w:szCs w:val="24"/>
        </w:rPr>
        <w:drawing>
          <wp:inline distT="0" distB="0" distL="0" distR="0" wp14:anchorId="23C06DE8" wp14:editId="28452E5B">
            <wp:extent cx="755650" cy="313690"/>
            <wp:effectExtent l="0" t="0" r="0" b="0"/>
            <wp:docPr id="5"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ack background with a black square&#10;&#10;Description automatically generated with medium confidence"/>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55650" cy="313690"/>
                    </a:xfrm>
                    <a:prstGeom prst="rect">
                      <a:avLst/>
                    </a:prstGeom>
                    <a:noFill/>
                    <a:ln>
                      <a:noFill/>
                    </a:ln>
                  </pic:spPr>
                </pic:pic>
              </a:graphicData>
            </a:graphic>
          </wp:inline>
        </w:drawing>
      </w:r>
      <w:r>
        <w:rPr>
          <w:sz w:val="24"/>
          <w:szCs w:val="24"/>
        </w:rPr>
        <w:t>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8E1FE0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B57E0A">
        <w:rPr>
          <w:sz w:val="24"/>
          <w:szCs w:val="24"/>
        </w:rPr>
        <w:t>27/10/2025</w:t>
      </w:r>
      <w:r>
        <w:rPr>
          <w:sz w:val="24"/>
          <w:szCs w:val="24"/>
        </w:rPr>
        <w:t xml:space="preserve">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5970F6E"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w:t>
      </w:r>
      <w:r w:rsidR="00B57E0A">
        <w:rPr>
          <w:noProof/>
          <w:sz w:val="24"/>
          <w:szCs w:val="24"/>
        </w:rPr>
        <w:drawing>
          <wp:inline distT="0" distB="0" distL="0" distR="0" wp14:anchorId="076FCD29" wp14:editId="26BD55F0">
            <wp:extent cx="1607820" cy="416842"/>
            <wp:effectExtent l="0" t="0" r="0" b="2540"/>
            <wp:docPr id="1032876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27933" cy="422057"/>
                    </a:xfrm>
                    <a:prstGeom prst="rect">
                      <a:avLst/>
                    </a:prstGeom>
                    <a:noFill/>
                  </pic:spPr>
                </pic:pic>
              </a:graphicData>
            </a:graphic>
          </wp:inline>
        </w:drawing>
      </w:r>
      <w:r w:rsidR="00B577D3">
        <w:rPr>
          <w:sz w:val="24"/>
          <w:szCs w:val="24"/>
        </w:rPr>
        <w:t xml:space="preserve">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59CA81E"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B57E0A">
        <w:rPr>
          <w:sz w:val="24"/>
          <w:szCs w:val="24"/>
        </w:rPr>
        <w:t>28/07/2025</w:t>
      </w:r>
      <w:r>
        <w:rPr>
          <w:sz w:val="24"/>
          <w:szCs w:val="24"/>
        </w:rPr>
        <w:t xml:space="preserve">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BB8DB75" w:rsidR="00335C41" w:rsidRPr="00D3203C" w:rsidRDefault="00335C41" w:rsidP="00335C41">
            <w:pPr>
              <w:ind w:right="180"/>
              <w:jc w:val="both"/>
              <w:rPr>
                <w:sz w:val="24"/>
                <w:szCs w:val="24"/>
              </w:rPr>
            </w:pPr>
            <w:proofErr w:type="spellStart"/>
            <w:r w:rsidRPr="00D3203C">
              <w:rPr>
                <w:sz w:val="24"/>
                <w:szCs w:val="24"/>
              </w:rPr>
              <w:t>Signed_______</w:t>
            </w:r>
            <w:r w:rsidR="00EB357C">
              <w:rPr>
                <w:sz w:val="24"/>
                <w:szCs w:val="24"/>
              </w:rPr>
              <w:t>Phil</w:t>
            </w:r>
            <w:proofErr w:type="spellEnd"/>
            <w:r w:rsidR="00EB357C">
              <w:rPr>
                <w:sz w:val="24"/>
                <w:szCs w:val="24"/>
              </w:rPr>
              <w:t xml:space="preserve"> Davies </w:t>
            </w:r>
            <w:r w:rsidRPr="00D3203C">
              <w:rPr>
                <w:sz w:val="24"/>
                <w:szCs w:val="24"/>
              </w:rPr>
              <w:t>_____</w:t>
            </w:r>
            <w:r w:rsidR="00EB357C">
              <w:rPr>
                <w:noProof/>
              </w:rPr>
              <w:drawing>
                <wp:inline distT="0" distB="0" distL="0" distR="0" wp14:anchorId="56E50102" wp14:editId="35FCA2A4">
                  <wp:extent cx="609600" cy="266700"/>
                  <wp:effectExtent l="0" t="0" r="0" b="0"/>
                  <wp:docPr id="903375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00" cy="266700"/>
                          </a:xfrm>
                          <a:prstGeom prst="rect">
                            <a:avLst/>
                          </a:prstGeom>
                          <a:noFill/>
                          <a:ln>
                            <a:noFill/>
                          </a:ln>
                        </pic:spPr>
                      </pic:pic>
                    </a:graphicData>
                  </a:graphic>
                </wp:inline>
              </w:drawing>
            </w:r>
            <w:r w:rsidRPr="00D3203C">
              <w:rPr>
                <w:sz w:val="24"/>
                <w:szCs w:val="24"/>
              </w:rPr>
              <w:t>_ (Mentor)</w:t>
            </w:r>
          </w:p>
          <w:p w14:paraId="5D3F0767" w14:textId="77777777" w:rsidR="00335C41" w:rsidRPr="00D3203C" w:rsidRDefault="00335C41" w:rsidP="00335C41">
            <w:pPr>
              <w:ind w:right="180"/>
              <w:jc w:val="both"/>
              <w:rPr>
                <w:sz w:val="24"/>
                <w:szCs w:val="24"/>
              </w:rPr>
            </w:pPr>
          </w:p>
          <w:p w14:paraId="24E1B8A5" w14:textId="4A75DBBE" w:rsidR="00335C41" w:rsidRPr="00D3203C" w:rsidRDefault="00335C41" w:rsidP="00335C41">
            <w:pPr>
              <w:ind w:right="180"/>
              <w:jc w:val="both"/>
              <w:rPr>
                <w:sz w:val="24"/>
                <w:szCs w:val="24"/>
              </w:rPr>
            </w:pPr>
            <w:r w:rsidRPr="00D3203C">
              <w:rPr>
                <w:sz w:val="24"/>
                <w:szCs w:val="24"/>
              </w:rPr>
              <w:lastRenderedPageBreak/>
              <w:t>Date ___________</w:t>
            </w:r>
            <w:r w:rsidR="00EB357C">
              <w:rPr>
                <w:sz w:val="24"/>
                <w:szCs w:val="24"/>
              </w:rPr>
              <w:t>17/10/25</w:t>
            </w:r>
            <w:r w:rsidRPr="00D3203C">
              <w:rPr>
                <w:sz w:val="24"/>
                <w:szCs w:val="24"/>
              </w:rPr>
              <w:t>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2054ACA"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w:t>
      </w:r>
      <w:r w:rsidR="00EB357C">
        <w:rPr>
          <w:caps/>
          <w:sz w:val="24"/>
          <w:szCs w:val="24"/>
        </w:rPr>
        <w:t xml:space="preserve">phil Davies  </w:t>
      </w:r>
      <w:r w:rsidR="00B577D3">
        <w:rPr>
          <w:caps/>
          <w:sz w:val="24"/>
          <w:szCs w:val="24"/>
        </w:rPr>
        <w:t xml:space="preserve"> _ _ _ _ _ _ _ _ _ _ _ _ _ _ _ _ _ _ _ _ _ _ _ _</w:t>
      </w:r>
    </w:p>
    <w:p w14:paraId="7C11F360" w14:textId="0566BEDA"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w:t>
      </w:r>
      <w:r w:rsidR="00EB357C">
        <w:rPr>
          <w:noProof/>
        </w:rPr>
        <w:drawing>
          <wp:inline distT="0" distB="0" distL="0" distR="0" wp14:anchorId="151BAD91" wp14:editId="03A5A990">
            <wp:extent cx="609600" cy="266700"/>
            <wp:effectExtent l="0" t="0" r="0" b="0"/>
            <wp:docPr id="11264433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00" cy="266700"/>
                    </a:xfrm>
                    <a:prstGeom prst="rect">
                      <a:avLst/>
                    </a:prstGeom>
                    <a:noFill/>
                    <a:ln>
                      <a:noFill/>
                    </a:ln>
                  </pic:spPr>
                </pic:pic>
              </a:graphicData>
            </a:graphic>
          </wp:inline>
        </w:drawing>
      </w:r>
      <w:r w:rsidR="00B577D3" w:rsidRPr="00B577D3">
        <w:rPr>
          <w:sz w:val="24"/>
          <w:szCs w:val="24"/>
        </w:rPr>
        <w:t>_ _ _ _ _ _ _ _ _ _ _ _ _ _ _ _</w:t>
      </w:r>
      <w:r w:rsidR="009D59C2">
        <w:rPr>
          <w:sz w:val="24"/>
          <w:szCs w:val="24"/>
        </w:rPr>
        <w:t xml:space="preserve"> _ </w:t>
      </w:r>
      <w:r w:rsidR="00B577D3" w:rsidRPr="00B577D3">
        <w:rPr>
          <w:sz w:val="24"/>
          <w:szCs w:val="24"/>
        </w:rPr>
        <w:t xml:space="preserve"> _ _ _ _ _ _ _ _</w:t>
      </w:r>
    </w:p>
    <w:p w14:paraId="57B2A00A" w14:textId="6D1634BD"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w:t>
      </w:r>
      <w:r w:rsidR="00EB357C">
        <w:rPr>
          <w:sz w:val="24"/>
          <w:szCs w:val="24"/>
        </w:rPr>
        <w:t>17/10/25</w:t>
      </w:r>
      <w:r w:rsidR="00B577D3" w:rsidRPr="00B577D3">
        <w:rPr>
          <w:sz w:val="24"/>
          <w:szCs w:val="24"/>
        </w:rPr>
        <w:t xml:space="preserve">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33CBFF26" w:rsidR="00D05A5D" w:rsidRPr="00DA5682" w:rsidRDefault="00B57E0A" w:rsidP="00CC14B6">
            <w:pPr>
              <w:rPr>
                <w:sz w:val="24"/>
                <w:szCs w:val="24"/>
              </w:rPr>
            </w:pPr>
            <w:r>
              <w:rPr>
                <w:sz w:val="24"/>
                <w:szCs w:val="24"/>
              </w:rPr>
              <w:t>Cas Metcalf</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7E688A7D" w:rsidR="00D05A5D" w:rsidRPr="00DA5682" w:rsidRDefault="00F734B2" w:rsidP="00CC14B6">
            <w:pPr>
              <w:rPr>
                <w:sz w:val="24"/>
                <w:szCs w:val="24"/>
              </w:rPr>
            </w:pPr>
            <w:r>
              <w:rPr>
                <w:sz w:val="24"/>
                <w:szCs w:val="24"/>
              </w:rPr>
              <w:t>CLDT City of Swansea</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2BFC720A" w:rsidR="00D05A5D" w:rsidRPr="00DA5682" w:rsidRDefault="00F734B2" w:rsidP="00CC14B6">
            <w:pPr>
              <w:rPr>
                <w:sz w:val="24"/>
                <w:szCs w:val="24"/>
              </w:rPr>
            </w:pPr>
            <w:r>
              <w:rPr>
                <w:sz w:val="24"/>
                <w:szCs w:val="24"/>
              </w:rPr>
              <w:t>Phil Davies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43CEAFF2" w:rsidR="00D05A5D" w:rsidRPr="00DA5682" w:rsidRDefault="00F734B2" w:rsidP="00CC14B6">
            <w:pPr>
              <w:rPr>
                <w:sz w:val="24"/>
                <w:szCs w:val="24"/>
              </w:rPr>
            </w:pPr>
            <w:r>
              <w:rPr>
                <w:sz w:val="24"/>
                <w:szCs w:val="24"/>
              </w:rPr>
              <w:t xml:space="preserve">Phil Davies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(i)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gramStart"/>
      <w:r w:rsidRPr="00466C2B">
        <w:rPr>
          <w:iCs/>
          <w:color w:val="auto"/>
          <w:sz w:val="24"/>
          <w:szCs w:val="24"/>
          <w:lang w:val="en-US" w:eastAsia="en-US"/>
        </w:rPr>
        <w:t>Agored</w:t>
      </w:r>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6947EA98"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B57E0A" w:rsidRPr="00B57E0A">
        <w:rPr>
          <w:noProof/>
          <w:sz w:val="24"/>
          <w:szCs w:val="24"/>
        </w:rPr>
        <w:drawing>
          <wp:inline distT="0" distB="0" distL="0" distR="0" wp14:anchorId="34913F8E" wp14:editId="433FE837">
            <wp:extent cx="755650" cy="313690"/>
            <wp:effectExtent l="0" t="0" r="0" b="0"/>
            <wp:docPr id="2033759215"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ack background with a black square&#10;&#10;Description automatically generated with medium confidence"/>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55650" cy="313690"/>
                    </a:xfrm>
                    <a:prstGeom prst="rect">
                      <a:avLst/>
                    </a:prstGeom>
                    <a:noFill/>
                    <a:ln>
                      <a:noFill/>
                    </a:ln>
                  </pic:spPr>
                </pic:pic>
              </a:graphicData>
            </a:graphic>
          </wp:inline>
        </w:drawing>
      </w:r>
      <w:r w:rsidRPr="00DA5682">
        <w:rPr>
          <w:sz w:val="24"/>
          <w:szCs w:val="24"/>
        </w:rPr>
        <w:t xml:space="preserve">…. Print </w:t>
      </w:r>
      <w:proofErr w:type="gramStart"/>
      <w:r w:rsidRPr="00DA5682">
        <w:rPr>
          <w:sz w:val="24"/>
          <w:szCs w:val="24"/>
        </w:rPr>
        <w:t>Name:…</w:t>
      </w:r>
      <w:proofErr w:type="gramEnd"/>
      <w:r w:rsidRPr="00DA5682">
        <w:rPr>
          <w:sz w:val="24"/>
          <w:szCs w:val="24"/>
        </w:rPr>
        <w:t>…</w:t>
      </w:r>
      <w:r w:rsidR="00B57E0A">
        <w:rPr>
          <w:sz w:val="24"/>
          <w:szCs w:val="24"/>
        </w:rPr>
        <w:t>Cas Metcalf</w:t>
      </w:r>
      <w:r w:rsidRPr="00DA5682">
        <w:rPr>
          <w:sz w:val="24"/>
          <w:szCs w:val="24"/>
        </w:rPr>
        <w:t>……</w:t>
      </w:r>
      <w:r w:rsidR="00B57E0A">
        <w:rPr>
          <w:sz w:val="24"/>
          <w:szCs w:val="24"/>
        </w:rPr>
        <w:t>29/10/24</w:t>
      </w:r>
      <w:r w:rsidRPr="00DA5682">
        <w:rPr>
          <w:sz w:val="24"/>
          <w:szCs w:val="24"/>
        </w:rPr>
        <w:t xml:space="preserve">……………… </w:t>
      </w:r>
      <w:proofErr w:type="gramStart"/>
      <w:r w:rsidRPr="00DA5682">
        <w:rPr>
          <w:sz w:val="24"/>
          <w:szCs w:val="24"/>
        </w:rPr>
        <w:t>Date:…</w:t>
      </w:r>
      <w:proofErr w:type="gramEnd"/>
      <w:r w:rsidR="00B57E0A">
        <w:rPr>
          <w:sz w:val="24"/>
          <w:szCs w:val="24"/>
        </w:rPr>
        <w:t>17/10/25</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74DB86A3"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A46018" w:rsidRPr="00A46018">
        <w:t xml:space="preserve"> </w:t>
      </w:r>
      <w:r w:rsidR="00A46018">
        <w:rPr>
          <w:noProof/>
        </w:rPr>
        <w:drawing>
          <wp:inline distT="0" distB="0" distL="0" distR="0" wp14:anchorId="354BEC5D" wp14:editId="2795C33E">
            <wp:extent cx="609600" cy="266700"/>
            <wp:effectExtent l="0" t="0" r="0" b="0"/>
            <wp:docPr id="12698563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00" cy="266700"/>
                    </a:xfrm>
                    <a:prstGeom prst="rect">
                      <a:avLst/>
                    </a:prstGeom>
                    <a:noFill/>
                    <a:ln>
                      <a:noFill/>
                    </a:ln>
                  </pic:spPr>
                </pic:pic>
              </a:graphicData>
            </a:graphic>
          </wp:inline>
        </w:drawing>
      </w:r>
      <w:r w:rsidRPr="00DA5682">
        <w:rPr>
          <w:sz w:val="24"/>
          <w:szCs w:val="24"/>
        </w:rPr>
        <w:t xml:space="preserve"> Print </w:t>
      </w:r>
      <w:proofErr w:type="gramStart"/>
      <w:r w:rsidRPr="00DA5682">
        <w:rPr>
          <w:sz w:val="24"/>
          <w:szCs w:val="24"/>
        </w:rPr>
        <w:t>Name:…</w:t>
      </w:r>
      <w:proofErr w:type="gramEnd"/>
      <w:r w:rsidRPr="00DA5682">
        <w:rPr>
          <w:sz w:val="24"/>
          <w:szCs w:val="24"/>
        </w:rPr>
        <w:t>…</w:t>
      </w:r>
      <w:r w:rsidR="00A46018">
        <w:rPr>
          <w:sz w:val="24"/>
          <w:szCs w:val="24"/>
        </w:rPr>
        <w:t>Phil Davies</w:t>
      </w:r>
      <w:r w:rsidRPr="00DA5682">
        <w:rPr>
          <w:sz w:val="24"/>
          <w:szCs w:val="24"/>
        </w:rPr>
        <w:t>……</w:t>
      </w:r>
      <w:proofErr w:type="gramStart"/>
      <w:r w:rsidRPr="00DA5682">
        <w:rPr>
          <w:sz w:val="24"/>
          <w:szCs w:val="24"/>
        </w:rPr>
        <w:t>….Date</w:t>
      </w:r>
      <w:proofErr w:type="gramEnd"/>
      <w:r w:rsidRPr="00DA5682">
        <w:rPr>
          <w:sz w:val="24"/>
          <w:szCs w:val="24"/>
        </w:rPr>
        <w:t>:</w:t>
      </w:r>
      <w:r w:rsidR="00B57E0A">
        <w:rPr>
          <w:sz w:val="24"/>
          <w:szCs w:val="24"/>
        </w:rPr>
        <w:t>29</w:t>
      </w:r>
      <w:r w:rsidR="00A46018">
        <w:rPr>
          <w:sz w:val="24"/>
          <w:szCs w:val="24"/>
        </w:rPr>
        <w:t>/10/2</w:t>
      </w:r>
      <w:r w:rsidR="00B57E0A">
        <w:rPr>
          <w:sz w:val="24"/>
          <w:szCs w:val="24"/>
        </w:rPr>
        <w:t>4</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4"/>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A4A17C" w14:textId="77777777" w:rsidR="00D3424B" w:rsidRDefault="00D3424B">
      <w:r>
        <w:separator/>
      </w:r>
    </w:p>
  </w:endnote>
  <w:endnote w:type="continuationSeparator" w:id="0">
    <w:p w14:paraId="65D9F9FE" w14:textId="77777777" w:rsidR="00D3424B" w:rsidRDefault="00D342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B9CB9E" w14:textId="77777777" w:rsidR="00D3424B" w:rsidRDefault="00D3424B">
      <w:r>
        <w:separator/>
      </w:r>
    </w:p>
  </w:footnote>
  <w:footnote w:type="continuationSeparator" w:id="0">
    <w:p w14:paraId="46A3B7B1" w14:textId="77777777" w:rsidR="00D3424B" w:rsidRDefault="00D342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2307"/>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79D2"/>
    <w:rsid w:val="000F1599"/>
    <w:rsid w:val="000F1769"/>
    <w:rsid w:val="000F1A97"/>
    <w:rsid w:val="000F42AE"/>
    <w:rsid w:val="000F6196"/>
    <w:rsid w:val="000F6BC3"/>
    <w:rsid w:val="0010312C"/>
    <w:rsid w:val="00105026"/>
    <w:rsid w:val="0010662B"/>
    <w:rsid w:val="00106DC7"/>
    <w:rsid w:val="00112391"/>
    <w:rsid w:val="00114F52"/>
    <w:rsid w:val="00117F30"/>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52A8"/>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517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52A3"/>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32DD"/>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92E"/>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6E6A"/>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23E5F"/>
    <w:rsid w:val="005305C6"/>
    <w:rsid w:val="00540EEC"/>
    <w:rsid w:val="005414F4"/>
    <w:rsid w:val="00546187"/>
    <w:rsid w:val="00547B11"/>
    <w:rsid w:val="00557D77"/>
    <w:rsid w:val="00562EAA"/>
    <w:rsid w:val="00563B58"/>
    <w:rsid w:val="005640C4"/>
    <w:rsid w:val="0056684C"/>
    <w:rsid w:val="00572367"/>
    <w:rsid w:val="005735F1"/>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0A1"/>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222F"/>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561C"/>
    <w:rsid w:val="00816CE7"/>
    <w:rsid w:val="008171E4"/>
    <w:rsid w:val="008208EA"/>
    <w:rsid w:val="00821B42"/>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169"/>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1FBB"/>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23C5"/>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07F99"/>
    <w:rsid w:val="00A10D56"/>
    <w:rsid w:val="00A12AAE"/>
    <w:rsid w:val="00A12F22"/>
    <w:rsid w:val="00A16DD1"/>
    <w:rsid w:val="00A22441"/>
    <w:rsid w:val="00A23F3B"/>
    <w:rsid w:val="00A24406"/>
    <w:rsid w:val="00A25F64"/>
    <w:rsid w:val="00A275F6"/>
    <w:rsid w:val="00A303B9"/>
    <w:rsid w:val="00A37416"/>
    <w:rsid w:val="00A40ED6"/>
    <w:rsid w:val="00A46018"/>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685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3B1D"/>
    <w:rsid w:val="00B3747F"/>
    <w:rsid w:val="00B42E76"/>
    <w:rsid w:val="00B43194"/>
    <w:rsid w:val="00B436BF"/>
    <w:rsid w:val="00B47734"/>
    <w:rsid w:val="00B50FBA"/>
    <w:rsid w:val="00B558EB"/>
    <w:rsid w:val="00B577D3"/>
    <w:rsid w:val="00B57E0A"/>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02FE"/>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47C"/>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24B"/>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4CE5"/>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357C"/>
    <w:rsid w:val="00EB62E6"/>
    <w:rsid w:val="00EB695F"/>
    <w:rsid w:val="00EC3A85"/>
    <w:rsid w:val="00EC4B89"/>
    <w:rsid w:val="00EC59A5"/>
    <w:rsid w:val="00EC6E15"/>
    <w:rsid w:val="00EC74AD"/>
    <w:rsid w:val="00ED1B30"/>
    <w:rsid w:val="00ED5D03"/>
    <w:rsid w:val="00EE01ED"/>
    <w:rsid w:val="00EE1AC1"/>
    <w:rsid w:val="00EE39D6"/>
    <w:rsid w:val="00EE52AD"/>
    <w:rsid w:val="00EE5BC3"/>
    <w:rsid w:val="00EE6A76"/>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34B2"/>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TotalTime>
  <Pages>17</Pages>
  <Words>4133</Words>
  <Characters>24910</Characters>
  <Application>Microsoft Office Word</Application>
  <DocSecurity>0</DocSecurity>
  <Lines>498</Lines>
  <Paragraphs>165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Cas Metcalf</cp:lastModifiedBy>
  <cp:revision>2</cp:revision>
  <cp:lastPrinted>2020-02-11T19:20:00Z</cp:lastPrinted>
  <dcterms:created xsi:type="dcterms:W3CDTF">2025-10-27T17:56:00Z</dcterms:created>
  <dcterms:modified xsi:type="dcterms:W3CDTF">2025-10-27T17:56:00Z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